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6A4" w:rsidRPr="00973C19" w:rsidRDefault="0049635B" w:rsidP="00ED06A4">
      <w:pPr>
        <w:tabs>
          <w:tab w:val="left" w:pos="4320"/>
          <w:tab w:val="left" w:pos="4410"/>
        </w:tabs>
        <w:spacing w:line="240" w:lineRule="auto"/>
      </w:pPr>
      <w:r w:rsidRPr="00973C19">
        <w:rPr>
          <w:lang w:val="en-CA"/>
        </w:rPr>
        <w:fldChar w:fldCharType="begin"/>
      </w:r>
      <w:r w:rsidR="00ED06A4" w:rsidRPr="00973C19">
        <w:rPr>
          <w:lang w:val="en-CA"/>
        </w:rPr>
        <w:instrText xml:space="preserve"> SEQ CHAPTER \h \r 1</w:instrText>
      </w:r>
      <w:r w:rsidRPr="00973C19">
        <w:rPr>
          <w:lang w:val="en-CA"/>
        </w:rPr>
        <w:fldChar w:fldCharType="end"/>
      </w:r>
      <w:r w:rsidR="00ED06A4" w:rsidRPr="00973C19">
        <w:t>To the Graduate Council:</w:t>
      </w:r>
      <w:r w:rsidR="00ED06A4" w:rsidRPr="00973C19">
        <w:tab/>
      </w:r>
    </w:p>
    <w:p w:rsidR="00ED06A4" w:rsidRPr="00973C19" w:rsidRDefault="00ED06A4" w:rsidP="00ED06A4">
      <w:pPr>
        <w:spacing w:line="240" w:lineRule="auto"/>
      </w:pPr>
    </w:p>
    <w:p w:rsidR="00ED06A4" w:rsidRPr="00973C19" w:rsidRDefault="00ED06A4" w:rsidP="00ED06A4">
      <w:pPr>
        <w:spacing w:line="240" w:lineRule="auto"/>
      </w:pPr>
      <w:r w:rsidRPr="00973C19">
        <w:t xml:space="preserve">I am submitting herewith a dissertation written by </w:t>
      </w:r>
      <w:proofErr w:type="spellStart"/>
      <w:r w:rsidRPr="00973C19">
        <w:t>Rondal</w:t>
      </w:r>
      <w:proofErr w:type="spellEnd"/>
      <w:r w:rsidRPr="00973C19">
        <w:t xml:space="preserve"> David Mottern entitled “‘Your World Stops’: The Relationship Chiasm </w:t>
      </w:r>
      <w:proofErr w:type="gramStart"/>
      <w:r w:rsidRPr="00973C19">
        <w:t>Between</w:t>
      </w:r>
      <w:proofErr w:type="gramEnd"/>
      <w:r w:rsidRPr="00973C19">
        <w:t xml:space="preserve"> Teachers and Students in Court-Mandated Adult Education.” I have examined the final electronic copy of this dissertation for form and content and recommend that it be accepted in partial fulfillment of the requirements for the degree of Doctor of Philosophy, with a major in Educational Psychology and Research.</w:t>
      </w:r>
    </w:p>
    <w:p w:rsidR="00ED06A4" w:rsidRPr="00973C19" w:rsidRDefault="00ED06A4" w:rsidP="00ED06A4">
      <w:pPr>
        <w:spacing w:line="240" w:lineRule="auto"/>
      </w:pPr>
    </w:p>
    <w:p w:rsidR="00ED06A4" w:rsidRPr="00973C19" w:rsidRDefault="00ED06A4" w:rsidP="00ED06A4">
      <w:pPr>
        <w:spacing w:line="240" w:lineRule="auto"/>
      </w:pPr>
      <w:r w:rsidRPr="00973C19">
        <w:tab/>
      </w:r>
      <w:r w:rsidRPr="00973C19">
        <w:tab/>
      </w:r>
      <w:r w:rsidRPr="00973C19">
        <w:tab/>
      </w:r>
      <w:r w:rsidRPr="00973C19">
        <w:tab/>
      </w:r>
      <w:r w:rsidRPr="00973C19">
        <w:tab/>
        <w:t>______________________________</w:t>
      </w:r>
    </w:p>
    <w:p w:rsidR="00ED06A4" w:rsidRPr="00973C19" w:rsidRDefault="00ED06A4" w:rsidP="00ED06A4">
      <w:pPr>
        <w:tabs>
          <w:tab w:val="left" w:pos="3690"/>
          <w:tab w:val="left" w:pos="4320"/>
        </w:tabs>
        <w:spacing w:line="240" w:lineRule="auto"/>
      </w:pPr>
      <w:r w:rsidRPr="00973C19">
        <w:tab/>
        <w:t>Mary Ziegler, Major Professor</w:t>
      </w:r>
    </w:p>
    <w:p w:rsidR="00ED06A4" w:rsidRPr="00973C19" w:rsidRDefault="00ED06A4" w:rsidP="00ED06A4">
      <w:pPr>
        <w:spacing w:line="240" w:lineRule="auto"/>
      </w:pPr>
    </w:p>
    <w:p w:rsidR="00ED06A4" w:rsidRPr="00973C19" w:rsidRDefault="00ED06A4" w:rsidP="00ED06A4">
      <w:pPr>
        <w:spacing w:line="240" w:lineRule="auto"/>
      </w:pPr>
      <w:r w:rsidRPr="00973C19">
        <w:t xml:space="preserve">We have read this dissertation </w:t>
      </w:r>
    </w:p>
    <w:p w:rsidR="00ED06A4" w:rsidRPr="00973C19" w:rsidRDefault="00ED06A4" w:rsidP="00ED06A4">
      <w:pPr>
        <w:spacing w:line="240" w:lineRule="auto"/>
      </w:pPr>
      <w:proofErr w:type="gramStart"/>
      <w:r w:rsidRPr="00973C19">
        <w:t>and</w:t>
      </w:r>
      <w:proofErr w:type="gramEnd"/>
      <w:r w:rsidRPr="00973C19">
        <w:t xml:space="preserve"> recommend its acceptance:</w:t>
      </w:r>
    </w:p>
    <w:p w:rsidR="00ED06A4" w:rsidRPr="00973C19" w:rsidRDefault="00ED06A4" w:rsidP="00ED06A4">
      <w:pPr>
        <w:spacing w:line="240" w:lineRule="auto"/>
      </w:pPr>
    </w:p>
    <w:p w:rsidR="00ED06A4" w:rsidRDefault="00ED06A4" w:rsidP="00ED06A4">
      <w:pPr>
        <w:spacing w:line="240" w:lineRule="auto"/>
        <w:rPr>
          <w:u w:val="single"/>
        </w:rPr>
      </w:pPr>
      <w:r>
        <w:t>______________________________</w:t>
      </w:r>
    </w:p>
    <w:p w:rsidR="00ED06A4" w:rsidRDefault="00ED06A4" w:rsidP="00ED06A4">
      <w:pPr>
        <w:spacing w:line="240" w:lineRule="auto"/>
      </w:pPr>
      <w:r>
        <w:t>Ralph G. Brockett</w:t>
      </w:r>
    </w:p>
    <w:p w:rsidR="00ED06A4" w:rsidRDefault="00ED06A4" w:rsidP="00ED06A4">
      <w:pPr>
        <w:spacing w:line="240" w:lineRule="auto"/>
      </w:pPr>
    </w:p>
    <w:p w:rsidR="00ED06A4" w:rsidRDefault="00ED06A4" w:rsidP="00ED06A4">
      <w:pPr>
        <w:spacing w:line="240" w:lineRule="auto"/>
      </w:pPr>
      <w:r>
        <w:t>______________________________</w:t>
      </w:r>
    </w:p>
    <w:p w:rsidR="00ED06A4" w:rsidRDefault="00ED06A4" w:rsidP="00ED06A4">
      <w:pPr>
        <w:spacing w:line="240" w:lineRule="auto"/>
      </w:pPr>
      <w:r>
        <w:t>Sandra P. Thomas</w:t>
      </w:r>
    </w:p>
    <w:p w:rsidR="00ED06A4" w:rsidRDefault="00ED06A4" w:rsidP="00ED06A4">
      <w:pPr>
        <w:spacing w:line="240" w:lineRule="auto"/>
      </w:pPr>
    </w:p>
    <w:p w:rsidR="00ED06A4" w:rsidRDefault="00ED06A4" w:rsidP="00ED06A4">
      <w:pPr>
        <w:tabs>
          <w:tab w:val="left" w:pos="4320"/>
        </w:tabs>
        <w:spacing w:line="240" w:lineRule="auto"/>
      </w:pPr>
      <w:r>
        <w:t>______________________________</w:t>
      </w:r>
    </w:p>
    <w:p w:rsidR="00ED06A4" w:rsidRDefault="00ED06A4" w:rsidP="00ED06A4">
      <w:pPr>
        <w:tabs>
          <w:tab w:val="left" w:pos="4320"/>
        </w:tabs>
        <w:spacing w:line="240" w:lineRule="auto"/>
      </w:pPr>
      <w:r>
        <w:t>Katherine H. Greenberg</w:t>
      </w:r>
    </w:p>
    <w:p w:rsidR="00ED06A4" w:rsidRDefault="00ED06A4" w:rsidP="00ED06A4">
      <w:pPr>
        <w:tabs>
          <w:tab w:val="left" w:pos="4320"/>
        </w:tabs>
        <w:spacing w:line="240" w:lineRule="auto"/>
      </w:pPr>
    </w:p>
    <w:p w:rsidR="00ED06A4" w:rsidRDefault="00ED06A4" w:rsidP="00ED06A4">
      <w:pPr>
        <w:tabs>
          <w:tab w:val="left" w:pos="3690"/>
        </w:tabs>
        <w:spacing w:line="240" w:lineRule="auto"/>
      </w:pPr>
      <w:r>
        <w:tab/>
        <w:t>Accepted for the Council</w:t>
      </w:r>
    </w:p>
    <w:p w:rsidR="00ED06A4" w:rsidRDefault="00ED06A4" w:rsidP="00ED06A4">
      <w:pPr>
        <w:tabs>
          <w:tab w:val="left" w:pos="3690"/>
        </w:tabs>
        <w:spacing w:line="240" w:lineRule="auto"/>
      </w:pPr>
    </w:p>
    <w:p w:rsidR="00ED06A4" w:rsidRDefault="00ED06A4" w:rsidP="00ED06A4">
      <w:pPr>
        <w:tabs>
          <w:tab w:val="left" w:pos="3690"/>
        </w:tabs>
        <w:spacing w:line="240" w:lineRule="auto"/>
      </w:pPr>
      <w:r>
        <w:tab/>
        <w:t>______________________________</w:t>
      </w:r>
    </w:p>
    <w:p w:rsidR="00ED06A4" w:rsidRDefault="00ED06A4" w:rsidP="00ED06A4">
      <w:pPr>
        <w:tabs>
          <w:tab w:val="left" w:pos="3690"/>
        </w:tabs>
        <w:spacing w:line="240" w:lineRule="auto"/>
        <w:ind w:left="90" w:firstLine="2880"/>
      </w:pPr>
      <w:r>
        <w:tab/>
        <w:t>Carolyn R. Hodges</w:t>
      </w:r>
    </w:p>
    <w:p w:rsidR="00ED06A4" w:rsidRDefault="00ED06A4" w:rsidP="00ED06A4">
      <w:pPr>
        <w:tabs>
          <w:tab w:val="left" w:pos="3690"/>
        </w:tabs>
        <w:spacing w:line="240" w:lineRule="auto"/>
        <w:ind w:left="90" w:firstLine="2880"/>
        <w:sectPr w:rsidR="00ED06A4">
          <w:headerReference w:type="default" r:id="rId7"/>
          <w:pgSz w:w="12240" w:h="15840"/>
          <w:pgMar w:top="1440" w:right="1440" w:bottom="1440" w:left="1440" w:header="1440" w:footer="720" w:gutter="0"/>
          <w:pgNumType w:fmt="lowerRoman" w:start="1"/>
          <w:cols w:space="720"/>
          <w:titlePg/>
          <w:docGrid w:linePitch="360"/>
        </w:sectPr>
      </w:pPr>
      <w:r>
        <w:tab/>
        <w:t>Vice Provost and Dean of the Graduate School</w:t>
      </w:r>
    </w:p>
    <w:p w:rsidR="00ED06A4" w:rsidRDefault="00ED06A4" w:rsidP="00ED06A4">
      <w:pPr>
        <w:tabs>
          <w:tab w:val="left" w:pos="3690"/>
        </w:tabs>
        <w:spacing w:line="240" w:lineRule="auto"/>
        <w:ind w:left="90" w:firstLine="2880"/>
      </w:pPr>
    </w:p>
    <w:p w:rsidR="00ED06A4" w:rsidRDefault="00ED06A4" w:rsidP="00ED06A4">
      <w:pPr>
        <w:jc w:val="center"/>
      </w:pPr>
      <w:r>
        <w:t>“</w:t>
      </w:r>
      <w:proofErr w:type="gramStart"/>
      <w:r>
        <w:t>Your</w:t>
      </w:r>
      <w:proofErr w:type="gramEnd"/>
      <w:r>
        <w:t xml:space="preserve"> World Stops”: The Relationship Chiasm Between Teachers and Students in Court-Mandated Adult Education</w:t>
      </w: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r>
        <w:t>A Dissertation Presented for</w:t>
      </w:r>
      <w:r>
        <w:br/>
        <w:t>the Doctor of Philosophy</w:t>
      </w:r>
      <w:r>
        <w:br/>
        <w:t>Degree</w:t>
      </w:r>
      <w:r>
        <w:br/>
      </w:r>
      <w:proofErr w:type="gramStart"/>
      <w:r>
        <w:t>The</w:t>
      </w:r>
      <w:proofErr w:type="gramEnd"/>
      <w:r>
        <w:t xml:space="preserve"> University of Tennessee, Knoxville</w:t>
      </w: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roofErr w:type="spellStart"/>
      <w:r>
        <w:t>Rondal</w:t>
      </w:r>
      <w:proofErr w:type="spellEnd"/>
      <w:r>
        <w:t xml:space="preserve"> David Mottern</w:t>
      </w:r>
      <w:r>
        <w:br/>
        <w:t>December, 2011</w:t>
      </w: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roofErr w:type="gramStart"/>
      <w:r>
        <w:t xml:space="preserve">Copyright © by </w:t>
      </w:r>
      <w:proofErr w:type="spellStart"/>
      <w:r>
        <w:t>Rondal</w:t>
      </w:r>
      <w:proofErr w:type="spellEnd"/>
      <w:r>
        <w:t xml:space="preserve"> David Mottern</w:t>
      </w:r>
      <w:r>
        <w:br/>
        <w:t>All rights reserved.</w:t>
      </w:r>
      <w:proofErr w:type="gramEnd"/>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r>
        <w:t>Dedication</w:t>
      </w:r>
    </w:p>
    <w:p w:rsidR="00ED06A4" w:rsidRDefault="00ED06A4" w:rsidP="00ED06A4">
      <w:pPr>
        <w:jc w:val="center"/>
      </w:pPr>
    </w:p>
    <w:p w:rsidR="00ED06A4" w:rsidRDefault="00ED06A4" w:rsidP="00ED06A4">
      <w:pPr>
        <w:jc w:val="center"/>
      </w:pPr>
      <w:r>
        <w:t>This dissertation is dedicated to my wife, Andrea, who has supported and encouraged me throughout this process, and without whose love this would all be meaningless to me.</w:t>
      </w: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p>
    <w:p w:rsidR="00ED06A4" w:rsidRDefault="00ED06A4" w:rsidP="00ED06A4">
      <w:pPr>
        <w:jc w:val="center"/>
      </w:pPr>
      <w:r>
        <w:br w:type="page"/>
      </w:r>
      <w:r>
        <w:lastRenderedPageBreak/>
        <w:t>Acknowledgements</w:t>
      </w:r>
    </w:p>
    <w:p w:rsidR="00ED06A4" w:rsidRDefault="00ED06A4" w:rsidP="00ED06A4">
      <w:pPr>
        <w:spacing w:after="0" w:line="480" w:lineRule="auto"/>
      </w:pPr>
      <w:r>
        <w:tab/>
        <w:t xml:space="preserve">I would like to express my gratitude to Dr. Mary Ziegler for her guidance through the dissertation process and her advice throughout my doctoral studies.   I choose Dr. Ziegler as my dissertation advisor because I had no doubt that her expertise and professionalism would keep me grounded enough to complete the process successfully.  I have not been disappointed.  I would also like to thank Dr. Ralph Brockett, who has acted as a mentor and advisor in the adult education program.  During a period when Dr. Ziegler was on medical leave, he showed a sense of personal caring that is greatly appreciated.  Dr. Sandra Thomas, as co-leader of the phenomenology group, has overseen the group process throughout this dissertation.  Her experience, knowledge and love of phenomenology helped lead me to my chosen research methodology.  Dr. Katherine Greenberg has been a continual source of inspiration for me throughout my doctoral studies.  She has always been both supportive and challenging, which is not something easily accomplished, but which she has done with aplomb.    </w:t>
      </w:r>
    </w:p>
    <w:p w:rsidR="00ED06A4" w:rsidRDefault="00ED06A4" w:rsidP="00ED06A4">
      <w:pPr>
        <w:spacing w:after="0" w:line="480" w:lineRule="auto"/>
      </w:pPr>
      <w:r>
        <w:tab/>
        <w:t xml:space="preserve">I would also like to thank the University of Tennessee phenomenology group, led by Dr. Sandra Thomas and Dr. Howard </w:t>
      </w:r>
      <w:proofErr w:type="spellStart"/>
      <w:r>
        <w:t>Pollio</w:t>
      </w:r>
      <w:proofErr w:type="spellEnd"/>
      <w:r>
        <w:t xml:space="preserve">, for its help in analyzing the transcripts for this dissertation and other phenomenological studies on which I have worked.  The group has always been a place to seek support and thrash out ideas, and the willingness with which the members have done both is greatly appreciated.    </w:t>
      </w:r>
    </w:p>
    <w:p w:rsidR="00ED06A4" w:rsidRDefault="00ED06A4" w:rsidP="00ED06A4">
      <w:pPr>
        <w:spacing w:after="0" w:line="480" w:lineRule="auto"/>
      </w:pPr>
      <w:r>
        <w:tab/>
        <w:t>I would also like to thank the participants in this study.  They gave of their time and experiences so that others may benefit from their work – in life as in the classroom.  Their contributions are appreciated.</w:t>
      </w:r>
    </w:p>
    <w:p w:rsidR="00ED06A4" w:rsidRDefault="00ED06A4" w:rsidP="00ED06A4">
      <w:pPr>
        <w:spacing w:after="0" w:line="480" w:lineRule="auto"/>
      </w:pPr>
      <w:r>
        <w:tab/>
        <w:t xml:space="preserve">I would like to express my appreciation to my wife, Andrea, to whom this dissertation is dedicated, and without whose loving self-sacrifice I could not have completed this project.  I </w:t>
      </w:r>
      <w:r>
        <w:lastRenderedPageBreak/>
        <w:t>would also like to thank my parents, Wayne and Judy Mottern, for their encouragement and support over the years.  They instilled a love of learning and commitment to education in me from an early age.  Their frequent sacrifices over the years so that I could pursue my educational goals are acknowledged and appreciated.  The encouragement of my in-laws, Dr. James Baker and Dr. Kay Baker, is also appreciated.  I would also like to thank my supervisor, Connie Bartlett, at Knox County Sheriff’s Office-Community Alternatives to Prison Program, for her willingness to schedule my full-time employment duties around my academic schedule.  To my family and friends, I wish to express my thanks for your encouragement and assistance, all of which has helped me pursue this life goal.</w:t>
      </w:r>
      <w:r>
        <w:tab/>
      </w:r>
    </w:p>
    <w:p w:rsidR="00ED06A4" w:rsidRDefault="00ED06A4" w:rsidP="00ED06A4"/>
    <w:p w:rsidR="00ED06A4" w:rsidRDefault="00ED06A4" w:rsidP="00ED06A4"/>
    <w:p w:rsidR="00ED06A4" w:rsidRDefault="00ED06A4" w:rsidP="00ED06A4"/>
    <w:p w:rsidR="00ED06A4" w:rsidRDefault="00ED06A4" w:rsidP="00ED06A4">
      <w:pPr>
        <w:jc w:val="center"/>
      </w:pPr>
      <w:r>
        <w:br w:type="page"/>
      </w:r>
      <w:r>
        <w:lastRenderedPageBreak/>
        <w:t>Abstract</w:t>
      </w:r>
    </w:p>
    <w:p w:rsidR="00ED06A4" w:rsidRDefault="00ED06A4" w:rsidP="00ED06A4">
      <w:pPr>
        <w:spacing w:after="0" w:line="480" w:lineRule="auto"/>
      </w:pPr>
      <w:bookmarkStart w:id="0" w:name="_GoBack"/>
      <w:r>
        <w:t xml:space="preserve">This study examines the experiences of teachers working with court-mandated students in GED/ABE programs.  While there is a considerable body of literature on adult correctional education, this literature almost exclusively deals with teachers and students working within incarceration settings, where students are in jail or prison.  There is a lack of research on the experiences of teachers working with students who are a part of the correctional system but are placed within the community, i.e., students who are in community corrections programs such as probation and parole.  This study begins to fill that void in the research literature.  This research is phenomenological, using existential hermeneutic phenomenology as both a guiding philosophy and as a methodology, and is concerned with teachers’ experiences working with GED/ABE students in community corrections.  The phenomenological methodology follows that used by the University of Tennessee phenomenology group, led by Sandra Thomas and Howard </w:t>
      </w:r>
      <w:proofErr w:type="spellStart"/>
      <w:r>
        <w:t>Pollio</w:t>
      </w:r>
      <w:proofErr w:type="spellEnd"/>
      <w:r>
        <w:t>.  The findings of the study indicate a special relationship (</w:t>
      </w:r>
      <w:r w:rsidRPr="00B74988">
        <w:rPr>
          <w:i/>
        </w:rPr>
        <w:t>chiasm</w:t>
      </w:r>
      <w:r>
        <w:t xml:space="preserve">) between teachers and students as the ground with four themes, representing changes within the students, as experienced by the teachers, and changes within the teachers themselves.  A discussion of the significance of these findings for adult education and educational psychology, including implications for professional development within adult education and educational psychology, is included.   </w:t>
      </w:r>
    </w:p>
    <w:bookmarkEnd w:id="0"/>
    <w:p w:rsidR="00ED06A4" w:rsidRDefault="00ED06A4" w:rsidP="00ED06A4"/>
    <w:p w:rsidR="00ED06A4" w:rsidRDefault="00ED06A4" w:rsidP="00ED06A4"/>
    <w:p w:rsidR="00ED06A4" w:rsidRDefault="00ED06A4" w:rsidP="00ED06A4">
      <w:pPr>
        <w:jc w:val="center"/>
      </w:pPr>
      <w:r>
        <w:br w:type="page"/>
      </w:r>
      <w:r>
        <w:lastRenderedPageBreak/>
        <w:t>Table of Contents</w:t>
      </w:r>
    </w:p>
    <w:p w:rsidR="00ED06A4" w:rsidRDefault="0049635B" w:rsidP="00ED06A4">
      <w:pPr>
        <w:pStyle w:val="TOC1"/>
        <w:tabs>
          <w:tab w:val="right" w:leader="dot" w:pos="9350"/>
        </w:tabs>
        <w:rPr>
          <w:rFonts w:asciiTheme="minorHAnsi" w:eastAsiaTheme="minorEastAsia" w:hAnsiTheme="minorHAnsi" w:cstheme="minorBidi"/>
          <w:noProof/>
          <w:sz w:val="22"/>
        </w:rPr>
      </w:pPr>
      <w:r>
        <w:fldChar w:fldCharType="begin"/>
      </w:r>
      <w:r w:rsidR="00ED06A4">
        <w:instrText xml:space="preserve"> TOC \o "1-2" \h \z \u </w:instrText>
      </w:r>
      <w:r>
        <w:fldChar w:fldCharType="separate"/>
      </w:r>
      <w:hyperlink w:anchor="_Toc309015901" w:history="1">
        <w:r w:rsidR="00ED06A4" w:rsidRPr="00F311FE">
          <w:rPr>
            <w:rStyle w:val="Hyperlink"/>
            <w:noProof/>
          </w:rPr>
          <w:t>Chapter 1: Introduction</w:t>
        </w:r>
        <w:r w:rsidR="00ED06A4">
          <w:rPr>
            <w:noProof/>
            <w:webHidden/>
          </w:rPr>
          <w:tab/>
        </w:r>
        <w:r>
          <w:rPr>
            <w:noProof/>
            <w:webHidden/>
          </w:rPr>
          <w:fldChar w:fldCharType="begin"/>
        </w:r>
        <w:r w:rsidR="00ED06A4">
          <w:rPr>
            <w:noProof/>
            <w:webHidden/>
          </w:rPr>
          <w:instrText xml:space="preserve"> PAGEREF _Toc309015901 \h </w:instrText>
        </w:r>
        <w:r>
          <w:rPr>
            <w:noProof/>
            <w:webHidden/>
          </w:rPr>
        </w:r>
        <w:r>
          <w:rPr>
            <w:noProof/>
            <w:webHidden/>
          </w:rPr>
          <w:fldChar w:fldCharType="separate"/>
        </w:r>
        <w:r w:rsidR="00ED06A4">
          <w:rPr>
            <w:noProof/>
            <w:webHidden/>
          </w:rPr>
          <w:t>1</w:t>
        </w:r>
        <w:r>
          <w:rPr>
            <w:noProof/>
            <w:webHidden/>
          </w:rPr>
          <w:fldChar w:fldCharType="end"/>
        </w:r>
      </w:hyperlink>
    </w:p>
    <w:p w:rsidR="00ED06A4" w:rsidRDefault="0049635B" w:rsidP="00ED06A4">
      <w:pPr>
        <w:pStyle w:val="TOC2"/>
        <w:tabs>
          <w:tab w:val="right" w:leader="dot" w:pos="9350"/>
        </w:tabs>
        <w:rPr>
          <w:rFonts w:asciiTheme="minorHAnsi" w:eastAsiaTheme="minorEastAsia" w:hAnsiTheme="minorHAnsi" w:cstheme="minorBidi"/>
          <w:noProof/>
          <w:sz w:val="22"/>
        </w:rPr>
      </w:pPr>
      <w:hyperlink w:anchor="_Toc309015902" w:history="1">
        <w:r w:rsidR="00ED06A4" w:rsidRPr="00F311FE">
          <w:rPr>
            <w:rStyle w:val="Hyperlink"/>
            <w:noProof/>
          </w:rPr>
          <w:t>Statement of the Problem</w:t>
        </w:r>
        <w:r w:rsidR="00ED06A4">
          <w:rPr>
            <w:noProof/>
            <w:webHidden/>
          </w:rPr>
          <w:tab/>
        </w:r>
        <w:r>
          <w:rPr>
            <w:noProof/>
            <w:webHidden/>
          </w:rPr>
          <w:fldChar w:fldCharType="begin"/>
        </w:r>
        <w:r w:rsidR="00ED06A4">
          <w:rPr>
            <w:noProof/>
            <w:webHidden/>
          </w:rPr>
          <w:instrText xml:space="preserve"> PAGEREF _Toc309015902 \h </w:instrText>
        </w:r>
        <w:r>
          <w:rPr>
            <w:noProof/>
            <w:webHidden/>
          </w:rPr>
        </w:r>
        <w:r>
          <w:rPr>
            <w:noProof/>
            <w:webHidden/>
          </w:rPr>
          <w:fldChar w:fldCharType="separate"/>
        </w:r>
        <w:r w:rsidR="00ED06A4">
          <w:rPr>
            <w:noProof/>
            <w:webHidden/>
          </w:rPr>
          <w:t>5</w:t>
        </w:r>
        <w:r>
          <w:rPr>
            <w:noProof/>
            <w:webHidden/>
          </w:rPr>
          <w:fldChar w:fldCharType="end"/>
        </w:r>
      </w:hyperlink>
    </w:p>
    <w:p w:rsidR="00ED06A4" w:rsidRDefault="0049635B" w:rsidP="00ED06A4">
      <w:pPr>
        <w:pStyle w:val="TOC2"/>
        <w:tabs>
          <w:tab w:val="right" w:leader="dot" w:pos="9350"/>
        </w:tabs>
        <w:rPr>
          <w:rFonts w:asciiTheme="minorHAnsi" w:eastAsiaTheme="minorEastAsia" w:hAnsiTheme="minorHAnsi" w:cstheme="minorBidi"/>
          <w:noProof/>
          <w:sz w:val="22"/>
        </w:rPr>
      </w:pPr>
      <w:hyperlink w:anchor="_Toc309015903" w:history="1">
        <w:r w:rsidR="00ED06A4" w:rsidRPr="00F311FE">
          <w:rPr>
            <w:rStyle w:val="Hyperlink"/>
            <w:noProof/>
          </w:rPr>
          <w:t>Purpose and Research Question</w:t>
        </w:r>
        <w:r w:rsidR="00ED06A4">
          <w:rPr>
            <w:noProof/>
            <w:webHidden/>
          </w:rPr>
          <w:tab/>
        </w:r>
        <w:r>
          <w:rPr>
            <w:noProof/>
            <w:webHidden/>
          </w:rPr>
          <w:fldChar w:fldCharType="begin"/>
        </w:r>
        <w:r w:rsidR="00ED06A4">
          <w:rPr>
            <w:noProof/>
            <w:webHidden/>
          </w:rPr>
          <w:instrText xml:space="preserve"> PAGEREF _Toc309015903 \h </w:instrText>
        </w:r>
        <w:r>
          <w:rPr>
            <w:noProof/>
            <w:webHidden/>
          </w:rPr>
        </w:r>
        <w:r>
          <w:rPr>
            <w:noProof/>
            <w:webHidden/>
          </w:rPr>
          <w:fldChar w:fldCharType="separate"/>
        </w:r>
        <w:r w:rsidR="00ED06A4">
          <w:rPr>
            <w:noProof/>
            <w:webHidden/>
          </w:rPr>
          <w:t>5</w:t>
        </w:r>
        <w:r>
          <w:rPr>
            <w:noProof/>
            <w:webHidden/>
          </w:rPr>
          <w:fldChar w:fldCharType="end"/>
        </w:r>
      </w:hyperlink>
    </w:p>
    <w:p w:rsidR="00ED06A4" w:rsidRDefault="0049635B" w:rsidP="00ED06A4">
      <w:pPr>
        <w:pStyle w:val="TOC2"/>
        <w:tabs>
          <w:tab w:val="right" w:leader="dot" w:pos="9350"/>
        </w:tabs>
        <w:rPr>
          <w:rFonts w:asciiTheme="minorHAnsi" w:eastAsiaTheme="minorEastAsia" w:hAnsiTheme="minorHAnsi" w:cstheme="minorBidi"/>
          <w:noProof/>
          <w:sz w:val="22"/>
        </w:rPr>
      </w:pPr>
      <w:hyperlink w:anchor="_Toc309015904" w:history="1">
        <w:r w:rsidR="00ED06A4" w:rsidRPr="00F311FE">
          <w:rPr>
            <w:rStyle w:val="Hyperlink"/>
            <w:noProof/>
          </w:rPr>
          <w:t>Rationale for the Method of the Study</w:t>
        </w:r>
        <w:r w:rsidR="00ED06A4">
          <w:rPr>
            <w:noProof/>
            <w:webHidden/>
          </w:rPr>
          <w:tab/>
        </w:r>
        <w:r>
          <w:rPr>
            <w:noProof/>
            <w:webHidden/>
          </w:rPr>
          <w:fldChar w:fldCharType="begin"/>
        </w:r>
        <w:r w:rsidR="00ED06A4">
          <w:rPr>
            <w:noProof/>
            <w:webHidden/>
          </w:rPr>
          <w:instrText xml:space="preserve"> PAGEREF _Toc309015904 \h </w:instrText>
        </w:r>
        <w:r>
          <w:rPr>
            <w:noProof/>
            <w:webHidden/>
          </w:rPr>
        </w:r>
        <w:r>
          <w:rPr>
            <w:noProof/>
            <w:webHidden/>
          </w:rPr>
          <w:fldChar w:fldCharType="separate"/>
        </w:r>
        <w:r w:rsidR="00ED06A4">
          <w:rPr>
            <w:noProof/>
            <w:webHidden/>
          </w:rPr>
          <w:t>6</w:t>
        </w:r>
        <w:r>
          <w:rPr>
            <w:noProof/>
            <w:webHidden/>
          </w:rPr>
          <w:fldChar w:fldCharType="end"/>
        </w:r>
      </w:hyperlink>
    </w:p>
    <w:p w:rsidR="00ED06A4" w:rsidRDefault="0049635B" w:rsidP="00ED06A4">
      <w:pPr>
        <w:pStyle w:val="TOC2"/>
        <w:tabs>
          <w:tab w:val="right" w:leader="dot" w:pos="9350"/>
        </w:tabs>
        <w:rPr>
          <w:rFonts w:asciiTheme="minorHAnsi" w:eastAsiaTheme="minorEastAsia" w:hAnsiTheme="minorHAnsi" w:cstheme="minorBidi"/>
          <w:noProof/>
          <w:sz w:val="22"/>
        </w:rPr>
      </w:pPr>
      <w:hyperlink w:anchor="_Toc309015905" w:history="1">
        <w:r w:rsidR="00ED06A4" w:rsidRPr="00F311FE">
          <w:rPr>
            <w:rStyle w:val="Hyperlink"/>
            <w:noProof/>
          </w:rPr>
          <w:t>Potential Contributions of the Study</w:t>
        </w:r>
        <w:r w:rsidR="00ED06A4">
          <w:rPr>
            <w:noProof/>
            <w:webHidden/>
          </w:rPr>
          <w:tab/>
        </w:r>
        <w:r>
          <w:rPr>
            <w:noProof/>
            <w:webHidden/>
          </w:rPr>
          <w:fldChar w:fldCharType="begin"/>
        </w:r>
        <w:r w:rsidR="00ED06A4">
          <w:rPr>
            <w:noProof/>
            <w:webHidden/>
          </w:rPr>
          <w:instrText xml:space="preserve"> PAGEREF _Toc309015905 \h </w:instrText>
        </w:r>
        <w:r>
          <w:rPr>
            <w:noProof/>
            <w:webHidden/>
          </w:rPr>
        </w:r>
        <w:r>
          <w:rPr>
            <w:noProof/>
            <w:webHidden/>
          </w:rPr>
          <w:fldChar w:fldCharType="separate"/>
        </w:r>
        <w:r w:rsidR="00ED06A4">
          <w:rPr>
            <w:noProof/>
            <w:webHidden/>
          </w:rPr>
          <w:t>7</w:t>
        </w:r>
        <w:r>
          <w:rPr>
            <w:noProof/>
            <w:webHidden/>
          </w:rPr>
          <w:fldChar w:fldCharType="end"/>
        </w:r>
      </w:hyperlink>
    </w:p>
    <w:p w:rsidR="00ED06A4" w:rsidRDefault="0049635B" w:rsidP="00ED06A4">
      <w:pPr>
        <w:pStyle w:val="TOC2"/>
        <w:tabs>
          <w:tab w:val="right" w:leader="dot" w:pos="9350"/>
        </w:tabs>
        <w:rPr>
          <w:rFonts w:asciiTheme="minorHAnsi" w:eastAsiaTheme="minorEastAsia" w:hAnsiTheme="minorHAnsi" w:cstheme="minorBidi"/>
          <w:noProof/>
          <w:sz w:val="22"/>
        </w:rPr>
      </w:pPr>
      <w:hyperlink w:anchor="_Toc309015906" w:history="1">
        <w:r w:rsidR="00ED06A4" w:rsidRPr="00F311FE">
          <w:rPr>
            <w:rStyle w:val="Hyperlink"/>
            <w:noProof/>
          </w:rPr>
          <w:t>Limitations</w:t>
        </w:r>
        <w:r w:rsidR="00ED06A4">
          <w:rPr>
            <w:noProof/>
            <w:webHidden/>
          </w:rPr>
          <w:tab/>
        </w:r>
        <w:r>
          <w:rPr>
            <w:noProof/>
            <w:webHidden/>
          </w:rPr>
          <w:fldChar w:fldCharType="begin"/>
        </w:r>
        <w:r w:rsidR="00ED06A4">
          <w:rPr>
            <w:noProof/>
            <w:webHidden/>
          </w:rPr>
          <w:instrText xml:space="preserve"> PAGEREF _Toc309015906 \h </w:instrText>
        </w:r>
        <w:r>
          <w:rPr>
            <w:noProof/>
            <w:webHidden/>
          </w:rPr>
        </w:r>
        <w:r>
          <w:rPr>
            <w:noProof/>
            <w:webHidden/>
          </w:rPr>
          <w:fldChar w:fldCharType="separate"/>
        </w:r>
        <w:r w:rsidR="00ED06A4">
          <w:rPr>
            <w:noProof/>
            <w:webHidden/>
          </w:rPr>
          <w:t>7</w:t>
        </w:r>
        <w:r>
          <w:rPr>
            <w:noProof/>
            <w:webHidden/>
          </w:rPr>
          <w:fldChar w:fldCharType="end"/>
        </w:r>
      </w:hyperlink>
    </w:p>
    <w:p w:rsidR="00ED06A4" w:rsidRDefault="0049635B" w:rsidP="00ED06A4">
      <w:pPr>
        <w:pStyle w:val="TOC2"/>
        <w:tabs>
          <w:tab w:val="right" w:leader="dot" w:pos="9350"/>
        </w:tabs>
        <w:rPr>
          <w:rFonts w:asciiTheme="minorHAnsi" w:eastAsiaTheme="minorEastAsia" w:hAnsiTheme="minorHAnsi" w:cstheme="minorBidi"/>
          <w:noProof/>
          <w:sz w:val="22"/>
        </w:rPr>
      </w:pPr>
      <w:hyperlink w:anchor="_Toc309015907" w:history="1">
        <w:r w:rsidR="00ED06A4" w:rsidRPr="00F311FE">
          <w:rPr>
            <w:rStyle w:val="Hyperlink"/>
            <w:noProof/>
          </w:rPr>
          <w:t>Delimitations</w:t>
        </w:r>
        <w:r w:rsidR="00ED06A4">
          <w:rPr>
            <w:noProof/>
            <w:webHidden/>
          </w:rPr>
          <w:tab/>
        </w:r>
        <w:r>
          <w:rPr>
            <w:noProof/>
            <w:webHidden/>
          </w:rPr>
          <w:fldChar w:fldCharType="begin"/>
        </w:r>
        <w:r w:rsidR="00ED06A4">
          <w:rPr>
            <w:noProof/>
            <w:webHidden/>
          </w:rPr>
          <w:instrText xml:space="preserve"> PAGEREF _Toc309015907 \h </w:instrText>
        </w:r>
        <w:r>
          <w:rPr>
            <w:noProof/>
            <w:webHidden/>
          </w:rPr>
        </w:r>
        <w:r>
          <w:rPr>
            <w:noProof/>
            <w:webHidden/>
          </w:rPr>
          <w:fldChar w:fldCharType="separate"/>
        </w:r>
        <w:r w:rsidR="00ED06A4">
          <w:rPr>
            <w:noProof/>
            <w:webHidden/>
          </w:rPr>
          <w:t>8</w:t>
        </w:r>
        <w:r>
          <w:rPr>
            <w:noProof/>
            <w:webHidden/>
          </w:rPr>
          <w:fldChar w:fldCharType="end"/>
        </w:r>
      </w:hyperlink>
    </w:p>
    <w:p w:rsidR="00ED06A4" w:rsidRDefault="0049635B" w:rsidP="00ED06A4">
      <w:pPr>
        <w:pStyle w:val="TOC2"/>
        <w:tabs>
          <w:tab w:val="right" w:leader="dot" w:pos="9350"/>
        </w:tabs>
        <w:rPr>
          <w:rFonts w:asciiTheme="minorHAnsi" w:eastAsiaTheme="minorEastAsia" w:hAnsiTheme="minorHAnsi" w:cstheme="minorBidi"/>
          <w:noProof/>
          <w:sz w:val="22"/>
        </w:rPr>
      </w:pPr>
      <w:hyperlink w:anchor="_Toc309015908" w:history="1">
        <w:r w:rsidR="00ED06A4" w:rsidRPr="00F311FE">
          <w:rPr>
            <w:rStyle w:val="Hyperlink"/>
            <w:noProof/>
          </w:rPr>
          <w:t>Definitions</w:t>
        </w:r>
        <w:r w:rsidR="00ED06A4">
          <w:rPr>
            <w:noProof/>
            <w:webHidden/>
          </w:rPr>
          <w:tab/>
        </w:r>
        <w:r>
          <w:rPr>
            <w:noProof/>
            <w:webHidden/>
          </w:rPr>
          <w:fldChar w:fldCharType="begin"/>
        </w:r>
        <w:r w:rsidR="00ED06A4">
          <w:rPr>
            <w:noProof/>
            <w:webHidden/>
          </w:rPr>
          <w:instrText xml:space="preserve"> PAGEREF _Toc309015908 \h </w:instrText>
        </w:r>
        <w:r>
          <w:rPr>
            <w:noProof/>
            <w:webHidden/>
          </w:rPr>
        </w:r>
        <w:r>
          <w:rPr>
            <w:noProof/>
            <w:webHidden/>
          </w:rPr>
          <w:fldChar w:fldCharType="separate"/>
        </w:r>
        <w:r w:rsidR="00ED06A4">
          <w:rPr>
            <w:noProof/>
            <w:webHidden/>
          </w:rPr>
          <w:t>8</w:t>
        </w:r>
        <w:r>
          <w:rPr>
            <w:noProof/>
            <w:webHidden/>
          </w:rPr>
          <w:fldChar w:fldCharType="end"/>
        </w:r>
      </w:hyperlink>
    </w:p>
    <w:p w:rsidR="00ED06A4" w:rsidRDefault="0049635B" w:rsidP="00ED06A4">
      <w:pPr>
        <w:pStyle w:val="TOC1"/>
        <w:tabs>
          <w:tab w:val="right" w:leader="dot" w:pos="9350"/>
        </w:tabs>
        <w:rPr>
          <w:rFonts w:asciiTheme="minorHAnsi" w:eastAsiaTheme="minorEastAsia" w:hAnsiTheme="minorHAnsi" w:cstheme="minorBidi"/>
          <w:noProof/>
          <w:sz w:val="22"/>
        </w:rPr>
      </w:pPr>
      <w:hyperlink w:anchor="_Toc309015909" w:history="1">
        <w:r w:rsidR="00ED06A4" w:rsidRPr="00F311FE">
          <w:rPr>
            <w:rStyle w:val="Hyperlink"/>
            <w:noProof/>
          </w:rPr>
          <w:t>Chapter 2: Review of the Literature</w:t>
        </w:r>
        <w:r w:rsidR="00ED06A4">
          <w:rPr>
            <w:noProof/>
            <w:webHidden/>
          </w:rPr>
          <w:tab/>
        </w:r>
        <w:r>
          <w:rPr>
            <w:noProof/>
            <w:webHidden/>
          </w:rPr>
          <w:fldChar w:fldCharType="begin"/>
        </w:r>
        <w:r w:rsidR="00ED06A4">
          <w:rPr>
            <w:noProof/>
            <w:webHidden/>
          </w:rPr>
          <w:instrText xml:space="preserve"> PAGEREF _Toc309015909 \h </w:instrText>
        </w:r>
        <w:r>
          <w:rPr>
            <w:noProof/>
            <w:webHidden/>
          </w:rPr>
        </w:r>
        <w:r>
          <w:rPr>
            <w:noProof/>
            <w:webHidden/>
          </w:rPr>
          <w:fldChar w:fldCharType="separate"/>
        </w:r>
        <w:r w:rsidR="00ED06A4">
          <w:rPr>
            <w:noProof/>
            <w:webHidden/>
          </w:rPr>
          <w:t>13</w:t>
        </w:r>
        <w:r>
          <w:rPr>
            <w:noProof/>
            <w:webHidden/>
          </w:rPr>
          <w:fldChar w:fldCharType="end"/>
        </w:r>
      </w:hyperlink>
    </w:p>
    <w:p w:rsidR="00ED06A4" w:rsidRDefault="0049635B" w:rsidP="00ED06A4">
      <w:pPr>
        <w:pStyle w:val="TOC2"/>
        <w:tabs>
          <w:tab w:val="right" w:leader="dot" w:pos="9350"/>
        </w:tabs>
        <w:rPr>
          <w:rFonts w:asciiTheme="minorHAnsi" w:eastAsiaTheme="minorEastAsia" w:hAnsiTheme="minorHAnsi" w:cstheme="minorBidi"/>
          <w:noProof/>
          <w:sz w:val="22"/>
        </w:rPr>
      </w:pPr>
      <w:hyperlink w:anchor="_Toc309015910" w:history="1">
        <w:r w:rsidR="00ED06A4" w:rsidRPr="00F311FE">
          <w:rPr>
            <w:rStyle w:val="Hyperlink"/>
            <w:noProof/>
          </w:rPr>
          <w:t>The Setting</w:t>
        </w:r>
        <w:r w:rsidR="00ED06A4">
          <w:rPr>
            <w:noProof/>
            <w:webHidden/>
          </w:rPr>
          <w:tab/>
        </w:r>
        <w:r>
          <w:rPr>
            <w:noProof/>
            <w:webHidden/>
          </w:rPr>
          <w:fldChar w:fldCharType="begin"/>
        </w:r>
        <w:r w:rsidR="00ED06A4">
          <w:rPr>
            <w:noProof/>
            <w:webHidden/>
          </w:rPr>
          <w:instrText xml:space="preserve"> PAGEREF _Toc309015910 \h </w:instrText>
        </w:r>
        <w:r>
          <w:rPr>
            <w:noProof/>
            <w:webHidden/>
          </w:rPr>
        </w:r>
        <w:r>
          <w:rPr>
            <w:noProof/>
            <w:webHidden/>
          </w:rPr>
          <w:fldChar w:fldCharType="separate"/>
        </w:r>
        <w:r w:rsidR="00ED06A4">
          <w:rPr>
            <w:noProof/>
            <w:webHidden/>
          </w:rPr>
          <w:t>13</w:t>
        </w:r>
        <w:r>
          <w:rPr>
            <w:noProof/>
            <w:webHidden/>
          </w:rPr>
          <w:fldChar w:fldCharType="end"/>
        </w:r>
      </w:hyperlink>
    </w:p>
    <w:p w:rsidR="00ED06A4" w:rsidRDefault="0049635B" w:rsidP="00ED06A4">
      <w:pPr>
        <w:pStyle w:val="TOC2"/>
        <w:tabs>
          <w:tab w:val="right" w:leader="dot" w:pos="9350"/>
        </w:tabs>
        <w:rPr>
          <w:rFonts w:asciiTheme="minorHAnsi" w:eastAsiaTheme="minorEastAsia" w:hAnsiTheme="minorHAnsi" w:cstheme="minorBidi"/>
          <w:noProof/>
          <w:sz w:val="22"/>
        </w:rPr>
      </w:pPr>
      <w:hyperlink w:anchor="_Toc309015911" w:history="1">
        <w:r w:rsidR="00ED06A4" w:rsidRPr="00F311FE">
          <w:rPr>
            <w:rStyle w:val="Hyperlink"/>
            <w:noProof/>
          </w:rPr>
          <w:t>A Place in the Literature for This Research</w:t>
        </w:r>
        <w:r w:rsidR="00ED06A4">
          <w:rPr>
            <w:noProof/>
            <w:webHidden/>
          </w:rPr>
          <w:tab/>
        </w:r>
        <w:r>
          <w:rPr>
            <w:noProof/>
            <w:webHidden/>
          </w:rPr>
          <w:fldChar w:fldCharType="begin"/>
        </w:r>
        <w:r w:rsidR="00ED06A4">
          <w:rPr>
            <w:noProof/>
            <w:webHidden/>
          </w:rPr>
          <w:instrText xml:space="preserve"> PAGEREF _Toc309015911 \h </w:instrText>
        </w:r>
        <w:r>
          <w:rPr>
            <w:noProof/>
            <w:webHidden/>
          </w:rPr>
        </w:r>
        <w:r>
          <w:rPr>
            <w:noProof/>
            <w:webHidden/>
          </w:rPr>
          <w:fldChar w:fldCharType="separate"/>
        </w:r>
        <w:r w:rsidR="00ED06A4">
          <w:rPr>
            <w:noProof/>
            <w:webHidden/>
          </w:rPr>
          <w:t>28</w:t>
        </w:r>
        <w:r>
          <w:rPr>
            <w:noProof/>
            <w:webHidden/>
          </w:rPr>
          <w:fldChar w:fldCharType="end"/>
        </w:r>
      </w:hyperlink>
    </w:p>
    <w:p w:rsidR="00ED06A4" w:rsidRDefault="0049635B" w:rsidP="00ED06A4">
      <w:pPr>
        <w:pStyle w:val="TOC2"/>
        <w:tabs>
          <w:tab w:val="right" w:leader="dot" w:pos="9350"/>
        </w:tabs>
        <w:rPr>
          <w:rFonts w:asciiTheme="minorHAnsi" w:eastAsiaTheme="minorEastAsia" w:hAnsiTheme="minorHAnsi" w:cstheme="minorBidi"/>
          <w:noProof/>
          <w:sz w:val="22"/>
        </w:rPr>
      </w:pPr>
      <w:hyperlink w:anchor="_Toc309015912" w:history="1">
        <w:r w:rsidR="00ED06A4" w:rsidRPr="00F311FE">
          <w:rPr>
            <w:rStyle w:val="Hyperlink"/>
            <w:noProof/>
          </w:rPr>
          <w:t>Teacher Learning and Professional Development</w:t>
        </w:r>
        <w:r w:rsidR="00ED06A4">
          <w:rPr>
            <w:noProof/>
            <w:webHidden/>
          </w:rPr>
          <w:tab/>
        </w:r>
        <w:r>
          <w:rPr>
            <w:noProof/>
            <w:webHidden/>
          </w:rPr>
          <w:fldChar w:fldCharType="begin"/>
        </w:r>
        <w:r w:rsidR="00ED06A4">
          <w:rPr>
            <w:noProof/>
            <w:webHidden/>
          </w:rPr>
          <w:instrText xml:space="preserve"> PAGEREF _Toc309015912 \h </w:instrText>
        </w:r>
        <w:r>
          <w:rPr>
            <w:noProof/>
            <w:webHidden/>
          </w:rPr>
        </w:r>
        <w:r>
          <w:rPr>
            <w:noProof/>
            <w:webHidden/>
          </w:rPr>
          <w:fldChar w:fldCharType="separate"/>
        </w:r>
        <w:r w:rsidR="00ED06A4">
          <w:rPr>
            <w:noProof/>
            <w:webHidden/>
          </w:rPr>
          <w:t>29</w:t>
        </w:r>
        <w:r>
          <w:rPr>
            <w:noProof/>
            <w:webHidden/>
          </w:rPr>
          <w:fldChar w:fldCharType="end"/>
        </w:r>
      </w:hyperlink>
    </w:p>
    <w:p w:rsidR="00ED06A4" w:rsidRDefault="0049635B" w:rsidP="00ED06A4">
      <w:pPr>
        <w:pStyle w:val="TOC2"/>
        <w:tabs>
          <w:tab w:val="right" w:leader="dot" w:pos="9350"/>
        </w:tabs>
        <w:rPr>
          <w:rFonts w:asciiTheme="minorHAnsi" w:eastAsiaTheme="minorEastAsia" w:hAnsiTheme="minorHAnsi" w:cstheme="minorBidi"/>
          <w:noProof/>
          <w:sz w:val="22"/>
        </w:rPr>
      </w:pPr>
      <w:hyperlink w:anchor="_Toc309015913" w:history="1">
        <w:r w:rsidR="00ED06A4" w:rsidRPr="00F311FE">
          <w:rPr>
            <w:rStyle w:val="Hyperlink"/>
            <w:noProof/>
          </w:rPr>
          <w:t>Phenomenological Research in Adult Education</w:t>
        </w:r>
        <w:r w:rsidR="00ED06A4">
          <w:rPr>
            <w:noProof/>
            <w:webHidden/>
          </w:rPr>
          <w:tab/>
        </w:r>
        <w:r>
          <w:rPr>
            <w:noProof/>
            <w:webHidden/>
          </w:rPr>
          <w:fldChar w:fldCharType="begin"/>
        </w:r>
        <w:r w:rsidR="00ED06A4">
          <w:rPr>
            <w:noProof/>
            <w:webHidden/>
          </w:rPr>
          <w:instrText xml:space="preserve"> PAGEREF _Toc309015913 \h </w:instrText>
        </w:r>
        <w:r>
          <w:rPr>
            <w:noProof/>
            <w:webHidden/>
          </w:rPr>
        </w:r>
        <w:r>
          <w:rPr>
            <w:noProof/>
            <w:webHidden/>
          </w:rPr>
          <w:fldChar w:fldCharType="separate"/>
        </w:r>
        <w:r w:rsidR="00ED06A4">
          <w:rPr>
            <w:noProof/>
            <w:webHidden/>
          </w:rPr>
          <w:t>44</w:t>
        </w:r>
        <w:r>
          <w:rPr>
            <w:noProof/>
            <w:webHidden/>
          </w:rPr>
          <w:fldChar w:fldCharType="end"/>
        </w:r>
      </w:hyperlink>
    </w:p>
    <w:p w:rsidR="00ED06A4" w:rsidRDefault="0049635B" w:rsidP="00ED06A4">
      <w:pPr>
        <w:pStyle w:val="TOC1"/>
        <w:tabs>
          <w:tab w:val="right" w:leader="dot" w:pos="9350"/>
        </w:tabs>
        <w:rPr>
          <w:rFonts w:asciiTheme="minorHAnsi" w:eastAsiaTheme="minorEastAsia" w:hAnsiTheme="minorHAnsi" w:cstheme="minorBidi"/>
          <w:noProof/>
          <w:sz w:val="22"/>
        </w:rPr>
      </w:pPr>
      <w:hyperlink w:anchor="_Toc309015914" w:history="1">
        <w:r w:rsidR="00ED06A4" w:rsidRPr="00F311FE">
          <w:rPr>
            <w:rStyle w:val="Hyperlink"/>
            <w:noProof/>
          </w:rPr>
          <w:t>Chapter 3: Methodology</w:t>
        </w:r>
        <w:r w:rsidR="00ED06A4">
          <w:rPr>
            <w:noProof/>
            <w:webHidden/>
          </w:rPr>
          <w:tab/>
        </w:r>
        <w:r>
          <w:rPr>
            <w:noProof/>
            <w:webHidden/>
          </w:rPr>
          <w:fldChar w:fldCharType="begin"/>
        </w:r>
        <w:r w:rsidR="00ED06A4">
          <w:rPr>
            <w:noProof/>
            <w:webHidden/>
          </w:rPr>
          <w:instrText xml:space="preserve"> PAGEREF _Toc309015914 \h </w:instrText>
        </w:r>
        <w:r>
          <w:rPr>
            <w:noProof/>
            <w:webHidden/>
          </w:rPr>
        </w:r>
        <w:r>
          <w:rPr>
            <w:noProof/>
            <w:webHidden/>
          </w:rPr>
          <w:fldChar w:fldCharType="separate"/>
        </w:r>
        <w:r w:rsidR="00ED06A4">
          <w:rPr>
            <w:noProof/>
            <w:webHidden/>
          </w:rPr>
          <w:t>53</w:t>
        </w:r>
        <w:r>
          <w:rPr>
            <w:noProof/>
            <w:webHidden/>
          </w:rPr>
          <w:fldChar w:fldCharType="end"/>
        </w:r>
      </w:hyperlink>
    </w:p>
    <w:p w:rsidR="00ED06A4" w:rsidRDefault="0049635B" w:rsidP="00ED06A4">
      <w:pPr>
        <w:pStyle w:val="TOC2"/>
        <w:tabs>
          <w:tab w:val="right" w:leader="dot" w:pos="9350"/>
        </w:tabs>
        <w:rPr>
          <w:rFonts w:asciiTheme="minorHAnsi" w:eastAsiaTheme="minorEastAsia" w:hAnsiTheme="minorHAnsi" w:cstheme="minorBidi"/>
          <w:noProof/>
          <w:sz w:val="22"/>
        </w:rPr>
      </w:pPr>
      <w:hyperlink w:anchor="_Toc309015915" w:history="1">
        <w:r w:rsidR="00ED06A4" w:rsidRPr="00F311FE">
          <w:rPr>
            <w:rStyle w:val="Hyperlink"/>
            <w:noProof/>
          </w:rPr>
          <w:t>A Brief History of Phenomenology</w:t>
        </w:r>
        <w:r w:rsidR="00ED06A4">
          <w:rPr>
            <w:noProof/>
            <w:webHidden/>
          </w:rPr>
          <w:tab/>
        </w:r>
        <w:r>
          <w:rPr>
            <w:noProof/>
            <w:webHidden/>
          </w:rPr>
          <w:fldChar w:fldCharType="begin"/>
        </w:r>
        <w:r w:rsidR="00ED06A4">
          <w:rPr>
            <w:noProof/>
            <w:webHidden/>
          </w:rPr>
          <w:instrText xml:space="preserve"> PAGEREF _Toc309015915 \h </w:instrText>
        </w:r>
        <w:r>
          <w:rPr>
            <w:noProof/>
            <w:webHidden/>
          </w:rPr>
        </w:r>
        <w:r>
          <w:rPr>
            <w:noProof/>
            <w:webHidden/>
          </w:rPr>
          <w:fldChar w:fldCharType="separate"/>
        </w:r>
        <w:r w:rsidR="00ED06A4">
          <w:rPr>
            <w:noProof/>
            <w:webHidden/>
          </w:rPr>
          <w:t>53</w:t>
        </w:r>
        <w:r>
          <w:rPr>
            <w:noProof/>
            <w:webHidden/>
          </w:rPr>
          <w:fldChar w:fldCharType="end"/>
        </w:r>
      </w:hyperlink>
    </w:p>
    <w:p w:rsidR="00ED06A4" w:rsidRDefault="0049635B" w:rsidP="00ED06A4">
      <w:pPr>
        <w:pStyle w:val="TOC2"/>
        <w:tabs>
          <w:tab w:val="right" w:leader="dot" w:pos="9350"/>
        </w:tabs>
        <w:rPr>
          <w:rFonts w:asciiTheme="minorHAnsi" w:eastAsiaTheme="minorEastAsia" w:hAnsiTheme="minorHAnsi" w:cstheme="minorBidi"/>
          <w:noProof/>
          <w:sz w:val="22"/>
        </w:rPr>
      </w:pPr>
      <w:hyperlink w:anchor="_Toc309015916" w:history="1">
        <w:r w:rsidR="00ED06A4" w:rsidRPr="00F311FE">
          <w:rPr>
            <w:rStyle w:val="Hyperlink"/>
            <w:noProof/>
          </w:rPr>
          <w:t>Existentialism and Phenomenology in Education</w:t>
        </w:r>
        <w:r w:rsidR="00ED06A4">
          <w:rPr>
            <w:noProof/>
            <w:webHidden/>
          </w:rPr>
          <w:tab/>
        </w:r>
        <w:r>
          <w:rPr>
            <w:noProof/>
            <w:webHidden/>
          </w:rPr>
          <w:fldChar w:fldCharType="begin"/>
        </w:r>
        <w:r w:rsidR="00ED06A4">
          <w:rPr>
            <w:noProof/>
            <w:webHidden/>
          </w:rPr>
          <w:instrText xml:space="preserve"> PAGEREF _Toc309015916 \h </w:instrText>
        </w:r>
        <w:r>
          <w:rPr>
            <w:noProof/>
            <w:webHidden/>
          </w:rPr>
        </w:r>
        <w:r>
          <w:rPr>
            <w:noProof/>
            <w:webHidden/>
          </w:rPr>
          <w:fldChar w:fldCharType="separate"/>
        </w:r>
        <w:r w:rsidR="00ED06A4">
          <w:rPr>
            <w:noProof/>
            <w:webHidden/>
          </w:rPr>
          <w:t>68</w:t>
        </w:r>
        <w:r>
          <w:rPr>
            <w:noProof/>
            <w:webHidden/>
          </w:rPr>
          <w:fldChar w:fldCharType="end"/>
        </w:r>
      </w:hyperlink>
    </w:p>
    <w:p w:rsidR="00ED06A4" w:rsidRDefault="0049635B" w:rsidP="00ED06A4">
      <w:pPr>
        <w:pStyle w:val="TOC2"/>
        <w:tabs>
          <w:tab w:val="right" w:leader="dot" w:pos="9350"/>
        </w:tabs>
        <w:rPr>
          <w:rFonts w:asciiTheme="minorHAnsi" w:eastAsiaTheme="minorEastAsia" w:hAnsiTheme="minorHAnsi" w:cstheme="minorBidi"/>
          <w:noProof/>
          <w:sz w:val="22"/>
        </w:rPr>
      </w:pPr>
      <w:hyperlink w:anchor="_Toc309015917" w:history="1">
        <w:r w:rsidR="00ED06A4" w:rsidRPr="00F311FE">
          <w:rPr>
            <w:rStyle w:val="Hyperlink"/>
            <w:noProof/>
          </w:rPr>
          <w:t>A Phenomenological Method</w:t>
        </w:r>
        <w:r w:rsidR="00ED06A4">
          <w:rPr>
            <w:noProof/>
            <w:webHidden/>
          </w:rPr>
          <w:tab/>
        </w:r>
        <w:r>
          <w:rPr>
            <w:noProof/>
            <w:webHidden/>
          </w:rPr>
          <w:fldChar w:fldCharType="begin"/>
        </w:r>
        <w:r w:rsidR="00ED06A4">
          <w:rPr>
            <w:noProof/>
            <w:webHidden/>
          </w:rPr>
          <w:instrText xml:space="preserve"> PAGEREF _Toc309015917 \h </w:instrText>
        </w:r>
        <w:r>
          <w:rPr>
            <w:noProof/>
            <w:webHidden/>
          </w:rPr>
        </w:r>
        <w:r>
          <w:rPr>
            <w:noProof/>
            <w:webHidden/>
          </w:rPr>
          <w:fldChar w:fldCharType="separate"/>
        </w:r>
        <w:r w:rsidR="00ED06A4">
          <w:rPr>
            <w:noProof/>
            <w:webHidden/>
          </w:rPr>
          <w:t>71</w:t>
        </w:r>
        <w:r>
          <w:rPr>
            <w:noProof/>
            <w:webHidden/>
          </w:rPr>
          <w:fldChar w:fldCharType="end"/>
        </w:r>
      </w:hyperlink>
    </w:p>
    <w:p w:rsidR="00ED06A4" w:rsidRDefault="0049635B" w:rsidP="00ED06A4">
      <w:pPr>
        <w:pStyle w:val="TOC1"/>
        <w:tabs>
          <w:tab w:val="right" w:leader="dot" w:pos="9350"/>
        </w:tabs>
        <w:rPr>
          <w:rFonts w:asciiTheme="minorHAnsi" w:eastAsiaTheme="minorEastAsia" w:hAnsiTheme="minorHAnsi" w:cstheme="minorBidi"/>
          <w:noProof/>
          <w:sz w:val="22"/>
        </w:rPr>
      </w:pPr>
      <w:hyperlink w:anchor="_Toc309015918" w:history="1">
        <w:r w:rsidR="00ED06A4" w:rsidRPr="00F311FE">
          <w:rPr>
            <w:rStyle w:val="Hyperlink"/>
            <w:noProof/>
          </w:rPr>
          <w:t>Chapter 4: Findings</w:t>
        </w:r>
        <w:r w:rsidR="00ED06A4">
          <w:rPr>
            <w:noProof/>
            <w:webHidden/>
          </w:rPr>
          <w:tab/>
        </w:r>
        <w:r>
          <w:rPr>
            <w:noProof/>
            <w:webHidden/>
          </w:rPr>
          <w:fldChar w:fldCharType="begin"/>
        </w:r>
        <w:r w:rsidR="00ED06A4">
          <w:rPr>
            <w:noProof/>
            <w:webHidden/>
          </w:rPr>
          <w:instrText xml:space="preserve"> PAGEREF _Toc309015918 \h </w:instrText>
        </w:r>
        <w:r>
          <w:rPr>
            <w:noProof/>
            <w:webHidden/>
          </w:rPr>
        </w:r>
        <w:r>
          <w:rPr>
            <w:noProof/>
            <w:webHidden/>
          </w:rPr>
          <w:fldChar w:fldCharType="separate"/>
        </w:r>
        <w:r w:rsidR="00ED06A4">
          <w:rPr>
            <w:noProof/>
            <w:webHidden/>
          </w:rPr>
          <w:t>90</w:t>
        </w:r>
        <w:r>
          <w:rPr>
            <w:noProof/>
            <w:webHidden/>
          </w:rPr>
          <w:fldChar w:fldCharType="end"/>
        </w:r>
      </w:hyperlink>
    </w:p>
    <w:p w:rsidR="00ED06A4" w:rsidRDefault="0049635B" w:rsidP="00ED06A4">
      <w:pPr>
        <w:pStyle w:val="TOC2"/>
        <w:tabs>
          <w:tab w:val="right" w:leader="dot" w:pos="9350"/>
        </w:tabs>
        <w:rPr>
          <w:rFonts w:asciiTheme="minorHAnsi" w:eastAsiaTheme="minorEastAsia" w:hAnsiTheme="minorHAnsi" w:cstheme="minorBidi"/>
          <w:noProof/>
          <w:sz w:val="22"/>
        </w:rPr>
      </w:pPr>
      <w:hyperlink w:anchor="_Toc309015919" w:history="1">
        <w:r w:rsidR="00ED06A4" w:rsidRPr="00F311FE">
          <w:rPr>
            <w:rStyle w:val="Hyperlink"/>
            <w:noProof/>
          </w:rPr>
          <w:t>Thematic Structure</w:t>
        </w:r>
        <w:r w:rsidR="00ED06A4">
          <w:rPr>
            <w:noProof/>
            <w:webHidden/>
          </w:rPr>
          <w:tab/>
        </w:r>
        <w:r>
          <w:rPr>
            <w:noProof/>
            <w:webHidden/>
          </w:rPr>
          <w:fldChar w:fldCharType="begin"/>
        </w:r>
        <w:r w:rsidR="00ED06A4">
          <w:rPr>
            <w:noProof/>
            <w:webHidden/>
          </w:rPr>
          <w:instrText xml:space="preserve"> PAGEREF _Toc309015919 \h </w:instrText>
        </w:r>
        <w:r>
          <w:rPr>
            <w:noProof/>
            <w:webHidden/>
          </w:rPr>
        </w:r>
        <w:r>
          <w:rPr>
            <w:noProof/>
            <w:webHidden/>
          </w:rPr>
          <w:fldChar w:fldCharType="separate"/>
        </w:r>
        <w:r w:rsidR="00ED06A4">
          <w:rPr>
            <w:noProof/>
            <w:webHidden/>
          </w:rPr>
          <w:t>90</w:t>
        </w:r>
        <w:r>
          <w:rPr>
            <w:noProof/>
            <w:webHidden/>
          </w:rPr>
          <w:fldChar w:fldCharType="end"/>
        </w:r>
      </w:hyperlink>
    </w:p>
    <w:p w:rsidR="00ED06A4" w:rsidRDefault="0049635B" w:rsidP="00ED06A4">
      <w:pPr>
        <w:pStyle w:val="TOC2"/>
        <w:tabs>
          <w:tab w:val="right" w:leader="dot" w:pos="9350"/>
        </w:tabs>
        <w:rPr>
          <w:rFonts w:asciiTheme="minorHAnsi" w:eastAsiaTheme="minorEastAsia" w:hAnsiTheme="minorHAnsi" w:cstheme="minorBidi"/>
          <w:noProof/>
          <w:sz w:val="22"/>
        </w:rPr>
      </w:pPr>
      <w:hyperlink w:anchor="_Toc309015920" w:history="1">
        <w:r w:rsidR="00ED06A4" w:rsidRPr="00F311FE">
          <w:rPr>
            <w:rStyle w:val="Hyperlink"/>
            <w:noProof/>
          </w:rPr>
          <w:t>Contextual Ground and Themes</w:t>
        </w:r>
        <w:r w:rsidR="00ED06A4">
          <w:rPr>
            <w:noProof/>
            <w:webHidden/>
          </w:rPr>
          <w:tab/>
        </w:r>
        <w:r>
          <w:rPr>
            <w:noProof/>
            <w:webHidden/>
          </w:rPr>
          <w:fldChar w:fldCharType="begin"/>
        </w:r>
        <w:r w:rsidR="00ED06A4">
          <w:rPr>
            <w:noProof/>
            <w:webHidden/>
          </w:rPr>
          <w:instrText xml:space="preserve"> PAGEREF _Toc309015920 \h </w:instrText>
        </w:r>
        <w:r>
          <w:rPr>
            <w:noProof/>
            <w:webHidden/>
          </w:rPr>
        </w:r>
        <w:r>
          <w:rPr>
            <w:noProof/>
            <w:webHidden/>
          </w:rPr>
          <w:fldChar w:fldCharType="separate"/>
        </w:r>
        <w:r w:rsidR="00ED06A4">
          <w:rPr>
            <w:noProof/>
            <w:webHidden/>
          </w:rPr>
          <w:t>94</w:t>
        </w:r>
        <w:r>
          <w:rPr>
            <w:noProof/>
            <w:webHidden/>
          </w:rPr>
          <w:fldChar w:fldCharType="end"/>
        </w:r>
      </w:hyperlink>
    </w:p>
    <w:p w:rsidR="00ED06A4" w:rsidRDefault="0049635B" w:rsidP="00ED06A4">
      <w:pPr>
        <w:pStyle w:val="TOC1"/>
        <w:tabs>
          <w:tab w:val="right" w:leader="dot" w:pos="9350"/>
        </w:tabs>
        <w:rPr>
          <w:rFonts w:asciiTheme="minorHAnsi" w:eastAsiaTheme="minorEastAsia" w:hAnsiTheme="minorHAnsi" w:cstheme="minorBidi"/>
          <w:noProof/>
          <w:sz w:val="22"/>
        </w:rPr>
      </w:pPr>
      <w:hyperlink w:anchor="_Toc309015921" w:history="1">
        <w:r w:rsidR="00ED06A4" w:rsidRPr="00F311FE">
          <w:rPr>
            <w:rStyle w:val="Hyperlink"/>
            <w:noProof/>
          </w:rPr>
          <w:t>Chapter 5: Discussion</w:t>
        </w:r>
        <w:r w:rsidR="00ED06A4">
          <w:rPr>
            <w:noProof/>
            <w:webHidden/>
          </w:rPr>
          <w:tab/>
        </w:r>
        <w:r>
          <w:rPr>
            <w:noProof/>
            <w:webHidden/>
          </w:rPr>
          <w:fldChar w:fldCharType="begin"/>
        </w:r>
        <w:r w:rsidR="00ED06A4">
          <w:rPr>
            <w:noProof/>
            <w:webHidden/>
          </w:rPr>
          <w:instrText xml:space="preserve"> PAGEREF _Toc309015921 \h </w:instrText>
        </w:r>
        <w:r>
          <w:rPr>
            <w:noProof/>
            <w:webHidden/>
          </w:rPr>
        </w:r>
        <w:r>
          <w:rPr>
            <w:noProof/>
            <w:webHidden/>
          </w:rPr>
          <w:fldChar w:fldCharType="separate"/>
        </w:r>
        <w:r w:rsidR="00ED06A4">
          <w:rPr>
            <w:noProof/>
            <w:webHidden/>
          </w:rPr>
          <w:t>116</w:t>
        </w:r>
        <w:r>
          <w:rPr>
            <w:noProof/>
            <w:webHidden/>
          </w:rPr>
          <w:fldChar w:fldCharType="end"/>
        </w:r>
      </w:hyperlink>
    </w:p>
    <w:p w:rsidR="00ED06A4" w:rsidRDefault="0049635B" w:rsidP="00ED06A4">
      <w:pPr>
        <w:pStyle w:val="TOC2"/>
        <w:tabs>
          <w:tab w:val="right" w:leader="dot" w:pos="9350"/>
        </w:tabs>
        <w:rPr>
          <w:rFonts w:asciiTheme="minorHAnsi" w:eastAsiaTheme="minorEastAsia" w:hAnsiTheme="minorHAnsi" w:cstheme="minorBidi"/>
          <w:noProof/>
          <w:sz w:val="22"/>
        </w:rPr>
      </w:pPr>
      <w:hyperlink w:anchor="_Toc309015922" w:history="1">
        <w:r w:rsidR="00ED06A4" w:rsidRPr="00F311FE">
          <w:rPr>
            <w:rStyle w:val="Hyperlink"/>
            <w:noProof/>
          </w:rPr>
          <w:t>Implications for Theory and Practice</w:t>
        </w:r>
        <w:r w:rsidR="00ED06A4">
          <w:rPr>
            <w:noProof/>
            <w:webHidden/>
          </w:rPr>
          <w:tab/>
        </w:r>
        <w:r>
          <w:rPr>
            <w:noProof/>
            <w:webHidden/>
          </w:rPr>
          <w:fldChar w:fldCharType="begin"/>
        </w:r>
        <w:r w:rsidR="00ED06A4">
          <w:rPr>
            <w:noProof/>
            <w:webHidden/>
          </w:rPr>
          <w:instrText xml:space="preserve"> PAGEREF _Toc309015922 \h </w:instrText>
        </w:r>
        <w:r>
          <w:rPr>
            <w:noProof/>
            <w:webHidden/>
          </w:rPr>
        </w:r>
        <w:r>
          <w:rPr>
            <w:noProof/>
            <w:webHidden/>
          </w:rPr>
          <w:fldChar w:fldCharType="separate"/>
        </w:r>
        <w:r w:rsidR="00ED06A4">
          <w:rPr>
            <w:noProof/>
            <w:webHidden/>
          </w:rPr>
          <w:t>118</w:t>
        </w:r>
        <w:r>
          <w:rPr>
            <w:noProof/>
            <w:webHidden/>
          </w:rPr>
          <w:fldChar w:fldCharType="end"/>
        </w:r>
      </w:hyperlink>
    </w:p>
    <w:p w:rsidR="00ED06A4" w:rsidRDefault="0049635B" w:rsidP="00ED06A4">
      <w:pPr>
        <w:pStyle w:val="TOC1"/>
        <w:tabs>
          <w:tab w:val="right" w:leader="dot" w:pos="9350"/>
        </w:tabs>
        <w:rPr>
          <w:rFonts w:asciiTheme="minorHAnsi" w:eastAsiaTheme="minorEastAsia" w:hAnsiTheme="minorHAnsi" w:cstheme="minorBidi"/>
          <w:noProof/>
          <w:sz w:val="22"/>
        </w:rPr>
      </w:pPr>
      <w:hyperlink w:anchor="_Toc309015923" w:history="1">
        <w:r w:rsidR="00ED06A4" w:rsidRPr="00F311FE">
          <w:rPr>
            <w:rStyle w:val="Hyperlink"/>
            <w:noProof/>
          </w:rPr>
          <w:t>List of References</w:t>
        </w:r>
        <w:r w:rsidR="00ED06A4">
          <w:rPr>
            <w:noProof/>
            <w:webHidden/>
          </w:rPr>
          <w:tab/>
        </w:r>
        <w:r>
          <w:rPr>
            <w:noProof/>
            <w:webHidden/>
          </w:rPr>
          <w:fldChar w:fldCharType="begin"/>
        </w:r>
        <w:r w:rsidR="00ED06A4">
          <w:rPr>
            <w:noProof/>
            <w:webHidden/>
          </w:rPr>
          <w:instrText xml:space="preserve"> PAGEREF _Toc309015923 \h </w:instrText>
        </w:r>
        <w:r>
          <w:rPr>
            <w:noProof/>
            <w:webHidden/>
          </w:rPr>
        </w:r>
        <w:r>
          <w:rPr>
            <w:noProof/>
            <w:webHidden/>
          </w:rPr>
          <w:fldChar w:fldCharType="separate"/>
        </w:r>
        <w:r w:rsidR="00ED06A4">
          <w:rPr>
            <w:noProof/>
            <w:webHidden/>
          </w:rPr>
          <w:t>129</w:t>
        </w:r>
        <w:r>
          <w:rPr>
            <w:noProof/>
            <w:webHidden/>
          </w:rPr>
          <w:fldChar w:fldCharType="end"/>
        </w:r>
      </w:hyperlink>
    </w:p>
    <w:p w:rsidR="00ED06A4" w:rsidRDefault="0049635B" w:rsidP="00ED06A4">
      <w:pPr>
        <w:pStyle w:val="TOC1"/>
        <w:tabs>
          <w:tab w:val="right" w:leader="dot" w:pos="9350"/>
        </w:tabs>
        <w:rPr>
          <w:rFonts w:asciiTheme="minorHAnsi" w:eastAsiaTheme="minorEastAsia" w:hAnsiTheme="minorHAnsi" w:cstheme="minorBidi"/>
          <w:noProof/>
          <w:sz w:val="22"/>
        </w:rPr>
      </w:pPr>
      <w:hyperlink w:anchor="_Toc309015924" w:history="1">
        <w:r w:rsidR="00ED06A4" w:rsidRPr="00F311FE">
          <w:rPr>
            <w:rStyle w:val="Hyperlink"/>
            <w:noProof/>
          </w:rPr>
          <w:t>Appendix 1: Tables</w:t>
        </w:r>
        <w:r w:rsidR="00ED06A4">
          <w:rPr>
            <w:noProof/>
            <w:webHidden/>
          </w:rPr>
          <w:tab/>
        </w:r>
        <w:r>
          <w:rPr>
            <w:noProof/>
            <w:webHidden/>
          </w:rPr>
          <w:fldChar w:fldCharType="begin"/>
        </w:r>
        <w:r w:rsidR="00ED06A4">
          <w:rPr>
            <w:noProof/>
            <w:webHidden/>
          </w:rPr>
          <w:instrText xml:space="preserve"> PAGEREF _Toc309015924 \h </w:instrText>
        </w:r>
        <w:r>
          <w:rPr>
            <w:noProof/>
            <w:webHidden/>
          </w:rPr>
        </w:r>
        <w:r>
          <w:rPr>
            <w:noProof/>
            <w:webHidden/>
          </w:rPr>
          <w:fldChar w:fldCharType="separate"/>
        </w:r>
        <w:r w:rsidR="00ED06A4">
          <w:rPr>
            <w:noProof/>
            <w:webHidden/>
          </w:rPr>
          <w:t>156</w:t>
        </w:r>
        <w:r>
          <w:rPr>
            <w:noProof/>
            <w:webHidden/>
          </w:rPr>
          <w:fldChar w:fldCharType="end"/>
        </w:r>
      </w:hyperlink>
    </w:p>
    <w:p w:rsidR="00ED06A4" w:rsidRDefault="0049635B" w:rsidP="00ED06A4">
      <w:pPr>
        <w:pStyle w:val="TOC1"/>
        <w:tabs>
          <w:tab w:val="right" w:leader="dot" w:pos="9350"/>
        </w:tabs>
        <w:rPr>
          <w:rFonts w:asciiTheme="minorHAnsi" w:eastAsiaTheme="minorEastAsia" w:hAnsiTheme="minorHAnsi" w:cstheme="minorBidi"/>
          <w:noProof/>
          <w:sz w:val="22"/>
        </w:rPr>
      </w:pPr>
      <w:hyperlink w:anchor="_Toc309015925" w:history="1">
        <w:r w:rsidR="00ED06A4" w:rsidRPr="00F311FE">
          <w:rPr>
            <w:rStyle w:val="Hyperlink"/>
            <w:noProof/>
          </w:rPr>
          <w:t>Appendix 2: Figures</w:t>
        </w:r>
        <w:r w:rsidR="00ED06A4">
          <w:rPr>
            <w:noProof/>
            <w:webHidden/>
          </w:rPr>
          <w:tab/>
        </w:r>
        <w:r>
          <w:rPr>
            <w:noProof/>
            <w:webHidden/>
          </w:rPr>
          <w:fldChar w:fldCharType="begin"/>
        </w:r>
        <w:r w:rsidR="00ED06A4">
          <w:rPr>
            <w:noProof/>
            <w:webHidden/>
          </w:rPr>
          <w:instrText xml:space="preserve"> PAGEREF _Toc309015925 \h </w:instrText>
        </w:r>
        <w:r>
          <w:rPr>
            <w:noProof/>
            <w:webHidden/>
          </w:rPr>
        </w:r>
        <w:r>
          <w:rPr>
            <w:noProof/>
            <w:webHidden/>
          </w:rPr>
          <w:fldChar w:fldCharType="separate"/>
        </w:r>
        <w:r w:rsidR="00ED06A4">
          <w:rPr>
            <w:noProof/>
            <w:webHidden/>
          </w:rPr>
          <w:t>160</w:t>
        </w:r>
        <w:r>
          <w:rPr>
            <w:noProof/>
            <w:webHidden/>
          </w:rPr>
          <w:fldChar w:fldCharType="end"/>
        </w:r>
      </w:hyperlink>
    </w:p>
    <w:p w:rsidR="00ED06A4" w:rsidRDefault="0049635B" w:rsidP="00ED06A4">
      <w:pPr>
        <w:pStyle w:val="TOC1"/>
        <w:tabs>
          <w:tab w:val="right" w:leader="dot" w:pos="9350"/>
        </w:tabs>
        <w:rPr>
          <w:rFonts w:asciiTheme="minorHAnsi" w:eastAsiaTheme="minorEastAsia" w:hAnsiTheme="minorHAnsi" w:cstheme="minorBidi"/>
          <w:noProof/>
          <w:sz w:val="22"/>
        </w:rPr>
      </w:pPr>
      <w:hyperlink w:anchor="_Toc309015926" w:history="1">
        <w:r w:rsidR="00ED06A4" w:rsidRPr="00F311FE">
          <w:rPr>
            <w:rStyle w:val="Hyperlink"/>
            <w:noProof/>
          </w:rPr>
          <w:t>Appendix 3</w:t>
        </w:r>
        <w:r w:rsidR="00ED06A4">
          <w:rPr>
            <w:noProof/>
            <w:webHidden/>
          </w:rPr>
          <w:tab/>
        </w:r>
        <w:r>
          <w:rPr>
            <w:noProof/>
            <w:webHidden/>
          </w:rPr>
          <w:fldChar w:fldCharType="begin"/>
        </w:r>
        <w:r w:rsidR="00ED06A4">
          <w:rPr>
            <w:noProof/>
            <w:webHidden/>
          </w:rPr>
          <w:instrText xml:space="preserve"> PAGEREF _Toc309015926 \h </w:instrText>
        </w:r>
        <w:r>
          <w:rPr>
            <w:noProof/>
            <w:webHidden/>
          </w:rPr>
        </w:r>
        <w:r>
          <w:rPr>
            <w:noProof/>
            <w:webHidden/>
          </w:rPr>
          <w:fldChar w:fldCharType="separate"/>
        </w:r>
        <w:r w:rsidR="00ED06A4">
          <w:rPr>
            <w:noProof/>
            <w:webHidden/>
          </w:rPr>
          <w:t>167</w:t>
        </w:r>
        <w:r>
          <w:rPr>
            <w:noProof/>
            <w:webHidden/>
          </w:rPr>
          <w:fldChar w:fldCharType="end"/>
        </w:r>
      </w:hyperlink>
    </w:p>
    <w:p w:rsidR="00ED06A4" w:rsidRDefault="0049635B" w:rsidP="00ED06A4">
      <w:pPr>
        <w:pStyle w:val="TOC1"/>
        <w:tabs>
          <w:tab w:val="right" w:leader="dot" w:pos="9350"/>
        </w:tabs>
        <w:rPr>
          <w:rFonts w:asciiTheme="minorHAnsi" w:eastAsiaTheme="minorEastAsia" w:hAnsiTheme="minorHAnsi" w:cstheme="minorBidi"/>
          <w:noProof/>
          <w:sz w:val="22"/>
        </w:rPr>
      </w:pPr>
      <w:hyperlink w:anchor="_Toc309015927" w:history="1">
        <w:r w:rsidR="00ED06A4" w:rsidRPr="00F311FE">
          <w:rPr>
            <w:rStyle w:val="Hyperlink"/>
            <w:noProof/>
          </w:rPr>
          <w:t>Vita</w:t>
        </w:r>
        <w:r w:rsidR="00ED06A4">
          <w:rPr>
            <w:noProof/>
            <w:webHidden/>
          </w:rPr>
          <w:tab/>
        </w:r>
        <w:r>
          <w:rPr>
            <w:noProof/>
            <w:webHidden/>
          </w:rPr>
          <w:fldChar w:fldCharType="begin"/>
        </w:r>
        <w:r w:rsidR="00ED06A4">
          <w:rPr>
            <w:noProof/>
            <w:webHidden/>
          </w:rPr>
          <w:instrText xml:space="preserve"> PAGEREF _Toc309015927 \h </w:instrText>
        </w:r>
        <w:r>
          <w:rPr>
            <w:noProof/>
            <w:webHidden/>
          </w:rPr>
        </w:r>
        <w:r>
          <w:rPr>
            <w:noProof/>
            <w:webHidden/>
          </w:rPr>
          <w:fldChar w:fldCharType="separate"/>
        </w:r>
        <w:r w:rsidR="00ED06A4">
          <w:rPr>
            <w:noProof/>
            <w:webHidden/>
          </w:rPr>
          <w:t>171</w:t>
        </w:r>
        <w:r>
          <w:rPr>
            <w:noProof/>
            <w:webHidden/>
          </w:rPr>
          <w:fldChar w:fldCharType="end"/>
        </w:r>
      </w:hyperlink>
    </w:p>
    <w:p w:rsidR="00ED06A4" w:rsidRDefault="0049635B" w:rsidP="00ED06A4">
      <w:r>
        <w:fldChar w:fldCharType="end"/>
      </w:r>
    </w:p>
    <w:p w:rsidR="00ED06A4" w:rsidRDefault="00ED06A4" w:rsidP="00ED06A4"/>
    <w:p w:rsidR="00ED06A4" w:rsidRDefault="00ED06A4" w:rsidP="00ED06A4">
      <w:pPr>
        <w:jc w:val="center"/>
        <w:rPr>
          <w:b/>
        </w:rPr>
      </w:pPr>
      <w:r>
        <w:br w:type="page"/>
      </w:r>
      <w:r>
        <w:rPr>
          <w:b/>
        </w:rPr>
        <w:lastRenderedPageBreak/>
        <w:t>List of Figures</w:t>
      </w:r>
    </w:p>
    <w:p w:rsidR="00ED06A4" w:rsidRDefault="0049635B" w:rsidP="00ED06A4">
      <w:pPr>
        <w:pStyle w:val="TableofFigures"/>
        <w:tabs>
          <w:tab w:val="right" w:leader="dot" w:pos="9350"/>
        </w:tabs>
        <w:rPr>
          <w:rStyle w:val="Hyperlink"/>
          <w:noProof/>
        </w:rPr>
      </w:pPr>
      <w:r w:rsidRPr="0049635B">
        <w:fldChar w:fldCharType="begin"/>
      </w:r>
      <w:r w:rsidR="00ED06A4">
        <w:instrText xml:space="preserve"> TOC \h \z \c "Figure" </w:instrText>
      </w:r>
      <w:r w:rsidRPr="0049635B">
        <w:fldChar w:fldCharType="separate"/>
      </w:r>
      <w:hyperlink w:anchor="_Toc306024292" w:history="1">
        <w:r w:rsidR="00ED06A4">
          <w:rPr>
            <w:rStyle w:val="Hyperlink"/>
            <w:noProof/>
          </w:rPr>
          <w:t>Figure 1. The Spiral of Generalizability</w:t>
        </w:r>
        <w:r w:rsidR="00ED06A4">
          <w:rPr>
            <w:noProof/>
            <w:webHidden/>
          </w:rPr>
          <w:tab/>
        </w:r>
        <w:r>
          <w:rPr>
            <w:noProof/>
            <w:webHidden/>
          </w:rPr>
          <w:fldChar w:fldCharType="begin"/>
        </w:r>
        <w:r w:rsidR="00ED06A4">
          <w:rPr>
            <w:noProof/>
            <w:webHidden/>
          </w:rPr>
          <w:instrText xml:space="preserve"> PAGEREF _Toc306024292 \h </w:instrText>
        </w:r>
        <w:r>
          <w:rPr>
            <w:noProof/>
            <w:webHidden/>
          </w:rPr>
        </w:r>
        <w:r>
          <w:rPr>
            <w:noProof/>
            <w:webHidden/>
          </w:rPr>
          <w:fldChar w:fldCharType="separate"/>
        </w:r>
        <w:r w:rsidR="00ED06A4">
          <w:rPr>
            <w:noProof/>
            <w:webHidden/>
          </w:rPr>
          <w:t>161</w:t>
        </w:r>
        <w:r>
          <w:rPr>
            <w:noProof/>
            <w:webHidden/>
          </w:rPr>
          <w:fldChar w:fldCharType="end"/>
        </w:r>
      </w:hyperlink>
    </w:p>
    <w:p w:rsidR="00ED06A4" w:rsidRDefault="00ED06A4" w:rsidP="00ED06A4">
      <w:pPr>
        <w:pStyle w:val="Caption"/>
        <w:tabs>
          <w:tab w:val="right" w:leader="dot" w:pos="9360"/>
        </w:tabs>
        <w:spacing w:after="0"/>
        <w:rPr>
          <w:noProof/>
        </w:rPr>
      </w:pPr>
      <w:r>
        <w:rPr>
          <w:noProof/>
        </w:rPr>
        <w:t>Figure 2. The Hypnodisk of Hermeneutics</w:t>
      </w:r>
      <w:r>
        <w:rPr>
          <w:noProof/>
        </w:rPr>
        <w:tab/>
        <w:t>162</w:t>
      </w:r>
    </w:p>
    <w:p w:rsidR="00ED06A4" w:rsidRDefault="0049635B" w:rsidP="00ED06A4">
      <w:pPr>
        <w:pStyle w:val="TableofFigures"/>
        <w:tabs>
          <w:tab w:val="right" w:leader="dot" w:pos="9350"/>
        </w:tabs>
        <w:rPr>
          <w:rFonts w:ascii="Calibri" w:eastAsia="Times New Roman" w:hAnsi="Calibri"/>
          <w:noProof/>
          <w:sz w:val="22"/>
        </w:rPr>
      </w:pPr>
      <w:hyperlink w:anchor="_Toc306024293" w:history="1">
        <w:r w:rsidR="00ED06A4">
          <w:rPr>
            <w:rStyle w:val="Hyperlink"/>
            <w:noProof/>
          </w:rPr>
          <w:t>Figure 3. Rubin Vase</w:t>
        </w:r>
        <w:r w:rsidR="00ED06A4">
          <w:rPr>
            <w:noProof/>
            <w:webHidden/>
          </w:rPr>
          <w:tab/>
        </w:r>
        <w:r>
          <w:rPr>
            <w:noProof/>
            <w:webHidden/>
          </w:rPr>
          <w:fldChar w:fldCharType="begin"/>
        </w:r>
        <w:r w:rsidR="00ED06A4">
          <w:rPr>
            <w:noProof/>
            <w:webHidden/>
          </w:rPr>
          <w:instrText xml:space="preserve"> PAGEREF _Toc306024293 \h </w:instrText>
        </w:r>
        <w:r>
          <w:rPr>
            <w:noProof/>
            <w:webHidden/>
          </w:rPr>
        </w:r>
        <w:r>
          <w:rPr>
            <w:noProof/>
            <w:webHidden/>
          </w:rPr>
          <w:fldChar w:fldCharType="separate"/>
        </w:r>
        <w:r w:rsidR="00ED06A4">
          <w:rPr>
            <w:noProof/>
            <w:webHidden/>
          </w:rPr>
          <w:t>163</w:t>
        </w:r>
        <w:r>
          <w:rPr>
            <w:noProof/>
            <w:webHidden/>
          </w:rPr>
          <w:fldChar w:fldCharType="end"/>
        </w:r>
      </w:hyperlink>
    </w:p>
    <w:p w:rsidR="00ED06A4" w:rsidRDefault="0049635B" w:rsidP="00ED06A4">
      <w:pPr>
        <w:pStyle w:val="TableofFigures"/>
        <w:tabs>
          <w:tab w:val="right" w:leader="dot" w:pos="9350"/>
        </w:tabs>
        <w:rPr>
          <w:rFonts w:ascii="Calibri" w:eastAsia="Times New Roman" w:hAnsi="Calibri"/>
          <w:noProof/>
          <w:sz w:val="22"/>
        </w:rPr>
      </w:pPr>
      <w:hyperlink w:anchor="_Toc306024294" w:history="1">
        <w:r w:rsidR="00ED06A4">
          <w:rPr>
            <w:rStyle w:val="Hyperlink"/>
            <w:noProof/>
          </w:rPr>
          <w:t>Figure 4. Condwiramurs</w:t>
        </w:r>
        <w:r w:rsidR="00ED06A4">
          <w:rPr>
            <w:noProof/>
            <w:webHidden/>
          </w:rPr>
          <w:tab/>
        </w:r>
        <w:r>
          <w:rPr>
            <w:noProof/>
            <w:webHidden/>
          </w:rPr>
          <w:fldChar w:fldCharType="begin"/>
        </w:r>
        <w:r w:rsidR="00ED06A4">
          <w:rPr>
            <w:noProof/>
            <w:webHidden/>
          </w:rPr>
          <w:instrText xml:space="preserve"> PAGEREF _Toc306024294 \h </w:instrText>
        </w:r>
        <w:r>
          <w:rPr>
            <w:noProof/>
            <w:webHidden/>
          </w:rPr>
        </w:r>
        <w:r>
          <w:rPr>
            <w:noProof/>
            <w:webHidden/>
          </w:rPr>
          <w:fldChar w:fldCharType="separate"/>
        </w:r>
        <w:r w:rsidR="00ED06A4">
          <w:rPr>
            <w:noProof/>
            <w:webHidden/>
          </w:rPr>
          <w:t>164</w:t>
        </w:r>
        <w:r>
          <w:rPr>
            <w:noProof/>
            <w:webHidden/>
          </w:rPr>
          <w:fldChar w:fldCharType="end"/>
        </w:r>
      </w:hyperlink>
    </w:p>
    <w:p w:rsidR="00ED06A4" w:rsidRPr="00D02108" w:rsidRDefault="0049635B" w:rsidP="00ED06A4">
      <w:pPr>
        <w:pStyle w:val="TableofFigures"/>
        <w:tabs>
          <w:tab w:val="right" w:leader="dot" w:pos="9350"/>
        </w:tabs>
        <w:rPr>
          <w:rFonts w:ascii="Calibri" w:eastAsia="Times New Roman" w:hAnsi="Calibri"/>
          <w:noProof/>
          <w:sz w:val="22"/>
        </w:rPr>
      </w:pPr>
      <w:hyperlink w:anchor="_Toc306024295" w:history="1">
        <w:r w:rsidR="00ED06A4">
          <w:rPr>
            <w:rStyle w:val="Hyperlink"/>
            <w:noProof/>
          </w:rPr>
          <w:t>Figure</w:t>
        </w:r>
      </w:hyperlink>
      <w:r w:rsidR="00ED06A4">
        <w:rPr>
          <w:rStyle w:val="Hyperlink"/>
          <w:noProof/>
        </w:rPr>
        <w:t xml:space="preserve"> </w:t>
      </w:r>
      <w:r w:rsidR="00ED06A4" w:rsidRPr="00D02108">
        <w:rPr>
          <w:rStyle w:val="Hyperlink"/>
          <w:noProof/>
          <w:color w:val="auto"/>
          <w:u w:val="none"/>
        </w:rPr>
        <w:t>5. The Phenomenological Method</w:t>
      </w:r>
      <w:r w:rsidR="00ED06A4" w:rsidRPr="007979FA">
        <w:rPr>
          <w:rStyle w:val="Hyperlink"/>
          <w:noProof/>
          <w:color w:val="auto"/>
          <w:sz w:val="20"/>
          <w:szCs w:val="20"/>
          <w:u w:val="none"/>
        </w:rPr>
        <w:t>………………………………</w:t>
      </w:r>
      <w:r w:rsidR="00ED06A4">
        <w:rPr>
          <w:rStyle w:val="Hyperlink"/>
          <w:noProof/>
          <w:color w:val="auto"/>
          <w:sz w:val="20"/>
          <w:szCs w:val="20"/>
          <w:u w:val="none"/>
        </w:rPr>
        <w:t>…………</w:t>
      </w:r>
      <w:r w:rsidR="00ED06A4" w:rsidRPr="007979FA">
        <w:rPr>
          <w:rStyle w:val="Hyperlink"/>
          <w:noProof/>
          <w:color w:val="auto"/>
          <w:sz w:val="20"/>
          <w:szCs w:val="20"/>
          <w:u w:val="none"/>
        </w:rPr>
        <w:t>………………………</w:t>
      </w:r>
      <w:r w:rsidR="00ED06A4" w:rsidRPr="00D02108">
        <w:rPr>
          <w:rStyle w:val="Hyperlink"/>
          <w:noProof/>
          <w:color w:val="auto"/>
          <w:u w:val="none"/>
        </w:rPr>
        <w:t>165</w:t>
      </w:r>
    </w:p>
    <w:p w:rsidR="00ED06A4" w:rsidRDefault="0049635B" w:rsidP="00ED06A4">
      <w:pPr>
        <w:pStyle w:val="Caption"/>
        <w:tabs>
          <w:tab w:val="right" w:leader="dot" w:pos="9360"/>
        </w:tabs>
      </w:pPr>
      <w:r>
        <w:fldChar w:fldCharType="end"/>
      </w:r>
      <w:proofErr w:type="gramStart"/>
      <w:r w:rsidR="00ED06A4">
        <w:t>Figure 6.</w:t>
      </w:r>
      <w:proofErr w:type="gramEnd"/>
      <w:r w:rsidR="00ED06A4">
        <w:t xml:space="preserve"> Thematic Structure</w:t>
      </w:r>
      <w:r w:rsidR="00ED06A4">
        <w:tab/>
        <w:t>166</w:t>
      </w:r>
    </w:p>
    <w:p w:rsidR="00ED06A4" w:rsidRDefault="00ED06A4" w:rsidP="00ED06A4"/>
    <w:p w:rsidR="00ED06A4" w:rsidRDefault="00ED06A4" w:rsidP="00ED06A4"/>
    <w:p w:rsidR="00ED06A4" w:rsidRDefault="00ED06A4" w:rsidP="00ED06A4"/>
    <w:p w:rsidR="00ED06A4" w:rsidRDefault="00ED06A4" w:rsidP="00ED06A4"/>
    <w:p w:rsidR="00ED06A4" w:rsidRDefault="00ED06A4" w:rsidP="00ED06A4">
      <w:pPr>
        <w:sectPr w:rsidR="00ED06A4">
          <w:pgSz w:w="12240" w:h="15840"/>
          <w:pgMar w:top="1440" w:right="1440" w:bottom="1440" w:left="1440" w:header="1440" w:footer="720" w:gutter="0"/>
          <w:pgNumType w:fmt="lowerRoman" w:start="1"/>
          <w:cols w:space="720"/>
          <w:titlePg/>
          <w:docGrid w:linePitch="360"/>
        </w:sectPr>
      </w:pPr>
    </w:p>
    <w:p w:rsidR="00ED06A4" w:rsidRDefault="00ED06A4" w:rsidP="00ED06A4">
      <w:pPr>
        <w:pStyle w:val="Heading1"/>
        <w:keepNext w:val="0"/>
      </w:pPr>
      <w:bookmarkStart w:id="1" w:name="_Toc309015901"/>
      <w:r>
        <w:lastRenderedPageBreak/>
        <w:t>Chapter 1: Introduction</w:t>
      </w:r>
      <w:bookmarkEnd w:id="1"/>
    </w:p>
    <w:p w:rsidR="00ED06A4" w:rsidRDefault="00ED06A4" w:rsidP="00ED06A4">
      <w:pPr>
        <w:spacing w:after="0" w:line="480" w:lineRule="auto"/>
        <w:ind w:firstLine="720"/>
        <w:rPr>
          <w:szCs w:val="24"/>
        </w:rPr>
      </w:pPr>
      <w:r>
        <w:rPr>
          <w:szCs w:val="24"/>
        </w:rPr>
        <w:t xml:space="preserve">I was sitting at the rickety wooden desk grading a social studies test of a student who was leaning back in a chair and staring at the water-stained ceiling tiles. Besides the student who was waiting on his social studies test, there were four other students in the classroom. Two were working on math, one of them struggling with the intricacies of geometry word problems while the other was working on how to do percentages. Another student was working on the reading section of language arts, and the last student was furiously erasing a large section of handwritten text from the notebook paper where she was constructing an essay for a language arts writing practice exam. </w:t>
      </w:r>
    </w:p>
    <w:p w:rsidR="00ED06A4" w:rsidRDefault="00ED06A4" w:rsidP="00ED06A4">
      <w:pPr>
        <w:spacing w:after="0" w:line="480" w:lineRule="auto"/>
        <w:ind w:firstLine="720"/>
        <w:rPr>
          <w:szCs w:val="24"/>
        </w:rPr>
      </w:pPr>
      <w:r>
        <w:rPr>
          <w:szCs w:val="24"/>
        </w:rPr>
        <w:t xml:space="preserve">The office phone rang, and the receptionist out front told me that a Mary Smith was on the line. The name vaguely sounded familiar. The phone rang back. </w:t>
      </w:r>
    </w:p>
    <w:p w:rsidR="00ED06A4" w:rsidRDefault="00ED06A4" w:rsidP="00ED06A4">
      <w:pPr>
        <w:spacing w:after="0" w:line="480" w:lineRule="auto"/>
        <w:ind w:firstLine="720"/>
        <w:rPr>
          <w:szCs w:val="24"/>
        </w:rPr>
      </w:pPr>
      <w:r>
        <w:rPr>
          <w:szCs w:val="24"/>
        </w:rPr>
        <w:t xml:space="preserve">“This is Ron,” I said. </w:t>
      </w:r>
    </w:p>
    <w:p w:rsidR="00ED06A4" w:rsidRDefault="00ED06A4" w:rsidP="00ED06A4">
      <w:pPr>
        <w:spacing w:after="0" w:line="480" w:lineRule="auto"/>
        <w:ind w:firstLine="720"/>
        <w:rPr>
          <w:szCs w:val="24"/>
        </w:rPr>
      </w:pPr>
      <w:r>
        <w:rPr>
          <w:szCs w:val="24"/>
        </w:rPr>
        <w:t>“Ron, this is Mary Smith,” said the voice on the other end, and I began to put the voice and name together. Mary was a young woman who had been court-ordered to the intensive residential treatment facility where I taught educational classes. Because she did not have her high school diploma, she was told by her probation officer that she must work on her General Educational Development (GED) while she was in treatment. Mary had passed all of her subject tests except for math while at the facility. She had completed her treatment program, and I had not seen her since her departure several months earlier. The educational program at the treatment facility was only for clients within the program.</w:t>
      </w:r>
    </w:p>
    <w:p w:rsidR="00ED06A4" w:rsidRDefault="00ED06A4" w:rsidP="00ED06A4">
      <w:pPr>
        <w:spacing w:after="0" w:line="480" w:lineRule="auto"/>
        <w:ind w:firstLine="720"/>
        <w:rPr>
          <w:szCs w:val="24"/>
        </w:rPr>
      </w:pPr>
      <w:r>
        <w:rPr>
          <w:szCs w:val="24"/>
        </w:rPr>
        <w:t>“I used to be one of your GED students,” she said.</w:t>
      </w:r>
    </w:p>
    <w:p w:rsidR="00ED06A4" w:rsidRDefault="00ED06A4" w:rsidP="00ED06A4">
      <w:pPr>
        <w:spacing w:after="0" w:line="480" w:lineRule="auto"/>
        <w:ind w:firstLine="720"/>
        <w:rPr>
          <w:szCs w:val="24"/>
        </w:rPr>
      </w:pPr>
      <w:r>
        <w:rPr>
          <w:szCs w:val="24"/>
        </w:rPr>
        <w:t>“Yes, Mary,” I replied. “I remember who you are. How are things going for you? How are your daughters,” I asked, as I recalled that she had two small children.</w:t>
      </w:r>
    </w:p>
    <w:p w:rsidR="00ED06A4" w:rsidRDefault="00ED06A4" w:rsidP="00ED06A4">
      <w:pPr>
        <w:spacing w:after="0" w:line="480" w:lineRule="auto"/>
        <w:ind w:firstLine="720"/>
        <w:rPr>
          <w:szCs w:val="24"/>
        </w:rPr>
      </w:pPr>
      <w:r>
        <w:rPr>
          <w:szCs w:val="24"/>
        </w:rPr>
        <w:lastRenderedPageBreak/>
        <w:t>“They’re okay. I got my GED. I just wanted to call and tell you that I passed my math and I got my GED. That’s all. I got my GED.”</w:t>
      </w:r>
    </w:p>
    <w:p w:rsidR="00ED06A4" w:rsidRDefault="00ED06A4" w:rsidP="00ED06A4">
      <w:pPr>
        <w:spacing w:after="0" w:line="480" w:lineRule="auto"/>
        <w:ind w:firstLine="720"/>
        <w:rPr>
          <w:szCs w:val="24"/>
        </w:rPr>
      </w:pPr>
      <w:r>
        <w:rPr>
          <w:szCs w:val="24"/>
        </w:rPr>
        <w:t xml:space="preserve">Even though Mary had left the treatment facility several months earlier and continued on with her life, she felt some need to call and let me know that she had received her GED diploma. Even though it was unlikely that I would ever see her again, and it was obvious that she was somewhat taken aback when I remembered who she was, the relationship that had developed between teacher and student was such that she wanted to call back and let me know that she had accomplished what we had worked to achieve during her time at the facility. And, of course, I </w:t>
      </w:r>
      <w:r>
        <w:rPr>
          <w:i/>
          <w:szCs w:val="24"/>
        </w:rPr>
        <w:t>had</w:t>
      </w:r>
      <w:r>
        <w:rPr>
          <w:szCs w:val="24"/>
        </w:rPr>
        <w:t xml:space="preserve"> remembered who she was. </w:t>
      </w:r>
    </w:p>
    <w:p w:rsidR="00ED06A4" w:rsidRDefault="00ED06A4" w:rsidP="00ED06A4">
      <w:pPr>
        <w:spacing w:after="0" w:line="480" w:lineRule="auto"/>
        <w:ind w:firstLine="720"/>
        <w:rPr>
          <w:szCs w:val="24"/>
        </w:rPr>
      </w:pPr>
      <w:r>
        <w:rPr>
          <w:szCs w:val="24"/>
        </w:rPr>
        <w:t xml:space="preserve">This relationship that develops in the classroom is what I call the “educational alliance,” so named because it resembles the therapeutic alliance that develops in therapy and is one of the most important parts of the therapeutic relationship. Likewise, the relationship that develops between teachers and students within community corrections educational programs is one of the most important parts of the educational alliance, and that relationship helps to define teachers’ experiences working with students mandated to attend educational classes. </w:t>
      </w:r>
    </w:p>
    <w:p w:rsidR="00ED06A4" w:rsidRDefault="00ED06A4" w:rsidP="00ED06A4">
      <w:pPr>
        <w:spacing w:after="0" w:line="480" w:lineRule="auto"/>
        <w:ind w:firstLine="720"/>
      </w:pPr>
      <w:r>
        <w:t xml:space="preserve"> “Mandated,” in this study, means that students have been told that they must attend educational classes, either GED or ABE, through some aspect of therapeutic jurisprudence, which is a judicial referral for treatment from the courts or the officers or agents of the courts, including community corrections, probation and parole. The precise wording of the directive and from where the directive comes will vary according to the correctional program. In a previous study of the students (Davis, Mottern, &amp; Ziegler, 2010), the term “coerced” was used in place of “mandated,” but with the same meaning. The educational literature, which is silent on this subject in general, is not accustomed to words like “coerced” in education. However, the term is </w:t>
      </w:r>
      <w:r>
        <w:lastRenderedPageBreak/>
        <w:t xml:space="preserve">commonly used in the field of correctional education, which is somehow seen as divorced from the usual field of adult educational studies to the extent that it is not even mentioned in the current edition of the </w:t>
      </w:r>
      <w:r>
        <w:rPr>
          <w:i/>
        </w:rPr>
        <w:t>Handbook of Adult and Continuing Education</w:t>
      </w:r>
      <w:r>
        <w:t xml:space="preserve"> (2010).  </w:t>
      </w:r>
    </w:p>
    <w:p w:rsidR="00ED06A4" w:rsidRDefault="00ED06A4" w:rsidP="00ED06A4">
      <w:pPr>
        <w:spacing w:after="0" w:line="480" w:lineRule="auto"/>
        <w:ind w:firstLine="720"/>
      </w:pPr>
      <w:r>
        <w:t xml:space="preserve">Because the terminology is commonly used within corrections, however, does not mean it is standard outside of the correctional community. The language surrounding the topic can be quite confusing for those unfamiliar with correctional studies. </w:t>
      </w:r>
      <w:proofErr w:type="spellStart"/>
      <w:r>
        <w:t>Farabee</w:t>
      </w:r>
      <w:proofErr w:type="spellEnd"/>
      <w:r>
        <w:t xml:space="preserve">, Prendergast and </w:t>
      </w:r>
      <w:proofErr w:type="spellStart"/>
      <w:r>
        <w:t>Anglin</w:t>
      </w:r>
      <w:proofErr w:type="spellEnd"/>
      <w:r>
        <w:t xml:space="preserve"> (1998) pointed out that the terminology related to corrections treatment (of which educational programming is a part) is inconsistent in application. The term “coercion” may be used synonymously with “involuntary” or “mandated” </w:t>
      </w:r>
      <w:proofErr w:type="gramStart"/>
      <w:r>
        <w:t>(</w:t>
      </w:r>
      <w:proofErr w:type="spellStart"/>
      <w:r>
        <w:t>Farabee</w:t>
      </w:r>
      <w:proofErr w:type="spellEnd"/>
      <w:r>
        <w:t xml:space="preserve"> et al., 1998),</w:t>
      </w:r>
      <w:proofErr w:type="gramEnd"/>
      <w:r>
        <w:t xml:space="preserve"> and the concept may include a variety of meanings, from coercion caused by social pressures within familial structures to placement through some legal involvement (</w:t>
      </w:r>
      <w:proofErr w:type="spellStart"/>
      <w:r>
        <w:t>Longshore</w:t>
      </w:r>
      <w:proofErr w:type="spellEnd"/>
      <w:r>
        <w:t xml:space="preserve">, Prendergast, &amp; </w:t>
      </w:r>
      <w:proofErr w:type="spellStart"/>
      <w:r>
        <w:t>Farabee</w:t>
      </w:r>
      <w:proofErr w:type="spellEnd"/>
      <w:r>
        <w:t xml:space="preserve">, 2004; Casey &amp; </w:t>
      </w:r>
      <w:proofErr w:type="spellStart"/>
      <w:r>
        <w:t>Rottman</w:t>
      </w:r>
      <w:proofErr w:type="spellEnd"/>
      <w:r>
        <w:t xml:space="preserve"> 2000; </w:t>
      </w:r>
      <w:proofErr w:type="spellStart"/>
      <w:r>
        <w:t>Seddon</w:t>
      </w:r>
      <w:proofErr w:type="spellEnd"/>
      <w:r>
        <w:t xml:space="preserve">, 2007; Wild, Newton-Taylor, &amp; </w:t>
      </w:r>
      <w:proofErr w:type="spellStart"/>
      <w:r>
        <w:t>Alletto</w:t>
      </w:r>
      <w:proofErr w:type="spellEnd"/>
      <w:r>
        <w:t>, 1998). The term “legal coercion” (</w:t>
      </w:r>
      <w:proofErr w:type="spellStart"/>
      <w:r>
        <w:t>Klag</w:t>
      </w:r>
      <w:proofErr w:type="spellEnd"/>
      <w:r>
        <w:t xml:space="preserve">, O’Callaghan, &amp; Creed, 2005) is often used to distinguish it from the coercion that occurs through normal social relationships and structures. This is often still insufficient, as legal coercion may include placement in educational programs through direct order of a judge or at the discretion of a community corrections officer (including probation and parole).  </w:t>
      </w:r>
    </w:p>
    <w:p w:rsidR="00ED06A4" w:rsidRDefault="00ED06A4" w:rsidP="00ED06A4">
      <w:pPr>
        <w:spacing w:after="0" w:line="480" w:lineRule="auto"/>
        <w:ind w:firstLine="720"/>
      </w:pPr>
      <w:r>
        <w:t xml:space="preserve">The current study, as noted above, will use the term “mandated” to mean that students have been told they must attend educational classes, often with the admonition that they will receive negative consequences for not attending classes. This mandate originates from some aspect of therapeutic jurisprudence. The court order sentencing the student to community corrections may directly contain the order to attend educational classes. The mandate may also come from a community corrections officer under whose supervision the student has been </w:t>
      </w:r>
      <w:r>
        <w:lastRenderedPageBreak/>
        <w:t xml:space="preserve">placed. The mandate may also come from a referring agency to which the student has been sent for assessment of some type. I typically ask questions about educational attainment of clients who are sent to my office for alcohol and drug assessments because educational programs are part of the services my agency </w:t>
      </w:r>
      <w:proofErr w:type="gramStart"/>
      <w:r>
        <w:t>provides</w:t>
      </w:r>
      <w:proofErr w:type="gramEnd"/>
      <w:r>
        <w:t xml:space="preserve"> for community corrections clients. If clients do not have a high school diploma or GED, then I make a recommendation that they be required to work on their educational studies. A client’s probation or parole officer may then include the educational recommendation in the client’s supervision plan. Similar recommendations may be made by other individuals providing assessment services either within or without corrections and will be considered by community corrections officers in formulating case management plans for clients. </w:t>
      </w:r>
    </w:p>
    <w:p w:rsidR="00ED06A4" w:rsidRDefault="00ED06A4" w:rsidP="00ED06A4">
      <w:pPr>
        <w:spacing w:after="0" w:line="480" w:lineRule="auto"/>
        <w:ind w:firstLine="720"/>
      </w:pPr>
      <w:r>
        <w:t>With the rise of constructivism as an educational paradigm and the idea that students are not simply receptacles of knowledge but creators and/or co-creators of it, educational research in correctional settings has moved to focus on students’ experiences (Duffy &amp; Cunningham, 1996). The pendulum has swung from a previously predominant focus on teachers (Board of Managers of the State of New York, 1892, in Eggleston, 1991) and the practice of teaching in correctional settings to students and their experiences of learning in correctional settings. This study hopes to move the pendulum back toward the center. Students are co-creators of knowledge, with the emphasis being on the designation “co-.” Another factor in the creation of learning is the teacher, another co-creator. While studies examining social constructivist learning methods with incarcerated students have been conducted (</w:t>
      </w:r>
      <w:proofErr w:type="spellStart"/>
      <w:r>
        <w:t>Muth</w:t>
      </w:r>
      <w:proofErr w:type="spellEnd"/>
      <w:r>
        <w:t xml:space="preserve">, 2008; </w:t>
      </w:r>
      <w:proofErr w:type="spellStart"/>
      <w:r>
        <w:t>Muth</w:t>
      </w:r>
      <w:proofErr w:type="spellEnd"/>
      <w:r>
        <w:t xml:space="preserve"> &amp; Kiser, 2008), these studies are situated within correctional intuitions and primarily deal with institutional constraints, constraints that are not relevant in community-based education programs. </w:t>
      </w:r>
    </w:p>
    <w:p w:rsidR="00ED06A4" w:rsidRDefault="00ED06A4" w:rsidP="00ED06A4">
      <w:pPr>
        <w:pStyle w:val="Heading2"/>
      </w:pPr>
      <w:r>
        <w:lastRenderedPageBreak/>
        <w:t xml:space="preserve">  </w:t>
      </w:r>
      <w:bookmarkStart w:id="2" w:name="_Toc309015902"/>
      <w:r>
        <w:t>Statement of the Problem</w:t>
      </w:r>
      <w:bookmarkEnd w:id="2"/>
    </w:p>
    <w:p w:rsidR="00ED06A4" w:rsidRDefault="00ED06A4" w:rsidP="00ED06A4">
      <w:pPr>
        <w:spacing w:after="0" w:line="480" w:lineRule="auto"/>
        <w:ind w:firstLine="720"/>
      </w:pPr>
      <w:r>
        <w:t>This study is designed to begin filling a void in the research literature on the experience of GED/ABE teachers working with adult students in community corrections programs who are mandated to attend education programs. While some research has been undertaken regarding students’ experiences with education while incarcerated (</w:t>
      </w:r>
      <w:proofErr w:type="spellStart"/>
      <w:r>
        <w:t>Batchelder</w:t>
      </w:r>
      <w:proofErr w:type="spellEnd"/>
      <w:r>
        <w:t xml:space="preserve"> &amp; </w:t>
      </w:r>
      <w:proofErr w:type="spellStart"/>
      <w:r>
        <w:t>Rachal</w:t>
      </w:r>
      <w:proofErr w:type="spellEnd"/>
      <w:r>
        <w:t xml:space="preserve">, 2000; </w:t>
      </w:r>
      <w:proofErr w:type="spellStart"/>
      <w:r>
        <w:t>Boshler</w:t>
      </w:r>
      <w:proofErr w:type="spellEnd"/>
      <w:r>
        <w:t xml:space="preserve">, 1983; Clements &amp; McKee, 2000; Gee, 2006; </w:t>
      </w:r>
      <w:proofErr w:type="spellStart"/>
      <w:r>
        <w:t>Mageehon</w:t>
      </w:r>
      <w:proofErr w:type="spellEnd"/>
      <w:r>
        <w:t xml:space="preserve">, 2003; Moeller, Day, &amp; Rivera, 2004; </w:t>
      </w:r>
      <w:proofErr w:type="spellStart"/>
      <w:r>
        <w:t>Montross</w:t>
      </w:r>
      <w:proofErr w:type="spellEnd"/>
      <w:r>
        <w:t xml:space="preserve"> &amp; </w:t>
      </w:r>
      <w:proofErr w:type="spellStart"/>
      <w:r>
        <w:t>Montross</w:t>
      </w:r>
      <w:proofErr w:type="spellEnd"/>
      <w:r>
        <w:t xml:space="preserve">, 1997; Parsons &amp; </w:t>
      </w:r>
      <w:proofErr w:type="spellStart"/>
      <w:r>
        <w:t>Langenbach</w:t>
      </w:r>
      <w:proofErr w:type="spellEnd"/>
      <w:r>
        <w:t xml:space="preserve">, 1993; Rose, 2004; Schlesinger, 2005, Wright, 2005) and with teachers’ experiences working with incarcerated students (Adams, 1970; Edwards-Willey &amp; </w:t>
      </w:r>
      <w:proofErr w:type="spellStart"/>
      <w:r>
        <w:t>Chivers</w:t>
      </w:r>
      <w:proofErr w:type="spellEnd"/>
      <w:r>
        <w:t xml:space="preserve">, 2005; Fox, 1991; </w:t>
      </w:r>
      <w:proofErr w:type="spellStart"/>
      <w:r>
        <w:t>Kratcoski</w:t>
      </w:r>
      <w:proofErr w:type="spellEnd"/>
      <w:r>
        <w:t xml:space="preserve">, 1982; </w:t>
      </w:r>
      <w:proofErr w:type="spellStart"/>
      <w:r>
        <w:t>Mearns</w:t>
      </w:r>
      <w:proofErr w:type="spellEnd"/>
      <w:r>
        <w:t>, 1997; Wright, 2005), there is no outstanding research on teachers’ experiences working with students in community corrections programs who are mandated to attend educational classes. Empirical findings are, therefore, unavailable to guide instructional practice, program design or policy.</w:t>
      </w:r>
    </w:p>
    <w:p w:rsidR="00ED06A4" w:rsidRDefault="00ED06A4" w:rsidP="00ED06A4">
      <w:pPr>
        <w:pStyle w:val="Heading2"/>
      </w:pPr>
      <w:bookmarkStart w:id="3" w:name="_Toc309015903"/>
      <w:r>
        <w:t>Purpose and Research Question</w:t>
      </w:r>
      <w:bookmarkEnd w:id="3"/>
    </w:p>
    <w:p w:rsidR="00ED06A4" w:rsidRDefault="00ED06A4" w:rsidP="00ED06A4">
      <w:pPr>
        <w:spacing w:after="0" w:line="480" w:lineRule="auto"/>
      </w:pPr>
      <w:r>
        <w:tab/>
        <w:t xml:space="preserve">The purpose of this study is to examine the experience of GED/ABE teachers who work with adult students in community corrections programs who are mandated to attend educational classes. This means that the students have been referred to educational classes through the process of therapeutic jurisprudence and are living in a community setting. Students are not incarcerated. The specific research question addressed in this study is about the experience of GED/ABE teachers working with court-mandated students. The phenomenon under consideration is the teachers’ experiences working with this special population who are attending classes under a mandate from corrections, and this question directly asks teachers about that experience.  The research question is, “What is the experience of GED/ABE teachers working with court-mandated students in community corrections programs?” </w:t>
      </w:r>
    </w:p>
    <w:p w:rsidR="00ED06A4" w:rsidRDefault="00ED06A4" w:rsidP="00ED06A4">
      <w:pPr>
        <w:pStyle w:val="Heading2"/>
      </w:pPr>
      <w:r>
        <w:lastRenderedPageBreak/>
        <w:t xml:space="preserve"> </w:t>
      </w:r>
      <w:bookmarkStart w:id="4" w:name="_Toc309015904"/>
      <w:r>
        <w:t>Rationale for the Method of the Study</w:t>
      </w:r>
      <w:bookmarkEnd w:id="4"/>
    </w:p>
    <w:p w:rsidR="00ED06A4" w:rsidRDefault="00ED06A4" w:rsidP="00ED06A4">
      <w:pPr>
        <w:spacing w:after="0" w:line="480" w:lineRule="auto"/>
      </w:pPr>
      <w:r>
        <w:tab/>
        <w:t xml:space="preserve">As evidenced by the general lack of studies on the subject of teachers’ experiences in the area of community corrections, research on this topic is warranted in order to fill that gap in the literature. The gap in literature on community corrections populations that does not exist in literature on incarcerated populations may exist for several reasons.  </w:t>
      </w:r>
      <w:proofErr w:type="gramStart"/>
      <w:r>
        <w:t>Research in prisons deals with, literally, captive populations that are relatively stable.</w:t>
      </w:r>
      <w:proofErr w:type="gramEnd"/>
      <w:r>
        <w:t xml:space="preserve">  While prisoners may move between various housing units, they are still contained within the prison itself, and their locations are tracked and known at all times.  In community corrections, a researcher does not usually know where participants are at any given time.  Participants in community corrections programs may miss an interview appointment, and researchers may receive no notice that the participant will not attend or why the appointment was missed and may then have to try and reschedule the interview.  Prison inmates receive the benefit of getting to spend time out of their pod (housing unit), a privilege in incarcerated settings that offers a benefit for prisoners.  </w:t>
      </w:r>
      <w:r w:rsidRPr="00502EEE">
        <w:t>Participants from the community must take time out of their normal schedule to meet with researchers.</w:t>
      </w:r>
      <w:r>
        <w:t xml:space="preserve">  This may be seen as a burden, even though participants initially volunteer for the research.  </w:t>
      </w:r>
      <w:proofErr w:type="gramStart"/>
      <w:r>
        <w:t>Given the relative ease of interviewing participants in prisons and the obstacles that may be encountered when interviewing community corrections participants, researchers may choose the convenience of research in a prison setting rather than the troubles that can be encountered in community settings.</w:t>
      </w:r>
      <w:proofErr w:type="gramEnd"/>
      <w:r>
        <w:t xml:space="preserve">  </w:t>
      </w:r>
    </w:p>
    <w:p w:rsidR="00ED06A4" w:rsidRDefault="00ED06A4" w:rsidP="00ED06A4">
      <w:pPr>
        <w:spacing w:after="0" w:line="480" w:lineRule="auto"/>
        <w:ind w:firstLine="720"/>
      </w:pPr>
      <w:r>
        <w:t xml:space="preserve">Phenomenology was chosen as a method for this research study because phenomenology is about the study of essence through lived experience, and teachers’ experiences are the focus of this research. The existential hermeneutic phenomenology of </w:t>
      </w:r>
      <w:proofErr w:type="spellStart"/>
      <w:r>
        <w:t>Merleau-Ponty</w:t>
      </w:r>
      <w:proofErr w:type="spellEnd"/>
      <w:r>
        <w:t xml:space="preserve"> was chosen because that this method helps us come closest to understanding lived experience and essence; both </w:t>
      </w:r>
      <w:r>
        <w:lastRenderedPageBreak/>
        <w:t xml:space="preserve">concepts will be explained in Chapter 3. This lived experience is formed by our acting upon the world and being acted upon by the world, an experience dealt with by </w:t>
      </w:r>
      <w:proofErr w:type="spellStart"/>
      <w:r>
        <w:t>Merleau-Ponty</w:t>
      </w:r>
      <w:proofErr w:type="spellEnd"/>
      <w:r>
        <w:t xml:space="preserve"> in his ideas about chiasm. The method used by Thomas and </w:t>
      </w:r>
      <w:proofErr w:type="spellStart"/>
      <w:r>
        <w:t>Pollio</w:t>
      </w:r>
      <w:proofErr w:type="spellEnd"/>
      <w:r>
        <w:t xml:space="preserve"> (2002) at the University of Tennessee is based in the philosophy of </w:t>
      </w:r>
      <w:proofErr w:type="spellStart"/>
      <w:r>
        <w:t>Merleau-Ponty</w:t>
      </w:r>
      <w:proofErr w:type="spellEnd"/>
      <w:r>
        <w:t xml:space="preserve"> and, therefore, presents itself as an appropriate method for pursuing the study of existential hermeneutic phenomenology. </w:t>
      </w:r>
    </w:p>
    <w:p w:rsidR="00ED06A4" w:rsidRDefault="00ED06A4" w:rsidP="00ED06A4">
      <w:pPr>
        <w:pStyle w:val="Heading2"/>
      </w:pPr>
      <w:bookmarkStart w:id="5" w:name="_Toc309015905"/>
      <w:r>
        <w:t>Potential Contributions of the Study</w:t>
      </w:r>
      <w:bookmarkEnd w:id="5"/>
    </w:p>
    <w:p w:rsidR="00ED06A4" w:rsidRDefault="00ED06A4" w:rsidP="00ED06A4">
      <w:pPr>
        <w:spacing w:after="0" w:line="480" w:lineRule="auto"/>
      </w:pPr>
      <w:r>
        <w:tab/>
        <w:t>This research can add to the understanding of the field of adult education in several ways: as a contribution to the literature about adult education teachers’ experiences working with correctional students in community corrections educational programs; as a phenomenological study in correctional adult education; and as an aspect of teachers’ professional development with regard to working with adult correctional students.</w:t>
      </w:r>
    </w:p>
    <w:p w:rsidR="00ED06A4" w:rsidRDefault="00ED06A4" w:rsidP="00ED06A4">
      <w:pPr>
        <w:spacing w:after="0" w:line="480" w:lineRule="auto"/>
      </w:pPr>
      <w:r>
        <w:tab/>
        <w:t xml:space="preserve">The professional development aspect is especially relevant. Teachers typically encounter this population with little or no preparation for working with adult students in community corrections programs when students are mandated to attend educational classes. If we can understand what it is like for teachers who work with this population – what their experience is working with these students – then we can help teachers be better prepared to engage students in meaningful learning. This study can contribute to the professional development literature and prepare teachers to work with this unique population, thus leading to more effective teaching practices with this population of students. </w:t>
      </w:r>
    </w:p>
    <w:p w:rsidR="00ED06A4" w:rsidRDefault="00ED06A4" w:rsidP="00ED06A4">
      <w:pPr>
        <w:pStyle w:val="Heading2"/>
      </w:pPr>
      <w:bookmarkStart w:id="6" w:name="_Toc309015906"/>
      <w:r>
        <w:t>Limitations</w:t>
      </w:r>
      <w:bookmarkEnd w:id="6"/>
    </w:p>
    <w:p w:rsidR="00ED06A4" w:rsidRDefault="00ED06A4" w:rsidP="00ED06A4">
      <w:pPr>
        <w:spacing w:after="0" w:line="480" w:lineRule="auto"/>
      </w:pPr>
      <w:r>
        <w:tab/>
        <w:t xml:space="preserve">It is a common practice in qualitative research in education to state that </w:t>
      </w:r>
      <w:proofErr w:type="spellStart"/>
      <w:r>
        <w:t>generalizability</w:t>
      </w:r>
      <w:proofErr w:type="spellEnd"/>
      <w:r>
        <w:t xml:space="preserve"> is a limitation (Merriam, 2001). </w:t>
      </w:r>
      <w:proofErr w:type="spellStart"/>
      <w:r>
        <w:t>Generalizability</w:t>
      </w:r>
      <w:proofErr w:type="spellEnd"/>
      <w:r>
        <w:t xml:space="preserve"> is not seen as a limitation in this study. Although a more thorough statement on </w:t>
      </w:r>
      <w:proofErr w:type="spellStart"/>
      <w:r>
        <w:t>generalizability</w:t>
      </w:r>
      <w:proofErr w:type="spellEnd"/>
      <w:r>
        <w:t xml:space="preserve"> will be provided in Chapter 3 when looking at the </w:t>
      </w:r>
      <w:r>
        <w:lastRenderedPageBreak/>
        <w:t>philosophical and methodological foundations for this study, suffice it to say that at this point I agree with those phenomenological researchers (</w:t>
      </w:r>
      <w:proofErr w:type="spellStart"/>
      <w:r>
        <w:t>Giorgi</w:t>
      </w:r>
      <w:proofErr w:type="spellEnd"/>
      <w:r>
        <w:t xml:space="preserve">, 2008; Thomas &amp; </w:t>
      </w:r>
      <w:proofErr w:type="spellStart"/>
      <w:r>
        <w:t>Pollio</w:t>
      </w:r>
      <w:proofErr w:type="spellEnd"/>
      <w:r>
        <w:t xml:space="preserve">, 2002) who have maintained that phenomenological research is not only reliable and valid, but </w:t>
      </w:r>
      <w:proofErr w:type="spellStart"/>
      <w:r>
        <w:t>generalizable</w:t>
      </w:r>
      <w:proofErr w:type="spellEnd"/>
      <w:r>
        <w:t xml:space="preserve"> as well. </w:t>
      </w:r>
    </w:p>
    <w:p w:rsidR="00ED06A4" w:rsidRDefault="00ED06A4" w:rsidP="00ED06A4">
      <w:pPr>
        <w:spacing w:after="0" w:line="480" w:lineRule="auto"/>
      </w:pPr>
      <w:r>
        <w:tab/>
        <w:t xml:space="preserve">Because of the limited research available on this particular subject, the ability to compare and contrast findings is seen as a limitation. Believing that a rich ecosystem of competing ideas is healthy for the pursuit of knowledge, I find the barrenness of the current research landscape to be limiting to a discussion of the vastly complex web of associations that comprise the topic. </w:t>
      </w:r>
    </w:p>
    <w:p w:rsidR="00ED06A4" w:rsidRDefault="00ED06A4" w:rsidP="00ED06A4">
      <w:pPr>
        <w:pStyle w:val="Heading2"/>
      </w:pPr>
      <w:bookmarkStart w:id="7" w:name="_Toc309015907"/>
      <w:r>
        <w:t>Delimitations</w:t>
      </w:r>
      <w:bookmarkEnd w:id="7"/>
    </w:p>
    <w:p w:rsidR="00ED06A4" w:rsidRDefault="00ED06A4" w:rsidP="00ED06A4">
      <w:pPr>
        <w:spacing w:after="0" w:line="480" w:lineRule="auto"/>
      </w:pPr>
      <w:r>
        <w:tab/>
        <w:t>This study is delimited to GED/ABE teachers working with adult students in community corrections who are mandated to attend educational programs. Participation in the research was limited to individuals who self-reported having the experience of working with adult students who have been mandated to attend an educational program, as a part of the phenomenological method used for this study (Thomas &amp; Polio, 2002).</w:t>
      </w:r>
    </w:p>
    <w:p w:rsidR="00ED06A4" w:rsidRDefault="00ED06A4" w:rsidP="00ED06A4">
      <w:pPr>
        <w:pStyle w:val="Heading2"/>
      </w:pPr>
      <w:bookmarkStart w:id="8" w:name="_Toc309015908"/>
      <w:r>
        <w:t>Definitions</w:t>
      </w:r>
      <w:bookmarkEnd w:id="8"/>
    </w:p>
    <w:p w:rsidR="00ED06A4" w:rsidRDefault="00ED06A4" w:rsidP="00ED06A4">
      <w:pPr>
        <w:spacing w:after="0" w:line="480" w:lineRule="auto"/>
        <w:ind w:firstLine="720"/>
      </w:pPr>
      <w:proofErr w:type="gramStart"/>
      <w:r>
        <w:rPr>
          <w:b/>
        </w:rPr>
        <w:t>Adult Learner.</w:t>
      </w:r>
      <w:proofErr w:type="gramEnd"/>
      <w:r>
        <w:t xml:space="preserve"> Adult learners are defined as students, either formal or informal, whose ages, social roles or self-perceptions define them as adults (Merriam &amp; Brockett, 2007). For the purposes of this study, adult learners are individuals who are a part of the adult correctional system (as opposed to juvenile corrections) and are engaged at some level in an educational program. The term is used throughout this study as synonymous with </w:t>
      </w:r>
      <w:r>
        <w:rPr>
          <w:i/>
        </w:rPr>
        <w:t>Adult Student</w:t>
      </w:r>
      <w:r>
        <w:t>.</w:t>
      </w:r>
    </w:p>
    <w:p w:rsidR="00ED06A4" w:rsidRDefault="00ED06A4" w:rsidP="00ED06A4">
      <w:pPr>
        <w:spacing w:after="0" w:line="480" w:lineRule="auto"/>
        <w:ind w:firstLine="720"/>
      </w:pPr>
      <w:proofErr w:type="gramStart"/>
      <w:r>
        <w:rPr>
          <w:b/>
        </w:rPr>
        <w:t>Adult Student.</w:t>
      </w:r>
      <w:proofErr w:type="gramEnd"/>
      <w:r>
        <w:t xml:space="preserve"> See </w:t>
      </w:r>
      <w:r>
        <w:rPr>
          <w:i/>
        </w:rPr>
        <w:t>Adult Learner</w:t>
      </w:r>
      <w:r>
        <w:t>.</w:t>
      </w:r>
    </w:p>
    <w:p w:rsidR="00ED06A4" w:rsidRDefault="00ED06A4" w:rsidP="00ED06A4">
      <w:pPr>
        <w:spacing w:after="0" w:line="480" w:lineRule="auto"/>
        <w:ind w:firstLine="720"/>
      </w:pPr>
      <w:proofErr w:type="spellStart"/>
      <w:proofErr w:type="gramStart"/>
      <w:r>
        <w:rPr>
          <w:b/>
        </w:rPr>
        <w:t>Andragogy</w:t>
      </w:r>
      <w:proofErr w:type="spellEnd"/>
      <w:r>
        <w:rPr>
          <w:b/>
        </w:rPr>
        <w:t>.</w:t>
      </w:r>
      <w:proofErr w:type="gramEnd"/>
      <w:r>
        <w:t xml:space="preserve"> </w:t>
      </w:r>
      <w:proofErr w:type="spellStart"/>
      <w:r>
        <w:t>Andragogy</w:t>
      </w:r>
      <w:proofErr w:type="spellEnd"/>
      <w:r>
        <w:t xml:space="preserve"> is the study of teaching adults (as opposed to the study of teaching children, which is known as pedagogy). First described by Alexander </w:t>
      </w:r>
      <w:proofErr w:type="spellStart"/>
      <w:r>
        <w:t>Kapp</w:t>
      </w:r>
      <w:proofErr w:type="spellEnd"/>
      <w:r>
        <w:t xml:space="preserve"> in 1833 </w:t>
      </w:r>
      <w:r>
        <w:lastRenderedPageBreak/>
        <w:t>(</w:t>
      </w:r>
      <w:proofErr w:type="spellStart"/>
      <w:r>
        <w:t>Reischmann</w:t>
      </w:r>
      <w:proofErr w:type="spellEnd"/>
      <w:r>
        <w:t xml:space="preserve">, 2004), </w:t>
      </w:r>
      <w:proofErr w:type="spellStart"/>
      <w:r>
        <w:t>andragogy</w:t>
      </w:r>
      <w:proofErr w:type="spellEnd"/>
      <w:r>
        <w:t xml:space="preserve"> has a continuous history of research in Europe. The term was used in the United States by Eduard Lindeman (1926) and popularized by Malcolm Knowles (Knowles, 1973; Knowles, 1980; Knowles, Holton, &amp; Swanson, 2005), who first proposed </w:t>
      </w:r>
      <w:proofErr w:type="spellStart"/>
      <w:r>
        <w:t>andragogy</w:t>
      </w:r>
      <w:proofErr w:type="spellEnd"/>
      <w:r>
        <w:t xml:space="preserve"> as a theory of adult learning and, later, as a set of assumptions about how adults learn.</w:t>
      </w:r>
    </w:p>
    <w:p w:rsidR="00ED06A4" w:rsidRDefault="00ED06A4" w:rsidP="00ED06A4">
      <w:pPr>
        <w:spacing w:after="0" w:line="480" w:lineRule="auto"/>
        <w:ind w:firstLine="720"/>
      </w:pPr>
      <w:proofErr w:type="gramStart"/>
      <w:r>
        <w:rPr>
          <w:b/>
        </w:rPr>
        <w:t>Antisocial.</w:t>
      </w:r>
      <w:proofErr w:type="gramEnd"/>
      <w:r>
        <w:t xml:space="preserve"> Antisocial in this study refers to the propensity of an individual to harm people, places and things.</w:t>
      </w:r>
    </w:p>
    <w:p w:rsidR="00ED06A4" w:rsidRDefault="00ED06A4" w:rsidP="00ED06A4">
      <w:pPr>
        <w:spacing w:after="0" w:line="480" w:lineRule="auto"/>
        <w:ind w:firstLine="720"/>
      </w:pPr>
      <w:proofErr w:type="gramStart"/>
      <w:r>
        <w:rPr>
          <w:b/>
        </w:rPr>
        <w:t>Chiasm.</w:t>
      </w:r>
      <w:proofErr w:type="gramEnd"/>
      <w:r>
        <w:t xml:space="preserve"> A chiasm is, literally, a crossing of two things. The term is used here to explain the crossing of experience between teachers’ experiences and teachers’ experiences of students’ experiences. The term was used by </w:t>
      </w:r>
      <w:proofErr w:type="spellStart"/>
      <w:r>
        <w:t>Merleau-Ponty</w:t>
      </w:r>
      <w:proofErr w:type="spellEnd"/>
      <w:r>
        <w:t xml:space="preserve"> to develop his reversibility thesis, an argument (unfinished at his death) that seeks to develop a phenomenological ontology where subject and object are one. </w:t>
      </w:r>
    </w:p>
    <w:p w:rsidR="00ED06A4" w:rsidRDefault="00ED06A4" w:rsidP="00ED06A4">
      <w:pPr>
        <w:spacing w:after="0" w:line="480" w:lineRule="auto"/>
        <w:ind w:firstLine="720"/>
      </w:pPr>
      <w:proofErr w:type="gramStart"/>
      <w:r>
        <w:rPr>
          <w:b/>
        </w:rPr>
        <w:t>Coerced.</w:t>
      </w:r>
      <w:proofErr w:type="gramEnd"/>
      <w:r>
        <w:t xml:space="preserve"> See </w:t>
      </w:r>
      <w:r>
        <w:rPr>
          <w:i/>
        </w:rPr>
        <w:t>Mandated</w:t>
      </w:r>
      <w:r>
        <w:t>.</w:t>
      </w:r>
    </w:p>
    <w:p w:rsidR="00ED06A4" w:rsidRDefault="00ED06A4" w:rsidP="00ED06A4">
      <w:pPr>
        <w:spacing w:after="0" w:line="480" w:lineRule="auto"/>
        <w:ind w:firstLine="720"/>
      </w:pPr>
      <w:proofErr w:type="gramStart"/>
      <w:r>
        <w:rPr>
          <w:b/>
        </w:rPr>
        <w:t>Community Corrections.</w:t>
      </w:r>
      <w:proofErr w:type="gramEnd"/>
      <w:r>
        <w:t xml:space="preserve"> There is no standard definition for the practice of community corrections in the United States. Community corrections may include probation but not parole, probation and parole, a level of supervision beyond probation, or probation, parole and a higher level of supervision within the community. For the purposes of this study, community correction means probation, parole, and/or a higher level of community supervision. </w:t>
      </w:r>
    </w:p>
    <w:p w:rsidR="00ED06A4" w:rsidRDefault="00ED06A4" w:rsidP="00ED06A4">
      <w:pPr>
        <w:spacing w:after="0" w:line="480" w:lineRule="auto"/>
        <w:ind w:firstLine="720"/>
      </w:pPr>
      <w:proofErr w:type="gramStart"/>
      <w:r>
        <w:rPr>
          <w:b/>
        </w:rPr>
        <w:t>Community Programs.</w:t>
      </w:r>
      <w:proofErr w:type="gramEnd"/>
      <w:r>
        <w:t xml:space="preserve"> Community Programs refers to educational programs within a community and not within a correctional institution.</w:t>
      </w:r>
    </w:p>
    <w:p w:rsidR="00ED06A4" w:rsidRDefault="00ED06A4" w:rsidP="00ED06A4">
      <w:pPr>
        <w:spacing w:after="0" w:line="480" w:lineRule="auto"/>
        <w:ind w:firstLine="720"/>
      </w:pPr>
      <w:proofErr w:type="gramStart"/>
      <w:r>
        <w:rPr>
          <w:b/>
        </w:rPr>
        <w:t>Constructivism.</w:t>
      </w:r>
      <w:proofErr w:type="gramEnd"/>
      <w:r>
        <w:t xml:space="preserve"> In education, constructivism is an epistemological theory in which it is generally understood that the learner is a constructor, or co-constructor, of knowledge. Constructivism as a theory was first proposed by </w:t>
      </w:r>
      <w:proofErr w:type="spellStart"/>
      <w:r>
        <w:t>Giambattista</w:t>
      </w:r>
      <w:proofErr w:type="spellEnd"/>
      <w:r>
        <w:t xml:space="preserve"> </w:t>
      </w:r>
      <w:proofErr w:type="spellStart"/>
      <w:r>
        <w:t>Vico</w:t>
      </w:r>
      <w:proofErr w:type="spellEnd"/>
      <w:r>
        <w:t xml:space="preserve"> in 1710 (Von </w:t>
      </w:r>
      <w:proofErr w:type="spellStart"/>
      <w:r>
        <w:t>Glasersfeld</w:t>
      </w:r>
      <w:proofErr w:type="spellEnd"/>
      <w:r>
        <w:t xml:space="preserve">, 1989) and, as noted by Phillips (1995) almost two decades ago, “the educational literature on </w:t>
      </w:r>
      <w:r>
        <w:lastRenderedPageBreak/>
        <w:t xml:space="preserve">constructivism is enormous,” and “there is a very broad and loose sense in which all of us are these days are constructivists, but, as usual, ‘God is in the details’” (p. 5). Constructivism is very broadly defined.  </w:t>
      </w:r>
    </w:p>
    <w:p w:rsidR="00ED06A4" w:rsidRDefault="00ED06A4" w:rsidP="00ED06A4">
      <w:pPr>
        <w:spacing w:after="0" w:line="480" w:lineRule="auto"/>
        <w:ind w:firstLine="720"/>
      </w:pPr>
      <w:proofErr w:type="gramStart"/>
      <w:r>
        <w:rPr>
          <w:b/>
          <w:iCs/>
        </w:rPr>
        <w:t>Correctional</w:t>
      </w:r>
      <w:r>
        <w:rPr>
          <w:b/>
        </w:rPr>
        <w:t>.</w:t>
      </w:r>
      <w:proofErr w:type="gramEnd"/>
      <w:r>
        <w:t xml:space="preserve"> Correctional refers to some aspect of the correctional system. It may denote a correctional institution, such as jail or prison, or community corrections. Correctional students are those who are likewise within the correctional system, either incarcerated or on probation, parole or community corrections.</w:t>
      </w:r>
    </w:p>
    <w:p w:rsidR="00ED06A4" w:rsidRDefault="00ED06A4" w:rsidP="00ED06A4">
      <w:pPr>
        <w:spacing w:after="0" w:line="480" w:lineRule="auto"/>
        <w:ind w:firstLine="720"/>
      </w:pPr>
      <w:proofErr w:type="gramStart"/>
      <w:r>
        <w:rPr>
          <w:b/>
          <w:iCs/>
        </w:rPr>
        <w:t>Correctional Student</w:t>
      </w:r>
      <w:r>
        <w:rPr>
          <w:b/>
        </w:rPr>
        <w:t>.</w:t>
      </w:r>
      <w:proofErr w:type="gramEnd"/>
      <w:r>
        <w:t xml:space="preserve"> In this study, a Correctional Student is one who has been placed in a community corrections program. </w:t>
      </w:r>
    </w:p>
    <w:p w:rsidR="00ED06A4" w:rsidRDefault="00ED06A4" w:rsidP="00ED06A4">
      <w:pPr>
        <w:spacing w:after="0" w:line="480" w:lineRule="auto"/>
        <w:ind w:firstLine="720"/>
      </w:pPr>
      <w:proofErr w:type="gramStart"/>
      <w:r>
        <w:rPr>
          <w:b/>
          <w:iCs/>
        </w:rPr>
        <w:t>Corrections</w:t>
      </w:r>
      <w:r>
        <w:rPr>
          <w:b/>
        </w:rPr>
        <w:t>.</w:t>
      </w:r>
      <w:proofErr w:type="gramEnd"/>
      <w:r>
        <w:t xml:space="preserve"> </w:t>
      </w:r>
      <w:proofErr w:type="gramStart"/>
      <w:r>
        <w:t>Corrections is</w:t>
      </w:r>
      <w:proofErr w:type="gramEnd"/>
      <w:r>
        <w:t xml:space="preserve"> the broad field that encompasses any and all aspects of correctional practice.</w:t>
      </w:r>
    </w:p>
    <w:p w:rsidR="00ED06A4" w:rsidRDefault="00ED06A4" w:rsidP="00ED06A4">
      <w:pPr>
        <w:spacing w:after="0" w:line="480" w:lineRule="auto"/>
        <w:ind w:firstLine="720"/>
      </w:pPr>
      <w:proofErr w:type="gramStart"/>
      <w:r>
        <w:rPr>
          <w:b/>
        </w:rPr>
        <w:t>Existential Hermeneutic Phenomenology.</w:t>
      </w:r>
      <w:proofErr w:type="gramEnd"/>
      <w:r>
        <w:t xml:space="preserve"> A form of phenomenology derived from the work of Edmund Husserl (1901/2001), Martin Heidegger (1927/1962) and Maurice </w:t>
      </w:r>
      <w:proofErr w:type="spellStart"/>
      <w:r>
        <w:t>Merleau-Ponty</w:t>
      </w:r>
      <w:proofErr w:type="spellEnd"/>
      <w:r>
        <w:t xml:space="preserve"> (1945/2002). Existential hermeneutic phenomenology approached the existential question of being through the philosophical lens of existentialism and the hermeneutic methodology of interpretive phenomenology.</w:t>
      </w:r>
    </w:p>
    <w:p w:rsidR="00ED06A4" w:rsidRDefault="00ED06A4" w:rsidP="00ED06A4">
      <w:pPr>
        <w:spacing w:after="0" w:line="480" w:lineRule="auto"/>
        <w:ind w:firstLine="720"/>
      </w:pPr>
      <w:proofErr w:type="gramStart"/>
      <w:r>
        <w:rPr>
          <w:b/>
        </w:rPr>
        <w:t>Incarcerated.</w:t>
      </w:r>
      <w:proofErr w:type="gramEnd"/>
      <w:r>
        <w:t xml:space="preserve"> Incarceration is confinement in a correctional institution. Incarcerated means the students is either in jail or prison. </w:t>
      </w:r>
    </w:p>
    <w:p w:rsidR="00ED06A4" w:rsidRDefault="00ED06A4" w:rsidP="00ED06A4">
      <w:pPr>
        <w:spacing w:after="0" w:line="480" w:lineRule="auto"/>
        <w:ind w:firstLine="720"/>
      </w:pPr>
      <w:proofErr w:type="gramStart"/>
      <w:r>
        <w:rPr>
          <w:b/>
        </w:rPr>
        <w:t>Mandated.</w:t>
      </w:r>
      <w:proofErr w:type="gramEnd"/>
      <w:r>
        <w:t xml:space="preserve"> Mandated in this study refers to legal mandate through the process of therapeutic jurisprudence. As noted in the introduction, the term is often used synonymously with “involuntary” or “coerced” in the correctional literature. For the purposes of this study, it means that students have been referred to GED/ABE classes through some aspect of the correctional process, not necessarily directed in their conditions of community corrections. For </w:t>
      </w:r>
      <w:r>
        <w:lastRenderedPageBreak/>
        <w:t xml:space="preserve">example, students may be referred to educational classes by order of their community corrections officer, even though that stipulation was not explicitly stated in the court conditions.  </w:t>
      </w:r>
    </w:p>
    <w:p w:rsidR="00ED06A4" w:rsidRDefault="00ED06A4" w:rsidP="00ED06A4">
      <w:pPr>
        <w:spacing w:after="0" w:line="480" w:lineRule="auto"/>
        <w:ind w:firstLine="720"/>
      </w:pPr>
      <w:proofErr w:type="gramStart"/>
      <w:r>
        <w:rPr>
          <w:b/>
          <w:iCs/>
        </w:rPr>
        <w:t>Parole</w:t>
      </w:r>
      <w:r>
        <w:rPr>
          <w:b/>
        </w:rPr>
        <w:t>.</w:t>
      </w:r>
      <w:proofErr w:type="gramEnd"/>
      <w:r>
        <w:t xml:space="preserve"> Parole is an executive act of grace or clemency allowing one an early release from prison.</w:t>
      </w:r>
    </w:p>
    <w:p w:rsidR="00ED06A4" w:rsidRDefault="00ED06A4" w:rsidP="00ED06A4">
      <w:pPr>
        <w:spacing w:after="0" w:line="480" w:lineRule="auto"/>
        <w:ind w:firstLine="720"/>
        <w:rPr>
          <w:szCs w:val="24"/>
        </w:rPr>
      </w:pPr>
      <w:proofErr w:type="gramStart"/>
      <w:r>
        <w:rPr>
          <w:b/>
        </w:rPr>
        <w:t>Phenomenology.</w:t>
      </w:r>
      <w:proofErr w:type="gramEnd"/>
      <w:r>
        <w:t xml:space="preserve"> Phenomenology is </w:t>
      </w:r>
      <w:r>
        <w:rPr>
          <w:szCs w:val="24"/>
        </w:rPr>
        <w:t xml:space="preserve">“the rigorous and unbiased study of things as they appear so that one might come to an essential understanding of human consciousness and experience” (Valle, King, &amp; </w:t>
      </w:r>
      <w:proofErr w:type="spellStart"/>
      <w:r>
        <w:rPr>
          <w:szCs w:val="24"/>
        </w:rPr>
        <w:t>Halling</w:t>
      </w:r>
      <w:proofErr w:type="spellEnd"/>
      <w:r>
        <w:rPr>
          <w:szCs w:val="24"/>
        </w:rPr>
        <w:t xml:space="preserve">, 1989, p. 6). Phenomenology is viewed as both a philosophy and a method of investigating the philosophy. </w:t>
      </w:r>
    </w:p>
    <w:p w:rsidR="00ED06A4" w:rsidRDefault="00ED06A4" w:rsidP="00ED06A4">
      <w:pPr>
        <w:spacing w:after="0" w:line="480" w:lineRule="auto"/>
        <w:ind w:firstLine="720"/>
        <w:rPr>
          <w:szCs w:val="24"/>
        </w:rPr>
      </w:pPr>
      <w:proofErr w:type="gramStart"/>
      <w:r>
        <w:rPr>
          <w:b/>
          <w:iCs/>
          <w:szCs w:val="24"/>
        </w:rPr>
        <w:t>Probation</w:t>
      </w:r>
      <w:r>
        <w:rPr>
          <w:b/>
          <w:szCs w:val="24"/>
        </w:rPr>
        <w:t>.</w:t>
      </w:r>
      <w:proofErr w:type="gramEnd"/>
      <w:r>
        <w:rPr>
          <w:szCs w:val="24"/>
        </w:rPr>
        <w:t xml:space="preserve"> </w:t>
      </w:r>
      <w:r>
        <w:t xml:space="preserve">Probation is considered to be an act of judicial grace or clemency. Those who are on probation could be in jail but, for whatever reason, the judge in the case has decided to offer them the opportunity to remain in the community by accepting the terms of probationary supervision. One may choose to reject such an offer and serve their time in jail or prison.  </w:t>
      </w:r>
    </w:p>
    <w:p w:rsidR="00ED06A4" w:rsidRDefault="00ED06A4" w:rsidP="00ED06A4">
      <w:pPr>
        <w:spacing w:after="0" w:line="480" w:lineRule="auto"/>
        <w:ind w:firstLine="720"/>
        <w:rPr>
          <w:iCs/>
        </w:rPr>
      </w:pPr>
      <w:proofErr w:type="gramStart"/>
      <w:r>
        <w:rPr>
          <w:b/>
          <w:szCs w:val="24"/>
        </w:rPr>
        <w:t>Professional Development.</w:t>
      </w:r>
      <w:proofErr w:type="gramEnd"/>
      <w:r>
        <w:rPr>
          <w:szCs w:val="24"/>
        </w:rPr>
        <w:t xml:space="preserve"> This term encompasses </w:t>
      </w:r>
      <w:r>
        <w:rPr>
          <w:iCs/>
        </w:rPr>
        <w:t xml:space="preserve">professional development (the term that will be used throughout this study), continuing professional development, continuing education, continuing professional education, professional learning, or continuing professional learning. </w:t>
      </w:r>
    </w:p>
    <w:p w:rsidR="00ED06A4" w:rsidRDefault="00ED06A4" w:rsidP="00ED06A4">
      <w:pPr>
        <w:spacing w:after="0" w:line="480" w:lineRule="auto"/>
        <w:ind w:firstLine="720"/>
        <w:rPr>
          <w:iCs/>
        </w:rPr>
      </w:pPr>
      <w:proofErr w:type="gramStart"/>
      <w:r>
        <w:rPr>
          <w:b/>
          <w:iCs/>
        </w:rPr>
        <w:t>Pro-social.</w:t>
      </w:r>
      <w:proofErr w:type="gramEnd"/>
      <w:r>
        <w:rPr>
          <w:iCs/>
        </w:rPr>
        <w:t xml:space="preserve"> </w:t>
      </w:r>
      <w:proofErr w:type="gramStart"/>
      <w:r>
        <w:rPr>
          <w:iCs/>
        </w:rPr>
        <w:t>Pro-social here means ethically and legally conducting one’s life and respecting the lives of others.</w:t>
      </w:r>
      <w:proofErr w:type="gramEnd"/>
      <w:r>
        <w:rPr>
          <w:iCs/>
        </w:rPr>
        <w:t xml:space="preserve"> </w:t>
      </w:r>
    </w:p>
    <w:p w:rsidR="00ED06A4" w:rsidRDefault="00ED06A4" w:rsidP="00ED06A4">
      <w:pPr>
        <w:spacing w:after="0" w:line="480" w:lineRule="auto"/>
        <w:ind w:firstLine="720"/>
      </w:pPr>
      <w:proofErr w:type="gramStart"/>
      <w:r>
        <w:rPr>
          <w:b/>
          <w:iCs/>
        </w:rPr>
        <w:t>Social Constructivism.</w:t>
      </w:r>
      <w:proofErr w:type="gramEnd"/>
      <w:r>
        <w:rPr>
          <w:iCs/>
        </w:rPr>
        <w:t xml:space="preserve"> Social Constructivism is a form of constructivism based on the ideas of Lev </w:t>
      </w:r>
      <w:proofErr w:type="spellStart"/>
      <w:r>
        <w:rPr>
          <w:iCs/>
        </w:rPr>
        <w:t>Vygotsky</w:t>
      </w:r>
      <w:proofErr w:type="spellEnd"/>
      <w:r>
        <w:rPr>
          <w:iCs/>
        </w:rPr>
        <w:t xml:space="preserve"> and posits that learning is a construct created by teachers, learners and society – the social milieu. </w:t>
      </w:r>
    </w:p>
    <w:p w:rsidR="00ED06A4" w:rsidRDefault="00ED06A4" w:rsidP="00ED06A4">
      <w:pPr>
        <w:spacing w:after="0" w:line="480" w:lineRule="auto"/>
        <w:ind w:firstLine="720"/>
      </w:pPr>
      <w:proofErr w:type="gramStart"/>
      <w:r>
        <w:rPr>
          <w:b/>
        </w:rPr>
        <w:t>Therapeutic Jurisprudence.</w:t>
      </w:r>
      <w:proofErr w:type="gramEnd"/>
      <w:r>
        <w:t xml:space="preserve"> Therapeutic jurisprudence is referral for treatment through judicial mandate, “the exploration of ways in which consistent with principles of justice, the </w:t>
      </w:r>
      <w:r>
        <w:lastRenderedPageBreak/>
        <w:t xml:space="preserve">knowledge, theories, and insights of the mental health and related disciplines can help shape the law” (Wexler &amp; </w:t>
      </w:r>
      <w:proofErr w:type="spellStart"/>
      <w:r>
        <w:t>Winick</w:t>
      </w:r>
      <w:proofErr w:type="spellEnd"/>
      <w:r>
        <w:t>, 1996, p. xvii). Education is considered to be one aspect of treatment that is included in therapeutic jurisprudence.</w:t>
      </w:r>
    </w:p>
    <w:p w:rsidR="00ED06A4" w:rsidRDefault="00ED06A4" w:rsidP="00ED06A4">
      <w:pPr>
        <w:spacing w:after="0" w:line="480" w:lineRule="auto"/>
        <w:ind w:firstLine="720"/>
      </w:pPr>
      <w:r>
        <w:t>Chapter 2 will offer a review the available literature on the topics of teacher learning and professional development, and phenomenological research in adult education. Chapter 3 will look at phenomenology as both a philosophy and a research method appropriate for this study. Chapter 4 will present the findings from the research. Chapter 5 will offer a discussion of the findings and their implications for theory and practice in adult education, educational psychology and professional development within each of those areas.</w:t>
      </w:r>
    </w:p>
    <w:p w:rsidR="00ED06A4" w:rsidRDefault="00ED06A4" w:rsidP="00ED06A4">
      <w:pPr>
        <w:spacing w:after="0" w:line="480" w:lineRule="auto"/>
        <w:jc w:val="center"/>
      </w:pPr>
    </w:p>
    <w:p w:rsidR="00ED06A4" w:rsidRDefault="00ED06A4" w:rsidP="00ED06A4">
      <w:pPr>
        <w:spacing w:after="0" w:line="480" w:lineRule="auto"/>
        <w:jc w:val="center"/>
      </w:pPr>
    </w:p>
    <w:p w:rsidR="00ED06A4" w:rsidRDefault="00ED06A4" w:rsidP="00ED06A4">
      <w:pPr>
        <w:spacing w:after="0" w:line="480" w:lineRule="auto"/>
        <w:jc w:val="center"/>
      </w:pPr>
    </w:p>
    <w:p w:rsidR="00ED06A4" w:rsidRDefault="00ED06A4" w:rsidP="00ED06A4">
      <w:pPr>
        <w:spacing w:after="0" w:line="480" w:lineRule="auto"/>
        <w:jc w:val="center"/>
      </w:pPr>
    </w:p>
    <w:p w:rsidR="00ED06A4" w:rsidRDefault="00ED06A4" w:rsidP="00ED06A4">
      <w:pPr>
        <w:spacing w:after="0" w:line="480" w:lineRule="auto"/>
        <w:jc w:val="center"/>
      </w:pPr>
    </w:p>
    <w:p w:rsidR="00ED06A4" w:rsidRDefault="00ED06A4" w:rsidP="00ED06A4">
      <w:pPr>
        <w:pStyle w:val="Heading1"/>
      </w:pPr>
    </w:p>
    <w:p w:rsidR="00ED06A4" w:rsidRDefault="00ED06A4" w:rsidP="00ED06A4">
      <w:pPr>
        <w:pStyle w:val="Heading1"/>
      </w:pPr>
    </w:p>
    <w:p w:rsidR="00ED06A4" w:rsidRDefault="00ED06A4" w:rsidP="00ED06A4">
      <w:pPr>
        <w:pStyle w:val="Heading1"/>
      </w:pPr>
    </w:p>
    <w:p w:rsidR="00ED06A4" w:rsidRDefault="00ED06A4" w:rsidP="00ED06A4">
      <w:pPr>
        <w:pStyle w:val="Heading1"/>
      </w:pPr>
    </w:p>
    <w:p w:rsidR="00ED06A4" w:rsidRDefault="00ED06A4" w:rsidP="00ED06A4">
      <w:pPr>
        <w:rPr>
          <w:b/>
          <w:iCs/>
        </w:rPr>
      </w:pPr>
      <w:r>
        <w:br w:type="page"/>
      </w:r>
    </w:p>
    <w:p w:rsidR="00ED06A4" w:rsidRDefault="00ED06A4" w:rsidP="00ED06A4">
      <w:pPr>
        <w:pStyle w:val="Heading1"/>
      </w:pPr>
      <w:bookmarkStart w:id="9" w:name="_Toc309015909"/>
      <w:r>
        <w:lastRenderedPageBreak/>
        <w:t>Chapter 2: Review of the Literature</w:t>
      </w:r>
      <w:bookmarkEnd w:id="9"/>
    </w:p>
    <w:p w:rsidR="00ED06A4" w:rsidRDefault="00ED06A4" w:rsidP="00ED06A4">
      <w:pPr>
        <w:spacing w:after="0" w:line="480" w:lineRule="auto"/>
        <w:ind w:firstLine="720"/>
      </w:pPr>
      <w:r>
        <w:t>This literature review will begin broadly with the subjects of correctional education and the correctional student in order to provide a setting for the teachers, who are the subject of the phenomena under consideration. Once this setting has been established, a place in the literature for this research will focus on teacher learning and professional development and on phenomenology as an appropriate research methodology in adult education. The topics will finally be examined through the added filter of the experience of GED/ABE teachers working with adult students in community corrections educational programs.</w:t>
      </w:r>
    </w:p>
    <w:p w:rsidR="00ED06A4" w:rsidRDefault="00ED06A4" w:rsidP="00ED06A4">
      <w:pPr>
        <w:pStyle w:val="Heading2"/>
      </w:pPr>
      <w:bookmarkStart w:id="10" w:name="_Toc309015910"/>
      <w:r>
        <w:t>The Setting</w:t>
      </w:r>
      <w:bookmarkEnd w:id="10"/>
    </w:p>
    <w:p w:rsidR="00ED06A4" w:rsidRDefault="00ED06A4" w:rsidP="00ED06A4">
      <w:pPr>
        <w:spacing w:after="0" w:line="480" w:lineRule="auto"/>
        <w:ind w:firstLine="720"/>
      </w:pPr>
      <w:r>
        <w:t xml:space="preserve">While the focus of this research is the experience of teachers who work with mandated students and not the experience of the students themselves, it is often useful in understanding experience to place that experience within a contextual frame of reference. </w:t>
      </w:r>
      <w:r>
        <w:rPr>
          <w:i/>
          <w:iCs/>
        </w:rPr>
        <w:t>Romeo and Juliet</w:t>
      </w:r>
      <w:r>
        <w:t xml:space="preserve"> would scarcely make sense without the contextual setting of old Verona and the conflicting houses of Montague and Capulet. Indeed, Shakespeare does not begin his story with either of the star-crossed lovers, but by providing the spectator with the contextual framing of the two dueling houses and the mandated peace imposed by Prince </w:t>
      </w:r>
      <w:proofErr w:type="spellStart"/>
      <w:r>
        <w:t>Escalus</w:t>
      </w:r>
      <w:proofErr w:type="spellEnd"/>
      <w:r>
        <w:t>. Likewise, I would like to introduce the reader to the setting of the teacher who works with the mandated student and to the student as a way of providing a context for the study and the world in which the experience of the teacher occurs.</w:t>
      </w:r>
    </w:p>
    <w:p w:rsidR="00ED06A4" w:rsidRDefault="00ED06A4" w:rsidP="00ED06A4">
      <w:pPr>
        <w:spacing w:after="0" w:line="480" w:lineRule="auto"/>
        <w:ind w:firstLine="720"/>
      </w:pPr>
      <w:r>
        <w:t>The population of probationers and parolees in the United States is substantial. In 2000, 3,839,532 men and women were on probation, and 725,527 were on parole, totaling 4.6 million adult individuals in community corrections programs</w:t>
      </w:r>
      <w:r w:rsidRPr="00F6326B">
        <w:t xml:space="preserve"> </w:t>
      </w:r>
      <w:r>
        <w:t xml:space="preserve">(U. S. Department of Justice). In Tennessee, 63,753 people were on either probation or parole (State of Tennessee Board of </w:t>
      </w:r>
      <w:r>
        <w:lastRenderedPageBreak/>
        <w:t xml:space="preserve">Probation and Parole, 2010). Data from 2003 indicates that 30.6% of probationers do not have a high school diploma or GED (U. S. Department of Justice). This means that some one million probationers do not have a high school diploma and are potential students of teachers serving correctional populations within the community. Based on research suggesting that GED attainment lowers recidivism rates (Anderson, 1995; Brewster &amp; Sharp, 2002; Case, 2006; </w:t>
      </w:r>
      <w:proofErr w:type="spellStart"/>
      <w:r>
        <w:t>Gehring</w:t>
      </w:r>
      <w:proofErr w:type="spellEnd"/>
      <w:r>
        <w:t xml:space="preserve">, 2000; Gordon &amp; Weldon, 2003), state and local governments are moving toward mandating GED attainment, increasing the likelihood of adult education teachers in GED/ABE instruction working with correctional students. </w:t>
      </w:r>
    </w:p>
    <w:p w:rsidR="00ED06A4" w:rsidRDefault="00ED06A4" w:rsidP="00ED06A4">
      <w:pPr>
        <w:spacing w:after="0" w:line="480" w:lineRule="auto"/>
        <w:ind w:firstLine="720"/>
      </w:pPr>
      <w:r>
        <w:t>The world of adult education working with correctional clients is different from either kindergarten through twelfth grade (K-12) education or adult education working with non-correctional clients. Indeed, the world of correctional education is so different that, upon first encountering it, those used to education outside of corrections may think they have tumbled down the rabbit hole and through the looking glass. Despite the research (Tolbert, 2001, 2002) that would indicate adult education teachers within the state of Tennessee (from where the participants for this study were drawn) and 21 other states around the country are certified in the teaching of adults, such is often not the case. Those adult education teachers who are certified are either certified in K-12 education or have received a waiver of certification from the state (Morgan, 2004). Adult education, however, may be very different from K-12 education (Knowles, 1973, 1980). This experience of working with correctional students may be different from working with non-correctional students for several reasons.</w:t>
      </w:r>
    </w:p>
    <w:p w:rsidR="00ED06A4" w:rsidRDefault="00ED06A4" w:rsidP="00ED06A4">
      <w:pPr>
        <w:pStyle w:val="Heading3"/>
      </w:pPr>
      <w:r>
        <w:t>The Correctional Student</w:t>
      </w:r>
    </w:p>
    <w:p w:rsidR="00ED06A4" w:rsidRDefault="00ED06A4" w:rsidP="00ED06A4">
      <w:pPr>
        <w:spacing w:after="0" w:line="480" w:lineRule="auto"/>
        <w:ind w:firstLine="720"/>
      </w:pPr>
      <w:r>
        <w:t xml:space="preserve">The literature dealing with correctional clients has been well researched for over 30 years. It shows that individuals who are a part of the correctional system tend to think differently </w:t>
      </w:r>
      <w:r>
        <w:lastRenderedPageBreak/>
        <w:t xml:space="preserve">than those who are not a part of the correctional system, and these differences in thinking result in behaviors that eventually place the individual within the constraints of the correctional system. These patterns of thinking do not end at the prison gate but are a part of the total behavior of the individual. “Total behavior” is a term used by </w:t>
      </w:r>
      <w:proofErr w:type="spellStart"/>
      <w:r>
        <w:t>Glasser</w:t>
      </w:r>
      <w:proofErr w:type="spellEnd"/>
      <w:r>
        <w:t xml:space="preserve"> (1998) in internal control psychology to describe the totality of thinking, behavior, emotions, and physiology in which human beings are engaged at all times. That is to say, human beings are always engaged in a total behavior, which includes the constituent parts of thinking, doing, emotions, and physiology. When the correctional student enters the classroom, either within prison walls or in a community-based classroom, these patterns of thinking are not magically shed, and they automatically differentiate that individual from individuals who are not a part of the correctional system. Correctional students do not suddenly transform from caterpillars into butterflies when they cross the threshold of the education room. They come to the classroom as integrated individuals, complete with the same pattern of total behaviors, including patterns of thinking and behaviors that they exhibited outside the educational setting.</w:t>
      </w:r>
    </w:p>
    <w:p w:rsidR="00ED06A4" w:rsidRDefault="00ED06A4" w:rsidP="00ED06A4">
      <w:pPr>
        <w:spacing w:after="0" w:line="480" w:lineRule="auto"/>
      </w:pPr>
      <w:r>
        <w:tab/>
        <w:t>One reason working with correctional students is different from working with non-correctional adult students is the power differential that exists between teacher and student within correctional adult education. This is not to suggest that a power differential does not exist between teachers and students generally, but it became very apparent at the outset of this study that this issue of power is perceived in correctional education very differently than in non-correctional education where egalitarian issues are debated with some frequency and the goal is to allow equal access to power within the adult educational setting (</w:t>
      </w:r>
      <w:proofErr w:type="spellStart"/>
      <w:r>
        <w:t>Cervero</w:t>
      </w:r>
      <w:proofErr w:type="spellEnd"/>
      <w:r>
        <w:t xml:space="preserve"> &amp; Wilson, 2006). Conveying this concept of power and its proper use in working with correctional students to individuals who have no association or little association with the world of corrections has </w:t>
      </w:r>
      <w:r>
        <w:lastRenderedPageBreak/>
        <w:t xml:space="preserve">presented itself as a difficulty in the framing of this study. This first became apparent when there was objection to use of the word “coerced” to define the correctional students with whom the study participants worked. Although I had used “coerced” in a previous study (Davis, Mottern, &amp; Ziegler, 2010), there was some concern that the word had connotations of power. Indeed it did. </w:t>
      </w:r>
    </w:p>
    <w:p w:rsidR="00ED06A4" w:rsidRDefault="00ED06A4" w:rsidP="00ED06A4">
      <w:pPr>
        <w:spacing w:after="0" w:line="480" w:lineRule="auto"/>
        <w:ind w:firstLine="720"/>
      </w:pPr>
      <w:r>
        <w:t xml:space="preserve">Power is defined as the “ability to do or act” (www.Dictionary.com) and the “possession of control, authority, or influence over others” (www.Merriam-Webster.com), with synonyms including “authority,” “jurisdiction,” “control,” “command,” “sway,” and “dominion,” and antonyms including “impotence,” “incompetence,” and “weakness.” The world of corrections is a world based on power, with power belonging to the system and its agents and being denied to those who find themselves in opposition to that system. Those who find themselves within the correctional system may find almost every aspect of their lives touched by the rules, regulations, and conditions imposed by corrections; their ability to do certain things and act in particular ways is curtailed by the state. Some of these conditions may include: not frequenting bars or taverns; not possessing nor using alcoholic beverages or controlled substances; reporting all contact with law enforcement, including traffic citations; not fraternizing with any person who has a criminal reputation or who uses or deals in illegal controlled substances; not possessing or owning a firearm or weapon of any kind; working at a lawful occupation or reporting to an appropriate correctional, education or vocational program; being in residence by curfew; paying court costs, including community corrections fees; performing a set number of community service restitution hours each month; receiving permission by the supervision officer to travel out of the county and permission by the judge to travel out of state; obtaining permission before setting a date for marriage or contracting any major debts; participating in all programs as directed by supervision officer; submitting a biological specimen for DNA analysis; submitting </w:t>
      </w:r>
      <w:r>
        <w:lastRenderedPageBreak/>
        <w:t xml:space="preserve">to a search of person and all areas of residence and property under client’s immediate control; and remaining medication-compliant, as required by treatment services (Community Corrections – Conditions of Supervision). </w:t>
      </w:r>
    </w:p>
    <w:p w:rsidR="00ED06A4" w:rsidRDefault="00ED06A4" w:rsidP="00ED06A4">
      <w:pPr>
        <w:spacing w:after="0" w:line="480" w:lineRule="auto"/>
        <w:ind w:firstLine="720"/>
      </w:pPr>
      <w:r>
        <w:t xml:space="preserve">And it is not only those who are placed on probation, parole or community corrections who find their lives regulated by the correctional system. Teachers employed by community corrections may also find their lives regulated by corrections because of the students they have chosen to teach. Those who work for community correctional programs are often held to a higher standard of conduct than those who do not work for corrections. For example, if I receive a speeding ticket on the weekend, I have to report this to my supervisor. It is possible that my employment will be in jeopardy because of this violation. While it is unlikely that I would be terminated from employment because of one speeding ticket (although several such tickets may very well place my employment in jeopardy), the fact that all such instances must be reported indicates how working within this system affects not only probationers and parolees, but those who work with them as well. The idea of being required to report such information to an employer (outside of a position where driving is a part of the essential job function) would be considered both intrusive and irrelevant to most people who work outside of corrections. </w:t>
      </w:r>
    </w:p>
    <w:p w:rsidR="00ED06A4" w:rsidRDefault="00ED06A4" w:rsidP="00ED06A4">
      <w:pPr>
        <w:spacing w:after="0" w:line="480" w:lineRule="auto"/>
        <w:ind w:firstLine="720"/>
      </w:pPr>
      <w:r>
        <w:t xml:space="preserve">Teachers may also be called upon to make classroom practices conform to correctional practices, and these correctional practices may be very different from those that an adult education teacher is used to practicing in a classroom. Indeed, these practices may seem lacking in compassion and may cursorily appear to be the antithesis of good adult education practice. This is, however, not the case. These same practices may be motivated by the utmost compassion for the students with whom the teacher is engaged.  </w:t>
      </w:r>
    </w:p>
    <w:p w:rsidR="00ED06A4" w:rsidRDefault="00ED06A4" w:rsidP="00ED06A4">
      <w:pPr>
        <w:spacing w:after="0" w:line="480" w:lineRule="auto"/>
        <w:ind w:firstLine="720"/>
      </w:pPr>
      <w:r>
        <w:lastRenderedPageBreak/>
        <w:t xml:space="preserve">The body of research dealing with the thinking and behaviors of correctional clients and how to go about changing the thinking and behavior is known as the “what works” literature (Chavez &amp; </w:t>
      </w:r>
      <w:proofErr w:type="spellStart"/>
      <w:r>
        <w:t>Dawe</w:t>
      </w:r>
      <w:proofErr w:type="spellEnd"/>
      <w:r>
        <w:t xml:space="preserve">, 2007; Harper &amp; Chitty, 2005; </w:t>
      </w:r>
      <w:proofErr w:type="spellStart"/>
      <w:r>
        <w:t>Hollin</w:t>
      </w:r>
      <w:proofErr w:type="spellEnd"/>
      <w:r>
        <w:t xml:space="preserve">, 1999; Kennedy, 2000, </w:t>
      </w:r>
      <w:proofErr w:type="spellStart"/>
      <w:r>
        <w:t>MacKenzie</w:t>
      </w:r>
      <w:proofErr w:type="spellEnd"/>
      <w:r>
        <w:t xml:space="preserve">, 2000; Sherman, </w:t>
      </w:r>
      <w:proofErr w:type="spellStart"/>
      <w:r>
        <w:t>Gottfredson</w:t>
      </w:r>
      <w:proofErr w:type="spellEnd"/>
      <w:r>
        <w:t xml:space="preserve">, Mackenzie, Eck, Reuter, &amp; </w:t>
      </w:r>
      <w:proofErr w:type="spellStart"/>
      <w:r>
        <w:t>Bushway</w:t>
      </w:r>
      <w:proofErr w:type="spellEnd"/>
      <w:r>
        <w:t xml:space="preserve">, 1998; Wilson, </w:t>
      </w:r>
      <w:proofErr w:type="spellStart"/>
      <w:r>
        <w:t>Bouffard</w:t>
      </w:r>
      <w:proofErr w:type="spellEnd"/>
      <w:r>
        <w:t xml:space="preserve">, &amp; Mackenzie, 2005). Adult education has largely ignored the research done by corrections in this area, choosing, in an interesting rejection of some adult learning theories, to ignore differences among students that may affect their learning. This is not to say that adult education has not explored the area of correctional education.  Studies by Baird (2001) and Davidson (2000), have explored various dimensions of adult education with incarcerated populations, but they have not examined them from the perspective of cognitive differences, and they have not studied community corrections populations.  While adult education literature does, therefore, exist on the subject of correctional education, its slant is decidedly different, and the questions it explores are also different. To be more specific about how correctional students may differ from non-correctional students, correctional students think differently than non-correctional students (Andrews et al., 1990; </w:t>
      </w:r>
      <w:proofErr w:type="spellStart"/>
      <w:r>
        <w:t>Chavaria</w:t>
      </w:r>
      <w:proofErr w:type="spellEnd"/>
      <w:r>
        <w:t xml:space="preserve">, 1993; </w:t>
      </w:r>
      <w:proofErr w:type="spellStart"/>
      <w:r>
        <w:t>Gendreau</w:t>
      </w:r>
      <w:proofErr w:type="spellEnd"/>
      <w:r>
        <w:t xml:space="preserve">, Little, &amp; </w:t>
      </w:r>
      <w:proofErr w:type="spellStart"/>
      <w:r>
        <w:t>Goggin</w:t>
      </w:r>
      <w:proofErr w:type="spellEnd"/>
      <w:r>
        <w:t xml:space="preserve">, 1996; Hubbard &amp; </w:t>
      </w:r>
      <w:proofErr w:type="spellStart"/>
      <w:r>
        <w:t>Latessa</w:t>
      </w:r>
      <w:proofErr w:type="spellEnd"/>
      <w:r>
        <w:t xml:space="preserve">, 2004; </w:t>
      </w:r>
      <w:proofErr w:type="spellStart"/>
      <w:r>
        <w:t>Landenberger</w:t>
      </w:r>
      <w:proofErr w:type="spellEnd"/>
      <w:r>
        <w:t xml:space="preserve"> &amp; </w:t>
      </w:r>
      <w:proofErr w:type="spellStart"/>
      <w:r>
        <w:t>Lipsey</w:t>
      </w:r>
      <w:proofErr w:type="spellEnd"/>
      <w:r>
        <w:t xml:space="preserve">, 2005). The premier research on this topic is </w:t>
      </w:r>
      <w:proofErr w:type="spellStart"/>
      <w:r>
        <w:t>Yochelson</w:t>
      </w:r>
      <w:proofErr w:type="spellEnd"/>
      <w:r>
        <w:t xml:space="preserve"> and </w:t>
      </w:r>
      <w:proofErr w:type="spellStart"/>
      <w:r>
        <w:t>Samenow’s</w:t>
      </w:r>
      <w:proofErr w:type="spellEnd"/>
      <w:r>
        <w:t xml:space="preserve"> (1976) ten-year-long phenomenological study in which the researchers identified 52 distinct thinking errors used by correctional inmates at St. Elisabeth’s Hospital in Washington, D.C. Their research identified three broad categories: criminal thinking patterns, automatic errors of thinking, and the thinking error process, which moved from idea to execution through a process they termed thinking “corrosion” (</w:t>
      </w:r>
      <w:proofErr w:type="spellStart"/>
      <w:r>
        <w:t>Yochelson</w:t>
      </w:r>
      <w:proofErr w:type="spellEnd"/>
      <w:r>
        <w:t xml:space="preserve"> &amp; </w:t>
      </w:r>
      <w:proofErr w:type="spellStart"/>
      <w:r>
        <w:t>Samenow</w:t>
      </w:r>
      <w:proofErr w:type="spellEnd"/>
      <w:r>
        <w:t xml:space="preserve">, 1976, Vol. 1, p. 413). </w:t>
      </w:r>
    </w:p>
    <w:p w:rsidR="00ED06A4" w:rsidRDefault="00ED06A4" w:rsidP="00ED06A4">
      <w:pPr>
        <w:spacing w:after="0" w:line="480" w:lineRule="auto"/>
        <w:ind w:firstLine="720"/>
      </w:pPr>
      <w:proofErr w:type="spellStart"/>
      <w:r>
        <w:t>Mandracchia</w:t>
      </w:r>
      <w:proofErr w:type="spellEnd"/>
      <w:r>
        <w:t xml:space="preserve">, Morgan, </w:t>
      </w:r>
      <w:proofErr w:type="spellStart"/>
      <w:r>
        <w:t>Garos</w:t>
      </w:r>
      <w:proofErr w:type="spellEnd"/>
      <w:r>
        <w:t xml:space="preserve">, and Garland (2007) conducted an empirical investigation of inmate maladaptive thinking patterns. Using a sample of 435 offenders from the Texas </w:t>
      </w:r>
      <w:r>
        <w:lastRenderedPageBreak/>
        <w:t xml:space="preserve">Department of Criminal Justice, </w:t>
      </w:r>
      <w:proofErr w:type="spellStart"/>
      <w:r>
        <w:t>Mandracchia</w:t>
      </w:r>
      <w:proofErr w:type="spellEnd"/>
      <w:r>
        <w:t xml:space="preserve"> et al. (2007) used the Measure of Offender Thinking Styles (MOTS), an empirical model composed of 77 distinct thinking patterns from the work of several scholars—</w:t>
      </w:r>
      <w:proofErr w:type="spellStart"/>
      <w:r>
        <w:t>Yochelson</w:t>
      </w:r>
      <w:proofErr w:type="spellEnd"/>
      <w:r>
        <w:t xml:space="preserve"> and </w:t>
      </w:r>
      <w:proofErr w:type="spellStart"/>
      <w:r>
        <w:t>Samenow</w:t>
      </w:r>
      <w:proofErr w:type="spellEnd"/>
      <w:r>
        <w:t xml:space="preserve"> (1976), 38 criminal thinking patterns; Walters (1990), 8 criminal thinking patterns; Beck (1976), 12 non-criminal thinking patterns; and Ellis (1992), 20 non-criminal thinking patterns – to determine how the thinking errors collectively related to incarcerated individuals. A short list of potential items was phrased as statements that the researchers believed represented each maladaptive thinking pattern and responses were gauged on a 4-point, </w:t>
      </w:r>
      <w:proofErr w:type="spellStart"/>
      <w:r>
        <w:t>Likert</w:t>
      </w:r>
      <w:proofErr w:type="spellEnd"/>
      <w:r>
        <w:t xml:space="preserve">-type scale. The responses were then ordered based on responses, creating the 231-item MOTS. Factor analysis of the structure of the thinking patterns indicated three dominant factors: control (a desire for control in all aspects of life), cognitive immaturity (reliance on immature cognitive tactics and self-pitying outlook), and egocentrism (focused on self across varying situations and interactions). </w:t>
      </w:r>
      <w:proofErr w:type="spellStart"/>
      <w:r>
        <w:t>Mandracchia</w:t>
      </w:r>
      <w:proofErr w:type="spellEnd"/>
      <w:r>
        <w:t xml:space="preserve"> et al. (2007) noted that “each of the factors (i.e., Control, Cognitive Immaturity, and Egocentrism) contained several noncriminal maladaptive thinking patterns proposed by Beck (1976) and Ellis (1992) in addition to criminal thinking patterns, suggesting that a full gamut of cognitive errors may add to the negative thought processes of criminals. </w:t>
      </w:r>
      <w:proofErr w:type="gramStart"/>
      <w:r>
        <w:t>Even noncriminal maladaptive thinking patterns, therefore, may contribute to cognitive processes that influence criminal behavior” (</w:t>
      </w:r>
      <w:proofErr w:type="spellStart"/>
      <w:r>
        <w:t>Mandracchia</w:t>
      </w:r>
      <w:proofErr w:type="spellEnd"/>
      <w:r>
        <w:t xml:space="preserve"> et al., 2007, p. 1041).</w:t>
      </w:r>
      <w:proofErr w:type="gramEnd"/>
    </w:p>
    <w:p w:rsidR="00ED06A4" w:rsidRDefault="00ED06A4" w:rsidP="00ED06A4">
      <w:pPr>
        <w:spacing w:after="0" w:line="480" w:lineRule="auto"/>
        <w:ind w:firstLine="720"/>
      </w:pPr>
      <w:r>
        <w:t xml:space="preserve">Abel, Gore, Holland, Camps, Becker, and </w:t>
      </w:r>
      <w:proofErr w:type="spellStart"/>
      <w:r>
        <w:t>Rathner</w:t>
      </w:r>
      <w:proofErr w:type="spellEnd"/>
      <w:r>
        <w:t xml:space="preserve"> (1989) used a 29 item </w:t>
      </w:r>
      <w:proofErr w:type="spellStart"/>
      <w:r>
        <w:t>Likert</w:t>
      </w:r>
      <w:proofErr w:type="spellEnd"/>
      <w:r>
        <w:t xml:space="preserve"> scale of statements designed to test if cognitive distortions concerning child molestation exist among child molesters and whether child molesters could be discriminated from non-child molesters on the basis of cognitive distortions. A sample of 240 child molester </w:t>
      </w:r>
      <w:proofErr w:type="spellStart"/>
      <w:r>
        <w:t>paraphiliacs</w:t>
      </w:r>
      <w:proofErr w:type="spellEnd"/>
      <w:r>
        <w:t xml:space="preserve">, 48 non-child molesting </w:t>
      </w:r>
      <w:proofErr w:type="spellStart"/>
      <w:r>
        <w:t>paraphiliacs</w:t>
      </w:r>
      <w:proofErr w:type="spellEnd"/>
      <w:r>
        <w:t xml:space="preserve"> and 86 non-</w:t>
      </w:r>
      <w:proofErr w:type="spellStart"/>
      <w:r>
        <w:t>paraphiliacs</w:t>
      </w:r>
      <w:proofErr w:type="spellEnd"/>
      <w:r>
        <w:t xml:space="preserve"> were administered the test. Factor analysis </w:t>
      </w:r>
      <w:r>
        <w:lastRenderedPageBreak/>
        <w:t xml:space="preserve">yielded six reliable factors covering the general area of child molestation being harmful to the child and discriminated between child molesters and non-child molesters, providing evidence that cognitive distortions can be descriptive even within the subset of criminal thinking errors.       </w:t>
      </w:r>
    </w:p>
    <w:p w:rsidR="00ED06A4" w:rsidRDefault="00ED06A4" w:rsidP="00ED06A4">
      <w:pPr>
        <w:spacing w:after="0" w:line="480" w:lineRule="auto"/>
        <w:ind w:firstLine="720"/>
      </w:pPr>
      <w:r>
        <w:t>As is evident from the above research on correctional clients, students within the correctional system often do not share the same values, morals, and beliefs of the teachers who instruct them. This is what defines them as anti-social, here defined not as a personality disorder, but as the propensity to harm people, places, and things, and it is this thinking – and the choice to act on it – that places them within the correctional system (</w:t>
      </w:r>
      <w:proofErr w:type="spellStart"/>
      <w:r>
        <w:t>Truthought</w:t>
      </w:r>
      <w:proofErr w:type="spellEnd"/>
      <w:r>
        <w:t xml:space="preserve"> training, 2003). This view that students do not share the same values, morals, and beliefs of those who are educating them is somewhat alien in the world of adult education. Adult educators often expect to interact with adult students in an egalitarian manner, and they may find their ideological feathers ruffled when it is suggested their students may not be on an equal moral footing. This, however, is the situation in which adult education teachers often find themselves when teaching correctional clients. The teachers are expected, by the same system that views the students as antisocial, to behave in a pro-social manner and act as models of behavior for the students (Dowden &amp; Andrews, 2004; </w:t>
      </w:r>
      <w:proofErr w:type="spellStart"/>
      <w:r>
        <w:t>Latessa</w:t>
      </w:r>
      <w:proofErr w:type="spellEnd"/>
      <w:r>
        <w:t xml:space="preserve">, Cullen, &amp; </w:t>
      </w:r>
      <w:proofErr w:type="spellStart"/>
      <w:r>
        <w:t>Gendreau</w:t>
      </w:r>
      <w:proofErr w:type="spellEnd"/>
      <w:r>
        <w:t xml:space="preserve">, 2002). “Pro-social” here means ethically and legally conducting one’s life and respecting the lives of others. </w:t>
      </w:r>
    </w:p>
    <w:p w:rsidR="00ED06A4" w:rsidRDefault="00ED06A4" w:rsidP="00ED06A4">
      <w:pPr>
        <w:spacing w:after="0" w:line="480" w:lineRule="auto"/>
        <w:ind w:firstLine="720"/>
      </w:pPr>
      <w:r>
        <w:t xml:space="preserve">While this stance may cursorily appear to be demeaning to students, it is not. </w:t>
      </w:r>
      <w:proofErr w:type="spellStart"/>
      <w:r>
        <w:t>Yochelson</w:t>
      </w:r>
      <w:proofErr w:type="spellEnd"/>
      <w:r>
        <w:t xml:space="preserve"> and </w:t>
      </w:r>
      <w:proofErr w:type="spellStart"/>
      <w:r>
        <w:t>Samenow</w:t>
      </w:r>
      <w:proofErr w:type="spellEnd"/>
      <w:r>
        <w:t xml:space="preserve"> (1976) pointed out that compassion is expressed differently in correctional treatment programs:</w:t>
      </w:r>
    </w:p>
    <w:p w:rsidR="00ED06A4" w:rsidRDefault="00ED06A4" w:rsidP="00ED06A4">
      <w:pPr>
        <w:spacing w:after="0" w:line="480" w:lineRule="auto"/>
        <w:ind w:left="720"/>
      </w:pPr>
      <w:r>
        <w:t xml:space="preserve">A visitor to our program would not be able to observe compassion in our attitude or procedures. Compassion is not visible, but it can easily be inferred if one grasps the overall thrust of our work. What is absent is the kind of compassion often expressed in </w:t>
      </w:r>
      <w:r>
        <w:lastRenderedPageBreak/>
        <w:t xml:space="preserve">maudlin sympathy and in attempts to help the criminal feel better about </w:t>
      </w:r>
      <w:proofErr w:type="gramStart"/>
      <w:r>
        <w:t>himself</w:t>
      </w:r>
      <w:proofErr w:type="gramEnd"/>
      <w:r>
        <w:t xml:space="preserve"> and about life in general. However, compassion is built into this hard-line program. The toughness of the program is designed to change criminals, so they will live responsible lives and no longer injure others. (Vol. 2, p. 554) </w:t>
      </w:r>
    </w:p>
    <w:p w:rsidR="00ED06A4" w:rsidRDefault="00ED06A4" w:rsidP="00ED06A4">
      <w:pPr>
        <w:spacing w:after="0" w:line="480" w:lineRule="auto"/>
        <w:ind w:firstLine="720"/>
      </w:pPr>
      <w:r>
        <w:t xml:space="preserve">To treat correctional students in the same manner as one would treat non-correctional students would, in fact, be to deny the research (Pearson, Lipton, Cleland, &amp; Yee, 2002; </w:t>
      </w:r>
      <w:proofErr w:type="spellStart"/>
      <w:r>
        <w:t>Truthought</w:t>
      </w:r>
      <w:proofErr w:type="spellEnd"/>
      <w:r>
        <w:t xml:space="preserve">, </w:t>
      </w:r>
      <w:proofErr w:type="spellStart"/>
      <w:r>
        <w:t>n.d</w:t>
      </w:r>
      <w:proofErr w:type="spellEnd"/>
      <w:r>
        <w:t xml:space="preserve">.; </w:t>
      </w:r>
      <w:proofErr w:type="spellStart"/>
      <w:r>
        <w:t>Vennard</w:t>
      </w:r>
      <w:proofErr w:type="spellEnd"/>
      <w:r>
        <w:t xml:space="preserve">, </w:t>
      </w:r>
      <w:proofErr w:type="spellStart"/>
      <w:r>
        <w:t>Sugg</w:t>
      </w:r>
      <w:proofErr w:type="spellEnd"/>
      <w:r>
        <w:t xml:space="preserve">, &amp; </w:t>
      </w:r>
      <w:proofErr w:type="spellStart"/>
      <w:r>
        <w:t>Hedderman</w:t>
      </w:r>
      <w:proofErr w:type="spellEnd"/>
      <w:r>
        <w:t xml:space="preserve">, 1997; </w:t>
      </w:r>
      <w:proofErr w:type="spellStart"/>
      <w:r>
        <w:t>Yochelson</w:t>
      </w:r>
      <w:proofErr w:type="spellEnd"/>
      <w:r>
        <w:t xml:space="preserve"> &amp; </w:t>
      </w:r>
      <w:proofErr w:type="spellStart"/>
      <w:r>
        <w:t>Samenow</w:t>
      </w:r>
      <w:proofErr w:type="spellEnd"/>
      <w:r>
        <w:t xml:space="preserve">, 1976) that has suggested that very real differences exist in the way correctional students view and interpret the world, and it would be expecting correctional students to come to the educational table with something they do not possess at the time – a pro-social way of thinking and behaving. This expectation is neither useful nor empathetic. Compassion would dictate that teachers realize the cognitive differences of correctional students and teach in a manner that acknowledges those differences, meeting students where they are on a cognitive level. In addition, while adult education teachers are not social workers or forensic counselors, teaching is a very broad practice. As the research in this dissertation will show, teachers working with correctional students often interpret the educational mandate to include mentoring students in pro-social thinking and behaviors and not strictly to impart educational facts such as the Pythagorean Theorem. </w:t>
      </w:r>
    </w:p>
    <w:p w:rsidR="00ED06A4" w:rsidRDefault="00ED06A4" w:rsidP="00ED06A4">
      <w:pPr>
        <w:spacing w:after="0" w:line="480" w:lineRule="auto"/>
        <w:ind w:firstLine="720"/>
      </w:pPr>
      <w:r>
        <w:t xml:space="preserve">An analogous situation existed with my great-aunt and her pudgy dog, which had been fed with table scraps until it was obese and diabetic. Because of the dog’s condition, my great-aunt was told by the veterinarian that she must under no circumstances feed the dog scraps, instead sticking firmly to the diet prescribed for the diabetic beast. However, every evening at suppertime, the dog would come to the table, put on its best sad face, and whine. My great-aunt, </w:t>
      </w:r>
      <w:r>
        <w:lastRenderedPageBreak/>
        <w:t xml:space="preserve">feeling the utmost compassion for her dog, would then, as unobtrusively as possible, slip it food beneath the table. This seeming compassion for the dog eventually led to its death from complications from diabetes. </w:t>
      </w:r>
    </w:p>
    <w:p w:rsidR="00ED06A4" w:rsidRDefault="00ED06A4" w:rsidP="00ED06A4">
      <w:pPr>
        <w:spacing w:after="0" w:line="480" w:lineRule="auto"/>
        <w:ind w:firstLine="720"/>
      </w:pPr>
      <w:r>
        <w:t xml:space="preserve">The same is often true for teachers and correctional students. Let me give an example from real life as analogies, however useful, are still imperfect. A local criminal court judge recently revoked the probation of a community corrections client and sentenced him to 18 years in the state penitentiary because he did not have a job, one of the conditions of his probationary supervision. While compassion may lead one to cite social circumstances and sympathize with the probationer’s plight in the world economic downturn, or the difficulty of finding employment caused by the discrimination faced by individuals with a criminal record, the probationer must follow the conditions of supervision (conditions to </w:t>
      </w:r>
      <w:proofErr w:type="gramStart"/>
      <w:r>
        <w:t>which  each</w:t>
      </w:r>
      <w:proofErr w:type="gramEnd"/>
      <w:r>
        <w:t xml:space="preserve"> agrees prior to being placed on probation) or forfeit the act of judicial clemency that is probation. Another fact is that in a program with over 100 active clients, over 90% of them had jobs. Many of them found employment within a matter of days after being released from incarceration and into the community. If a teacher felt compassion for this correctional student and refused to hold him accountable in class for his choices to break or bend the rules (such as showing up late for class or leaving class early), then that same teacher was complicit in his imprisonment. To ignore the fact that one is working with correctional students, to shut one’s eyes and ears to the phenomenological research (</w:t>
      </w:r>
      <w:proofErr w:type="spellStart"/>
      <w:r>
        <w:t>Yochelson</w:t>
      </w:r>
      <w:proofErr w:type="spellEnd"/>
      <w:r>
        <w:t xml:space="preserve"> &amp; </w:t>
      </w:r>
      <w:proofErr w:type="spellStart"/>
      <w:r>
        <w:t>Samenow</w:t>
      </w:r>
      <w:proofErr w:type="spellEnd"/>
      <w:r>
        <w:t xml:space="preserve">, 1976) that states what that experience is like (e.g., that correctional students may not be honest in their dealings and may be manipulative with others), is, at the very least, to tacitly support the thinking and behavior that leads to antisocial behavior and the consequences imposed by the courts for such behavior. Compassion that ignores sound advice and contributes to the harm of others, whether it is feeding a diabetic </w:t>
      </w:r>
      <w:r>
        <w:lastRenderedPageBreak/>
        <w:t xml:space="preserve">dog with table scraps or suborning the thinking errors that lead to irresponsible and </w:t>
      </w:r>
      <w:proofErr w:type="spellStart"/>
      <w:r>
        <w:t>arrestable</w:t>
      </w:r>
      <w:proofErr w:type="spellEnd"/>
      <w:r>
        <w:t xml:space="preserve"> behavior of students, is not really compassion. Correctional teachers are often asked to conduct their relationships with correctional students in ways that, outside the correctional system, may seem petty or harsh. In reality, these practices support an overall correctional program that attempts to socialize the students in a manner that will lead to their pro-social assimilation into society at large and allow them to avoid incarceration and the hardships that imposes on them, their families, and the state. As </w:t>
      </w:r>
      <w:proofErr w:type="spellStart"/>
      <w:r>
        <w:t>Yochelson</w:t>
      </w:r>
      <w:proofErr w:type="spellEnd"/>
      <w:r>
        <w:t xml:space="preserve"> and </w:t>
      </w:r>
      <w:proofErr w:type="spellStart"/>
      <w:r>
        <w:t>Samenow</w:t>
      </w:r>
      <w:proofErr w:type="spellEnd"/>
      <w:r>
        <w:t xml:space="preserve"> (1976) stated, “We are concerned about potential victims as well as about the suffering of those who already have become victims. We want to do our part to make the streets safe for citizens to go about their business </w:t>
      </w:r>
      <w:proofErr w:type="spellStart"/>
      <w:r>
        <w:t>unintimidated</w:t>
      </w:r>
      <w:proofErr w:type="spellEnd"/>
      <w:r>
        <w:t xml:space="preserve"> by the threat of theft, vandalism, assault and other crimes. </w:t>
      </w:r>
      <w:proofErr w:type="gramStart"/>
      <w:r>
        <w:t>This is one element of compassion, with the least compassion being shown toward the plight of the criminal himself” (Vol. 2, p. 554).</w:t>
      </w:r>
      <w:proofErr w:type="gramEnd"/>
    </w:p>
    <w:p w:rsidR="00ED06A4" w:rsidRDefault="00ED06A4" w:rsidP="00ED06A4">
      <w:pPr>
        <w:spacing w:after="0" w:line="480" w:lineRule="auto"/>
        <w:ind w:firstLine="720"/>
      </w:pPr>
      <w:r>
        <w:t xml:space="preserve">Correctional programs are not often tolerant of students who are not educationally self-directed. Resources are provided by corrections for educational programs, and these expenditures must be justified. Justification of these educational programs usually takes the form of earned GED diplomas and the promise of lower recidivism rates in the community (Jensen &amp; Reed, 2007; </w:t>
      </w:r>
      <w:proofErr w:type="spellStart"/>
      <w:r>
        <w:t>Nutall</w:t>
      </w:r>
      <w:proofErr w:type="spellEnd"/>
      <w:r>
        <w:t xml:space="preserve">, 2003; Roy, 2004; </w:t>
      </w:r>
      <w:proofErr w:type="spellStart"/>
      <w:r>
        <w:t>Steurer</w:t>
      </w:r>
      <w:proofErr w:type="spellEnd"/>
      <w:r>
        <w:t xml:space="preserve"> &amp; Smith, 2003; </w:t>
      </w:r>
      <w:proofErr w:type="spellStart"/>
      <w:r>
        <w:t>Zgoba</w:t>
      </w:r>
      <w:proofErr w:type="spellEnd"/>
      <w:r>
        <w:t xml:space="preserve">, </w:t>
      </w:r>
      <w:proofErr w:type="spellStart"/>
      <w:r>
        <w:t>Haugebrook</w:t>
      </w:r>
      <w:proofErr w:type="spellEnd"/>
      <w:r>
        <w:t xml:space="preserve">, &amp; Jenkins, 2008). Teachers who allow correctional students to “slide” when it comes to completing assignments and attending classes do not do the students any favors as the natural consequences for a pattern of these behaviors may be that these students are dropped from the educational program and must therefore seek to satisfy the conditions of their probation in other ways, ways that are more time-consuming and frustrating for the students and more draining on their familial and social resources.   </w:t>
      </w:r>
    </w:p>
    <w:p w:rsidR="00ED06A4" w:rsidRDefault="00ED06A4" w:rsidP="00ED06A4">
      <w:pPr>
        <w:spacing w:after="0" w:line="480" w:lineRule="auto"/>
        <w:ind w:firstLine="720"/>
      </w:pPr>
      <w:r>
        <w:lastRenderedPageBreak/>
        <w:t xml:space="preserve">Another reason teaching </w:t>
      </w:r>
      <w:proofErr w:type="gramStart"/>
      <w:r>
        <w:t>correctional students is</w:t>
      </w:r>
      <w:proofErr w:type="gramEnd"/>
      <w:r>
        <w:t xml:space="preserve"> different from teaching non-correctional students is the compulsory nature of attendance. Correctional students within the community have different pressures affecting their educational attendance than those who are incarcerated. When incarcerated, for example, being allowed to attend education classes may be seen as a privilege, allowing students to get out of their pod and socialize to some degree (Tolbert, 2002). Community-based programs are somewhat different in that students must maintain a life in the community while meeting requirements of community supervision. Students no longer have their basic needs (e.g., food, clothing, shelter, medical attention) provided by city, county, or state government, and they must engage in the normal day-to-day business of living by providing these necessities for themselves (Haney, 2001). </w:t>
      </w:r>
    </w:p>
    <w:p w:rsidR="00ED06A4" w:rsidRDefault="00ED06A4" w:rsidP="00ED06A4">
      <w:pPr>
        <w:spacing w:after="0" w:line="480" w:lineRule="auto"/>
        <w:ind w:firstLine="720"/>
      </w:pPr>
      <w:r>
        <w:t>Gone, as well, is the vast amount of free time that one has while incarcerated. Time in the free world is spent in finding and maintaining employment and meeting the conditions of release, which may include paying program fees, court costs, and performing community service restitution (i.e., work done in the community, such as picking up trash along highways, etc.). All of these demands on the outside compete with time for education, which may also be required as a condition of release from incarceration. The difference between life in prison and life on the outside has been acknowledged as a serious concern for offender re-entry and reintegration programs (programs that help offenders adjust to the differences between life in prison and life in the community), and $100 million was granted to states by the federal government in 2002 to help establish effective re-entry programs (</w:t>
      </w:r>
      <w:proofErr w:type="spellStart"/>
      <w:r>
        <w:t>Visher</w:t>
      </w:r>
      <w:proofErr w:type="spellEnd"/>
      <w:r>
        <w:t xml:space="preserve"> &amp; Travis, 2003).</w:t>
      </w:r>
    </w:p>
    <w:p w:rsidR="00ED06A4" w:rsidRDefault="00ED06A4" w:rsidP="00ED06A4">
      <w:pPr>
        <w:spacing w:after="0" w:line="480" w:lineRule="auto"/>
        <w:ind w:firstLine="720"/>
      </w:pPr>
      <w:r>
        <w:t xml:space="preserve">While previous research with this population of mandated students indicated that, at some level, they appreciated being coerced to attend educational classes, it also indicated initial resistance to this intrusive mandate and resentment toward it (Davis, Mottern, &amp; Ziegler, 2010). </w:t>
      </w:r>
      <w:r>
        <w:lastRenderedPageBreak/>
        <w:t>This intrusiveness may create a classroom environment different from that of typical GED/ABE instruction, an environment where students are influenced by the mandate to attend classes and are, either overtly or covertly, resistant to instruction. Rather than being self-directed in their studies, students may grudgingly attend classes that they perceive as interference in other aspects of their lives as they adjust to life on the outside. This attitude may, in turn, affect the way teachers experience coerced students in the GED/ABE classroom. It is axiomatic in adult education that adult students “vote with their feet,” (i.e., leave the classroom if they are dissatisfied with some aspect of the educational experience). This tendency is mediated in correctional education by the fact that the students are mandated to attend classes by the court. Although the courts can mandate attendance at educational classes, they cannot make students learn. This resistance to the educational process manifests itself in various ways that teachers must use their resourcefulness and ingenuity to overcome. While this sort of challenge may or may not be part of a teacher’s job, those who work with correctional students are often called upon to tap these resources.</w:t>
      </w:r>
    </w:p>
    <w:p w:rsidR="00ED06A4" w:rsidRDefault="00ED06A4" w:rsidP="00ED06A4">
      <w:pPr>
        <w:spacing w:after="0" w:line="480" w:lineRule="auto"/>
        <w:ind w:firstLine="360"/>
      </w:pPr>
      <w:r>
        <w:t xml:space="preserve">Previous studies have looked at incarcerated students, as opposed to community corrections students.  </w:t>
      </w:r>
      <w:proofErr w:type="spellStart"/>
      <w:r>
        <w:t>Mageehon</w:t>
      </w:r>
      <w:proofErr w:type="spellEnd"/>
      <w:r>
        <w:t xml:space="preserve"> (2003) researched the educational experiences of incarcerated females.  She interviewed three White and two African American participants using ten open-ended questions.  From the answers, </w:t>
      </w:r>
      <w:proofErr w:type="spellStart"/>
      <w:r>
        <w:t>Mageehon</w:t>
      </w:r>
      <w:proofErr w:type="spellEnd"/>
      <w:r>
        <w:t xml:space="preserve"> derived several themes, including positive academic experiences with compassionate teachers in the women’s early school years, traumatic experiences that affected the women’s ability to succeed in school, and an awareness of the learning environment in the correctional setting and its compatibility with the women’s educational comfort level.</w:t>
      </w:r>
    </w:p>
    <w:p w:rsidR="00ED06A4" w:rsidRDefault="00ED06A4" w:rsidP="00ED06A4">
      <w:pPr>
        <w:spacing w:after="0" w:line="480" w:lineRule="auto"/>
        <w:ind w:firstLine="360"/>
      </w:pPr>
      <w:r>
        <w:t xml:space="preserve">Schlesinger (2005) studied the motivation for African American men to participate in correctional education by presenting 15 participants a list of open-ended questions in one-time </w:t>
      </w:r>
      <w:r>
        <w:lastRenderedPageBreak/>
        <w:t xml:space="preserve">interviews. He reconciled reasons for participation in correctional education programs with the inmates’ learning orientations per </w:t>
      </w:r>
      <w:proofErr w:type="spellStart"/>
      <w:r>
        <w:t>Houle’s</w:t>
      </w:r>
      <w:proofErr w:type="spellEnd"/>
      <w:r>
        <w:t xml:space="preserve"> typologies of adult learners and </w:t>
      </w:r>
      <w:proofErr w:type="spellStart"/>
      <w:r>
        <w:t>sociocultural</w:t>
      </w:r>
      <w:proofErr w:type="spellEnd"/>
      <w:r>
        <w:t xml:space="preserve"> motivation theories.  </w:t>
      </w:r>
    </w:p>
    <w:p w:rsidR="00ED06A4" w:rsidRDefault="00ED06A4" w:rsidP="00ED06A4">
      <w:pPr>
        <w:spacing w:after="0" w:line="480" w:lineRule="auto"/>
        <w:ind w:firstLine="360"/>
      </w:pPr>
      <w:proofErr w:type="spellStart"/>
      <w:r>
        <w:t>Batcheled</w:t>
      </w:r>
      <w:proofErr w:type="spellEnd"/>
      <w:r>
        <w:t xml:space="preserve"> and </w:t>
      </w:r>
      <w:proofErr w:type="spellStart"/>
      <w:r>
        <w:t>Rachal</w:t>
      </w:r>
      <w:proofErr w:type="spellEnd"/>
      <w:r>
        <w:t xml:space="preserve"> (2000) used an experimental design to randomly assign 71 inmates to </w:t>
      </w:r>
      <w:proofErr w:type="gramStart"/>
      <w:r>
        <w:t>either traditional</w:t>
      </w:r>
      <w:proofErr w:type="gramEnd"/>
      <w:r>
        <w:t xml:space="preserve"> instruction (control group) or traditional methods plus computer assisted instruction (CAI) to test previous findings about the efficacy of CAI in correctional settings.  The purpose of the study was to determine whether there were statistically significant differences in CASAS scores between inmates who were treated with the traditional instruction methods versus those who were treated with CAI and traditional methods.  </w:t>
      </w:r>
    </w:p>
    <w:p w:rsidR="00ED06A4" w:rsidRDefault="00ED06A4" w:rsidP="00ED06A4">
      <w:pPr>
        <w:spacing w:after="0" w:line="480" w:lineRule="auto"/>
        <w:ind w:firstLine="360"/>
      </w:pPr>
      <w:r>
        <w:t xml:space="preserve">Gee (2006) designed a survey tool to gather inmates’ perceived needs and attitudes about programs and educational opportunities within the jail to determine if complaints about lack of educational opportunities within the jail were accurate.  He also examined the “underlying issue” (Gee, p. 313) of congruence between need and opportunity and recidivism.  His study was composed of 36 participants, 28 males and 8 females.  A survey tool was developed that assessed inmates’ perceived needs and attitudes about programs and educational opportunities within the jail that included open-ended questions to retrieve qualitative data and </w:t>
      </w:r>
      <w:proofErr w:type="spellStart"/>
      <w:r>
        <w:t>Likert</w:t>
      </w:r>
      <w:proofErr w:type="spellEnd"/>
      <w:r>
        <w:t xml:space="preserve">-scaled questions to gather quantitative data.  Quantitative and qualitative questions were mixed and presented together rather than in separate sections.  The instrument was not checked for reliability or validity, but a sample group was given the survey prior to administration of the instrument with the experimental group to determine whether responses were relevant to the questions.  After administration of the survey, responses were coded into four categories of motivation previously established by Parsons and </w:t>
      </w:r>
      <w:proofErr w:type="spellStart"/>
      <w:r>
        <w:t>Langenback</w:t>
      </w:r>
      <w:proofErr w:type="spellEnd"/>
      <w:r>
        <w:t xml:space="preserve"> (as given in Gee, 2006): cognitive control, goal orientation, activity orientation, and avoidance posture.  Chi-square analysis was used to evaluate </w:t>
      </w:r>
      <w:r>
        <w:lastRenderedPageBreak/>
        <w:t xml:space="preserve">surveys and descriptive statistics were used for selected questions.  Surveys were also globally assessed for trends related to curbing recidivism.  Results exhibited the following trends: Programs were viewed in a positive way by inmates, but they would like more intense sessions; participants were goal-oriented, and top goals were substance abuse education and academic opportunities; participants thought addiction support groups (especially for methamphetamine) were needed; participants believed that basic transition skills (family, job, life, financial and social skills) would reduce recidivism. </w:t>
      </w:r>
    </w:p>
    <w:p w:rsidR="00ED06A4" w:rsidRDefault="00ED06A4" w:rsidP="00ED06A4">
      <w:pPr>
        <w:spacing w:after="0" w:line="480" w:lineRule="auto"/>
      </w:pPr>
      <w:r>
        <w:tab/>
        <w:t xml:space="preserve">These studies have provided the fields of adult and correctional education with interesting data on incarcerated populations.  However, generalizing these findings to community corrections populations may be spurious.  At the very least, the experiences of incarcerated students are existentially different than those of students who are not incarcerated (Judicial Council of California, 2010; Sykes, 2007). </w:t>
      </w:r>
      <w:proofErr w:type="gramStart"/>
      <w:r>
        <w:t>in</w:t>
      </w:r>
      <w:proofErr w:type="gramEnd"/>
      <w:r>
        <w:t xml:space="preserve"> addition, the existential experience of incarcerated women may be different from those of men because of institutional practices that may magnify social inequalities within prison walls (</w:t>
      </w:r>
      <w:proofErr w:type="spellStart"/>
      <w:r>
        <w:t>Zaitzow</w:t>
      </w:r>
      <w:proofErr w:type="spellEnd"/>
      <w:r>
        <w:t>, 2003), leaving women in need of a re-birth after the existential death of prison (Jose-</w:t>
      </w:r>
      <w:proofErr w:type="spellStart"/>
      <w:r>
        <w:t>Kampfner</w:t>
      </w:r>
      <w:proofErr w:type="spellEnd"/>
      <w:r>
        <w:t xml:space="preserve">, 1990). </w:t>
      </w:r>
    </w:p>
    <w:p w:rsidR="00ED06A4" w:rsidRDefault="00ED06A4" w:rsidP="00ED06A4">
      <w:pPr>
        <w:spacing w:after="0" w:line="480" w:lineRule="auto"/>
        <w:ind w:firstLine="720"/>
      </w:pPr>
      <w:r>
        <w:t xml:space="preserve">All of these differences that exist between correctional adult education and non-correctional adult education indicate a veritable chasm between adult education practices in these two disparate settings. Understanding these differences is the first step to addressing them through the provision of professional development that acknowledges differences between adult and non-adult students and correctional and non-correctional students. </w:t>
      </w:r>
    </w:p>
    <w:p w:rsidR="00ED06A4" w:rsidRDefault="00ED06A4" w:rsidP="00ED06A4">
      <w:pPr>
        <w:spacing w:after="0" w:line="480" w:lineRule="auto"/>
        <w:ind w:firstLine="720"/>
      </w:pPr>
      <w:r>
        <w:t xml:space="preserve">Having provided a context within which to situate this study, the next section will examine what place this research may have in the professional literature. This begins with the work on professional development.    </w:t>
      </w:r>
    </w:p>
    <w:p w:rsidR="00ED06A4" w:rsidRDefault="00ED06A4" w:rsidP="00ED06A4">
      <w:pPr>
        <w:pStyle w:val="Heading2"/>
      </w:pPr>
      <w:bookmarkStart w:id="11" w:name="_Toc309015911"/>
      <w:r>
        <w:lastRenderedPageBreak/>
        <w:t>A Place in the Literature for This Research</w:t>
      </w:r>
      <w:bookmarkEnd w:id="11"/>
    </w:p>
    <w:p w:rsidR="00ED06A4" w:rsidRDefault="00ED06A4" w:rsidP="00ED06A4">
      <w:pPr>
        <w:spacing w:after="0" w:line="480" w:lineRule="auto"/>
      </w:pPr>
      <w:r>
        <w:tab/>
        <w:t xml:space="preserve">The field of teacher learning and professional development is fraught with ideas that often have little basis in research. The linkages between professional development and teacher learning and between teacher learning and student learning outcomes are tenuous at best. Even less research has been done in the area of teachers’ professional development and correctional student outcomes. </w:t>
      </w:r>
    </w:p>
    <w:p w:rsidR="00ED06A4" w:rsidRDefault="00ED06A4" w:rsidP="00ED06A4">
      <w:pPr>
        <w:spacing w:after="0" w:line="480" w:lineRule="auto"/>
      </w:pPr>
      <w:r>
        <w:tab/>
      </w:r>
      <w:proofErr w:type="spellStart"/>
      <w:r>
        <w:t>MacCormick</w:t>
      </w:r>
      <w:proofErr w:type="spellEnd"/>
      <w:r>
        <w:t xml:space="preserve"> (1930) noted that teachers were ill prepared to teach in correctional situations, and the assessment</w:t>
      </w:r>
      <w:r w:rsidDel="00860A47">
        <w:t xml:space="preserve"> </w:t>
      </w:r>
      <w:r>
        <w:t xml:space="preserve">has been echoed since then. </w:t>
      </w:r>
      <w:proofErr w:type="spellStart"/>
      <w:r>
        <w:t>Nordé</w:t>
      </w:r>
      <w:proofErr w:type="spellEnd"/>
      <w:r>
        <w:t xml:space="preserve"> (1977) found that few teachers teaching in correctional facilities had any formal training for the job. It appears that most teachers in correctional institutions receive their training on the job, and there is a general lament at the lack of adequate pre-service training for teachers who choose to venture into the correctional setting (Ashcroft, 1999). This extends to the area of community corrections.</w:t>
      </w:r>
    </w:p>
    <w:p w:rsidR="00ED06A4" w:rsidRDefault="00ED06A4" w:rsidP="00ED06A4">
      <w:pPr>
        <w:spacing w:after="0" w:line="480" w:lineRule="auto"/>
        <w:ind w:firstLine="720"/>
      </w:pPr>
      <w:r>
        <w:t xml:space="preserve">The lack of research on teachers working with community corrections’ clients would seem to indicate that these teachers have somehow been lumped into general community-based GED/ABE programs, without taking into account that they are working with a special population (that of correctional clients) and without the normal power structures of a correctional environment to mediate the experience. Teachers’ work in prisons and other correctional institutions has been researched, but it is believed that there is a very large gap between teachers working on the inside in jails and prisons and teachers working on the outside in community programs with coerced students. </w:t>
      </w:r>
    </w:p>
    <w:p w:rsidR="00ED06A4" w:rsidRDefault="00ED06A4" w:rsidP="00ED06A4">
      <w:pPr>
        <w:spacing w:after="0" w:line="480" w:lineRule="auto"/>
      </w:pPr>
      <w:r>
        <w:tab/>
        <w:t xml:space="preserve">This research hopes to provide more data on the subject of how teachers view coerced students in community programs. This knowledge may then be used in pre-service training and </w:t>
      </w:r>
      <w:r>
        <w:lastRenderedPageBreak/>
        <w:t xml:space="preserve">other professional development activities to prepare teachers for their unique teaching experience. </w:t>
      </w:r>
    </w:p>
    <w:p w:rsidR="00ED06A4" w:rsidRDefault="00ED06A4" w:rsidP="00ED06A4">
      <w:pPr>
        <w:spacing w:after="0" w:line="480" w:lineRule="auto"/>
      </w:pPr>
      <w:r>
        <w:tab/>
        <w:t xml:space="preserve">Phenomenological research on the subject of teachers’ experiences working with adult students in community corrections educational programs is a very open area of research. While phenomenological studies have been conducted with teachers instructing incarcerated students (Adams, 1970; </w:t>
      </w:r>
      <w:proofErr w:type="spellStart"/>
      <w:r>
        <w:t>DelliCarpini</w:t>
      </w:r>
      <w:proofErr w:type="spellEnd"/>
      <w:r>
        <w:t xml:space="preserve">, 2003; Edwards-Willey &amp; </w:t>
      </w:r>
      <w:proofErr w:type="spellStart"/>
      <w:r>
        <w:t>Chivers</w:t>
      </w:r>
      <w:proofErr w:type="spellEnd"/>
      <w:r>
        <w:t xml:space="preserve">, 2005; Fox, 1991; </w:t>
      </w:r>
      <w:proofErr w:type="spellStart"/>
      <w:r>
        <w:t>Kratcoski</w:t>
      </w:r>
      <w:proofErr w:type="spellEnd"/>
      <w:r>
        <w:t xml:space="preserve">, 1982; </w:t>
      </w:r>
      <w:proofErr w:type="spellStart"/>
      <w:r>
        <w:t>Mearns</w:t>
      </w:r>
      <w:proofErr w:type="spellEnd"/>
      <w:r>
        <w:t xml:space="preserve">, 1997; </w:t>
      </w:r>
      <w:proofErr w:type="spellStart"/>
      <w:r>
        <w:t>Muth</w:t>
      </w:r>
      <w:proofErr w:type="spellEnd"/>
      <w:r>
        <w:t xml:space="preserve">, 2008; </w:t>
      </w:r>
      <w:proofErr w:type="spellStart"/>
      <w:r>
        <w:t>Muth</w:t>
      </w:r>
      <w:proofErr w:type="spellEnd"/>
      <w:r>
        <w:t xml:space="preserve"> &amp; Kiser, 2008; Wright, 2005), the area of community instruction with coerced clients is a virgin field. It is hoped that this research will clear ground in this area and that future researchers will cultivate the exploration of this environment.</w:t>
      </w:r>
    </w:p>
    <w:p w:rsidR="00ED06A4" w:rsidRDefault="00ED06A4" w:rsidP="00ED06A4">
      <w:pPr>
        <w:pStyle w:val="Heading2"/>
      </w:pPr>
      <w:bookmarkStart w:id="12" w:name="_Toc309015912"/>
      <w:r>
        <w:t>Teacher Learning and Professional Development</w:t>
      </w:r>
      <w:bookmarkEnd w:id="12"/>
    </w:p>
    <w:p w:rsidR="00ED06A4" w:rsidRDefault="00ED06A4" w:rsidP="00ED06A4">
      <w:pPr>
        <w:pStyle w:val="Heading3"/>
      </w:pPr>
      <w:r>
        <w:t>What is Professional Development?</w:t>
      </w:r>
    </w:p>
    <w:p w:rsidR="00ED06A4" w:rsidRDefault="00ED06A4" w:rsidP="00ED06A4">
      <w:pPr>
        <w:pStyle w:val="BodyText"/>
        <w:spacing w:after="0" w:line="480" w:lineRule="auto"/>
        <w:ind w:firstLine="720"/>
        <w:rPr>
          <w:iCs/>
        </w:rPr>
      </w:pPr>
      <w:proofErr w:type="spellStart"/>
      <w:r>
        <w:rPr>
          <w:iCs/>
        </w:rPr>
        <w:t>Jeris</w:t>
      </w:r>
      <w:proofErr w:type="spellEnd"/>
      <w:r>
        <w:rPr>
          <w:iCs/>
        </w:rPr>
        <w:t xml:space="preserve"> (2010) began her chapter on continuing professional education in the </w:t>
      </w:r>
      <w:r>
        <w:t>Handbook of Adult and Continuing Education</w:t>
      </w:r>
      <w:r>
        <w:rPr>
          <w:iCs/>
        </w:rPr>
        <w:t xml:space="preserve"> with this thought: “Newcomers to the field of adult and continuing education are often surprised, perhaps even dismayed, with what may appear to them to be an inability of scholars in the field to define terms, write straightforward histories of important events and movements, and delineate areas of emphasis within the field in unambiguous terms” (p. 275). This statement could not be truer of the area of professional development. </w:t>
      </w:r>
      <w:proofErr w:type="gramStart"/>
      <w:r>
        <w:rPr>
          <w:iCs/>
        </w:rPr>
        <w:t xml:space="preserve">Despite </w:t>
      </w:r>
      <w:proofErr w:type="spellStart"/>
      <w:r>
        <w:rPr>
          <w:iCs/>
        </w:rPr>
        <w:t>Guskey’s</w:t>
      </w:r>
      <w:proofErr w:type="spellEnd"/>
      <w:r>
        <w:rPr>
          <w:iCs/>
        </w:rPr>
        <w:t xml:space="preserve"> (1995) statement that “the research base on professional development in education is quite extensive” (p. 2), the field is heavy on ideas and light on research to support them (Wayne, Yoon, Zhu, </w:t>
      </w:r>
      <w:proofErr w:type="spellStart"/>
      <w:r>
        <w:rPr>
          <w:iCs/>
        </w:rPr>
        <w:t>Cronen</w:t>
      </w:r>
      <w:proofErr w:type="spellEnd"/>
      <w:r>
        <w:rPr>
          <w:iCs/>
        </w:rPr>
        <w:t xml:space="preserve">, &amp; </w:t>
      </w:r>
      <w:proofErr w:type="spellStart"/>
      <w:r>
        <w:rPr>
          <w:iCs/>
        </w:rPr>
        <w:t>Garet</w:t>
      </w:r>
      <w:proofErr w:type="spellEnd"/>
      <w:r>
        <w:rPr>
          <w:iCs/>
        </w:rPr>
        <w:t>, 2008).</w:t>
      </w:r>
      <w:proofErr w:type="gramEnd"/>
      <w:r>
        <w:rPr>
          <w:iCs/>
        </w:rPr>
        <w:t xml:space="preserve"> Known as “professional development” (the term that will be used throughout this report), “continuing professional development,” “continuing education,” “continuing professional education,” “professional </w:t>
      </w:r>
      <w:r>
        <w:rPr>
          <w:iCs/>
        </w:rPr>
        <w:lastRenderedPageBreak/>
        <w:t xml:space="preserve">learning,” or “continuing professional learning,” defining professional development is itself a contentious matter. </w:t>
      </w:r>
    </w:p>
    <w:p w:rsidR="00ED06A4" w:rsidRDefault="00ED06A4" w:rsidP="00ED06A4">
      <w:pPr>
        <w:pStyle w:val="BodyText"/>
        <w:spacing w:after="0" w:line="480" w:lineRule="auto"/>
        <w:ind w:firstLine="720"/>
        <w:rPr>
          <w:iCs/>
        </w:rPr>
      </w:pPr>
      <w:r>
        <w:rPr>
          <w:iCs/>
        </w:rPr>
        <w:t xml:space="preserve">Professional development is often understood to be training in which educators are provided with “episodic updates of information delivered in a didactic manner, separated from engagement with authentic work experiences” (Webster-Wright, 2009, p. 703). </w:t>
      </w:r>
      <w:proofErr w:type="spellStart"/>
      <w:r>
        <w:rPr>
          <w:iCs/>
        </w:rPr>
        <w:t>Feist</w:t>
      </w:r>
      <w:proofErr w:type="spellEnd"/>
      <w:r>
        <w:rPr>
          <w:iCs/>
        </w:rPr>
        <w:t xml:space="preserve"> (2003) suggested that professional development in education is often understood as “an organized effort to change teachers with the expected result of improving their teaching practice and student learning” (p. 30). This is reflected in Corcoran’s (1995) statement that “teachers need to deepen their content knowledge and learn new methods of teaching. They need more time to work with colleagues, to critically examine the new standards being proposed, and to revise curriculum. </w:t>
      </w:r>
      <w:proofErr w:type="gramStart"/>
      <w:r>
        <w:rPr>
          <w:iCs/>
        </w:rPr>
        <w:t>They need opportunities to develop, master and reflect on new approaches to working with children” (p. 1).</w:t>
      </w:r>
      <w:proofErr w:type="gramEnd"/>
      <w:r>
        <w:rPr>
          <w:iCs/>
        </w:rPr>
        <w:t xml:space="preserve"> </w:t>
      </w:r>
      <w:proofErr w:type="spellStart"/>
      <w:r>
        <w:rPr>
          <w:iCs/>
        </w:rPr>
        <w:t>Hiebert</w:t>
      </w:r>
      <w:proofErr w:type="spellEnd"/>
      <w:r>
        <w:rPr>
          <w:iCs/>
        </w:rPr>
        <w:t xml:space="preserve"> (1999) drew similar conclusions about the need for content focus and in-depth learning opportunities for teachers from findings about high quality professional development in mathematics teaching and learning. </w:t>
      </w:r>
      <w:proofErr w:type="spellStart"/>
      <w:r>
        <w:rPr>
          <w:iCs/>
        </w:rPr>
        <w:t>Kerka</w:t>
      </w:r>
      <w:proofErr w:type="spellEnd"/>
      <w:r>
        <w:rPr>
          <w:iCs/>
        </w:rPr>
        <w:t xml:space="preserve"> (2003) stated that the field of adult education “appears to be shifting away from one-shot, discrete events focused on transmission of knowledge and information to practitioner engagement in sustained knowledge construction and collaboration involving professionally meaningful questions” (p. 1). Such views were extended by King (2002) and </w:t>
      </w:r>
      <w:proofErr w:type="spellStart"/>
      <w:r>
        <w:rPr>
          <w:iCs/>
        </w:rPr>
        <w:t>Cranton</w:t>
      </w:r>
      <w:proofErr w:type="spellEnd"/>
      <w:r>
        <w:rPr>
          <w:iCs/>
        </w:rPr>
        <w:t xml:space="preserve"> and King (2003) to suggest that the goal of professional development should be transformative learning. Ferraro (2000) suggested that reflective practice is a beneficial component in professional development. Hawley and </w:t>
      </w:r>
      <w:proofErr w:type="spellStart"/>
      <w:r>
        <w:rPr>
          <w:iCs/>
        </w:rPr>
        <w:t>Valli</w:t>
      </w:r>
      <w:proofErr w:type="spellEnd"/>
      <w:r>
        <w:rPr>
          <w:iCs/>
        </w:rPr>
        <w:t xml:space="preserve"> (2000) observed that professional development has moved into a learner-centered design. These later views indicate current directions in the field and serve to begin establishing a working definition of professional development as instruction, of whatever nature, designed to facilitate professional learning. </w:t>
      </w:r>
    </w:p>
    <w:p w:rsidR="00ED06A4" w:rsidRDefault="00ED06A4" w:rsidP="00ED06A4">
      <w:pPr>
        <w:pStyle w:val="BodyText"/>
        <w:spacing w:after="0" w:line="480" w:lineRule="auto"/>
        <w:ind w:firstLine="720"/>
        <w:rPr>
          <w:iCs/>
        </w:rPr>
      </w:pPr>
      <w:r>
        <w:rPr>
          <w:iCs/>
        </w:rPr>
        <w:lastRenderedPageBreak/>
        <w:t>Each of these views of professional development was derived from particular philosophies based in differing epistemological and ontological assumptions (</w:t>
      </w:r>
      <w:proofErr w:type="spellStart"/>
      <w:r>
        <w:rPr>
          <w:iCs/>
        </w:rPr>
        <w:t>Kwakman</w:t>
      </w:r>
      <w:proofErr w:type="spellEnd"/>
      <w:r>
        <w:rPr>
          <w:iCs/>
        </w:rPr>
        <w:t>, 2003; Webster-Wright, 2003), thus contributing to the varied ideas within the field. One thing that ties most of these ideas together, however, is the practical focus of professional development. Professional development is designed to do something, to achieve some goal beyond providing information to teachers. It is designed to change teachers and, as a result, change students. Despite St. Clair’s (2004) suggestion that research and practice in adult education can happily coexist without contributing much to each other, research in professional development is meant to provide knowledge that can contribute to the practice of adult education and facilitate student learning (Smith &amp; Gillespie, 2007). This expands the definition of professional development to be understood as instruction, of whatever nature, designed to facilitate professional learning that, in turn, contributes to student learning. This creates a reflexive relationship between teacher learning and student learning. In order for students to learn within the increasingly demanding environment characterized by educational reform, teachers must adapt to the same environment (</w:t>
      </w:r>
      <w:proofErr w:type="spellStart"/>
      <w:r>
        <w:rPr>
          <w:iCs/>
        </w:rPr>
        <w:t>Garet</w:t>
      </w:r>
      <w:proofErr w:type="spellEnd"/>
      <w:r>
        <w:rPr>
          <w:iCs/>
        </w:rPr>
        <w:t xml:space="preserve">, Porter, </w:t>
      </w:r>
      <w:proofErr w:type="spellStart"/>
      <w:r>
        <w:rPr>
          <w:iCs/>
        </w:rPr>
        <w:t>Desimones</w:t>
      </w:r>
      <w:proofErr w:type="spellEnd"/>
      <w:r>
        <w:rPr>
          <w:iCs/>
        </w:rPr>
        <w:t xml:space="preserve">, </w:t>
      </w:r>
      <w:proofErr w:type="spellStart"/>
      <w:r>
        <w:rPr>
          <w:iCs/>
        </w:rPr>
        <w:t>Birman</w:t>
      </w:r>
      <w:proofErr w:type="spellEnd"/>
      <w:r>
        <w:rPr>
          <w:iCs/>
        </w:rPr>
        <w:t xml:space="preserve">, &amp; </w:t>
      </w:r>
      <w:proofErr w:type="gramStart"/>
      <w:r>
        <w:rPr>
          <w:iCs/>
        </w:rPr>
        <w:t>Yoon.,</w:t>
      </w:r>
      <w:proofErr w:type="gramEnd"/>
      <w:r>
        <w:rPr>
          <w:iCs/>
        </w:rPr>
        <w:t xml:space="preserve"> 2001; </w:t>
      </w:r>
      <w:proofErr w:type="spellStart"/>
      <w:r>
        <w:rPr>
          <w:iCs/>
        </w:rPr>
        <w:t>Kwakman</w:t>
      </w:r>
      <w:proofErr w:type="spellEnd"/>
      <w:r>
        <w:rPr>
          <w:iCs/>
        </w:rPr>
        <w:t xml:space="preserve">, 2003). Professional development is thus composed of two characteristics: a) It facilitates professional learning, and b) that learning contributes to student learning. </w:t>
      </w:r>
    </w:p>
    <w:p w:rsidR="00ED06A4" w:rsidRDefault="00ED06A4" w:rsidP="00ED06A4">
      <w:pPr>
        <w:pStyle w:val="Heading3"/>
      </w:pPr>
      <w:proofErr w:type="gramStart"/>
      <w:r>
        <w:t>Research on Professional Development and Teacher Change.</w:t>
      </w:r>
      <w:proofErr w:type="gramEnd"/>
    </w:p>
    <w:p w:rsidR="00ED06A4" w:rsidRDefault="00ED06A4" w:rsidP="00ED06A4">
      <w:pPr>
        <w:pStyle w:val="BodyText"/>
        <w:spacing w:after="0" w:line="480" w:lineRule="auto"/>
        <w:rPr>
          <w:iCs/>
        </w:rPr>
      </w:pPr>
      <w:r>
        <w:rPr>
          <w:i/>
          <w:iCs/>
        </w:rPr>
        <w:tab/>
      </w:r>
      <w:r>
        <w:rPr>
          <w:iCs/>
        </w:rPr>
        <w:t xml:space="preserve">While this research deals with adult students, the adult education literature is generally lacking in research on professional development. Conceptual and theoretical articles are plentiful, and training articles are readily accessed (Brookfield, 1995; </w:t>
      </w:r>
      <w:proofErr w:type="spellStart"/>
      <w:r>
        <w:rPr>
          <w:iCs/>
        </w:rPr>
        <w:t>Cervero</w:t>
      </w:r>
      <w:proofErr w:type="spellEnd"/>
      <w:r>
        <w:rPr>
          <w:iCs/>
        </w:rPr>
        <w:t xml:space="preserve">, 1988; </w:t>
      </w:r>
      <w:proofErr w:type="spellStart"/>
      <w:r>
        <w:rPr>
          <w:iCs/>
        </w:rPr>
        <w:t>Cranton</w:t>
      </w:r>
      <w:proofErr w:type="spellEnd"/>
      <w:r>
        <w:rPr>
          <w:iCs/>
        </w:rPr>
        <w:t xml:space="preserve">, 1996; </w:t>
      </w:r>
      <w:proofErr w:type="spellStart"/>
      <w:r>
        <w:rPr>
          <w:iCs/>
        </w:rPr>
        <w:t>Cranton</w:t>
      </w:r>
      <w:proofErr w:type="spellEnd"/>
      <w:r>
        <w:rPr>
          <w:iCs/>
        </w:rPr>
        <w:t xml:space="preserve"> &amp; King, 2003; Ferraro, 2000; Speck, 1996). Research on professional </w:t>
      </w:r>
      <w:r>
        <w:rPr>
          <w:iCs/>
        </w:rPr>
        <w:lastRenderedPageBreak/>
        <w:t xml:space="preserve">development and teacher change, however, is lacking, with the exception of Smith, Hofer, Gillespie, Solomon, and Rowe’s study (in Blakely &amp; Tomlin, 2008). </w:t>
      </w:r>
    </w:p>
    <w:p w:rsidR="00ED06A4" w:rsidRDefault="00ED06A4" w:rsidP="00ED06A4">
      <w:pPr>
        <w:pStyle w:val="BodyText"/>
        <w:spacing w:after="0" w:line="480" w:lineRule="auto"/>
        <w:ind w:firstLine="720"/>
        <w:rPr>
          <w:iCs/>
        </w:rPr>
      </w:pPr>
      <w:r>
        <w:rPr>
          <w:iCs/>
        </w:rPr>
        <w:t xml:space="preserve">Research cited in professional development articles usually uses research done in K-12 settings to validate suggestions about adult education. Even in the K-12 literature, there is a plethora of opinions on what needs to be done and what should be done, but there is very little research to back up the assertions of those making these statements. It may be noted in passing that the </w:t>
      </w:r>
      <w:r>
        <w:rPr>
          <w:i/>
        </w:rPr>
        <w:t>New Directions for Adult &amp; Continuing Education</w:t>
      </w:r>
      <w:r>
        <w:rPr>
          <w:iCs/>
        </w:rPr>
        <w:t xml:space="preserve"> series, one of the premier professional journals in adult education, has yet to publish an issue dealing with professional development. </w:t>
      </w:r>
    </w:p>
    <w:p w:rsidR="00ED06A4" w:rsidRDefault="00ED06A4" w:rsidP="00ED06A4">
      <w:pPr>
        <w:pStyle w:val="BodyText"/>
        <w:spacing w:after="0" w:line="480" w:lineRule="auto"/>
        <w:ind w:firstLine="720"/>
        <w:rPr>
          <w:iCs/>
        </w:rPr>
      </w:pPr>
      <w:r>
        <w:rPr>
          <w:iCs/>
        </w:rPr>
        <w:t>For this study, five research articles from the K-12 literature were identified as providing a foundation for understanding the relationship, or lack of relationship, between professional development and teacher change. One article was identified as dealing with adult education and professional development. The K-12 articles will be addressed</w:t>
      </w:r>
      <w:r w:rsidRPr="00BD26E4">
        <w:rPr>
          <w:iCs/>
        </w:rPr>
        <w:t xml:space="preserve"> </w:t>
      </w:r>
      <w:r>
        <w:rPr>
          <w:iCs/>
        </w:rPr>
        <w:t xml:space="preserve">first, and then the adult education article will be examined.  </w:t>
      </w:r>
    </w:p>
    <w:p w:rsidR="00ED06A4" w:rsidRDefault="00ED06A4" w:rsidP="00ED06A4">
      <w:pPr>
        <w:pStyle w:val="BodyText"/>
        <w:spacing w:after="0" w:line="480" w:lineRule="auto"/>
        <w:rPr>
          <w:iCs/>
        </w:rPr>
      </w:pPr>
      <w:r>
        <w:rPr>
          <w:iCs/>
        </w:rPr>
        <w:tab/>
        <w:t xml:space="preserve">Porter, </w:t>
      </w:r>
      <w:proofErr w:type="spellStart"/>
      <w:r>
        <w:rPr>
          <w:iCs/>
        </w:rPr>
        <w:t>Garet</w:t>
      </w:r>
      <w:proofErr w:type="spellEnd"/>
      <w:r>
        <w:rPr>
          <w:iCs/>
        </w:rPr>
        <w:t xml:space="preserve">, </w:t>
      </w:r>
      <w:proofErr w:type="spellStart"/>
      <w:r>
        <w:rPr>
          <w:iCs/>
        </w:rPr>
        <w:t>Desimones</w:t>
      </w:r>
      <w:proofErr w:type="spellEnd"/>
      <w:r>
        <w:rPr>
          <w:iCs/>
        </w:rPr>
        <w:t xml:space="preserve">, Yoon, and </w:t>
      </w:r>
      <w:proofErr w:type="spellStart"/>
      <w:r>
        <w:rPr>
          <w:iCs/>
        </w:rPr>
        <w:t>Birman</w:t>
      </w:r>
      <w:proofErr w:type="spellEnd"/>
      <w:r>
        <w:rPr>
          <w:iCs/>
        </w:rPr>
        <w:t xml:space="preserve"> (2000) conducted a three-year longitudinal study of approximately 300 teachers by looking at the question of whether professional development changed teaching practices. Their findings showed several things:</w:t>
      </w:r>
    </w:p>
    <w:p w:rsidR="00ED06A4" w:rsidRDefault="00ED06A4" w:rsidP="00ED06A4">
      <w:pPr>
        <w:pStyle w:val="BodyText"/>
        <w:spacing w:after="0" w:line="480" w:lineRule="auto"/>
        <w:ind w:left="720"/>
        <w:rPr>
          <w:iCs/>
        </w:rPr>
      </w:pPr>
      <w:r>
        <w:rPr>
          <w:iCs/>
        </w:rPr>
        <w:t>Professional development focused on specific, higher-order teaching strategies increases teachers’ use of those strategies in the classroom. This effect is even stronger when the professional development activity is reform type (e.g., teacher network or study group) rather than a traditional workshop or conference; provides opportunities for active learning; is coherent or consistent with teachers’ goals and other activities; and involves the participation of teachers from the same subject, grade, or school. (p. 1)</w:t>
      </w:r>
    </w:p>
    <w:p w:rsidR="00ED06A4" w:rsidRDefault="00ED06A4" w:rsidP="00ED06A4">
      <w:pPr>
        <w:pStyle w:val="BodyText"/>
        <w:spacing w:after="0" w:line="480" w:lineRule="auto"/>
        <w:rPr>
          <w:iCs/>
        </w:rPr>
      </w:pPr>
      <w:r>
        <w:rPr>
          <w:iCs/>
        </w:rPr>
        <w:lastRenderedPageBreak/>
        <w:t xml:space="preserve">The longitudinal data showed “little change in overall teaching practice from 1996 to 1999,” but, “despite little </w:t>
      </w:r>
      <w:r>
        <w:t>average</w:t>
      </w:r>
      <w:r>
        <w:rPr>
          <w:iCs/>
        </w:rPr>
        <w:t xml:space="preserve"> change over time in teaching practice in our longitudinal sample, individual teachers in our sample do vary in their classroom practices, and moderate variation does occur in the classroom practice of individual teachers from year to year” (Porter et al., 2000, p. 2). They suggested that a more consistent change in teaching would occur if teachers had consistent, high-quality professional development.</w:t>
      </w:r>
    </w:p>
    <w:p w:rsidR="00ED06A4" w:rsidRDefault="00ED06A4" w:rsidP="00ED06A4">
      <w:pPr>
        <w:pStyle w:val="BodyText"/>
        <w:spacing w:after="0" w:line="480" w:lineRule="auto"/>
        <w:rPr>
          <w:iCs/>
        </w:rPr>
      </w:pPr>
      <w:r>
        <w:rPr>
          <w:iCs/>
        </w:rPr>
        <w:tab/>
      </w:r>
      <w:proofErr w:type="spellStart"/>
      <w:r>
        <w:rPr>
          <w:iCs/>
        </w:rPr>
        <w:t>Garet</w:t>
      </w:r>
      <w:proofErr w:type="spellEnd"/>
      <w:r>
        <w:rPr>
          <w:iCs/>
        </w:rPr>
        <w:t xml:space="preserve"> et al. (2001) studied a national probability sample of 1,027 math and science teachers to determine effects of professional development on teachers’ learning. The data was collected as a part of the Eisenhower Professional Development Program and focused on structural (the structure of the activity) and core (dimensions of the core experience) features. Structural features included form (traditional or reform model), duration (length of time spent in the activity, as well as the length of time the activity took place), and the degree to which collective participation was a part of the structure. Core features included degree of focus on content knowledge, degree of active learning opportunities within the program, and degree of coherence between development activities and teachers’ stated goals. Core issues of focus on the content knowledge, active learning, and coherence with other activities had significant positive effects on self-reported increases in teachers’ knowledge and skills and were facilitated by structural features of duration of the activity, form of the activity, and the collective participation involved in the activity. </w:t>
      </w:r>
    </w:p>
    <w:p w:rsidR="00ED06A4" w:rsidRDefault="00ED06A4" w:rsidP="00ED06A4">
      <w:pPr>
        <w:pStyle w:val="BodyText"/>
        <w:spacing w:after="0" w:line="480" w:lineRule="auto"/>
        <w:rPr>
          <w:iCs/>
        </w:rPr>
      </w:pPr>
      <w:r>
        <w:rPr>
          <w:iCs/>
        </w:rPr>
        <w:tab/>
      </w:r>
      <w:proofErr w:type="spellStart"/>
      <w:r>
        <w:rPr>
          <w:iCs/>
        </w:rPr>
        <w:t>Desimones</w:t>
      </w:r>
      <w:proofErr w:type="spellEnd"/>
      <w:r>
        <w:rPr>
          <w:iCs/>
        </w:rPr>
        <w:t xml:space="preserve">, Porter, </w:t>
      </w:r>
      <w:proofErr w:type="spellStart"/>
      <w:r>
        <w:rPr>
          <w:iCs/>
        </w:rPr>
        <w:t>Garet</w:t>
      </w:r>
      <w:proofErr w:type="spellEnd"/>
      <w:r>
        <w:rPr>
          <w:iCs/>
        </w:rPr>
        <w:t xml:space="preserve">, Yoon, and </w:t>
      </w:r>
      <w:proofErr w:type="spellStart"/>
      <w:r>
        <w:rPr>
          <w:iCs/>
        </w:rPr>
        <w:t>Birman</w:t>
      </w:r>
      <w:proofErr w:type="spellEnd"/>
      <w:r>
        <w:rPr>
          <w:iCs/>
        </w:rPr>
        <w:t xml:space="preserve"> (2002, Summer), as a part of the same series of studies designed for the Eisenhower project (cited above), looked at a sample of 207 teachers in 30 schools in five states and examined professional development effects on teachers’ instructional practice in math and science between 1996-1999. Analysis of the data indicated that </w:t>
      </w:r>
      <w:r>
        <w:rPr>
          <w:iCs/>
        </w:rPr>
        <w:lastRenderedPageBreak/>
        <w:t>professional development that focused on specific instructional practices increased teachers’ use of those practices. It was also found that the use of reform methods, such as active learning opportunities, increased the effect of professional development on teachers’ instruction.</w:t>
      </w:r>
    </w:p>
    <w:p w:rsidR="00ED06A4" w:rsidRDefault="00ED06A4" w:rsidP="00ED06A4">
      <w:pPr>
        <w:pStyle w:val="BodyText"/>
        <w:spacing w:after="0" w:line="480" w:lineRule="auto"/>
        <w:rPr>
          <w:iCs/>
        </w:rPr>
      </w:pPr>
      <w:r>
        <w:rPr>
          <w:iCs/>
        </w:rPr>
        <w:tab/>
      </w:r>
      <w:proofErr w:type="spellStart"/>
      <w:r>
        <w:rPr>
          <w:iCs/>
        </w:rPr>
        <w:t>Ingvarson</w:t>
      </w:r>
      <w:proofErr w:type="spellEnd"/>
      <w:r>
        <w:rPr>
          <w:iCs/>
        </w:rPr>
        <w:t xml:space="preserve">, </w:t>
      </w:r>
      <w:proofErr w:type="spellStart"/>
      <w:r>
        <w:rPr>
          <w:iCs/>
        </w:rPr>
        <w:t>Meiers</w:t>
      </w:r>
      <w:proofErr w:type="spellEnd"/>
      <w:r>
        <w:rPr>
          <w:iCs/>
        </w:rPr>
        <w:t xml:space="preserve">, and Beavis (2005) looked at data on the effects of structural (length) and process (emphasis on content, active learning, examination of student work, feedback and follow-up) features of professional development programs on teacher’s knowledge, practice, student learning, and efficacy. Data were gathered from four studies conducted between 2002 and 2003 and included a data set of 3,250 teachers who participated in 80 individual professional development activities within the studies. Self-reported results indicated consistent significant direct effects across studies for impact of content focus, active learning, and follow-up on knowledge and professional community. Results showed that feedback was rarely used in program design. The impact on teacher efficacy was strongly related to the perceived impact of the activities in the professional development program on teachers’ practice and student learning outcomes. These findings are similar to those found by </w:t>
      </w:r>
      <w:proofErr w:type="spellStart"/>
      <w:r>
        <w:rPr>
          <w:iCs/>
        </w:rPr>
        <w:t>Garet</w:t>
      </w:r>
      <w:proofErr w:type="spellEnd"/>
      <w:r>
        <w:rPr>
          <w:iCs/>
        </w:rPr>
        <w:t xml:space="preserve"> et al. (2001) cited above.</w:t>
      </w:r>
    </w:p>
    <w:p w:rsidR="00ED06A4" w:rsidRDefault="00ED06A4" w:rsidP="00ED06A4">
      <w:pPr>
        <w:pStyle w:val="BodyText"/>
        <w:spacing w:after="0" w:line="480" w:lineRule="auto"/>
        <w:rPr>
          <w:iCs/>
        </w:rPr>
      </w:pPr>
      <w:r>
        <w:rPr>
          <w:iCs/>
        </w:rPr>
        <w:tab/>
      </w:r>
      <w:proofErr w:type="spellStart"/>
      <w:r>
        <w:rPr>
          <w:iCs/>
        </w:rPr>
        <w:t>Penuel</w:t>
      </w:r>
      <w:proofErr w:type="spellEnd"/>
      <w:r>
        <w:rPr>
          <w:iCs/>
        </w:rPr>
        <w:t xml:space="preserve">, Fishman, Yamaguchi, and Gallagher (2007) examined the effects of different characteristics of professional development on a sample of 454 teachers participating in the GLOBE Program, an international earth-science education program. They posed three research questions: What kinds of professional development activities were associated with increased levels of program implementation, what kinds of activities were associated with increases in teachers’ knowledge and changes to teaching practice, and how do support and follow-up after professional development influence program implementation and teacher knowledge and changes to teaching? In response to the first question, results indicated that when professional development focused on aligning program standards with teachers’ curricula and classroom </w:t>
      </w:r>
      <w:r>
        <w:rPr>
          <w:iCs/>
        </w:rPr>
        <w:lastRenderedPageBreak/>
        <w:t xml:space="preserve">activities, teachers felt more efficacy and more often used program protocols. A negative relationship was found between the total number of hours of professional development training and teachers’ efficacy and use of the program protocols. Data related to the second research question showed that coherence was a significant positive predictor of teacher change and knowledge of pedagogy. Collective involvement in professional development activities was also a positive indicator of change, as was reform-type development. Data relating to the third research question showed support increased teacher knowledge, total data reporting, and protocol use. These findings are consistent with those shared by </w:t>
      </w:r>
      <w:proofErr w:type="spellStart"/>
      <w:r>
        <w:rPr>
          <w:iCs/>
        </w:rPr>
        <w:t>Garet</w:t>
      </w:r>
      <w:proofErr w:type="spellEnd"/>
      <w:r>
        <w:rPr>
          <w:iCs/>
        </w:rPr>
        <w:t xml:space="preserve"> (2001) and </w:t>
      </w:r>
      <w:proofErr w:type="spellStart"/>
      <w:r>
        <w:rPr>
          <w:iCs/>
        </w:rPr>
        <w:t>Ingvarson</w:t>
      </w:r>
      <w:proofErr w:type="spellEnd"/>
      <w:r>
        <w:rPr>
          <w:iCs/>
        </w:rPr>
        <w:t xml:space="preserve"> (2005). </w:t>
      </w:r>
    </w:p>
    <w:p w:rsidR="00ED06A4" w:rsidRDefault="00ED06A4" w:rsidP="00ED06A4">
      <w:pPr>
        <w:pStyle w:val="BodyText"/>
        <w:spacing w:after="0" w:line="480" w:lineRule="auto"/>
        <w:rPr>
          <w:iCs/>
        </w:rPr>
      </w:pPr>
      <w:r>
        <w:rPr>
          <w:iCs/>
        </w:rPr>
        <w:tab/>
        <w:t>The five research articles presented above show consistency in some findings, indicating that some aspects of professional development may impact teacher change:</w:t>
      </w:r>
    </w:p>
    <w:p w:rsidR="00ED06A4" w:rsidRDefault="00ED06A4" w:rsidP="00ED06A4">
      <w:pPr>
        <w:pStyle w:val="BodyText"/>
        <w:numPr>
          <w:ilvl w:val="0"/>
          <w:numId w:val="2"/>
        </w:numPr>
        <w:tabs>
          <w:tab w:val="left" w:pos="1080"/>
        </w:tabs>
        <w:spacing w:after="0" w:line="480" w:lineRule="auto"/>
        <w:ind w:firstLine="0"/>
        <w:rPr>
          <w:iCs/>
        </w:rPr>
      </w:pPr>
      <w:r>
        <w:rPr>
          <w:iCs/>
        </w:rPr>
        <w:t>Focus on content knowledge</w:t>
      </w:r>
    </w:p>
    <w:p w:rsidR="00ED06A4" w:rsidRDefault="00ED06A4" w:rsidP="00ED06A4">
      <w:pPr>
        <w:pStyle w:val="BodyText"/>
        <w:numPr>
          <w:ilvl w:val="0"/>
          <w:numId w:val="2"/>
        </w:numPr>
        <w:tabs>
          <w:tab w:val="left" w:pos="1080"/>
        </w:tabs>
        <w:spacing w:after="0" w:line="480" w:lineRule="auto"/>
        <w:ind w:firstLine="0"/>
        <w:rPr>
          <w:iCs/>
        </w:rPr>
      </w:pPr>
      <w:r>
        <w:rPr>
          <w:iCs/>
        </w:rPr>
        <w:t>Reform type active learning</w:t>
      </w:r>
    </w:p>
    <w:p w:rsidR="00ED06A4" w:rsidRDefault="00ED06A4" w:rsidP="00ED06A4">
      <w:pPr>
        <w:pStyle w:val="BodyText"/>
        <w:numPr>
          <w:ilvl w:val="0"/>
          <w:numId w:val="2"/>
        </w:numPr>
        <w:tabs>
          <w:tab w:val="left" w:pos="1080"/>
        </w:tabs>
        <w:spacing w:after="0" w:line="480" w:lineRule="auto"/>
        <w:ind w:firstLine="0"/>
        <w:rPr>
          <w:iCs/>
        </w:rPr>
      </w:pPr>
      <w:r>
        <w:rPr>
          <w:iCs/>
        </w:rPr>
        <w:t>Coherence with teachers’ goals</w:t>
      </w:r>
    </w:p>
    <w:p w:rsidR="00ED06A4" w:rsidRDefault="00ED06A4" w:rsidP="00ED06A4">
      <w:pPr>
        <w:pStyle w:val="BodyText"/>
        <w:numPr>
          <w:ilvl w:val="0"/>
          <w:numId w:val="2"/>
        </w:numPr>
        <w:tabs>
          <w:tab w:val="left" w:pos="1080"/>
        </w:tabs>
        <w:spacing w:after="0" w:line="480" w:lineRule="auto"/>
        <w:ind w:firstLine="0"/>
        <w:rPr>
          <w:iCs/>
        </w:rPr>
      </w:pPr>
      <w:r>
        <w:rPr>
          <w:iCs/>
        </w:rPr>
        <w:t xml:space="preserve">Collective participation </w:t>
      </w:r>
    </w:p>
    <w:p w:rsidR="00ED06A4" w:rsidRDefault="00ED06A4" w:rsidP="00ED06A4">
      <w:pPr>
        <w:pStyle w:val="BodyText"/>
        <w:spacing w:after="0" w:line="480" w:lineRule="auto"/>
        <w:rPr>
          <w:iCs/>
        </w:rPr>
      </w:pPr>
      <w:r>
        <w:rPr>
          <w:iCs/>
        </w:rPr>
        <w:t xml:space="preserve">These four areas appear to consistently affect teachers’ learning in the studies that employed self-report measures. </w:t>
      </w:r>
    </w:p>
    <w:p w:rsidR="00ED06A4" w:rsidRDefault="00ED06A4" w:rsidP="00ED06A4">
      <w:pPr>
        <w:pStyle w:val="BodyText"/>
        <w:spacing w:after="0" w:line="480" w:lineRule="auto"/>
        <w:rPr>
          <w:iCs/>
        </w:rPr>
      </w:pPr>
      <w:r>
        <w:rPr>
          <w:iCs/>
        </w:rPr>
        <w:tab/>
        <w:t xml:space="preserve">The only available research on professional development comes from Smith et al. (in Blakely &amp; Tomlin, 2008). This study was a part of the National Center for the Study of Adult Learning and Literacy Professional Development Study and was conducted with 106 adult education teachers (including Adult Basic Education, GED, and English as a Second Language) in Connecticut, Maine, and Massachusetts between 1998 and 2000. The study looked at how teachers change after their participation in one of three models of professional development: multisession workshops, mentor teacher groups, and practitioner research groups. The study also </w:t>
      </w:r>
      <w:r>
        <w:rPr>
          <w:iCs/>
        </w:rPr>
        <w:lastRenderedPageBreak/>
        <w:t xml:space="preserve">looked at identifying the most important individual, professional development, program and system factors that influenced teacher change. </w:t>
      </w:r>
      <w:r w:rsidRPr="0070558C">
        <w:rPr>
          <w:iCs/>
        </w:rPr>
        <w:t>Using the two dependent variables of overall degree of teacher change, defined as thinking and acting on and off the topic of professional development – learner persistence, and type of teacher change, defined as thinking and acting on the topic of learner persistence, the findings indicated that teachers changed, even if minimally, through gains in knowledge or actions in the classroom.</w:t>
      </w:r>
      <w:r>
        <w:rPr>
          <w:iCs/>
        </w:rPr>
        <w:t xml:space="preserve"> Of the whole sample, 90% (totaling 95% of completers) gained some knowledge on the topic, and 78% of the whole sample (87% of completers) took some action either on or off the topic. Results indicated that the change occurred in teachers’ roles as classroom teachers, as opposed to roles as learners, program members, or members of the field. The research indicated that 72%, or the 83 completers of the program, demonstrated non-integrated change reflected in their thinking, while 24% experienced integrated change. The four most important individual factors in teacher change were identified as follows:</w:t>
      </w:r>
    </w:p>
    <w:p w:rsidR="00ED06A4" w:rsidRDefault="00ED06A4" w:rsidP="00ED06A4">
      <w:pPr>
        <w:pStyle w:val="BodyText"/>
        <w:numPr>
          <w:ilvl w:val="0"/>
          <w:numId w:val="11"/>
        </w:numPr>
        <w:tabs>
          <w:tab w:val="clear" w:pos="780"/>
          <w:tab w:val="num" w:pos="1080"/>
        </w:tabs>
        <w:spacing w:after="0" w:line="480" w:lineRule="auto"/>
        <w:ind w:hanging="60"/>
        <w:rPr>
          <w:iCs/>
        </w:rPr>
      </w:pPr>
      <w:r>
        <w:rPr>
          <w:iCs/>
        </w:rPr>
        <w:t>Teachers’ motivation to attend professional development</w:t>
      </w:r>
    </w:p>
    <w:p w:rsidR="00ED06A4" w:rsidRDefault="00ED06A4" w:rsidP="00ED06A4">
      <w:pPr>
        <w:pStyle w:val="BodyText"/>
        <w:numPr>
          <w:ilvl w:val="0"/>
          <w:numId w:val="11"/>
        </w:numPr>
        <w:tabs>
          <w:tab w:val="clear" w:pos="780"/>
          <w:tab w:val="num" w:pos="1080"/>
        </w:tabs>
        <w:spacing w:after="0" w:line="480" w:lineRule="auto"/>
        <w:ind w:hanging="60"/>
        <w:rPr>
          <w:iCs/>
        </w:rPr>
      </w:pPr>
      <w:r>
        <w:rPr>
          <w:iCs/>
        </w:rPr>
        <w:t>Years of experience in the field of adult education</w:t>
      </w:r>
    </w:p>
    <w:p w:rsidR="00ED06A4" w:rsidRDefault="00ED06A4" w:rsidP="00ED06A4">
      <w:pPr>
        <w:pStyle w:val="BodyText"/>
        <w:numPr>
          <w:ilvl w:val="0"/>
          <w:numId w:val="11"/>
        </w:numPr>
        <w:tabs>
          <w:tab w:val="clear" w:pos="780"/>
          <w:tab w:val="num" w:pos="1080"/>
        </w:tabs>
        <w:spacing w:after="0" w:line="480" w:lineRule="auto"/>
        <w:ind w:hanging="60"/>
        <w:rPr>
          <w:iCs/>
        </w:rPr>
      </w:pPr>
      <w:r>
        <w:rPr>
          <w:iCs/>
        </w:rPr>
        <w:t>Venue of first teaching experience</w:t>
      </w:r>
    </w:p>
    <w:p w:rsidR="00ED06A4" w:rsidRDefault="00ED06A4" w:rsidP="00ED06A4">
      <w:pPr>
        <w:pStyle w:val="BodyText"/>
        <w:numPr>
          <w:ilvl w:val="0"/>
          <w:numId w:val="11"/>
        </w:numPr>
        <w:tabs>
          <w:tab w:val="clear" w:pos="780"/>
          <w:tab w:val="num" w:pos="1080"/>
        </w:tabs>
        <w:spacing w:after="0" w:line="480" w:lineRule="auto"/>
        <w:ind w:hanging="60"/>
        <w:rPr>
          <w:iCs/>
        </w:rPr>
      </w:pPr>
      <w:r>
        <w:rPr>
          <w:iCs/>
        </w:rPr>
        <w:t>Level of formal education.</w:t>
      </w:r>
    </w:p>
    <w:p w:rsidR="00ED06A4" w:rsidRDefault="00ED06A4" w:rsidP="00ED06A4">
      <w:pPr>
        <w:pStyle w:val="BodyText"/>
        <w:spacing w:after="0" w:line="480" w:lineRule="auto"/>
        <w:rPr>
          <w:iCs/>
        </w:rPr>
      </w:pPr>
      <w:r>
        <w:rPr>
          <w:iCs/>
        </w:rPr>
        <w:t xml:space="preserve">The most important professional development factors included hours of professional development attended and quality of the professional development (rated by both researchers and teachers). The most important program and system factors included teachers’ access to benefits and prep time through their adult education job, the program history in addressing learner persistence, teachers’ access to decision-making in the program, access to paid professional </w:t>
      </w:r>
      <w:r>
        <w:rPr>
          <w:iCs/>
        </w:rPr>
        <w:lastRenderedPageBreak/>
        <w:t xml:space="preserve">development time, collegiality, number of working hours, and freedom to make changes in the teaching curriculum. </w:t>
      </w:r>
    </w:p>
    <w:p w:rsidR="00ED06A4" w:rsidRDefault="00ED06A4" w:rsidP="00ED06A4">
      <w:pPr>
        <w:pStyle w:val="BodyText"/>
        <w:spacing w:after="0" w:line="480" w:lineRule="auto"/>
        <w:ind w:firstLine="720"/>
        <w:rPr>
          <w:iCs/>
        </w:rPr>
      </w:pPr>
      <w:r>
        <w:rPr>
          <w:iCs/>
        </w:rPr>
        <w:t xml:space="preserve">The scarcity of the studies makes comparisons between adult education professional development and K-12 professional development spurious at best, although some measures (such as reform activities, etc.) do overlap. Also, the questions guiding the research prevent direct comparisons between the studies. </w:t>
      </w:r>
    </w:p>
    <w:p w:rsidR="00ED06A4" w:rsidRDefault="00ED06A4" w:rsidP="00ED06A4">
      <w:pPr>
        <w:pStyle w:val="Heading3"/>
      </w:pPr>
      <w:proofErr w:type="gramStart"/>
      <w:r>
        <w:t>Research on Teacher Learning and Student Outcomes.</w:t>
      </w:r>
      <w:proofErr w:type="gramEnd"/>
    </w:p>
    <w:p w:rsidR="00ED06A4" w:rsidRDefault="00ED06A4" w:rsidP="00ED06A4">
      <w:pPr>
        <w:pStyle w:val="BodyText"/>
        <w:spacing w:after="0" w:line="480" w:lineRule="auto"/>
        <w:rPr>
          <w:iCs/>
        </w:rPr>
      </w:pPr>
      <w:r>
        <w:rPr>
          <w:iCs/>
        </w:rPr>
        <w:tab/>
        <w:t>Does teachers’ learning affect students’ learning outcomes? This is the essential question because increasing teachers’ learning is not a mandate. Only when teachers’ learning can be shown to influence student outcomes does professional development become a policy concern. Unfortunately, there are no clear-cut effects between teacher and student learning. While teachers are “the most important factor in student achievement” (Smith &amp; Gillespie, 2007, p. 206), they are not the only factor affecting student achievement. Linkages between teachers’ professional development and student outcomes are mediated by a variety of factors, including the situated philosophy of the scholastic environment, organizational factors and parental involvement (St. John et al., 1998; St. John &amp; Ward, 1999). Indirect effects on teachers’ learning and teaching practices may influence educational outcomes (</w:t>
      </w:r>
      <w:proofErr w:type="spellStart"/>
      <w:r>
        <w:rPr>
          <w:iCs/>
        </w:rPr>
        <w:t>Guskey</w:t>
      </w:r>
      <w:proofErr w:type="spellEnd"/>
      <w:r>
        <w:rPr>
          <w:iCs/>
        </w:rPr>
        <w:t xml:space="preserve"> &amp; Sparks, 1997), but these effects are, as stated, indirect and have no supporting evidence upon which to base causal assumptions. </w:t>
      </w:r>
    </w:p>
    <w:p w:rsidR="00ED06A4" w:rsidRDefault="00ED06A4" w:rsidP="00ED06A4">
      <w:pPr>
        <w:pStyle w:val="BodyText"/>
        <w:spacing w:after="0" w:line="480" w:lineRule="auto"/>
        <w:ind w:firstLine="720"/>
        <w:rPr>
          <w:iCs/>
        </w:rPr>
      </w:pPr>
      <w:r>
        <w:rPr>
          <w:iCs/>
        </w:rPr>
        <w:t xml:space="preserve">Similar to the situation with the effects of professional development on teachers’ learning, studies on the effects of teacher professional development on student outcomes are scarce, and studies in adult education are absent. Yoon, Duncan, Lee, </w:t>
      </w:r>
      <w:proofErr w:type="spellStart"/>
      <w:r>
        <w:rPr>
          <w:iCs/>
        </w:rPr>
        <w:t>Scarloss</w:t>
      </w:r>
      <w:proofErr w:type="spellEnd"/>
      <w:r>
        <w:rPr>
          <w:iCs/>
        </w:rPr>
        <w:t xml:space="preserve">, and Shapley (2007) looked at teachers’ professional development impact on student outcomes by examining </w:t>
      </w:r>
      <w:r>
        <w:rPr>
          <w:iCs/>
        </w:rPr>
        <w:lastRenderedPageBreak/>
        <w:t>132 studies in the content areas of reading, math, and science. Out of these 132 studies, only nine met What Works Clearinghouse evidence standards for relevance. Five of the studies were experimental and met evidence standards without reservation. The remaining four studies were composed of three quasi-experimental designs and one group equivalence problem and were categorized as meeting evidence standards with reservations. Despite the significant effect size (0.55) in the studies, they did not account for professional development delivered in a variety of settings or delivered by multiple trainers (both of which may affect outcomes). Because of the dilution effect caused by this constellation of factors, it is unlikely that a direct link between teachers’ professional development and student outcomes will be forthcoming.</w:t>
      </w:r>
    </w:p>
    <w:p w:rsidR="00ED06A4" w:rsidRDefault="00ED06A4" w:rsidP="00ED06A4">
      <w:pPr>
        <w:pStyle w:val="BodyText"/>
        <w:spacing w:after="0" w:line="480" w:lineRule="auto"/>
        <w:rPr>
          <w:iCs/>
        </w:rPr>
      </w:pPr>
      <w:r>
        <w:rPr>
          <w:iCs/>
        </w:rPr>
        <w:tab/>
        <w:t xml:space="preserve">That being the case, there are ways to approach the relationship between professional development and student outcomes. </w:t>
      </w:r>
      <w:proofErr w:type="spellStart"/>
      <w:r>
        <w:rPr>
          <w:iCs/>
        </w:rPr>
        <w:t>Guskey</w:t>
      </w:r>
      <w:proofErr w:type="spellEnd"/>
      <w:r>
        <w:rPr>
          <w:iCs/>
        </w:rPr>
        <w:t xml:space="preserve"> and Sparks (2002) pointed out that “while the relationship between professional development and </w:t>
      </w:r>
      <w:proofErr w:type="gramStart"/>
      <w:r>
        <w:rPr>
          <w:iCs/>
        </w:rPr>
        <w:t>improvements in student learning is</w:t>
      </w:r>
      <w:proofErr w:type="gramEnd"/>
      <w:r>
        <w:rPr>
          <w:iCs/>
        </w:rPr>
        <w:t xml:space="preserve"> complex and multifaceted, it is not random or chaotic” (p. 5). Elements of the constellation can be identified, and interrelatedness between the constructs can be inferred, if not proven, and provide some direction when considering policy measures.</w:t>
      </w:r>
    </w:p>
    <w:p w:rsidR="00ED06A4" w:rsidRDefault="00ED06A4" w:rsidP="00ED06A4">
      <w:pPr>
        <w:pStyle w:val="BodyText"/>
        <w:spacing w:after="0" w:line="480" w:lineRule="auto"/>
        <w:rPr>
          <w:iCs/>
        </w:rPr>
      </w:pPr>
      <w:r>
        <w:rPr>
          <w:iCs/>
        </w:rPr>
        <w:tab/>
        <w:t>St. John and Ward (1999) suggested a preliminary framework for assessing the effects of professional development programs on student outcomes. This framework involves asking five questions that are designed to provide focus when considering state policies addressing development-outcome linkages:</w:t>
      </w:r>
    </w:p>
    <w:p w:rsidR="00ED06A4" w:rsidRDefault="00ED06A4" w:rsidP="00ED06A4">
      <w:pPr>
        <w:pStyle w:val="BodyText"/>
        <w:numPr>
          <w:ilvl w:val="0"/>
          <w:numId w:val="3"/>
        </w:numPr>
        <w:tabs>
          <w:tab w:val="num" w:pos="720"/>
        </w:tabs>
        <w:spacing w:after="0" w:line="480" w:lineRule="auto"/>
        <w:ind w:left="720" w:firstLine="0"/>
        <w:rPr>
          <w:iCs/>
        </w:rPr>
      </w:pPr>
      <w:r>
        <w:rPr>
          <w:iCs/>
        </w:rPr>
        <w:t>Do state policies on professional development recognize the complexity of improving student outcomes?</w:t>
      </w:r>
    </w:p>
    <w:p w:rsidR="00ED06A4" w:rsidRDefault="00ED06A4" w:rsidP="00ED06A4">
      <w:pPr>
        <w:pStyle w:val="BodyText"/>
        <w:numPr>
          <w:ilvl w:val="0"/>
          <w:numId w:val="3"/>
        </w:numPr>
        <w:tabs>
          <w:tab w:val="num" w:pos="1080"/>
        </w:tabs>
        <w:spacing w:after="0" w:line="480" w:lineRule="auto"/>
        <w:ind w:left="720" w:firstLine="0"/>
        <w:rPr>
          <w:iCs/>
        </w:rPr>
      </w:pPr>
      <w:r>
        <w:rPr>
          <w:iCs/>
        </w:rPr>
        <w:t>Are state professional development programs linked to student outcomes in coherent ways?</w:t>
      </w:r>
    </w:p>
    <w:p w:rsidR="00ED06A4" w:rsidRDefault="00ED06A4" w:rsidP="00ED06A4">
      <w:pPr>
        <w:pStyle w:val="BodyText"/>
        <w:numPr>
          <w:ilvl w:val="0"/>
          <w:numId w:val="3"/>
        </w:numPr>
        <w:tabs>
          <w:tab w:val="num" w:pos="1080"/>
        </w:tabs>
        <w:spacing w:after="0" w:line="480" w:lineRule="auto"/>
        <w:ind w:left="720" w:firstLine="0"/>
        <w:rPr>
          <w:iCs/>
        </w:rPr>
      </w:pPr>
      <w:r>
        <w:rPr>
          <w:iCs/>
        </w:rPr>
        <w:lastRenderedPageBreak/>
        <w:t>Is there evidence that professional development programs have influenced student outcomes?</w:t>
      </w:r>
    </w:p>
    <w:p w:rsidR="00ED06A4" w:rsidRDefault="00ED06A4" w:rsidP="00ED06A4">
      <w:pPr>
        <w:pStyle w:val="BodyText"/>
        <w:numPr>
          <w:ilvl w:val="0"/>
          <w:numId w:val="3"/>
        </w:numPr>
        <w:tabs>
          <w:tab w:val="num" w:pos="1080"/>
        </w:tabs>
        <w:spacing w:after="0" w:line="480" w:lineRule="auto"/>
        <w:ind w:left="720" w:firstLine="0"/>
        <w:rPr>
          <w:iCs/>
        </w:rPr>
      </w:pPr>
      <w:r>
        <w:rPr>
          <w:iCs/>
        </w:rPr>
        <w:t>Does the state have a method of accounting for subsidies for professional development?</w:t>
      </w:r>
    </w:p>
    <w:p w:rsidR="00ED06A4" w:rsidRDefault="00ED06A4" w:rsidP="00ED06A4">
      <w:pPr>
        <w:pStyle w:val="BodyText"/>
        <w:numPr>
          <w:ilvl w:val="0"/>
          <w:numId w:val="3"/>
        </w:numPr>
        <w:tabs>
          <w:tab w:val="num" w:pos="1080"/>
        </w:tabs>
        <w:spacing w:after="0" w:line="480" w:lineRule="auto"/>
        <w:ind w:left="720" w:firstLine="0"/>
        <w:rPr>
          <w:iCs/>
        </w:rPr>
      </w:pPr>
      <w:r>
        <w:rPr>
          <w:iCs/>
        </w:rPr>
        <w:t xml:space="preserve">Does the state have a method of linking the subsidies for professional development to improvements in student outcomes? </w:t>
      </w:r>
    </w:p>
    <w:p w:rsidR="00ED06A4" w:rsidRDefault="00ED06A4" w:rsidP="00ED06A4">
      <w:pPr>
        <w:pStyle w:val="BodyText"/>
        <w:spacing w:after="0" w:line="480" w:lineRule="auto"/>
        <w:rPr>
          <w:iCs/>
        </w:rPr>
      </w:pPr>
      <w:r>
        <w:rPr>
          <w:iCs/>
        </w:rPr>
        <w:t>They applied this framework to two states (Ohio and Indiana) that had recently taken steps to implement comprehensive approaches to professional development. They developed two case studies to describe development programs in these states and compared professional development in Ohio and Indiana to that of other states in the region. Results indicated a number of questions that could further guide development of professional development programs:</w:t>
      </w:r>
    </w:p>
    <w:p w:rsidR="00ED06A4" w:rsidRDefault="00ED06A4" w:rsidP="00ED06A4">
      <w:pPr>
        <w:pStyle w:val="BodyText"/>
        <w:numPr>
          <w:ilvl w:val="0"/>
          <w:numId w:val="4"/>
        </w:numPr>
        <w:tabs>
          <w:tab w:val="clear" w:pos="720"/>
          <w:tab w:val="num" w:pos="1080"/>
        </w:tabs>
        <w:spacing w:after="0" w:line="480" w:lineRule="auto"/>
        <w:ind w:firstLine="0"/>
        <w:rPr>
          <w:iCs/>
        </w:rPr>
      </w:pPr>
      <w:r>
        <w:rPr>
          <w:iCs/>
        </w:rPr>
        <w:t xml:space="preserve">What categorical programs have a professional development component (the first component of </w:t>
      </w:r>
      <w:r>
        <w:t>specially directed</w:t>
      </w:r>
      <w:r>
        <w:rPr>
          <w:iCs/>
        </w:rPr>
        <w:t xml:space="preserve"> subsidies)?</w:t>
      </w:r>
    </w:p>
    <w:p w:rsidR="00ED06A4" w:rsidRDefault="00ED06A4" w:rsidP="00ED06A4">
      <w:pPr>
        <w:pStyle w:val="BodyText"/>
        <w:numPr>
          <w:ilvl w:val="0"/>
          <w:numId w:val="4"/>
        </w:numPr>
        <w:tabs>
          <w:tab w:val="clear" w:pos="720"/>
          <w:tab w:val="num" w:pos="1080"/>
        </w:tabs>
        <w:spacing w:after="0" w:line="480" w:lineRule="auto"/>
        <w:ind w:firstLine="0"/>
        <w:rPr>
          <w:iCs/>
        </w:rPr>
      </w:pPr>
      <w:r>
        <w:rPr>
          <w:iCs/>
        </w:rPr>
        <w:t xml:space="preserve">What portion of funds for professional development programs subsidized ongoing professional development (the second component of </w:t>
      </w:r>
      <w:r>
        <w:t>specially directed</w:t>
      </w:r>
      <w:r>
        <w:rPr>
          <w:iCs/>
        </w:rPr>
        <w:t xml:space="preserve"> subsidies)?</w:t>
      </w:r>
    </w:p>
    <w:p w:rsidR="00ED06A4" w:rsidRDefault="00ED06A4" w:rsidP="00ED06A4">
      <w:pPr>
        <w:pStyle w:val="BodyText"/>
        <w:numPr>
          <w:ilvl w:val="0"/>
          <w:numId w:val="4"/>
        </w:numPr>
        <w:tabs>
          <w:tab w:val="clear" w:pos="720"/>
          <w:tab w:val="num" w:pos="1080"/>
        </w:tabs>
        <w:spacing w:after="0" w:line="480" w:lineRule="auto"/>
        <w:ind w:firstLine="0"/>
        <w:rPr>
          <w:iCs/>
        </w:rPr>
      </w:pPr>
      <w:r>
        <w:rPr>
          <w:iCs/>
        </w:rPr>
        <w:t xml:space="preserve">How many professional development days are subsidized through the state funding formula (the first component of estimating </w:t>
      </w:r>
      <w:r>
        <w:t>embedded</w:t>
      </w:r>
      <w:r>
        <w:rPr>
          <w:iCs/>
        </w:rPr>
        <w:t xml:space="preserve"> subsidies)?</w:t>
      </w:r>
    </w:p>
    <w:p w:rsidR="00ED06A4" w:rsidRDefault="00ED06A4" w:rsidP="00ED06A4">
      <w:pPr>
        <w:pStyle w:val="BodyText"/>
        <w:numPr>
          <w:ilvl w:val="0"/>
          <w:numId w:val="4"/>
        </w:numPr>
        <w:tabs>
          <w:tab w:val="clear" w:pos="720"/>
          <w:tab w:val="num" w:pos="1080"/>
        </w:tabs>
        <w:spacing w:after="0" w:line="480" w:lineRule="auto"/>
        <w:ind w:firstLine="0"/>
        <w:rPr>
          <w:iCs/>
        </w:rPr>
      </w:pPr>
      <w:r>
        <w:rPr>
          <w:iCs/>
        </w:rPr>
        <w:t xml:space="preserve">What is the average daily subsidy (e.g., release time, substitutes, etc.) for professional development (the second component of estimating </w:t>
      </w:r>
      <w:r>
        <w:t>embedded</w:t>
      </w:r>
      <w:r>
        <w:rPr>
          <w:iCs/>
        </w:rPr>
        <w:t xml:space="preserve"> subsidies)?</w:t>
      </w:r>
    </w:p>
    <w:p w:rsidR="00ED06A4" w:rsidRDefault="00ED06A4" w:rsidP="00ED06A4">
      <w:pPr>
        <w:pStyle w:val="BodyText"/>
        <w:numPr>
          <w:ilvl w:val="0"/>
          <w:numId w:val="4"/>
        </w:numPr>
        <w:tabs>
          <w:tab w:val="clear" w:pos="720"/>
          <w:tab w:val="num" w:pos="1080"/>
        </w:tabs>
        <w:spacing w:after="0" w:line="480" w:lineRule="auto"/>
        <w:ind w:firstLine="0"/>
        <w:rPr>
          <w:iCs/>
        </w:rPr>
      </w:pPr>
      <w:r>
        <w:rPr>
          <w:iCs/>
        </w:rPr>
        <w:t xml:space="preserve">How do local districts use </w:t>
      </w:r>
      <w:r>
        <w:t>specially directed</w:t>
      </w:r>
      <w:r>
        <w:rPr>
          <w:iCs/>
        </w:rPr>
        <w:t xml:space="preserve"> and </w:t>
      </w:r>
      <w:r>
        <w:t>embedded</w:t>
      </w:r>
      <w:r>
        <w:rPr>
          <w:iCs/>
        </w:rPr>
        <w:t xml:space="preserve"> funds to support professional development (a missing component of most attempts to estimate total subsidies for professional development)?</w:t>
      </w:r>
    </w:p>
    <w:p w:rsidR="00ED06A4" w:rsidRDefault="00ED06A4" w:rsidP="00ED06A4">
      <w:pPr>
        <w:pStyle w:val="BodyText"/>
        <w:numPr>
          <w:ilvl w:val="0"/>
          <w:numId w:val="4"/>
        </w:numPr>
        <w:spacing w:after="0" w:line="480" w:lineRule="auto"/>
        <w:rPr>
          <w:iCs/>
        </w:rPr>
      </w:pPr>
      <w:r>
        <w:rPr>
          <w:iCs/>
        </w:rPr>
        <w:lastRenderedPageBreak/>
        <w:t xml:space="preserve">How </w:t>
      </w:r>
      <w:proofErr w:type="gramStart"/>
      <w:r>
        <w:rPr>
          <w:iCs/>
        </w:rPr>
        <w:t>do state</w:t>
      </w:r>
      <w:proofErr w:type="gramEnd"/>
      <w:r>
        <w:rPr>
          <w:iCs/>
        </w:rPr>
        <w:t xml:space="preserve"> mandates for professional development influence local expenditures on professional development (another missing component of most attempts to estimate the total subsidies for professional development programs)? (St. John, &amp; Ward, 1999, p. 18)</w:t>
      </w:r>
    </w:p>
    <w:p w:rsidR="00ED06A4" w:rsidRDefault="00ED06A4" w:rsidP="00ED06A4">
      <w:pPr>
        <w:pStyle w:val="BodyText"/>
        <w:spacing w:after="0" w:line="480" w:lineRule="auto"/>
        <w:ind w:firstLine="720"/>
        <w:rPr>
          <w:iCs/>
        </w:rPr>
      </w:pPr>
      <w:proofErr w:type="spellStart"/>
      <w:r>
        <w:rPr>
          <w:iCs/>
        </w:rPr>
        <w:t>Guskey</w:t>
      </w:r>
      <w:proofErr w:type="spellEnd"/>
      <w:r>
        <w:rPr>
          <w:iCs/>
        </w:rPr>
        <w:t xml:space="preserve"> and Sparks (2002) described a theoretical model of multidimensional relationship between professional development and improvements in students’ learning. The model suggested that multidimensional factors could be grouped into three major categories: </w:t>
      </w:r>
    </w:p>
    <w:p w:rsidR="00ED06A4" w:rsidRDefault="00ED06A4" w:rsidP="00ED06A4">
      <w:pPr>
        <w:pStyle w:val="BodyText"/>
        <w:numPr>
          <w:ilvl w:val="0"/>
          <w:numId w:val="5"/>
        </w:numPr>
        <w:tabs>
          <w:tab w:val="clear" w:pos="720"/>
          <w:tab w:val="num" w:pos="1080"/>
        </w:tabs>
        <w:spacing w:after="0" w:line="480" w:lineRule="auto"/>
        <w:ind w:firstLine="0"/>
        <w:rPr>
          <w:iCs/>
        </w:rPr>
      </w:pPr>
      <w:r>
        <w:rPr>
          <w:iCs/>
        </w:rPr>
        <w:t xml:space="preserve">content characteristics (new knowledge, skills, and understandings); </w:t>
      </w:r>
    </w:p>
    <w:p w:rsidR="00ED06A4" w:rsidRDefault="00ED06A4" w:rsidP="00ED06A4">
      <w:pPr>
        <w:pStyle w:val="BodyText"/>
        <w:numPr>
          <w:ilvl w:val="0"/>
          <w:numId w:val="5"/>
        </w:numPr>
        <w:tabs>
          <w:tab w:val="clear" w:pos="720"/>
          <w:tab w:val="num" w:pos="1080"/>
        </w:tabs>
        <w:spacing w:after="0" w:line="480" w:lineRule="auto"/>
        <w:ind w:firstLine="0"/>
        <w:rPr>
          <w:iCs/>
        </w:rPr>
      </w:pPr>
      <w:r>
        <w:rPr>
          <w:iCs/>
        </w:rPr>
        <w:t>process variables (types of activities, form of the activities, the manner in which these activities are planned, organized, administered, and followed up); and</w:t>
      </w:r>
    </w:p>
    <w:p w:rsidR="00ED06A4" w:rsidRDefault="00ED06A4" w:rsidP="00ED06A4">
      <w:pPr>
        <w:pStyle w:val="BodyText"/>
        <w:numPr>
          <w:ilvl w:val="0"/>
          <w:numId w:val="5"/>
        </w:numPr>
        <w:tabs>
          <w:tab w:val="clear" w:pos="720"/>
          <w:tab w:val="num" w:pos="1080"/>
        </w:tabs>
        <w:spacing w:after="0" w:line="480" w:lineRule="auto"/>
        <w:ind w:firstLine="0"/>
        <w:rPr>
          <w:iCs/>
        </w:rPr>
      </w:pPr>
      <w:r>
        <w:rPr>
          <w:iCs/>
        </w:rPr>
        <w:t xml:space="preserve">context characteristics (traits of teachers involved in the activities, the environment in which they work, the student population with which they work, organizational culture, the new understandings to be implemented, and policies impacting implementation). </w:t>
      </w:r>
    </w:p>
    <w:p w:rsidR="00ED06A4" w:rsidRDefault="00ED06A4" w:rsidP="00ED06A4">
      <w:pPr>
        <w:pStyle w:val="BodyText"/>
        <w:spacing w:after="0" w:line="480" w:lineRule="auto"/>
        <w:rPr>
          <w:iCs/>
        </w:rPr>
      </w:pPr>
      <w:r>
        <w:rPr>
          <w:iCs/>
        </w:rPr>
        <w:t xml:space="preserve">In order to test their model, they analyzed five randomly selected reports from the National Staff Development Council’s Model School Program, consisting of in-depth case studies of school-based professional development programs. The case studies delineated activities at each site over a period of three years. Three of the programs chosen were considered promising (development led to sustained outcomes in student performance), and two were considered insufficient (development programs led to no changes in instructional practice or observable improvements in student performance). Analysis of data suggested that contributing factors to student outcomes and professional development can be categorized and influencing factors delineated. Influencing factors included recognition that change is a gradual and difficult process for teachers, ensuring teachers receive regular feedback on students’ learning progress and providing follow-up to professional development, support, and pressure to change. It also suggested that linkages </w:t>
      </w:r>
      <w:r>
        <w:rPr>
          <w:iCs/>
        </w:rPr>
        <w:lastRenderedPageBreak/>
        <w:t xml:space="preserve">between teachers’ professional development and increases in student outcomes are a systemic problem and must be addressed in a systemic manner. According to </w:t>
      </w:r>
      <w:proofErr w:type="spellStart"/>
      <w:r>
        <w:rPr>
          <w:iCs/>
        </w:rPr>
        <w:t>Guskey</w:t>
      </w:r>
      <w:proofErr w:type="spellEnd"/>
      <w:r>
        <w:rPr>
          <w:iCs/>
        </w:rPr>
        <w:t xml:space="preserve"> and Sparks (2002), “professional development efforts that do not take into consideration the complex nature of the relationship between professional development and improvement in student learning, or the various factors that impinge on that relationship, are unlikely to succeed” (p. 5). </w:t>
      </w:r>
    </w:p>
    <w:p w:rsidR="00ED06A4" w:rsidRDefault="00ED06A4" w:rsidP="00ED06A4">
      <w:pPr>
        <w:pStyle w:val="Heading3"/>
      </w:pPr>
      <w:proofErr w:type="gramStart"/>
      <w:r>
        <w:t>Relevance of the Research to Adult Education.</w:t>
      </w:r>
      <w:proofErr w:type="gramEnd"/>
    </w:p>
    <w:p w:rsidR="00ED06A4" w:rsidRDefault="00ED06A4" w:rsidP="00ED06A4">
      <w:pPr>
        <w:pStyle w:val="BodyText"/>
        <w:spacing w:after="0" w:line="480" w:lineRule="auto"/>
        <w:ind w:firstLine="720"/>
        <w:rPr>
          <w:iCs/>
        </w:rPr>
      </w:pPr>
      <w:r>
        <w:rPr>
          <w:iCs/>
        </w:rPr>
        <w:t>Adult education and adult educators come into discussion most often in professional development in the context of how adult learning theories can be applied to teaching K-12 teachers (</w:t>
      </w:r>
      <w:proofErr w:type="spellStart"/>
      <w:r>
        <w:rPr>
          <w:iCs/>
        </w:rPr>
        <w:t>Terehoff</w:t>
      </w:r>
      <w:proofErr w:type="spellEnd"/>
      <w:r>
        <w:rPr>
          <w:iCs/>
        </w:rPr>
        <w:t xml:space="preserve">, 2002; Trotter, 2006). Lytle, </w:t>
      </w:r>
      <w:proofErr w:type="spellStart"/>
      <w:r>
        <w:rPr>
          <w:iCs/>
        </w:rPr>
        <w:t>Belzer</w:t>
      </w:r>
      <w:proofErr w:type="spellEnd"/>
      <w:r>
        <w:rPr>
          <w:iCs/>
        </w:rPr>
        <w:t xml:space="preserve">, and </w:t>
      </w:r>
      <w:proofErr w:type="spellStart"/>
      <w:r>
        <w:rPr>
          <w:iCs/>
        </w:rPr>
        <w:t>Reumann</w:t>
      </w:r>
      <w:proofErr w:type="spellEnd"/>
      <w:r>
        <w:rPr>
          <w:iCs/>
        </w:rPr>
        <w:t xml:space="preserve"> (1992) looked at assumptions informing staff development for adult literacy educators and made recommendations for inquiry-based staff development (collaborative work with peers to conduct systematic inquiries at their program settings, critically analyze theories and research and discuss how business is conducted within social, political, and cultural contexts at learning sites). These recommendations are congruent with suggestions for increasing K-12 teachers’ learning in professional development programs, given above. </w:t>
      </w:r>
    </w:p>
    <w:p w:rsidR="00ED06A4" w:rsidRDefault="00ED06A4" w:rsidP="00ED06A4">
      <w:pPr>
        <w:pStyle w:val="BodyText"/>
        <w:spacing w:after="0" w:line="480" w:lineRule="auto"/>
        <w:ind w:firstLine="720"/>
        <w:rPr>
          <w:iCs/>
        </w:rPr>
      </w:pPr>
      <w:r>
        <w:rPr>
          <w:iCs/>
        </w:rPr>
        <w:t xml:space="preserve">While Smith and Gillespie (2007) looked at implications of research for ABE teachers, most of this research was drawn from the K-12 literature. Perhaps the most significant contribution of that paper was in looking at how the situations of ABE teachers often differ from those of traditional K-12 teachers, thus highlighting the expanded constellation of factors affecting teachers’ learning outcomes in adult education. This is especially true for adult education instructors working in correctional setting (Eggleston, 1991; Tolbert 2002) where the student population is, perhaps, even more diverse than in non-correctional settings. </w:t>
      </w:r>
    </w:p>
    <w:p w:rsidR="00ED06A4" w:rsidRDefault="00ED06A4" w:rsidP="00ED06A4">
      <w:pPr>
        <w:pStyle w:val="BodyText"/>
        <w:spacing w:after="0" w:line="480" w:lineRule="auto"/>
        <w:ind w:firstLine="720"/>
        <w:rPr>
          <w:iCs/>
        </w:rPr>
      </w:pPr>
      <w:r>
        <w:rPr>
          <w:iCs/>
        </w:rPr>
        <w:lastRenderedPageBreak/>
        <w:t>Most of the literature on teachers’ professional development and links to student outcomes concern populations other than adult learners, i.e., K-12 students. Research dealing with professional development and outcomes for adult learners, including adult basic education (ABE) students, is practically non-existent, with the exception of Smith et al. (2008), which is discussed above.</w:t>
      </w:r>
    </w:p>
    <w:p w:rsidR="00ED06A4" w:rsidRDefault="00ED06A4" w:rsidP="00ED06A4">
      <w:pPr>
        <w:pStyle w:val="BodyText"/>
        <w:spacing w:after="0" w:line="480" w:lineRule="auto"/>
        <w:ind w:firstLine="720"/>
        <w:rPr>
          <w:iCs/>
        </w:rPr>
      </w:pPr>
      <w:proofErr w:type="spellStart"/>
      <w:r>
        <w:rPr>
          <w:iCs/>
        </w:rPr>
        <w:t>Kutner</w:t>
      </w:r>
      <w:proofErr w:type="spellEnd"/>
      <w:r>
        <w:rPr>
          <w:iCs/>
        </w:rPr>
        <w:t xml:space="preserve">, Sherman, </w:t>
      </w:r>
      <w:proofErr w:type="spellStart"/>
      <w:r>
        <w:rPr>
          <w:iCs/>
        </w:rPr>
        <w:t>Tibbetts</w:t>
      </w:r>
      <w:proofErr w:type="spellEnd"/>
      <w:r>
        <w:rPr>
          <w:iCs/>
        </w:rPr>
        <w:t xml:space="preserve">, and </w:t>
      </w:r>
      <w:proofErr w:type="spellStart"/>
      <w:r>
        <w:rPr>
          <w:iCs/>
        </w:rPr>
        <w:t>Condelli</w:t>
      </w:r>
      <w:proofErr w:type="spellEnd"/>
      <w:r>
        <w:rPr>
          <w:iCs/>
        </w:rPr>
        <w:t xml:space="preserve"> (1997) looked at evaluating professional development in adult education using an “essential triangle of change” (p. 9) that includes needs of the adult student, instructor needs, and organizational factors. Many of the cited studies dealing with student outcomes are drawn from K-12 based literature. As with other studies, the value in the </w:t>
      </w:r>
      <w:proofErr w:type="spellStart"/>
      <w:r>
        <w:rPr>
          <w:iCs/>
        </w:rPr>
        <w:t>Kutner</w:t>
      </w:r>
      <w:proofErr w:type="spellEnd"/>
      <w:r>
        <w:rPr>
          <w:iCs/>
        </w:rPr>
        <w:t xml:space="preserve"> et al. report lies in its suggestions about how to approach programmatic evaluation and the need to take into account a variety of factors, including determining evaluation objectives, audience and specific questions, determining the evaluation strategies to be used, and deciding on an evaluation method that includes data collection procedures, looking at resource requirements, and establishing a time frame for collecting data and reporting results. </w:t>
      </w:r>
    </w:p>
    <w:p w:rsidR="00ED06A4" w:rsidRDefault="00ED06A4" w:rsidP="00ED06A4">
      <w:pPr>
        <w:pStyle w:val="Heading3"/>
      </w:pPr>
      <w:proofErr w:type="gramStart"/>
      <w:r>
        <w:t>Relevance of Research to Adult Education with Coerced Students in Community Corrections.</w:t>
      </w:r>
      <w:proofErr w:type="gramEnd"/>
    </w:p>
    <w:p w:rsidR="00ED06A4" w:rsidRDefault="00ED06A4" w:rsidP="00ED06A4">
      <w:pPr>
        <w:pStyle w:val="BodyTextIndent"/>
        <w:spacing w:after="0" w:line="480" w:lineRule="auto"/>
        <w:ind w:firstLine="0"/>
        <w:rPr>
          <w:szCs w:val="24"/>
        </w:rPr>
      </w:pPr>
      <w:r>
        <w:rPr>
          <w:szCs w:val="24"/>
        </w:rPr>
        <w:tab/>
        <w:t xml:space="preserve">The relevance of the above research for teacher learning and professional development in adult education with students in community corrections who are mandated to attend educational programs is unknown. There is no research upon which to base an informed opinion. While one may take a very broad view that teachers are teachers, and their experiences, despite their environments, are irrelevant, this is repudiated by Wright (2005), who found that teachers often experienced “culture shock” when working in correctional institutions. This experience seems to be somewhat universal and, in an effort to ameliorate this shock, the European Prison Education </w:t>
      </w:r>
      <w:r>
        <w:rPr>
          <w:szCs w:val="24"/>
        </w:rPr>
        <w:lastRenderedPageBreak/>
        <w:t xml:space="preserve">Association (Behan, 2010) offers training courses on “Training Teachers and Instructors to Teach in Prisons/Detention Centers,” stating the necessity of offering such courses because, in part, “a prison/detention centre regime is rigid, complicated, at times uncomplimentary to education, strictly enforced and therefore unaccommodating” (p. 2). </w:t>
      </w:r>
      <w:proofErr w:type="spellStart"/>
      <w:r>
        <w:rPr>
          <w:szCs w:val="24"/>
        </w:rPr>
        <w:t>Gehring</w:t>
      </w:r>
      <w:proofErr w:type="spellEnd"/>
      <w:r>
        <w:rPr>
          <w:szCs w:val="24"/>
        </w:rPr>
        <w:t xml:space="preserve"> (2000) noted that the thinking of those who administer the correctional system about correctional inmates is often decidedly nature-oriented, on a nature-nurture continuum, while teachers may approach the task of teaching within correctional institutions from a nurture perspective (Wright, 2004).  </w:t>
      </w:r>
    </w:p>
    <w:p w:rsidR="00ED06A4" w:rsidRDefault="00ED06A4" w:rsidP="00ED06A4">
      <w:pPr>
        <w:pStyle w:val="BodyTextIndent"/>
        <w:spacing w:after="0" w:line="480" w:lineRule="auto"/>
        <w:rPr>
          <w:szCs w:val="24"/>
        </w:rPr>
      </w:pPr>
      <w:r>
        <w:rPr>
          <w:szCs w:val="24"/>
        </w:rPr>
        <w:t>Eggleston (1991) detailed the research to date on professional development in correctional settings, and Tolbert (2002) noted that more than a decade later “correctional education instructors participate in a number of professional development activities” (p. 13). There is no voice for teachers in the community who must work with students in a correctional setting, i.e., community corrections, but who may not receive the professional development that their colleagues within correctional institutions receive for working with this population. Even among those teachers working within a correctional institution and who receive professional development, such as peer support through communities of practice (</w:t>
      </w:r>
      <w:proofErr w:type="spellStart"/>
      <w:r>
        <w:rPr>
          <w:szCs w:val="24"/>
        </w:rPr>
        <w:t>DelliCaprini</w:t>
      </w:r>
      <w:proofErr w:type="spellEnd"/>
      <w:r>
        <w:rPr>
          <w:szCs w:val="24"/>
        </w:rPr>
        <w:t xml:space="preserve">, 2008), many still decry the lack of pre-service training to prepare them for working in corrections (Eggleston, 1991). </w:t>
      </w:r>
    </w:p>
    <w:p w:rsidR="00ED06A4" w:rsidRDefault="00ED06A4" w:rsidP="00ED06A4">
      <w:pPr>
        <w:pStyle w:val="BodyTextIndent"/>
        <w:spacing w:after="0" w:line="480" w:lineRule="auto"/>
        <w:rPr>
          <w:szCs w:val="24"/>
        </w:rPr>
      </w:pPr>
      <w:r>
        <w:rPr>
          <w:iCs/>
          <w:szCs w:val="24"/>
        </w:rPr>
        <w:t>Furthermore, the stud</w:t>
      </w:r>
      <w:r>
        <w:rPr>
          <w:szCs w:val="24"/>
        </w:rPr>
        <w:t xml:space="preserve">ies about professional development and adult education that do exist are often misleading. Tolbert (2001) reported that, according to a National Institute for Literacy Survey, 22 states required certification for adult education instructors, and 18 of those required it as a prerequisite to instruction. The Office of Education Accountability (Morgan, 2004) for the State of Tennessee reported that “all paid adult educators in Tennessee are required to have a k-12 [sic] teaching certification” (p. 10) or a waiver from the Office of Adult Education. As will be </w:t>
      </w:r>
      <w:r>
        <w:rPr>
          <w:szCs w:val="24"/>
        </w:rPr>
        <w:lastRenderedPageBreak/>
        <w:t>evident when the data are presented, many adult education instructors who teach community corrections students do not have a current K-12 teaching certification or a waiver from the Office of Adult Education. Several of the participants in this study either did not have a current teaching certification or did not ever have a teaching certification. I was an adult education instructor for over seven years in Texas, one of the states listed by Tolbert (2011) as requiring teacher certification, and I never possessed a teacher certification. While the adult education situation looks good – requiring all adult education instructors to have prerequisite certification – the reality is less than that which is often presented by the data.</w:t>
      </w:r>
    </w:p>
    <w:p w:rsidR="00ED06A4" w:rsidRDefault="00ED06A4" w:rsidP="00ED06A4">
      <w:pPr>
        <w:pStyle w:val="BodyTextIndent"/>
        <w:spacing w:after="0" w:line="480" w:lineRule="auto"/>
        <w:rPr>
          <w:szCs w:val="24"/>
        </w:rPr>
      </w:pPr>
      <w:proofErr w:type="gramStart"/>
      <w:r>
        <w:rPr>
          <w:szCs w:val="24"/>
        </w:rPr>
        <w:t>It  be</w:t>
      </w:r>
      <w:proofErr w:type="gramEnd"/>
      <w:r>
        <w:rPr>
          <w:szCs w:val="24"/>
        </w:rPr>
        <w:t xml:space="preserve"> noted that the requirements for adult educators often have nothing to do with adult education. For example, Tennessee requires paid adult educators to have a K-12 teaching certification, not an adult education certification. In fact, none of the participants in this study had any formal training with adults prior to beginning their role as an adult educator, and only two had informal instruction as an adult educator. At the very least, this represents a disparity in teaching environments, i.e., between teaching children and teaching adults, and may influence not only the obvious content of professional development training, but also the manner in which professional development programs are structured.</w:t>
      </w:r>
    </w:p>
    <w:p w:rsidR="00ED06A4" w:rsidRDefault="00ED06A4" w:rsidP="00ED06A4">
      <w:pPr>
        <w:pStyle w:val="Heading2"/>
      </w:pPr>
      <w:bookmarkStart w:id="13" w:name="_Toc309015913"/>
      <w:r>
        <w:t>Phenomenological Research in Adult Education</w:t>
      </w:r>
      <w:bookmarkEnd w:id="13"/>
    </w:p>
    <w:p w:rsidR="00ED06A4" w:rsidRDefault="00ED06A4" w:rsidP="00ED06A4">
      <w:pPr>
        <w:pStyle w:val="BodyTextIndent"/>
        <w:spacing w:after="0" w:line="480" w:lineRule="auto"/>
        <w:rPr>
          <w:iCs/>
          <w:szCs w:val="24"/>
        </w:rPr>
      </w:pPr>
      <w:r>
        <w:rPr>
          <w:iCs/>
          <w:szCs w:val="24"/>
        </w:rPr>
        <w:t xml:space="preserve">The use of phenomenology in the practice and research of adult education is relatively new. This is not surprising, since the use of qualitative methods in adult education, generally, was still being defended by </w:t>
      </w:r>
      <w:proofErr w:type="spellStart"/>
      <w:r>
        <w:rPr>
          <w:iCs/>
          <w:szCs w:val="24"/>
        </w:rPr>
        <w:t>Rockhill</w:t>
      </w:r>
      <w:proofErr w:type="spellEnd"/>
      <w:r>
        <w:rPr>
          <w:iCs/>
          <w:szCs w:val="24"/>
        </w:rPr>
        <w:t xml:space="preserve"> as recently as 1982. This section will briefly trace the history of phenomenological research in adult education through a review of the pertinent literature.</w:t>
      </w:r>
    </w:p>
    <w:p w:rsidR="00ED06A4" w:rsidRDefault="00ED06A4" w:rsidP="00ED06A4">
      <w:pPr>
        <w:pStyle w:val="BodyTextIndent"/>
        <w:spacing w:after="0" w:line="480" w:lineRule="auto"/>
        <w:rPr>
          <w:iCs/>
          <w:szCs w:val="24"/>
        </w:rPr>
      </w:pPr>
      <w:r>
        <w:rPr>
          <w:iCs/>
          <w:szCs w:val="24"/>
        </w:rPr>
        <w:lastRenderedPageBreak/>
        <w:t xml:space="preserve">McKenzie (1977) used an existential phenomenological perspective to defend Malcolm Knowles’ ideas about </w:t>
      </w:r>
      <w:proofErr w:type="spellStart"/>
      <w:r>
        <w:rPr>
          <w:iCs/>
          <w:szCs w:val="24"/>
        </w:rPr>
        <w:t>andragogy</w:t>
      </w:r>
      <w:proofErr w:type="spellEnd"/>
      <w:r>
        <w:rPr>
          <w:iCs/>
          <w:szCs w:val="24"/>
        </w:rPr>
        <w:t xml:space="preserve"> as an adult learning theory. McKenzie argued that when viewed through the lens of existential phenomenology, children were existentially different and, therefore, the education of children was existentially different. This idea was used in a broader, philosophical context between those who, like </w:t>
      </w:r>
      <w:proofErr w:type="spellStart"/>
      <w:r>
        <w:rPr>
          <w:iCs/>
          <w:szCs w:val="24"/>
        </w:rPr>
        <w:t>Houle</w:t>
      </w:r>
      <w:proofErr w:type="spellEnd"/>
      <w:r>
        <w:rPr>
          <w:iCs/>
          <w:szCs w:val="24"/>
        </w:rPr>
        <w:t xml:space="preserve"> (1972), saw education as a unified approach and those who approached education from a differential (phenomenological) perspective. </w:t>
      </w:r>
    </w:p>
    <w:p w:rsidR="00ED06A4" w:rsidRDefault="00ED06A4" w:rsidP="00ED06A4">
      <w:pPr>
        <w:pStyle w:val="BodyTextIndent"/>
        <w:spacing w:after="0" w:line="480" w:lineRule="auto"/>
        <w:rPr>
          <w:iCs/>
          <w:szCs w:val="24"/>
        </w:rPr>
      </w:pPr>
      <w:r>
        <w:rPr>
          <w:iCs/>
          <w:szCs w:val="24"/>
        </w:rPr>
        <w:t xml:space="preserve">Collins (1981a, 1981b, 1984) was one of the first to suggest the use of phenomenology as an appropriate conceptual tool for the study of adult education. His opinion papers on how phenomenological philosophy may have contributed to adult education research in the areas of self-directed learning, mandatory continuing education and theoretical development (1981a), and his focus on phenomenology as a way to access adult learners’ stocks of knowledge and the natural attitude (1981b) were opening salvos in the struggle to bring phenomenology into adult educational research and practice. </w:t>
      </w:r>
    </w:p>
    <w:p w:rsidR="00ED06A4" w:rsidRDefault="00ED06A4" w:rsidP="00ED06A4">
      <w:pPr>
        <w:pStyle w:val="BodyTextIndent"/>
        <w:spacing w:after="0" w:line="480" w:lineRule="auto"/>
        <w:rPr>
          <w:iCs/>
          <w:szCs w:val="24"/>
        </w:rPr>
      </w:pPr>
      <w:r>
        <w:rPr>
          <w:iCs/>
          <w:szCs w:val="24"/>
        </w:rPr>
        <w:t>In his chapter on phenomenology in Merriam’s (1984) text on philosophy and adult education, he presented the ideas of the life-world and the natural attitude as useful to adult education research:</w:t>
      </w:r>
    </w:p>
    <w:p w:rsidR="00ED06A4" w:rsidRDefault="00ED06A4" w:rsidP="00ED06A4">
      <w:pPr>
        <w:pStyle w:val="BodyTextIndent"/>
        <w:spacing w:after="0" w:line="480" w:lineRule="auto"/>
        <w:ind w:left="720" w:firstLine="0"/>
        <w:rPr>
          <w:iCs/>
          <w:szCs w:val="24"/>
        </w:rPr>
      </w:pPr>
      <w:r>
        <w:rPr>
          <w:iCs/>
          <w:szCs w:val="24"/>
        </w:rPr>
        <w:t xml:space="preserve">This turning away from an uncritical attitude towards the world in which we live is methodical rather than iconoclastic or deterministic. Far from denying the existence of the ‘real’ world, this stance entails a rigorous assessment of what is typically accepted as reality in our day to day lives. Already we begin to recognize that a phenomenological perspective has important implications for the way we design, facilitate and evaluate learning projects for adults. (p. 181) </w:t>
      </w:r>
    </w:p>
    <w:p w:rsidR="00ED06A4" w:rsidRDefault="00ED06A4" w:rsidP="00ED06A4">
      <w:pPr>
        <w:pStyle w:val="BodyTextIndent"/>
        <w:spacing w:after="0" w:line="480" w:lineRule="auto"/>
        <w:ind w:firstLine="0"/>
        <w:rPr>
          <w:iCs/>
          <w:szCs w:val="24"/>
        </w:rPr>
      </w:pPr>
      <w:r>
        <w:rPr>
          <w:iCs/>
          <w:szCs w:val="24"/>
        </w:rPr>
        <w:lastRenderedPageBreak/>
        <w:t xml:space="preserve">His examination of phenomenology, and especially the quotation above, inspires. In the “turning away” we may find meaning outside of the silo of adult education that we may then interpret through an adult education lens, engaging in free imaginative variation within the adult education field and distilling the wine of that experience in a different barrel, so to speak, providing more evidence of the </w:t>
      </w:r>
      <w:proofErr w:type="spellStart"/>
      <w:r>
        <w:rPr>
          <w:iCs/>
          <w:szCs w:val="24"/>
        </w:rPr>
        <w:t>generalizability</w:t>
      </w:r>
      <w:proofErr w:type="spellEnd"/>
      <w:r>
        <w:rPr>
          <w:iCs/>
          <w:szCs w:val="24"/>
        </w:rPr>
        <w:t xml:space="preserve"> of phenomenological findings.</w:t>
      </w:r>
    </w:p>
    <w:p w:rsidR="00ED06A4" w:rsidRDefault="00ED06A4" w:rsidP="00ED06A4">
      <w:pPr>
        <w:pStyle w:val="BodyTextIndent"/>
        <w:spacing w:after="0" w:line="480" w:lineRule="auto"/>
        <w:ind w:firstLine="0"/>
        <w:rPr>
          <w:iCs/>
          <w:szCs w:val="24"/>
        </w:rPr>
      </w:pPr>
      <w:r>
        <w:rPr>
          <w:iCs/>
          <w:szCs w:val="24"/>
        </w:rPr>
        <w:tab/>
        <w:t>Collins’ explanation of how phenomenology may be understood in adult education was also somewhat radical in that it skirted the fringes of understanding phenomenology from the perspective of internal control psychology. This perspective will be addressed more fully below. It is not being suggested that Collins was purposefully writing from an internal control perspective, but it is suggested that interpreting his essay from that perspective makes the piece even more important when looking at phenomenology in adult education, due to the fact that internal control psychology is compatible with phenomenology on many levels.</w:t>
      </w:r>
    </w:p>
    <w:p w:rsidR="00ED06A4" w:rsidRDefault="00ED06A4" w:rsidP="00ED06A4">
      <w:pPr>
        <w:pStyle w:val="BodyTextIndent"/>
        <w:spacing w:after="0" w:line="480" w:lineRule="auto"/>
        <w:rPr>
          <w:iCs/>
          <w:szCs w:val="24"/>
        </w:rPr>
      </w:pPr>
      <w:r>
        <w:rPr>
          <w:iCs/>
          <w:szCs w:val="24"/>
        </w:rPr>
        <w:t>Garrison (1985) addressed various research paradigms in adult education and included “</w:t>
      </w:r>
      <w:proofErr w:type="spellStart"/>
      <w:r>
        <w:rPr>
          <w:iCs/>
          <w:szCs w:val="24"/>
        </w:rPr>
        <w:t>Husserlian</w:t>
      </w:r>
      <w:proofErr w:type="spellEnd"/>
      <w:r>
        <w:rPr>
          <w:iCs/>
          <w:szCs w:val="24"/>
        </w:rPr>
        <w:t xml:space="preserve"> phenomenology” as one of the philosophies contributing to adult education research. He took as a model of the methodology that of </w:t>
      </w:r>
      <w:proofErr w:type="spellStart"/>
      <w:r>
        <w:rPr>
          <w:iCs/>
          <w:szCs w:val="24"/>
        </w:rPr>
        <w:t>ethnomethodology</w:t>
      </w:r>
      <w:proofErr w:type="spellEnd"/>
      <w:r>
        <w:rPr>
          <w:iCs/>
          <w:szCs w:val="24"/>
        </w:rPr>
        <w:t>, although he noted that “</w:t>
      </w:r>
      <w:proofErr w:type="spellStart"/>
      <w:r>
        <w:rPr>
          <w:iCs/>
          <w:szCs w:val="24"/>
        </w:rPr>
        <w:t>ethnomethodology</w:t>
      </w:r>
      <w:proofErr w:type="spellEnd"/>
      <w:r>
        <w:rPr>
          <w:iCs/>
          <w:szCs w:val="24"/>
        </w:rPr>
        <w:t xml:space="preserve"> has moved away from pure phenomenology where mind constitutes our knowledge of the world,” and </w:t>
      </w:r>
      <w:proofErr w:type="spellStart"/>
      <w:r>
        <w:rPr>
          <w:iCs/>
          <w:szCs w:val="24"/>
        </w:rPr>
        <w:t>ethnomethodology</w:t>
      </w:r>
      <w:proofErr w:type="spellEnd"/>
      <w:r>
        <w:rPr>
          <w:iCs/>
          <w:szCs w:val="24"/>
        </w:rPr>
        <w:t xml:space="preserve"> has “attempted to do objective enquiry by deriving data directly through individual perception” (p. 11). Garrison concluded that because of this, “</w:t>
      </w:r>
      <w:proofErr w:type="spellStart"/>
      <w:r>
        <w:rPr>
          <w:iCs/>
          <w:szCs w:val="24"/>
        </w:rPr>
        <w:t>ethnomethodology</w:t>
      </w:r>
      <w:proofErr w:type="spellEnd"/>
      <w:r>
        <w:rPr>
          <w:iCs/>
          <w:szCs w:val="24"/>
        </w:rPr>
        <w:t xml:space="preserve"> exhibits characteristics of both the phenomenological and positivistic traditions” (p. 11). Garrison also looked at grounded theory as a methodology that incorporates both qualitative and quantitative aspects, and he found common ground between qualitative and quantitative methods in the need for reliability and validity.</w:t>
      </w:r>
    </w:p>
    <w:p w:rsidR="00ED06A4" w:rsidRDefault="00ED06A4" w:rsidP="00ED06A4">
      <w:pPr>
        <w:pStyle w:val="BodyTextIndent"/>
        <w:spacing w:after="0" w:line="480" w:lineRule="auto"/>
        <w:rPr>
          <w:iCs/>
          <w:szCs w:val="24"/>
        </w:rPr>
      </w:pPr>
      <w:r>
        <w:rPr>
          <w:iCs/>
          <w:szCs w:val="24"/>
        </w:rPr>
        <w:lastRenderedPageBreak/>
        <w:t xml:space="preserve">This seeming need to justify qualitative methods, especially phenomenological methods, represents much of the confusion that exists, or persists, in adult education about the nature of phenomenological research, and which has been discussed above in dealing with the question of </w:t>
      </w:r>
      <w:proofErr w:type="spellStart"/>
      <w:r>
        <w:rPr>
          <w:iCs/>
          <w:szCs w:val="24"/>
        </w:rPr>
        <w:t>generalizability</w:t>
      </w:r>
      <w:proofErr w:type="spellEnd"/>
      <w:r>
        <w:rPr>
          <w:iCs/>
          <w:szCs w:val="24"/>
        </w:rPr>
        <w:t xml:space="preserve">. A lack of understanding about the methodological implications of phenomenology is evident in the need to tie qualitative phenomenological findings (viewed as strictly philosophical) with complementary quantitative methods. Garrison’s point, however, is not about differences, per se, but is about how “philosophy and method intertwine in research” (p. 21) and how “by shifting to a holistic/integrative paradigm we accept the incompleteness of either-or methodological choices and begin to work toward a greater unity and clarity” (p. 21) in adult education research. </w:t>
      </w:r>
    </w:p>
    <w:p w:rsidR="00ED06A4" w:rsidRDefault="00ED06A4" w:rsidP="00ED06A4">
      <w:pPr>
        <w:pStyle w:val="BodyTextIndent"/>
        <w:spacing w:after="0" w:line="480" w:lineRule="auto"/>
        <w:rPr>
          <w:iCs/>
          <w:szCs w:val="24"/>
        </w:rPr>
      </w:pPr>
      <w:r>
        <w:rPr>
          <w:iCs/>
          <w:szCs w:val="24"/>
        </w:rPr>
        <w:t xml:space="preserve">Deshler and Hagan (1989) conducted a critical analysis of issues and directions in adult education, especially the divide between research and practice, and found that positivistic/empiricist approaches dominated educational research, primarily due to the paradigm paralysis of graduate education programs that adhered to positivistic thought. They did point out that some inroads were being made for “naturalistic interpretive studies,” including phenomenology, as evidenced by increasing reports at the American Educational Research Association, Adult Education Research Conference, in journals and publications at that time. </w:t>
      </w:r>
    </w:p>
    <w:p w:rsidR="00ED06A4" w:rsidRDefault="00ED06A4" w:rsidP="00ED06A4">
      <w:pPr>
        <w:pStyle w:val="BodyTextIndent"/>
        <w:spacing w:after="0" w:line="480" w:lineRule="auto"/>
        <w:rPr>
          <w:iCs/>
          <w:szCs w:val="24"/>
        </w:rPr>
      </w:pPr>
      <w:proofErr w:type="gramStart"/>
      <w:r>
        <w:rPr>
          <w:iCs/>
          <w:szCs w:val="24"/>
        </w:rPr>
        <w:t>When dealing with the subject of experience, Collins (1984) stated that “the formation of our stock of knowledge, then, is autobiographical” (p. 181).</w:t>
      </w:r>
      <w:proofErr w:type="gramEnd"/>
      <w:r>
        <w:rPr>
          <w:iCs/>
          <w:szCs w:val="24"/>
        </w:rPr>
        <w:t xml:space="preserve"> This stock of knowledge may be understood in internal control psychology as the internal reference position which we seek to maintain through our behavior, thereby maintaining our own internal reality. When he states that “[the intended object] emerges from the intending act. Intentionality, then, refers us to the purposive experiencing of objects and events in which individuals bestow meaning on their </w:t>
      </w:r>
      <w:r>
        <w:rPr>
          <w:iCs/>
          <w:szCs w:val="24"/>
        </w:rPr>
        <w:lastRenderedPageBreak/>
        <w:t xml:space="preserve">activities” (p. 186), he is describing how behavior controls our perception, and he speaks of the importance of understanding intentionality in adult learning. </w:t>
      </w:r>
    </w:p>
    <w:p w:rsidR="00ED06A4" w:rsidRDefault="00ED06A4" w:rsidP="00ED06A4">
      <w:pPr>
        <w:pStyle w:val="BodyTextIndent"/>
        <w:spacing w:after="0" w:line="480" w:lineRule="auto"/>
        <w:rPr>
          <w:iCs/>
          <w:szCs w:val="24"/>
        </w:rPr>
      </w:pPr>
      <w:r>
        <w:rPr>
          <w:iCs/>
          <w:szCs w:val="24"/>
        </w:rPr>
        <w:t>Similarities continue when Collins goes on:</w:t>
      </w:r>
    </w:p>
    <w:p w:rsidR="00ED06A4" w:rsidRDefault="00ED06A4" w:rsidP="00ED06A4">
      <w:pPr>
        <w:pStyle w:val="BodyTextIndent"/>
        <w:spacing w:after="0" w:line="480" w:lineRule="auto"/>
        <w:ind w:left="720" w:firstLine="0"/>
        <w:rPr>
          <w:iCs/>
          <w:szCs w:val="24"/>
        </w:rPr>
      </w:pPr>
      <w:r>
        <w:rPr>
          <w:iCs/>
          <w:szCs w:val="24"/>
        </w:rPr>
        <w:t>[W]</w:t>
      </w:r>
      <w:proofErr w:type="spellStart"/>
      <w:r>
        <w:rPr>
          <w:iCs/>
          <w:szCs w:val="24"/>
        </w:rPr>
        <w:t>hile</w:t>
      </w:r>
      <w:proofErr w:type="spellEnd"/>
      <w:r>
        <w:rPr>
          <w:iCs/>
          <w:szCs w:val="24"/>
        </w:rPr>
        <w:t xml:space="preserve"> the adequacy of our individual stock of knowledge varies according to the situation at </w:t>
      </w:r>
      <w:proofErr w:type="gramStart"/>
      <w:r>
        <w:rPr>
          <w:iCs/>
          <w:szCs w:val="24"/>
        </w:rPr>
        <w:t>hand,</w:t>
      </w:r>
      <w:proofErr w:type="gramEnd"/>
      <w:r>
        <w:rPr>
          <w:iCs/>
          <w:szCs w:val="24"/>
        </w:rPr>
        <w:t xml:space="preserve"> there is always some aspect of our past experience which we can bring to bear on a new problem. We are rarely in a complete state of not knowing. (p. 181)</w:t>
      </w:r>
    </w:p>
    <w:p w:rsidR="00ED06A4" w:rsidRDefault="00ED06A4" w:rsidP="00ED06A4">
      <w:pPr>
        <w:pStyle w:val="BodyTextIndent"/>
        <w:spacing w:after="0" w:line="480" w:lineRule="auto"/>
        <w:ind w:firstLine="0"/>
        <w:rPr>
          <w:iCs/>
          <w:szCs w:val="24"/>
        </w:rPr>
      </w:pPr>
      <w:r>
        <w:rPr>
          <w:iCs/>
          <w:szCs w:val="24"/>
        </w:rPr>
        <w:t xml:space="preserve">This is an apt description of how we adjust our behavior in an internal control system, bringing past experience from our stock of knowledge to bear on the situation at hand and maintain the internal reference. Adult educators, suggested Collins, “might find it instructive to investigate with greater thoroughness the problem of the constitution of the individual’s stock of knowledge” (p. 182), that store of internal references that drives all adult learners. </w:t>
      </w:r>
    </w:p>
    <w:p w:rsidR="00ED06A4" w:rsidRDefault="00ED06A4" w:rsidP="00ED06A4">
      <w:pPr>
        <w:pStyle w:val="BodyTextIndent"/>
        <w:spacing w:after="0" w:line="480" w:lineRule="auto"/>
        <w:rPr>
          <w:iCs/>
          <w:szCs w:val="24"/>
        </w:rPr>
      </w:pPr>
      <w:proofErr w:type="spellStart"/>
      <w:r>
        <w:rPr>
          <w:iCs/>
          <w:szCs w:val="24"/>
        </w:rPr>
        <w:t>Stanage</w:t>
      </w:r>
      <w:proofErr w:type="spellEnd"/>
      <w:r>
        <w:rPr>
          <w:iCs/>
          <w:szCs w:val="24"/>
        </w:rPr>
        <w:t xml:space="preserve"> (1987) produced the first text on interpreting adult education experience through the philosophy of phenomenology. He advocated phenomenology as a new paradigm of research in adult education and implored the reader to “strip aside for the moment a number of your long-standing notions of ‘research,’ and attend to the concept itself” (p. 279). Research, suggested </w:t>
      </w:r>
      <w:proofErr w:type="spellStart"/>
      <w:r>
        <w:rPr>
          <w:iCs/>
          <w:szCs w:val="24"/>
        </w:rPr>
        <w:t>Stanage</w:t>
      </w:r>
      <w:proofErr w:type="spellEnd"/>
      <w:r>
        <w:rPr>
          <w:iCs/>
          <w:szCs w:val="24"/>
        </w:rPr>
        <w:t xml:space="preserve">, “is at least a search… a looking through phenomena in order to bring it to light… the examination of phenomena. Phenomena located and situated within matrices of other relevant phenomena are observed and described, and become ‘data’” (p. 279). </w:t>
      </w:r>
    </w:p>
    <w:p w:rsidR="00ED06A4" w:rsidRDefault="00ED06A4" w:rsidP="00ED06A4">
      <w:pPr>
        <w:pStyle w:val="BodyTextIndent"/>
        <w:spacing w:after="0" w:line="480" w:lineRule="auto"/>
        <w:rPr>
          <w:iCs/>
          <w:szCs w:val="24"/>
        </w:rPr>
      </w:pPr>
      <w:r>
        <w:rPr>
          <w:iCs/>
          <w:szCs w:val="24"/>
        </w:rPr>
        <w:t xml:space="preserve">It should be remembered that at this time qualitative research was quite suspect in educational research, and phenomenological research in adult education was alien, despite the work of rebellious individuals such as Collins, Garrison, and </w:t>
      </w:r>
      <w:proofErr w:type="spellStart"/>
      <w:r>
        <w:rPr>
          <w:iCs/>
          <w:szCs w:val="24"/>
        </w:rPr>
        <w:t>Stanage</w:t>
      </w:r>
      <w:proofErr w:type="spellEnd"/>
      <w:r>
        <w:rPr>
          <w:iCs/>
          <w:szCs w:val="24"/>
        </w:rPr>
        <w:t xml:space="preserve"> himself. </w:t>
      </w:r>
      <w:proofErr w:type="spellStart"/>
      <w:r>
        <w:rPr>
          <w:iCs/>
          <w:szCs w:val="24"/>
        </w:rPr>
        <w:t>Stanage</w:t>
      </w:r>
      <w:proofErr w:type="spellEnd"/>
      <w:r>
        <w:rPr>
          <w:iCs/>
          <w:szCs w:val="24"/>
        </w:rPr>
        <w:t xml:space="preserve"> was advocating for a radical shift in the thinking of adult education researchers, and he did so without equivocation: “I claim here only that phenomenology is the clearest, most foundational and </w:t>
      </w:r>
      <w:r>
        <w:rPr>
          <w:iCs/>
          <w:szCs w:val="24"/>
        </w:rPr>
        <w:lastRenderedPageBreak/>
        <w:t xml:space="preserve">fullest form of investigation appropriate to adult education as a rigorous human science with the special… subject-matter of the adult educations of </w:t>
      </w:r>
      <w:r>
        <w:rPr>
          <w:i/>
          <w:iCs/>
          <w:szCs w:val="24"/>
        </w:rPr>
        <w:t>person</w:t>
      </w:r>
      <w:r>
        <w:rPr>
          <w:iCs/>
          <w:szCs w:val="24"/>
        </w:rPr>
        <w:t xml:space="preserve">” (p. 281). Adult educations of person are a theme </w:t>
      </w:r>
      <w:proofErr w:type="spellStart"/>
      <w:r>
        <w:rPr>
          <w:iCs/>
          <w:szCs w:val="24"/>
        </w:rPr>
        <w:t>Stanage</w:t>
      </w:r>
      <w:proofErr w:type="spellEnd"/>
      <w:r>
        <w:rPr>
          <w:iCs/>
          <w:szCs w:val="24"/>
        </w:rPr>
        <w:t xml:space="preserve"> developed throughout this work. He described this adult education of person as “the deliberate </w:t>
      </w:r>
      <w:proofErr w:type="spellStart"/>
      <w:r>
        <w:rPr>
          <w:iCs/>
          <w:szCs w:val="24"/>
        </w:rPr>
        <w:t>liberative</w:t>
      </w:r>
      <w:proofErr w:type="spellEnd"/>
      <w:r>
        <w:rPr>
          <w:iCs/>
          <w:szCs w:val="24"/>
        </w:rPr>
        <w:t xml:space="preserve"> actions of </w:t>
      </w:r>
      <w:proofErr w:type="spellStart"/>
      <w:r>
        <w:rPr>
          <w:iCs/>
          <w:szCs w:val="24"/>
        </w:rPr>
        <w:t>consciousing</w:t>
      </w:r>
      <w:proofErr w:type="spellEnd"/>
      <w:r>
        <w:rPr>
          <w:iCs/>
          <w:szCs w:val="24"/>
        </w:rPr>
        <w:t xml:space="preserve"> and responsible persons whereby they become transformed and empowered with vital motives for acting” (p. 394). This is quite a strong statement, not only on phenomenology, but on the purposes of adult education itself. </w:t>
      </w:r>
    </w:p>
    <w:p w:rsidR="00ED06A4" w:rsidRDefault="00ED06A4" w:rsidP="00ED06A4">
      <w:pPr>
        <w:pStyle w:val="BodyTextIndent"/>
        <w:spacing w:after="0" w:line="480" w:lineRule="auto"/>
        <w:rPr>
          <w:iCs/>
          <w:szCs w:val="24"/>
        </w:rPr>
      </w:pPr>
      <w:r>
        <w:rPr>
          <w:iCs/>
          <w:szCs w:val="24"/>
        </w:rPr>
        <w:t xml:space="preserve">Willis and Neville (1997) included a section on phenomenology in their edited book, </w:t>
      </w:r>
      <w:r>
        <w:rPr>
          <w:i/>
          <w:iCs/>
          <w:szCs w:val="24"/>
        </w:rPr>
        <w:t>Qualitative Research Practice in Adult Education</w:t>
      </w:r>
      <w:r>
        <w:rPr>
          <w:iCs/>
          <w:szCs w:val="24"/>
        </w:rPr>
        <w:t xml:space="preserve">, and, true to the title, the book focused on doing phenomenology within the field of adult education. Included were chapters by L.C. </w:t>
      </w:r>
      <w:proofErr w:type="spellStart"/>
      <w:r>
        <w:rPr>
          <w:iCs/>
          <w:szCs w:val="24"/>
        </w:rPr>
        <w:t>Ehrich</w:t>
      </w:r>
      <w:proofErr w:type="spellEnd"/>
      <w:r>
        <w:rPr>
          <w:iCs/>
          <w:szCs w:val="24"/>
        </w:rPr>
        <w:t xml:space="preserve"> on “The difficulties of using phenomenology: A novice researcher’s experience”; P. Willis on “Representation and interpretation in phenomenological research”; S.A. </w:t>
      </w:r>
      <w:proofErr w:type="spellStart"/>
      <w:r>
        <w:rPr>
          <w:iCs/>
          <w:szCs w:val="24"/>
        </w:rPr>
        <w:t>Borbasi’s</w:t>
      </w:r>
      <w:proofErr w:type="spellEnd"/>
      <w:r>
        <w:rPr>
          <w:iCs/>
          <w:szCs w:val="24"/>
        </w:rPr>
        <w:t xml:space="preserve"> “Capturing the experience of the clinical nurse specialist through phenomenology”; B. Campbell on “The hidden spaces of adult literacy education: A phenomenological study of personal transformation”; and M. </w:t>
      </w:r>
      <w:proofErr w:type="spellStart"/>
      <w:r>
        <w:rPr>
          <w:iCs/>
          <w:szCs w:val="24"/>
        </w:rPr>
        <w:t>Crotty’s</w:t>
      </w:r>
      <w:proofErr w:type="spellEnd"/>
      <w:r>
        <w:rPr>
          <w:iCs/>
          <w:szCs w:val="24"/>
        </w:rPr>
        <w:t xml:space="preserve"> “Doing phenomenology.” </w:t>
      </w:r>
    </w:p>
    <w:p w:rsidR="00ED06A4" w:rsidRDefault="00ED06A4" w:rsidP="00ED06A4">
      <w:pPr>
        <w:pStyle w:val="BodyTextIndent"/>
        <w:spacing w:after="0" w:line="480" w:lineRule="auto"/>
        <w:rPr>
          <w:iCs/>
          <w:szCs w:val="24"/>
        </w:rPr>
      </w:pPr>
      <w:proofErr w:type="spellStart"/>
      <w:r>
        <w:rPr>
          <w:iCs/>
          <w:szCs w:val="24"/>
        </w:rPr>
        <w:t>Ehrich’s</w:t>
      </w:r>
      <w:proofErr w:type="spellEnd"/>
      <w:r>
        <w:rPr>
          <w:iCs/>
          <w:szCs w:val="24"/>
        </w:rPr>
        <w:t xml:space="preserve"> account of her journey in phenomenology as a novice researcher, “The difficulties of using phenomenology: A novice researcher’s experience,” addressed several questions:</w:t>
      </w:r>
    </w:p>
    <w:p w:rsidR="00ED06A4" w:rsidRDefault="00ED06A4" w:rsidP="00ED06A4">
      <w:pPr>
        <w:pStyle w:val="BodyTextIndent"/>
        <w:numPr>
          <w:ilvl w:val="0"/>
          <w:numId w:val="14"/>
        </w:numPr>
        <w:spacing w:after="0" w:line="480" w:lineRule="auto"/>
        <w:rPr>
          <w:iCs/>
          <w:szCs w:val="24"/>
        </w:rPr>
      </w:pPr>
      <w:r>
        <w:rPr>
          <w:iCs/>
          <w:szCs w:val="24"/>
        </w:rPr>
        <w:t xml:space="preserve">What is the relationship between the philosophy and methodology of phenomenology? </w:t>
      </w:r>
    </w:p>
    <w:p w:rsidR="00ED06A4" w:rsidRPr="0070558C" w:rsidRDefault="00ED06A4" w:rsidP="00ED06A4">
      <w:pPr>
        <w:pStyle w:val="BodyTextIndent"/>
        <w:numPr>
          <w:ilvl w:val="0"/>
          <w:numId w:val="14"/>
        </w:numPr>
        <w:spacing w:after="0" w:line="480" w:lineRule="auto"/>
        <w:rPr>
          <w:iCs/>
          <w:szCs w:val="24"/>
        </w:rPr>
      </w:pPr>
      <w:r w:rsidRPr="0070558C">
        <w:rPr>
          <w:iCs/>
          <w:szCs w:val="24"/>
        </w:rPr>
        <w:t xml:space="preserve">How do I “do” phenomenology? </w:t>
      </w:r>
    </w:p>
    <w:p w:rsidR="00ED06A4" w:rsidRPr="0070558C" w:rsidRDefault="00ED06A4" w:rsidP="00ED06A4">
      <w:pPr>
        <w:pStyle w:val="BodyTextIndent"/>
        <w:numPr>
          <w:ilvl w:val="0"/>
          <w:numId w:val="14"/>
        </w:numPr>
        <w:spacing w:after="0" w:line="480" w:lineRule="auto"/>
        <w:rPr>
          <w:iCs/>
          <w:szCs w:val="24"/>
        </w:rPr>
      </w:pPr>
      <w:r w:rsidRPr="0070558C">
        <w:rPr>
          <w:iCs/>
          <w:szCs w:val="24"/>
        </w:rPr>
        <w:t xml:space="preserve">Why did I feel “guilty” early in the conceptualization of the research because I chose phenomenology and in the process turned away from other research traditions? </w:t>
      </w:r>
    </w:p>
    <w:p w:rsidR="00ED06A4" w:rsidRPr="0070558C" w:rsidRDefault="00ED06A4" w:rsidP="0070558C">
      <w:pPr>
        <w:pStyle w:val="BodyTextIndent"/>
        <w:numPr>
          <w:ilvl w:val="0"/>
          <w:numId w:val="14"/>
        </w:numPr>
        <w:spacing w:after="0" w:line="480" w:lineRule="auto"/>
        <w:rPr>
          <w:iCs/>
          <w:szCs w:val="24"/>
        </w:rPr>
      </w:pPr>
      <w:r w:rsidRPr="0070558C">
        <w:rPr>
          <w:iCs/>
          <w:szCs w:val="24"/>
        </w:rPr>
        <w:lastRenderedPageBreak/>
        <w:t xml:space="preserve">How much credibility does phenomenology have among my peers in the field of </w:t>
      </w:r>
      <w:proofErr w:type="gramStart"/>
      <w:r w:rsidRPr="0070558C">
        <w:rPr>
          <w:iCs/>
          <w:szCs w:val="24"/>
        </w:rPr>
        <w:t>education</w:t>
      </w:r>
      <w:proofErr w:type="gramEnd"/>
      <w:r w:rsidRPr="0070558C">
        <w:rPr>
          <w:iCs/>
          <w:szCs w:val="24"/>
        </w:rPr>
        <w:t>? (</w:t>
      </w:r>
      <w:r w:rsidR="0070558C" w:rsidRPr="0070558C">
        <w:rPr>
          <w:iCs/>
          <w:szCs w:val="24"/>
        </w:rPr>
        <w:t xml:space="preserve">in Willis &amp; Neville, 1997, </w:t>
      </w:r>
      <w:r w:rsidRPr="0070558C">
        <w:rPr>
          <w:iCs/>
          <w:szCs w:val="24"/>
        </w:rPr>
        <w:t xml:space="preserve">p. 197) </w:t>
      </w:r>
    </w:p>
    <w:p w:rsidR="00ED06A4" w:rsidRDefault="00ED06A4" w:rsidP="00ED06A4">
      <w:pPr>
        <w:pStyle w:val="BodyTextIndent"/>
        <w:spacing w:after="0" w:line="480" w:lineRule="auto"/>
        <w:ind w:firstLine="0"/>
        <w:rPr>
          <w:iCs/>
          <w:szCs w:val="24"/>
        </w:rPr>
      </w:pPr>
      <w:r w:rsidRPr="0070558C">
        <w:rPr>
          <w:iCs/>
          <w:szCs w:val="24"/>
        </w:rPr>
        <w:t>Of particular interest is Erich’s</w:t>
      </w:r>
      <w:r>
        <w:rPr>
          <w:iCs/>
          <w:szCs w:val="24"/>
        </w:rPr>
        <w:t xml:space="preserve"> examination of previous phenomenological research by Sanders (1981), Mott (</w:t>
      </w:r>
      <w:proofErr w:type="spellStart"/>
      <w:r>
        <w:rPr>
          <w:iCs/>
          <w:szCs w:val="24"/>
        </w:rPr>
        <w:t>n.d</w:t>
      </w:r>
      <w:proofErr w:type="spellEnd"/>
      <w:r>
        <w:rPr>
          <w:iCs/>
          <w:szCs w:val="24"/>
        </w:rPr>
        <w:t xml:space="preserve">.) </w:t>
      </w:r>
      <w:r w:rsidRPr="0070558C">
        <w:rPr>
          <w:iCs/>
          <w:szCs w:val="24"/>
        </w:rPr>
        <w:t>and McDuffie</w:t>
      </w:r>
      <w:r w:rsidR="0070558C">
        <w:rPr>
          <w:iCs/>
          <w:szCs w:val="24"/>
        </w:rPr>
        <w:t xml:space="preserve"> (1988)</w:t>
      </w:r>
      <w:r>
        <w:rPr>
          <w:iCs/>
          <w:szCs w:val="24"/>
        </w:rPr>
        <w:t xml:space="preserve"> as a way to distinguish philosophy from method. She noted that there was little similarity in the way terms were employed and even less in the way of discussion about how to actually do phenomenological research. She discussed how phenomenological studies in psychology (especially the work of </w:t>
      </w:r>
      <w:proofErr w:type="spellStart"/>
      <w:r>
        <w:rPr>
          <w:iCs/>
          <w:szCs w:val="24"/>
        </w:rPr>
        <w:t>Giorgi</w:t>
      </w:r>
      <w:proofErr w:type="spellEnd"/>
      <w:r>
        <w:rPr>
          <w:iCs/>
          <w:szCs w:val="24"/>
        </w:rPr>
        <w:t xml:space="preserve"> and the Duquesne studies) provided a link between phenomenology as a philosophy and phenomenology as a practical research method. Her discussion of the acceptance of phenomenology within the educational field is summarized by her statement that “In research, there will always be competing research traditions and competing assumptions about the purposes of research. </w:t>
      </w:r>
      <w:proofErr w:type="gramStart"/>
      <w:r>
        <w:rPr>
          <w:iCs/>
          <w:szCs w:val="24"/>
        </w:rPr>
        <w:t xml:space="preserve">With this thought in mind, it is likely that there will be resistance to phenomenology in educational research and other discipline areas because of its ontological and epistemological assumptions” </w:t>
      </w:r>
      <w:r w:rsidRPr="0070558C">
        <w:rPr>
          <w:iCs/>
          <w:szCs w:val="24"/>
        </w:rPr>
        <w:t>(</w:t>
      </w:r>
      <w:r w:rsidR="0070558C" w:rsidRPr="0070558C">
        <w:rPr>
          <w:iCs/>
          <w:szCs w:val="24"/>
        </w:rPr>
        <w:t xml:space="preserve">in Willis &amp; Neville, 1997, </w:t>
      </w:r>
      <w:r w:rsidRPr="0070558C">
        <w:rPr>
          <w:iCs/>
          <w:szCs w:val="24"/>
        </w:rPr>
        <w:t>p. 208).</w:t>
      </w:r>
      <w:proofErr w:type="gramEnd"/>
      <w:r>
        <w:rPr>
          <w:iCs/>
          <w:szCs w:val="24"/>
        </w:rPr>
        <w:t xml:space="preserve">  Obviously, this resistance has diminished over the years, and phenomenology is now accepted as a legitimate philosophical lens through which to view educational research. </w:t>
      </w:r>
    </w:p>
    <w:p w:rsidR="00ED06A4" w:rsidRDefault="00ED06A4" w:rsidP="00ED06A4">
      <w:pPr>
        <w:pStyle w:val="BodyTextIndent"/>
        <w:spacing w:after="0" w:line="480" w:lineRule="auto"/>
        <w:rPr>
          <w:iCs/>
          <w:szCs w:val="24"/>
        </w:rPr>
      </w:pPr>
      <w:proofErr w:type="spellStart"/>
      <w:r>
        <w:rPr>
          <w:iCs/>
          <w:szCs w:val="24"/>
        </w:rPr>
        <w:t>Crotty’s</w:t>
      </w:r>
      <w:proofErr w:type="spellEnd"/>
      <w:r>
        <w:rPr>
          <w:iCs/>
          <w:szCs w:val="24"/>
        </w:rPr>
        <w:t xml:space="preserve"> essay on “Doing Phenomenology” contrasts the more traditional (eidetic reduction-oriented) practice of phenomenology, as represented by Husserl, Heidegger, Ortega and </w:t>
      </w:r>
      <w:proofErr w:type="spellStart"/>
      <w:r>
        <w:rPr>
          <w:iCs/>
          <w:szCs w:val="24"/>
        </w:rPr>
        <w:t>Merleau-Ponty</w:t>
      </w:r>
      <w:proofErr w:type="spellEnd"/>
      <w:r>
        <w:rPr>
          <w:iCs/>
          <w:szCs w:val="24"/>
        </w:rPr>
        <w:t xml:space="preserve"> with the then-recent phenomenology that “attempt[s] to understand and describe people’s objective experience” (</w:t>
      </w:r>
      <w:r w:rsidR="0070558C">
        <w:rPr>
          <w:iCs/>
          <w:szCs w:val="24"/>
        </w:rPr>
        <w:t xml:space="preserve">in Willis &amp; Neville, 1997, p. </w:t>
      </w:r>
      <w:r w:rsidRPr="0070558C">
        <w:rPr>
          <w:iCs/>
          <w:szCs w:val="24"/>
        </w:rPr>
        <w:t>272).</w:t>
      </w:r>
      <w:r>
        <w:rPr>
          <w:iCs/>
          <w:szCs w:val="24"/>
        </w:rPr>
        <w:t xml:space="preserve"> </w:t>
      </w:r>
      <w:proofErr w:type="spellStart"/>
      <w:r>
        <w:rPr>
          <w:iCs/>
          <w:szCs w:val="24"/>
        </w:rPr>
        <w:t>Crotty</w:t>
      </w:r>
      <w:proofErr w:type="spellEnd"/>
      <w:r>
        <w:rPr>
          <w:iCs/>
          <w:szCs w:val="24"/>
        </w:rPr>
        <w:t xml:space="preserve"> pointed out that the traditional phenomenology seems suspicious of culture, asking us to bracket out our culturally formed assumptions, while the new phenomenology embraces cultural diversity. It is </w:t>
      </w:r>
      <w:r>
        <w:rPr>
          <w:iCs/>
          <w:szCs w:val="24"/>
        </w:rPr>
        <w:lastRenderedPageBreak/>
        <w:t xml:space="preserve">an interesting, if obvious, advocacy for the new phenomenology. Of special interest is his methodological outline for phenomenological inquiry: </w:t>
      </w:r>
    </w:p>
    <w:p w:rsidR="00ED06A4" w:rsidRDefault="00ED06A4" w:rsidP="00ED06A4">
      <w:pPr>
        <w:pStyle w:val="BodyTextIndent"/>
        <w:spacing w:after="0" w:line="480" w:lineRule="auto"/>
        <w:ind w:left="720" w:firstLine="0"/>
        <w:rPr>
          <w:iCs/>
          <w:szCs w:val="24"/>
        </w:rPr>
      </w:pPr>
      <w:r>
        <w:rPr>
          <w:iCs/>
          <w:szCs w:val="24"/>
        </w:rPr>
        <w:t xml:space="preserve">Step 1 Determine as precisely as possible the phenomenon we are focusing on…Step 2 Consider the phenomenon precisely as phenomenon…Step 3 Describe what has come into view for us…Step 4 Ensure the phenomenological character of this description…Step 5 Determine the essence of the phenomenon, i.e. the element or elements in the phenomenon as phenomenon that make it precisely what it is. </w:t>
      </w:r>
      <w:r w:rsidRPr="0070558C">
        <w:rPr>
          <w:iCs/>
          <w:szCs w:val="24"/>
        </w:rPr>
        <w:t>(</w:t>
      </w:r>
      <w:proofErr w:type="gramStart"/>
      <w:r w:rsidR="0070558C" w:rsidRPr="0070558C">
        <w:rPr>
          <w:iCs/>
          <w:szCs w:val="24"/>
        </w:rPr>
        <w:t>in</w:t>
      </w:r>
      <w:proofErr w:type="gramEnd"/>
      <w:r w:rsidR="0070558C" w:rsidRPr="0070558C">
        <w:rPr>
          <w:iCs/>
          <w:szCs w:val="24"/>
        </w:rPr>
        <w:t xml:space="preserve"> Willis &amp; Neville, 1997, </w:t>
      </w:r>
      <w:r w:rsidRPr="0070558C">
        <w:rPr>
          <w:iCs/>
          <w:szCs w:val="24"/>
        </w:rPr>
        <w:t>pp. 277-278)</w:t>
      </w:r>
    </w:p>
    <w:p w:rsidR="00ED06A4" w:rsidRDefault="00ED06A4" w:rsidP="00ED06A4">
      <w:pPr>
        <w:pStyle w:val="BodyTextIndent"/>
        <w:spacing w:after="0" w:line="480" w:lineRule="auto"/>
        <w:ind w:firstLine="0"/>
        <w:rPr>
          <w:iCs/>
          <w:szCs w:val="24"/>
        </w:rPr>
      </w:pPr>
      <w:r>
        <w:rPr>
          <w:iCs/>
          <w:szCs w:val="24"/>
        </w:rPr>
        <w:t xml:space="preserve">He even provided some fill-in-the-blank rubrics for going through this process. </w:t>
      </w:r>
    </w:p>
    <w:p w:rsidR="00ED06A4" w:rsidRDefault="00ED06A4" w:rsidP="00ED06A4">
      <w:pPr>
        <w:pStyle w:val="BodyTextIndent"/>
        <w:spacing w:after="0" w:line="480" w:lineRule="auto"/>
        <w:rPr>
          <w:iCs/>
          <w:szCs w:val="24"/>
        </w:rPr>
      </w:pPr>
      <w:r>
        <w:rPr>
          <w:iCs/>
          <w:szCs w:val="24"/>
        </w:rPr>
        <w:t xml:space="preserve">The text was surely a welcome addition to the library of anyone in education who wanted to actually experiment with phenomenology as a research method. Its presentations of phenomenology through the reflection on personal experiences in phenomenological research, as well as the presentation of phenomenological research articles that exemplified how phenomenological research was being approached within the field by other adult educators, provided a concrete and tangible starting place for phenomenological research. </w:t>
      </w:r>
    </w:p>
    <w:p w:rsidR="00ED06A4" w:rsidRDefault="00ED06A4" w:rsidP="00ED06A4">
      <w:pPr>
        <w:pStyle w:val="BodyTextIndent"/>
        <w:spacing w:after="0" w:line="480" w:lineRule="auto"/>
        <w:rPr>
          <w:iCs/>
          <w:szCs w:val="24"/>
        </w:rPr>
      </w:pPr>
      <w:r>
        <w:rPr>
          <w:iCs/>
          <w:szCs w:val="24"/>
        </w:rPr>
        <w:t xml:space="preserve">The call to explore phenomenology in adult education had been heeded, and Brookfield (1994) began using </w:t>
      </w:r>
      <w:proofErr w:type="spellStart"/>
      <w:r>
        <w:rPr>
          <w:iCs/>
          <w:szCs w:val="24"/>
        </w:rPr>
        <w:t>phenomenography</w:t>
      </w:r>
      <w:proofErr w:type="spellEnd"/>
      <w:r>
        <w:rPr>
          <w:iCs/>
          <w:szCs w:val="24"/>
        </w:rPr>
        <w:t xml:space="preserve"> (a rebellious turn of phrase that did not catch on) to study the critical reflections of 311 adult educators. Apparently, his </w:t>
      </w:r>
      <w:proofErr w:type="spellStart"/>
      <w:r>
        <w:rPr>
          <w:iCs/>
          <w:szCs w:val="24"/>
        </w:rPr>
        <w:t>phenomenography</w:t>
      </w:r>
      <w:proofErr w:type="spellEnd"/>
      <w:r>
        <w:rPr>
          <w:iCs/>
          <w:szCs w:val="24"/>
        </w:rPr>
        <w:t xml:space="preserve"> required more than free imaginative variation to perceive significant </w:t>
      </w:r>
      <w:proofErr w:type="spellStart"/>
      <w:r>
        <w:rPr>
          <w:iCs/>
          <w:szCs w:val="24"/>
        </w:rPr>
        <w:t>eidae</w:t>
      </w:r>
      <w:proofErr w:type="spellEnd"/>
      <w:r>
        <w:rPr>
          <w:iCs/>
          <w:szCs w:val="24"/>
        </w:rPr>
        <w:t xml:space="preserve">. Sounding a bit like </w:t>
      </w:r>
      <w:proofErr w:type="spellStart"/>
      <w:r>
        <w:rPr>
          <w:iCs/>
          <w:szCs w:val="24"/>
        </w:rPr>
        <w:t>Langeveld</w:t>
      </w:r>
      <w:proofErr w:type="spellEnd"/>
      <w:r>
        <w:rPr>
          <w:iCs/>
          <w:szCs w:val="24"/>
        </w:rPr>
        <w:t xml:space="preserve"> (founder of the Utrecht School) and his idea of phenomenological pedagogy, </w:t>
      </w:r>
      <w:proofErr w:type="spellStart"/>
      <w:r>
        <w:rPr>
          <w:iCs/>
          <w:szCs w:val="24"/>
        </w:rPr>
        <w:t>Mezirow</w:t>
      </w:r>
      <w:proofErr w:type="spellEnd"/>
      <w:r>
        <w:rPr>
          <w:iCs/>
          <w:szCs w:val="24"/>
        </w:rPr>
        <w:t xml:space="preserve"> (1990) stated in his work on critical reflection that “</w:t>
      </w:r>
      <w:proofErr w:type="spellStart"/>
      <w:r>
        <w:rPr>
          <w:iCs/>
          <w:szCs w:val="24"/>
        </w:rPr>
        <w:t>emancipatory</w:t>
      </w:r>
      <w:proofErr w:type="spellEnd"/>
      <w:r>
        <w:rPr>
          <w:iCs/>
          <w:szCs w:val="24"/>
        </w:rPr>
        <w:t xml:space="preserve"> learning is an organized effort to help the learner challenge presuppositions, explore alternative perspectives, transform old ways of understanding, and act on new perspectives” (p. 6).  Walters (2008) was one who recognized the </w:t>
      </w:r>
      <w:r>
        <w:rPr>
          <w:iCs/>
          <w:szCs w:val="24"/>
        </w:rPr>
        <w:lastRenderedPageBreak/>
        <w:t xml:space="preserve">existential assumptions inherent in transformative learning and existentialism, while Willis (1999) also linked phenomenology with reflective practice by suggesting that an examination of lived experiences may assist in reflective practice. </w:t>
      </w:r>
      <w:proofErr w:type="spellStart"/>
      <w:r>
        <w:rPr>
          <w:iCs/>
          <w:szCs w:val="24"/>
        </w:rPr>
        <w:t>Yorks</w:t>
      </w:r>
      <w:proofErr w:type="spellEnd"/>
      <w:r>
        <w:rPr>
          <w:iCs/>
          <w:szCs w:val="24"/>
        </w:rPr>
        <w:t xml:space="preserve"> and </w:t>
      </w:r>
      <w:proofErr w:type="spellStart"/>
      <w:r>
        <w:rPr>
          <w:iCs/>
          <w:szCs w:val="24"/>
        </w:rPr>
        <w:t>Kasl</w:t>
      </w:r>
      <w:proofErr w:type="spellEnd"/>
      <w:r>
        <w:rPr>
          <w:iCs/>
          <w:szCs w:val="24"/>
        </w:rPr>
        <w:t xml:space="preserve"> (2002) suggested that John Heron’s phenomenological approach could be used to study affective constructs in adult learning. Segal (1999) examined the disorienting dilemma and critical incidents of </w:t>
      </w:r>
      <w:proofErr w:type="spellStart"/>
      <w:r>
        <w:rPr>
          <w:iCs/>
          <w:szCs w:val="24"/>
        </w:rPr>
        <w:t>Heideggerian</w:t>
      </w:r>
      <w:proofErr w:type="spellEnd"/>
      <w:r>
        <w:rPr>
          <w:iCs/>
          <w:szCs w:val="24"/>
        </w:rPr>
        <w:t xml:space="preserve"> hermeneutic phenomenology and suggested that the role of the adult educator is “to transform the speechlessness experienced in moments of rupture into educational opportunities and to transform defensive forms of explicitness into reflective forms” (p. 73).</w:t>
      </w:r>
    </w:p>
    <w:p w:rsidR="00ED06A4" w:rsidRDefault="00ED06A4" w:rsidP="00ED06A4">
      <w:pPr>
        <w:pStyle w:val="BodyTextIndent"/>
        <w:spacing w:after="0" w:line="480" w:lineRule="auto"/>
        <w:rPr>
          <w:iCs/>
          <w:szCs w:val="24"/>
        </w:rPr>
      </w:pPr>
      <w:r>
        <w:rPr>
          <w:iCs/>
          <w:szCs w:val="24"/>
        </w:rPr>
        <w:t xml:space="preserve">Thus we see that phenomenological literature in adult education includes philosophical perspectives of how it can be applied to the field, research using phenomenological methods, and application in critical reflection. A logical string of continuity should exist between the philosophical inception, research methodology, and practical application of phenomenology. </w:t>
      </w:r>
    </w:p>
    <w:p w:rsidR="00ED06A4" w:rsidRDefault="00ED06A4" w:rsidP="00ED06A4">
      <w:pPr>
        <w:pStyle w:val="BodyTextIndent"/>
        <w:spacing w:after="0" w:line="480" w:lineRule="auto"/>
        <w:rPr>
          <w:szCs w:val="24"/>
        </w:rPr>
      </w:pPr>
      <w:r>
        <w:rPr>
          <w:iCs/>
          <w:szCs w:val="24"/>
        </w:rPr>
        <w:t xml:space="preserve">While the previous section generally examined what is known in the research literature about phenomenology as an appropriate lens through which to study adult education, the next chapter will specifically focus on the history and development of phenomenology as both a philosophy and a research method, for it is both, and its appropriateness for the methodological basis of this study. The phenomenological method practiced by the group led by Thomas and </w:t>
      </w:r>
      <w:proofErr w:type="spellStart"/>
      <w:r>
        <w:rPr>
          <w:iCs/>
          <w:szCs w:val="24"/>
        </w:rPr>
        <w:t>Pollio</w:t>
      </w:r>
      <w:proofErr w:type="spellEnd"/>
      <w:r>
        <w:rPr>
          <w:iCs/>
          <w:szCs w:val="24"/>
        </w:rPr>
        <w:t xml:space="preserve"> (2002) at the University of Tennessee, derived from the existential hermeneutic phenomenology of </w:t>
      </w:r>
      <w:proofErr w:type="spellStart"/>
      <w:r>
        <w:rPr>
          <w:iCs/>
          <w:szCs w:val="24"/>
        </w:rPr>
        <w:t>Merleau-Ponty</w:t>
      </w:r>
      <w:proofErr w:type="spellEnd"/>
      <w:r>
        <w:rPr>
          <w:iCs/>
          <w:szCs w:val="24"/>
        </w:rPr>
        <w:t xml:space="preserve">, will also be examined and used as the proposed method for this study. </w:t>
      </w:r>
      <w:r>
        <w:rPr>
          <w:i/>
          <w:szCs w:val="24"/>
        </w:rPr>
        <w:tab/>
      </w:r>
    </w:p>
    <w:p w:rsidR="00ED06A4" w:rsidRDefault="00ED06A4" w:rsidP="00ED06A4">
      <w:pPr>
        <w:spacing w:after="0" w:line="480" w:lineRule="auto"/>
        <w:jc w:val="center"/>
      </w:pPr>
    </w:p>
    <w:p w:rsidR="00ED06A4" w:rsidRDefault="00ED06A4" w:rsidP="00ED06A4">
      <w:pPr>
        <w:spacing w:after="0" w:line="480" w:lineRule="auto"/>
        <w:jc w:val="center"/>
      </w:pPr>
    </w:p>
    <w:p w:rsidR="00ED06A4" w:rsidRDefault="00ED06A4" w:rsidP="00ED06A4">
      <w:pPr>
        <w:spacing w:after="0" w:line="480" w:lineRule="auto"/>
        <w:jc w:val="center"/>
      </w:pPr>
    </w:p>
    <w:p w:rsidR="00ED06A4" w:rsidRDefault="00ED06A4" w:rsidP="00ED06A4">
      <w:pPr>
        <w:spacing w:after="0" w:line="480" w:lineRule="auto"/>
        <w:jc w:val="center"/>
      </w:pPr>
    </w:p>
    <w:p w:rsidR="00ED06A4" w:rsidRDefault="00ED06A4" w:rsidP="00ED06A4">
      <w:pPr>
        <w:pStyle w:val="Heading1"/>
      </w:pPr>
      <w:bookmarkStart w:id="14" w:name="_Toc309015914"/>
      <w:r>
        <w:t>Chapter 3: Methodology</w:t>
      </w:r>
      <w:bookmarkEnd w:id="14"/>
    </w:p>
    <w:p w:rsidR="00ED06A4" w:rsidRDefault="00ED06A4" w:rsidP="00ED06A4">
      <w:pPr>
        <w:pStyle w:val="BodyTextIndent"/>
        <w:spacing w:after="0" w:line="480" w:lineRule="auto"/>
        <w:rPr>
          <w:szCs w:val="24"/>
        </w:rPr>
      </w:pPr>
      <w:r>
        <w:rPr>
          <w:szCs w:val="24"/>
        </w:rPr>
        <w:t xml:space="preserve">This chapter will provide a general history of phenomenological (philosophical) inquiry and how phenomenology directly relates to the study of adult education before proceeding to look at a methodology based in existential hermeneutic phenomenology. The descriptive (eidetic) phenomenology of Edmund Husserl and the interpretive (hermeneutic) phenomenology of Martin Heidegger will be discussed, as will the existential hermeneutic phenomenology of Maurice </w:t>
      </w:r>
      <w:proofErr w:type="spellStart"/>
      <w:r>
        <w:rPr>
          <w:szCs w:val="24"/>
        </w:rPr>
        <w:t>Merleau-Ponty</w:t>
      </w:r>
      <w:proofErr w:type="spellEnd"/>
      <w:r>
        <w:rPr>
          <w:szCs w:val="24"/>
        </w:rPr>
        <w:t xml:space="preserve">. Existentialist and phenomenological approaches to education will be examined, as will the ways in which phenomenology may be used as a philosophical basis for the study of adult education. The phenomenological methodology of Thomas and </w:t>
      </w:r>
      <w:proofErr w:type="spellStart"/>
      <w:r>
        <w:rPr>
          <w:szCs w:val="24"/>
        </w:rPr>
        <w:t>Pollio</w:t>
      </w:r>
      <w:proofErr w:type="spellEnd"/>
      <w:r>
        <w:rPr>
          <w:szCs w:val="24"/>
        </w:rPr>
        <w:t xml:space="preserve"> (2002), as used at the University of Tennessee, will then be examined as a legitimate way of doing phenomenological research in adult education. </w:t>
      </w:r>
    </w:p>
    <w:p w:rsidR="00ED06A4" w:rsidRDefault="00ED06A4" w:rsidP="00ED06A4">
      <w:pPr>
        <w:pStyle w:val="Heading2"/>
      </w:pPr>
      <w:bookmarkStart w:id="15" w:name="_Toc309015915"/>
      <w:r>
        <w:t>A Brief History of Phenomenology</w:t>
      </w:r>
      <w:bookmarkEnd w:id="15"/>
    </w:p>
    <w:p w:rsidR="00ED06A4" w:rsidRDefault="00ED06A4" w:rsidP="00ED06A4">
      <w:pPr>
        <w:pStyle w:val="BodyTextIndent"/>
        <w:spacing w:after="0" w:line="480" w:lineRule="auto"/>
        <w:rPr>
          <w:szCs w:val="24"/>
        </w:rPr>
      </w:pPr>
      <w:r>
        <w:rPr>
          <w:szCs w:val="24"/>
        </w:rPr>
        <w:t xml:space="preserve">Phenomenology is often seen as both a philosophy and a qualitative research method (Dowling, 2007). As a philosophy, it is “a project that is driven by fascination: being swept up in a spell of wonder, a fascination with meaning” (van </w:t>
      </w:r>
      <w:proofErr w:type="spellStart"/>
      <w:r>
        <w:rPr>
          <w:szCs w:val="24"/>
        </w:rPr>
        <w:t>Manen</w:t>
      </w:r>
      <w:proofErr w:type="spellEnd"/>
      <w:r>
        <w:rPr>
          <w:szCs w:val="24"/>
        </w:rPr>
        <w:t xml:space="preserve">, 2007, p. 12). As a research method, it is “the rigorous and unbiased study of things as they appear so that one might come to an essential understanding of human consciousness and experience” (Valle, King, &amp; </w:t>
      </w:r>
      <w:proofErr w:type="spellStart"/>
      <w:r>
        <w:rPr>
          <w:szCs w:val="24"/>
        </w:rPr>
        <w:t>Halling</w:t>
      </w:r>
      <w:proofErr w:type="spellEnd"/>
      <w:r>
        <w:rPr>
          <w:szCs w:val="24"/>
        </w:rPr>
        <w:t xml:space="preserve">, 1989, p. 6). Creswell (2009) stated that “phenomenological research is a strategy of inquiry in which the researcher identifies the essence of human experiences about a phenomenon as described by participants. </w:t>
      </w:r>
      <w:proofErr w:type="gramStart"/>
      <w:r>
        <w:rPr>
          <w:szCs w:val="24"/>
        </w:rPr>
        <w:t>Understanding the lived experiences marks phenomenology as a philosophy as well as a method” (p. 13).</w:t>
      </w:r>
      <w:proofErr w:type="gramEnd"/>
      <w:r>
        <w:rPr>
          <w:szCs w:val="24"/>
        </w:rPr>
        <w:t xml:space="preserve"> </w:t>
      </w:r>
      <w:proofErr w:type="spellStart"/>
      <w:r>
        <w:rPr>
          <w:szCs w:val="24"/>
        </w:rPr>
        <w:t>Minichiello</w:t>
      </w:r>
      <w:proofErr w:type="spellEnd"/>
      <w:r>
        <w:rPr>
          <w:szCs w:val="24"/>
        </w:rPr>
        <w:t xml:space="preserve"> and </w:t>
      </w:r>
      <w:proofErr w:type="spellStart"/>
      <w:r>
        <w:rPr>
          <w:szCs w:val="24"/>
        </w:rPr>
        <w:t>Kottler</w:t>
      </w:r>
      <w:proofErr w:type="spellEnd"/>
      <w:r>
        <w:rPr>
          <w:szCs w:val="24"/>
        </w:rPr>
        <w:t xml:space="preserve"> (2010) argued that the aim of phenomenology “is to understand the meaning that people attach to their experiences, but the focus is to investigate </w:t>
      </w:r>
      <w:r>
        <w:rPr>
          <w:szCs w:val="24"/>
        </w:rPr>
        <w:lastRenderedPageBreak/>
        <w:t xml:space="preserve">the internal world as it is seen, felt, intuited, and thought by the individual” (p. 25). </w:t>
      </w:r>
      <w:proofErr w:type="spellStart"/>
      <w:r>
        <w:rPr>
          <w:szCs w:val="24"/>
        </w:rPr>
        <w:t>Grbich</w:t>
      </w:r>
      <w:proofErr w:type="spellEnd"/>
      <w:r>
        <w:rPr>
          <w:szCs w:val="24"/>
        </w:rPr>
        <w:t xml:space="preserve"> (2007) defined phenomenology as “an approach which attempts to understand the hidden meanings and the essence of an experience together with how participants make sense of these” (p. 84). </w:t>
      </w:r>
    </w:p>
    <w:p w:rsidR="00ED06A4" w:rsidRDefault="00ED06A4" w:rsidP="00ED06A4">
      <w:pPr>
        <w:pStyle w:val="BodyTextIndent"/>
        <w:spacing w:after="0" w:line="480" w:lineRule="auto"/>
        <w:rPr>
          <w:szCs w:val="24"/>
        </w:rPr>
      </w:pPr>
      <w:r>
        <w:rPr>
          <w:szCs w:val="24"/>
        </w:rPr>
        <w:t xml:space="preserve">Phenomenology as both a philosophy and a research method in adult education has only recently begun to be explored. This is interesting because disciplines overlapping adult education (including the broad topic of education itself and its relationship to phenomenology, hermeneutics, and existentialism) have used phenomenology as both a philosophical base and a methodological approach to examine issues within their disciplines for a longer period. </w:t>
      </w:r>
    </w:p>
    <w:p w:rsidR="00ED06A4" w:rsidRDefault="00ED06A4" w:rsidP="00ED06A4">
      <w:pPr>
        <w:pStyle w:val="BodyTextIndent"/>
        <w:spacing w:after="0" w:line="480" w:lineRule="auto"/>
        <w:rPr>
          <w:szCs w:val="24"/>
        </w:rPr>
      </w:pPr>
      <w:r>
        <w:rPr>
          <w:szCs w:val="24"/>
        </w:rPr>
        <w:t xml:space="preserve">Berger and </w:t>
      </w:r>
      <w:proofErr w:type="spellStart"/>
      <w:r>
        <w:rPr>
          <w:szCs w:val="24"/>
        </w:rPr>
        <w:t>Luckmann</w:t>
      </w:r>
      <w:proofErr w:type="spellEnd"/>
      <w:r>
        <w:rPr>
          <w:szCs w:val="24"/>
        </w:rPr>
        <w:t xml:space="preserve"> (1967) took a phenomenological approach to sociology in </w:t>
      </w:r>
      <w:r>
        <w:rPr>
          <w:i/>
          <w:iCs/>
          <w:szCs w:val="24"/>
        </w:rPr>
        <w:t>The Social Construction of Knowledge</w:t>
      </w:r>
      <w:r>
        <w:rPr>
          <w:szCs w:val="24"/>
        </w:rPr>
        <w:t>, while phenomenological studies in psychology were well underway by the early 1970’s at Duquesne University (</w:t>
      </w:r>
      <w:proofErr w:type="spellStart"/>
      <w:r>
        <w:rPr>
          <w:szCs w:val="24"/>
        </w:rPr>
        <w:t>Giorgi</w:t>
      </w:r>
      <w:proofErr w:type="spellEnd"/>
      <w:r>
        <w:rPr>
          <w:szCs w:val="24"/>
        </w:rPr>
        <w:t xml:space="preserve">, Fischer, &amp; von </w:t>
      </w:r>
      <w:proofErr w:type="spellStart"/>
      <w:r>
        <w:rPr>
          <w:szCs w:val="24"/>
        </w:rPr>
        <w:t>Eckhartsberg</w:t>
      </w:r>
      <w:proofErr w:type="spellEnd"/>
      <w:r>
        <w:rPr>
          <w:szCs w:val="24"/>
        </w:rPr>
        <w:t xml:space="preserve">, 1971). While Collins (1984) considered philosophically how phenomenology may be used in future adult education research, other disciplines were forging ahead using phenomenological methods. The first book to solely address phenomenology and adult education, </w:t>
      </w:r>
      <w:r>
        <w:rPr>
          <w:i/>
          <w:iCs/>
          <w:szCs w:val="24"/>
        </w:rPr>
        <w:t>Adult Education and Phenomenological Research</w:t>
      </w:r>
      <w:r>
        <w:rPr>
          <w:szCs w:val="24"/>
        </w:rPr>
        <w:t xml:space="preserve"> (</w:t>
      </w:r>
      <w:proofErr w:type="spellStart"/>
      <w:r>
        <w:rPr>
          <w:szCs w:val="24"/>
        </w:rPr>
        <w:t>Stanage</w:t>
      </w:r>
      <w:proofErr w:type="spellEnd"/>
      <w:r>
        <w:rPr>
          <w:szCs w:val="24"/>
        </w:rPr>
        <w:t>, 1987), did not come to press until almost over a decade and a half after the first volume of Duquesne studies was published.</w:t>
      </w:r>
    </w:p>
    <w:p w:rsidR="00ED06A4" w:rsidRDefault="00ED06A4" w:rsidP="00ED06A4">
      <w:pPr>
        <w:pStyle w:val="BodyTextIndent"/>
        <w:spacing w:after="0" w:line="480" w:lineRule="auto"/>
        <w:rPr>
          <w:szCs w:val="24"/>
        </w:rPr>
      </w:pPr>
      <w:r>
        <w:rPr>
          <w:szCs w:val="24"/>
        </w:rPr>
        <w:t xml:space="preserve">In a very few short decades, phenomenology has moved from a relatively obscure philosophy in adult education to a well-used research method. The move has been so successful that a lack of differentiation between philosophy and practice has led some to claim a philosophical orientation that is not supported in the methodology. Methodology is understood in the following manner: “a methodology is not a correct method to follow, but a creative approach to understanding, using whatever approaches are responsive to particular questions and subject </w:t>
      </w:r>
      <w:r>
        <w:rPr>
          <w:szCs w:val="24"/>
        </w:rPr>
        <w:lastRenderedPageBreak/>
        <w:t>matter” (Laverty, 2003, p. 16). This practice of using a phenomenological methodology that is divorced from an appropriate philosophical backing has caused some concern within the phenomenological community (Caelli</w:t>
      </w:r>
      <w:proofErr w:type="gramStart"/>
      <w:r>
        <w:rPr>
          <w:szCs w:val="24"/>
        </w:rPr>
        <w:t>,2001</w:t>
      </w:r>
      <w:proofErr w:type="gramEnd"/>
      <w:r>
        <w:rPr>
          <w:szCs w:val="24"/>
        </w:rPr>
        <w:t xml:space="preserve">; </w:t>
      </w:r>
      <w:proofErr w:type="spellStart"/>
      <w:r>
        <w:rPr>
          <w:szCs w:val="24"/>
        </w:rPr>
        <w:t>Giorgi</w:t>
      </w:r>
      <w:proofErr w:type="spellEnd"/>
      <w:r>
        <w:rPr>
          <w:szCs w:val="24"/>
        </w:rPr>
        <w:t>, 2008).</w:t>
      </w:r>
    </w:p>
    <w:p w:rsidR="00ED06A4" w:rsidRDefault="00ED06A4" w:rsidP="00ED06A4">
      <w:pPr>
        <w:pStyle w:val="Heading3"/>
      </w:pPr>
      <w:r>
        <w:t>Descriptive Phenomenology</w:t>
      </w:r>
    </w:p>
    <w:p w:rsidR="00ED06A4" w:rsidRDefault="00ED06A4" w:rsidP="00ED06A4">
      <w:pPr>
        <w:pStyle w:val="BodyTextIndent"/>
        <w:spacing w:after="0" w:line="480" w:lineRule="auto"/>
        <w:rPr>
          <w:szCs w:val="24"/>
        </w:rPr>
      </w:pPr>
      <w:r>
        <w:rPr>
          <w:szCs w:val="24"/>
        </w:rPr>
        <w:t>Popularized by Edmund Husserl (1901/2001), and influenced by Franz Brentano’s (1874/1995) ideas of intentionality, phenomenology opposed the positivist idea that natural science was the sole arbiter of truth (Willis, 2001), especially when attempting to study human sciences using naturalistic methods (Laverty, 2003). Truth, according to Husserl, may be found in the shared, lived experiences of others. These shared experiences are the essence (</w:t>
      </w:r>
      <w:proofErr w:type="spellStart"/>
      <w:r w:rsidRPr="00FE5070">
        <w:rPr>
          <w:i/>
          <w:szCs w:val="24"/>
        </w:rPr>
        <w:t>eidos</w:t>
      </w:r>
      <w:proofErr w:type="spellEnd"/>
      <w:r>
        <w:rPr>
          <w:szCs w:val="24"/>
        </w:rPr>
        <w:t>) of the experience (Lopez &amp; Willis, 2004) and are the object of Husserl’s (1901/2001) admonition to get “back to the things themselves (</w:t>
      </w:r>
      <w:proofErr w:type="spellStart"/>
      <w:r>
        <w:rPr>
          <w:szCs w:val="24"/>
        </w:rPr>
        <w:t>züchen</w:t>
      </w:r>
      <w:proofErr w:type="spellEnd"/>
      <w:r>
        <w:rPr>
          <w:szCs w:val="24"/>
        </w:rPr>
        <w:t xml:space="preserve"> </w:t>
      </w:r>
      <w:proofErr w:type="spellStart"/>
      <w:r>
        <w:rPr>
          <w:szCs w:val="24"/>
        </w:rPr>
        <w:t>zu</w:t>
      </w:r>
      <w:proofErr w:type="spellEnd"/>
      <w:r>
        <w:rPr>
          <w:szCs w:val="24"/>
        </w:rPr>
        <w:t xml:space="preserve"> den </w:t>
      </w:r>
      <w:proofErr w:type="spellStart"/>
      <w:r>
        <w:rPr>
          <w:szCs w:val="24"/>
        </w:rPr>
        <w:t>Sachen</w:t>
      </w:r>
      <w:proofErr w:type="spellEnd"/>
      <w:r>
        <w:rPr>
          <w:szCs w:val="24"/>
        </w:rPr>
        <w:t xml:space="preserve"> </w:t>
      </w:r>
      <w:proofErr w:type="spellStart"/>
      <w:r>
        <w:rPr>
          <w:szCs w:val="24"/>
        </w:rPr>
        <w:t>selbst</w:t>
      </w:r>
      <w:proofErr w:type="spellEnd"/>
      <w:r>
        <w:rPr>
          <w:szCs w:val="24"/>
        </w:rPr>
        <w:t xml:space="preserve">)” (p. 2). In order rid oneself of subjectivity so that the eidetic structure could be seen, Husserl proposed the need for a reduction whereby a transcendental state of objectivity is achieved and the </w:t>
      </w:r>
      <w:proofErr w:type="spellStart"/>
      <w:r>
        <w:rPr>
          <w:szCs w:val="24"/>
        </w:rPr>
        <w:t>eidae</w:t>
      </w:r>
      <w:proofErr w:type="spellEnd"/>
      <w:r>
        <w:rPr>
          <w:szCs w:val="24"/>
        </w:rPr>
        <w:t xml:space="preserve"> (essences) may be known and described (</w:t>
      </w:r>
      <w:proofErr w:type="spellStart"/>
      <w:r>
        <w:rPr>
          <w:szCs w:val="24"/>
        </w:rPr>
        <w:t>LeVasseur</w:t>
      </w:r>
      <w:proofErr w:type="spellEnd"/>
      <w:r>
        <w:rPr>
          <w:szCs w:val="24"/>
        </w:rPr>
        <w:t xml:space="preserve">, 2003). Husserl’s method consisted of three parts, based in his philosophy: </w:t>
      </w:r>
    </w:p>
    <w:p w:rsidR="00ED06A4" w:rsidRDefault="00ED06A4" w:rsidP="00ED06A4">
      <w:pPr>
        <w:pStyle w:val="BodyTextIndent"/>
        <w:spacing w:after="0" w:line="480" w:lineRule="auto"/>
        <w:ind w:left="720" w:firstLine="0"/>
        <w:rPr>
          <w:szCs w:val="24"/>
        </w:rPr>
      </w:pPr>
      <w:r>
        <w:rPr>
          <w:szCs w:val="24"/>
        </w:rPr>
        <w:t>(a) One assumes the transcendental phenomenological attitude, (b) one brings to consciousness an instance of the phenomenon to be explored, whether actual or fictional, and with the help of free imaginative variation, one intuits the essence of the phenomenon being investigated, and (c) one carefully describes the essence that has been discovered. (</w:t>
      </w:r>
      <w:proofErr w:type="spellStart"/>
      <w:r>
        <w:rPr>
          <w:szCs w:val="24"/>
        </w:rPr>
        <w:t>Giorgi</w:t>
      </w:r>
      <w:proofErr w:type="spellEnd"/>
      <w:r>
        <w:rPr>
          <w:szCs w:val="24"/>
        </w:rPr>
        <w:t>, 2007, p. 64)</w:t>
      </w:r>
    </w:p>
    <w:p w:rsidR="00ED06A4" w:rsidRDefault="00ED06A4" w:rsidP="00ED06A4">
      <w:pPr>
        <w:pStyle w:val="BodyTextIndent"/>
        <w:spacing w:after="0" w:line="480" w:lineRule="auto"/>
        <w:ind w:firstLine="0"/>
        <w:rPr>
          <w:szCs w:val="24"/>
        </w:rPr>
      </w:pPr>
      <w:r>
        <w:rPr>
          <w:szCs w:val="24"/>
        </w:rPr>
        <w:t xml:space="preserve">Seminal to this process is the </w:t>
      </w:r>
      <w:proofErr w:type="spellStart"/>
      <w:r w:rsidRPr="00FE5070">
        <w:rPr>
          <w:i/>
          <w:szCs w:val="24"/>
        </w:rPr>
        <w:t>epoché</w:t>
      </w:r>
      <w:proofErr w:type="spellEnd"/>
      <w:r>
        <w:rPr>
          <w:szCs w:val="24"/>
        </w:rPr>
        <w:t>, or bracketing procedure, whereby one suspends or holds in abeyance one’s preformed suppositions about the topic of study (</w:t>
      </w:r>
      <w:proofErr w:type="spellStart"/>
      <w:r>
        <w:rPr>
          <w:szCs w:val="24"/>
        </w:rPr>
        <w:t>LeVasseur</w:t>
      </w:r>
      <w:proofErr w:type="spellEnd"/>
      <w:r>
        <w:rPr>
          <w:szCs w:val="24"/>
        </w:rPr>
        <w:t xml:space="preserve">, 2003). Through this process of eidetic (transcendental phenomenological) reduction, we may know the life-world </w:t>
      </w:r>
      <w:r>
        <w:rPr>
          <w:szCs w:val="24"/>
        </w:rPr>
        <w:lastRenderedPageBreak/>
        <w:t>(</w:t>
      </w:r>
      <w:proofErr w:type="spellStart"/>
      <w:r w:rsidRPr="00FE5070">
        <w:rPr>
          <w:i/>
          <w:szCs w:val="24"/>
        </w:rPr>
        <w:t>Lebenswelt</w:t>
      </w:r>
      <w:proofErr w:type="spellEnd"/>
      <w:r>
        <w:rPr>
          <w:szCs w:val="24"/>
        </w:rPr>
        <w:t xml:space="preserve">), the pre-reflective lived experience (Dowling, 2007), and get back to the things themselves and come to knowledge of the truth. Because of the descriptive nature of Husserl’s phenomenology, it became known as descriptive phenomenology (Lopez &amp; Willis, 2004). </w:t>
      </w:r>
    </w:p>
    <w:p w:rsidR="00ED06A4" w:rsidRDefault="00ED06A4" w:rsidP="00ED06A4">
      <w:pPr>
        <w:pStyle w:val="BodyTextIndent"/>
        <w:spacing w:after="0" w:line="480" w:lineRule="auto"/>
        <w:rPr>
          <w:szCs w:val="24"/>
        </w:rPr>
      </w:pPr>
      <w:r>
        <w:rPr>
          <w:szCs w:val="24"/>
        </w:rPr>
        <w:t xml:space="preserve">It is important to note that descriptive phenomenology assumes an objective truth actually exists. Husserl chose a path different from the standard scientific method to come to the knowledge of that truth, but the goal of study was the same, i.e., to describe objective truth. This truth was the </w:t>
      </w:r>
      <w:proofErr w:type="spellStart"/>
      <w:r>
        <w:rPr>
          <w:szCs w:val="24"/>
        </w:rPr>
        <w:t>eidae</w:t>
      </w:r>
      <w:proofErr w:type="spellEnd"/>
      <w:r>
        <w:rPr>
          <w:szCs w:val="24"/>
        </w:rPr>
        <w:t xml:space="preserve"> of human experiences that existed in the pre-reflective </w:t>
      </w:r>
      <w:proofErr w:type="spellStart"/>
      <w:r>
        <w:rPr>
          <w:szCs w:val="24"/>
        </w:rPr>
        <w:t>Lebenswelt</w:t>
      </w:r>
      <w:proofErr w:type="spellEnd"/>
      <w:r>
        <w:rPr>
          <w:szCs w:val="24"/>
        </w:rPr>
        <w:t xml:space="preserve"> of individual experiences. This is the reason that descriptive phenomenological findings are just as </w:t>
      </w:r>
      <w:proofErr w:type="spellStart"/>
      <w:r>
        <w:rPr>
          <w:szCs w:val="24"/>
        </w:rPr>
        <w:t>generalizable</w:t>
      </w:r>
      <w:proofErr w:type="spellEnd"/>
      <w:r>
        <w:rPr>
          <w:szCs w:val="24"/>
        </w:rPr>
        <w:t xml:space="preserve"> as findings obtained from standard scientific methods. </w:t>
      </w:r>
    </w:p>
    <w:p w:rsidR="00ED06A4" w:rsidRDefault="00ED06A4" w:rsidP="00ED06A4">
      <w:pPr>
        <w:pStyle w:val="BodyTextIndent"/>
        <w:spacing w:after="0" w:line="480" w:lineRule="auto"/>
        <w:rPr>
          <w:szCs w:val="24"/>
        </w:rPr>
      </w:pPr>
      <w:r>
        <w:rPr>
          <w:szCs w:val="24"/>
        </w:rPr>
        <w:t xml:space="preserve">This is mentioned because phenomenological studies often fail to claim </w:t>
      </w:r>
      <w:proofErr w:type="spellStart"/>
      <w:r>
        <w:rPr>
          <w:szCs w:val="24"/>
        </w:rPr>
        <w:t>generalizability</w:t>
      </w:r>
      <w:proofErr w:type="spellEnd"/>
      <w:r>
        <w:rPr>
          <w:szCs w:val="24"/>
        </w:rPr>
        <w:t xml:space="preserve">. This indicates a misunderstanding about the nature of phenomenological research. And it is in this concept of </w:t>
      </w:r>
      <w:proofErr w:type="spellStart"/>
      <w:r>
        <w:rPr>
          <w:szCs w:val="24"/>
        </w:rPr>
        <w:t>generalizability</w:t>
      </w:r>
      <w:proofErr w:type="spellEnd"/>
      <w:r>
        <w:rPr>
          <w:szCs w:val="24"/>
        </w:rPr>
        <w:t xml:space="preserve"> that the reduction presents itself as the defining aspect of phenomenological methodology, whether it is descriptive, interpretive, or existential. As Solomon (1972) succinctly points out, “the phenomenological reduction… guarantees that we see essences and not just individuals” (p. 22). </w:t>
      </w:r>
      <w:proofErr w:type="spellStart"/>
      <w:r>
        <w:rPr>
          <w:szCs w:val="24"/>
        </w:rPr>
        <w:t>Giorgi</w:t>
      </w:r>
      <w:proofErr w:type="spellEnd"/>
      <w:r>
        <w:rPr>
          <w:szCs w:val="24"/>
        </w:rPr>
        <w:t xml:space="preserve"> (2008) explained the concept of generalization in phenomenology:</w:t>
      </w:r>
    </w:p>
    <w:p w:rsidR="00ED06A4" w:rsidRDefault="00ED06A4" w:rsidP="00ED06A4">
      <w:pPr>
        <w:pStyle w:val="BodyTextIndent"/>
        <w:spacing w:after="0" w:line="480" w:lineRule="auto"/>
        <w:ind w:left="720" w:firstLine="0"/>
        <w:rPr>
          <w:szCs w:val="24"/>
        </w:rPr>
      </w:pPr>
      <w:r>
        <w:rPr>
          <w:szCs w:val="24"/>
        </w:rPr>
        <w:t xml:space="preserve">So long as one can employ the eidetic reduction, with the help of imaginative variation, one can obtain an eidetic intuition into the state of affairs and describe an essential finding that is intrinsically general. Husserl makes it clear that one can do that. I may observe a specific chair. But nothing prevents me from switching attitudes and taking a more general perspective toward the particular chair and seeing it as a cultural object designed to support the human body in the posture of sitting. The more general description is as true as the particular details of the chair that is taken as an example of a </w:t>
      </w:r>
      <w:r>
        <w:rPr>
          <w:szCs w:val="24"/>
        </w:rPr>
        <w:lastRenderedPageBreak/>
        <w:t xml:space="preserve">particular perception. There is no way to prevent one from assuming such a more general perspective. The switch results in eidetic findings that are intrinsically general. (“The Question of Generalization,” </w:t>
      </w:r>
      <w:proofErr w:type="spellStart"/>
      <w:r>
        <w:rPr>
          <w:szCs w:val="24"/>
        </w:rPr>
        <w:t>para</w:t>
      </w:r>
      <w:proofErr w:type="spellEnd"/>
      <w:r>
        <w:rPr>
          <w:szCs w:val="24"/>
        </w:rPr>
        <w:t>. 1)</w:t>
      </w:r>
    </w:p>
    <w:p w:rsidR="00ED06A4" w:rsidRDefault="00ED06A4" w:rsidP="00ED06A4">
      <w:pPr>
        <w:pStyle w:val="BodyTextIndent"/>
        <w:spacing w:after="0" w:line="480" w:lineRule="auto"/>
        <w:ind w:firstLine="0"/>
        <w:rPr>
          <w:szCs w:val="24"/>
        </w:rPr>
      </w:pPr>
      <w:r>
        <w:rPr>
          <w:szCs w:val="24"/>
        </w:rPr>
        <w:t>Imaginative variation (also, free imaginative variation) is a process whereby “one freely changes aspects or parts of a phenomenon or object, and one sees if the phenomenon remains identifiable with the part changed or not” (</w:t>
      </w:r>
      <w:proofErr w:type="spellStart"/>
      <w:r>
        <w:rPr>
          <w:szCs w:val="24"/>
        </w:rPr>
        <w:t>Giorgi</w:t>
      </w:r>
      <w:proofErr w:type="spellEnd"/>
      <w:r>
        <w:rPr>
          <w:szCs w:val="24"/>
        </w:rPr>
        <w:t xml:space="preserve">, 1997, pp. 242-243). Van </w:t>
      </w:r>
      <w:proofErr w:type="spellStart"/>
      <w:r>
        <w:rPr>
          <w:szCs w:val="24"/>
        </w:rPr>
        <w:t>Manen</w:t>
      </w:r>
      <w:proofErr w:type="spellEnd"/>
      <w:r>
        <w:rPr>
          <w:szCs w:val="24"/>
        </w:rPr>
        <w:t xml:space="preserve"> (1979) described it as “the method of probing the distinctive or essential features of… phenomena” (p. 10). When the Chinese Taoist sage, Chuang Tzu (389-286 BCE), said, “I dreamed I was a butterfly, flitting around in the sky; then I awoke. Now I wonder: Am I a man who dreamt of being a butterfly, or am I a butterfly dreaming that I am a man?” (“Chuang Tzu Quotes,” 2010), he was engaging in free imaginative variation. </w:t>
      </w:r>
    </w:p>
    <w:p w:rsidR="00ED06A4" w:rsidRDefault="00ED06A4" w:rsidP="00ED06A4">
      <w:pPr>
        <w:pStyle w:val="BodyTextIndent"/>
        <w:spacing w:after="0" w:line="480" w:lineRule="auto"/>
        <w:rPr>
          <w:szCs w:val="24"/>
        </w:rPr>
      </w:pPr>
      <w:r>
        <w:rPr>
          <w:szCs w:val="24"/>
        </w:rPr>
        <w:t xml:space="preserve">Thomas and </w:t>
      </w:r>
      <w:proofErr w:type="spellStart"/>
      <w:r>
        <w:rPr>
          <w:szCs w:val="24"/>
        </w:rPr>
        <w:t>Pollio</w:t>
      </w:r>
      <w:proofErr w:type="spellEnd"/>
      <w:r>
        <w:rPr>
          <w:szCs w:val="24"/>
        </w:rPr>
        <w:t xml:space="preserve"> (2002) also explained the concept of </w:t>
      </w:r>
      <w:proofErr w:type="spellStart"/>
      <w:r>
        <w:rPr>
          <w:szCs w:val="24"/>
        </w:rPr>
        <w:t>generalizability</w:t>
      </w:r>
      <w:proofErr w:type="spellEnd"/>
      <w:r>
        <w:rPr>
          <w:szCs w:val="24"/>
        </w:rPr>
        <w:t xml:space="preserve"> in existential hermeneutic phenomenology:</w:t>
      </w:r>
    </w:p>
    <w:p w:rsidR="00ED06A4" w:rsidRDefault="00ED06A4" w:rsidP="00ED06A4">
      <w:pPr>
        <w:pStyle w:val="BodyTextIndent"/>
        <w:spacing w:after="0" w:line="480" w:lineRule="auto"/>
        <w:ind w:left="720" w:firstLine="0"/>
        <w:rPr>
          <w:szCs w:val="24"/>
        </w:rPr>
      </w:pPr>
      <w:r>
        <w:rPr>
          <w:szCs w:val="24"/>
        </w:rPr>
        <w:t xml:space="preserve">The case for what might be called </w:t>
      </w:r>
      <w:r>
        <w:rPr>
          <w:i/>
          <w:iCs/>
          <w:szCs w:val="24"/>
        </w:rPr>
        <w:t xml:space="preserve">phenomenological </w:t>
      </w:r>
      <w:proofErr w:type="spellStart"/>
      <w:r>
        <w:rPr>
          <w:i/>
          <w:iCs/>
          <w:szCs w:val="24"/>
        </w:rPr>
        <w:t>generalizability</w:t>
      </w:r>
      <w:proofErr w:type="spellEnd"/>
      <w:r>
        <w:rPr>
          <w:szCs w:val="24"/>
        </w:rPr>
        <w:t xml:space="preserve"> is different [from that used in quantitative methods]. Here, “proof” does not depend solely on purity of method but also upon the </w:t>
      </w:r>
      <w:r>
        <w:rPr>
          <w:i/>
          <w:iCs/>
          <w:szCs w:val="24"/>
        </w:rPr>
        <w:t>reader</w:t>
      </w:r>
      <w:r>
        <w:rPr>
          <w:szCs w:val="24"/>
        </w:rPr>
        <w:t xml:space="preserve"> of the research report. In this case, when and if a description rings true, each specific reader who derives insight from the results of a phenomenological study may be thought to extend its </w:t>
      </w:r>
      <w:proofErr w:type="spellStart"/>
      <w:r>
        <w:rPr>
          <w:szCs w:val="24"/>
        </w:rPr>
        <w:t>generalizability</w:t>
      </w:r>
      <w:proofErr w:type="spellEnd"/>
      <w:r>
        <w:rPr>
          <w:szCs w:val="24"/>
        </w:rPr>
        <w:t xml:space="preserve">. Unlike other research methods where the researcher establishes </w:t>
      </w:r>
      <w:proofErr w:type="spellStart"/>
      <w:r>
        <w:rPr>
          <w:szCs w:val="24"/>
        </w:rPr>
        <w:t>generalizability</w:t>
      </w:r>
      <w:proofErr w:type="spellEnd"/>
      <w:r>
        <w:rPr>
          <w:szCs w:val="24"/>
        </w:rPr>
        <w:t xml:space="preserve"> on the basis of statistical and experimental procedures, phenomenological research is “validated” by its readers. (p. 42)</w:t>
      </w:r>
    </w:p>
    <w:p w:rsidR="00ED06A4" w:rsidRDefault="00ED06A4" w:rsidP="00ED06A4">
      <w:pPr>
        <w:pStyle w:val="BodyTextIndent"/>
        <w:spacing w:after="0" w:line="480" w:lineRule="auto"/>
        <w:ind w:firstLine="0"/>
        <w:rPr>
          <w:szCs w:val="24"/>
        </w:rPr>
      </w:pPr>
      <w:r>
        <w:rPr>
          <w:szCs w:val="24"/>
        </w:rPr>
        <w:t xml:space="preserve">However, </w:t>
      </w:r>
      <w:proofErr w:type="spellStart"/>
      <w:r>
        <w:rPr>
          <w:szCs w:val="24"/>
        </w:rPr>
        <w:t>Giorgi</w:t>
      </w:r>
      <w:proofErr w:type="spellEnd"/>
      <w:r>
        <w:rPr>
          <w:szCs w:val="24"/>
        </w:rPr>
        <w:t xml:space="preserve"> (2008) noted, “if one does not employ the eidetic reduction and arrive at an essence or some other type of eidetic invariant concerning the concrete, detailed description of </w:t>
      </w:r>
      <w:r>
        <w:rPr>
          <w:szCs w:val="24"/>
        </w:rPr>
        <w:lastRenderedPageBreak/>
        <w:t xml:space="preserve">an experienced phenomenon by one or several participants, proper phenomenological procedures have not been followed” (“The Question of Generalization,” </w:t>
      </w:r>
      <w:proofErr w:type="spellStart"/>
      <w:r>
        <w:rPr>
          <w:szCs w:val="24"/>
        </w:rPr>
        <w:t>para</w:t>
      </w:r>
      <w:proofErr w:type="spellEnd"/>
      <w:r>
        <w:rPr>
          <w:szCs w:val="24"/>
        </w:rPr>
        <w:t xml:space="preserve">. 3). </w:t>
      </w:r>
    </w:p>
    <w:p w:rsidR="00ED06A4" w:rsidRDefault="00ED06A4" w:rsidP="00ED06A4">
      <w:pPr>
        <w:pStyle w:val="BodyTextIndent"/>
        <w:spacing w:after="0" w:line="480" w:lineRule="auto"/>
        <w:rPr>
          <w:szCs w:val="24"/>
        </w:rPr>
      </w:pPr>
      <w:r>
        <w:rPr>
          <w:szCs w:val="24"/>
        </w:rPr>
        <w:t xml:space="preserve">It must be remembered that phenomenology can be done with a single participant, and various participants are used simply to account for possible variations (Thomas &amp; </w:t>
      </w:r>
      <w:proofErr w:type="spellStart"/>
      <w:r>
        <w:rPr>
          <w:szCs w:val="24"/>
        </w:rPr>
        <w:t>Pollio</w:t>
      </w:r>
      <w:proofErr w:type="spellEnd"/>
      <w:r>
        <w:rPr>
          <w:szCs w:val="24"/>
        </w:rPr>
        <w:t xml:space="preserve">, 2002). </w:t>
      </w:r>
      <w:proofErr w:type="spellStart"/>
      <w:r>
        <w:rPr>
          <w:szCs w:val="24"/>
        </w:rPr>
        <w:t>Polkinghorne</w:t>
      </w:r>
      <w:proofErr w:type="spellEnd"/>
      <w:r>
        <w:rPr>
          <w:szCs w:val="24"/>
        </w:rPr>
        <w:t xml:space="preserve"> (1989) spoke about this:</w:t>
      </w:r>
    </w:p>
    <w:p w:rsidR="00ED06A4" w:rsidRDefault="00ED06A4" w:rsidP="00ED06A4">
      <w:pPr>
        <w:pStyle w:val="BodyTextIndent"/>
        <w:spacing w:after="0" w:line="480" w:lineRule="auto"/>
        <w:ind w:left="720" w:firstLine="0"/>
        <w:rPr>
          <w:szCs w:val="24"/>
        </w:rPr>
      </w:pPr>
      <w:r>
        <w:rPr>
          <w:szCs w:val="24"/>
        </w:rPr>
        <w:t>Husserl (1913/1931) held that knowledge of the structures of consciousness was not a matter of induction or generalization from a sample but was the result of a “direct grasp” of “eidetic seeing.” I need only one instance (even an imaginary one) to grasp or “see” (not in the sense of visual sighting but of apprehending) the principle and inner necessities of a structure. (p. 42)</w:t>
      </w:r>
    </w:p>
    <w:p w:rsidR="00ED06A4" w:rsidRDefault="00ED06A4" w:rsidP="00ED06A4">
      <w:pPr>
        <w:pStyle w:val="BodyTextIndent"/>
        <w:spacing w:after="0" w:line="480" w:lineRule="auto"/>
        <w:ind w:firstLine="0"/>
        <w:rPr>
          <w:szCs w:val="24"/>
        </w:rPr>
      </w:pPr>
      <w:proofErr w:type="spellStart"/>
      <w:r>
        <w:rPr>
          <w:szCs w:val="24"/>
        </w:rPr>
        <w:t>Polkinghorne’s</w:t>
      </w:r>
      <w:proofErr w:type="spellEnd"/>
      <w:r>
        <w:rPr>
          <w:szCs w:val="24"/>
        </w:rPr>
        <w:t xml:space="preserve"> comment that the </w:t>
      </w:r>
      <w:proofErr w:type="spellStart"/>
      <w:r>
        <w:rPr>
          <w:szCs w:val="24"/>
        </w:rPr>
        <w:t>eidae</w:t>
      </w:r>
      <w:proofErr w:type="spellEnd"/>
      <w:r>
        <w:rPr>
          <w:szCs w:val="24"/>
        </w:rPr>
        <w:t xml:space="preserve"> may be imaginary highlights the reality of the essence in the consciousness, rather than in concrete existence. As Le </w:t>
      </w:r>
      <w:proofErr w:type="spellStart"/>
      <w:r>
        <w:rPr>
          <w:szCs w:val="24"/>
        </w:rPr>
        <w:t>Vesseur</w:t>
      </w:r>
      <w:proofErr w:type="spellEnd"/>
      <w:r>
        <w:rPr>
          <w:szCs w:val="24"/>
        </w:rPr>
        <w:t xml:space="preserve"> (2003) stated, “the </w:t>
      </w:r>
      <w:proofErr w:type="spellStart"/>
      <w:r>
        <w:rPr>
          <w:szCs w:val="24"/>
        </w:rPr>
        <w:t>eidos</w:t>
      </w:r>
      <w:proofErr w:type="spellEnd"/>
      <w:r>
        <w:rPr>
          <w:szCs w:val="24"/>
        </w:rPr>
        <w:t xml:space="preserve">, say, of a horse and that of a unicorn are on par as </w:t>
      </w:r>
      <w:proofErr w:type="spellStart"/>
      <w:r>
        <w:rPr>
          <w:szCs w:val="24"/>
        </w:rPr>
        <w:t>eidae</w:t>
      </w:r>
      <w:proofErr w:type="spellEnd"/>
      <w:r>
        <w:rPr>
          <w:szCs w:val="24"/>
        </w:rPr>
        <w:t xml:space="preserve">, even though horses exist and unicorns do not” (p. 412). </w:t>
      </w:r>
    </w:p>
    <w:p w:rsidR="00ED06A4" w:rsidRDefault="00ED06A4" w:rsidP="00ED06A4">
      <w:pPr>
        <w:pStyle w:val="BodyTextIndent"/>
        <w:spacing w:after="0" w:line="480" w:lineRule="auto"/>
        <w:ind w:firstLine="0"/>
        <w:rPr>
          <w:szCs w:val="24"/>
        </w:rPr>
      </w:pPr>
      <w:r>
        <w:rPr>
          <w:szCs w:val="24"/>
        </w:rPr>
        <w:tab/>
        <w:t xml:space="preserve">Simply, phenomenological research neither seeks an individual’s thoughts on a subject nor the thoughts of a group of people on a subject, as such. If it did, then understanding would be contained within the individual, and </w:t>
      </w:r>
      <w:proofErr w:type="spellStart"/>
      <w:r>
        <w:rPr>
          <w:szCs w:val="24"/>
        </w:rPr>
        <w:t>generalizability</w:t>
      </w:r>
      <w:proofErr w:type="spellEnd"/>
      <w:r>
        <w:rPr>
          <w:szCs w:val="24"/>
        </w:rPr>
        <w:t xml:space="preserve"> would only be within that particular group. Phenomenology seeks </w:t>
      </w:r>
      <w:proofErr w:type="spellStart"/>
      <w:r>
        <w:rPr>
          <w:szCs w:val="24"/>
        </w:rPr>
        <w:t>eidae</w:t>
      </w:r>
      <w:proofErr w:type="spellEnd"/>
      <w:r>
        <w:rPr>
          <w:szCs w:val="24"/>
        </w:rPr>
        <w:t xml:space="preserve">, the essences of experience, that are a part of the pre-reflective life-world of the participants. Essences are not tied to an individual or group but are universal, and therefore </w:t>
      </w:r>
      <w:proofErr w:type="spellStart"/>
      <w:r>
        <w:rPr>
          <w:szCs w:val="24"/>
        </w:rPr>
        <w:t>generalizable</w:t>
      </w:r>
      <w:proofErr w:type="spellEnd"/>
      <w:r>
        <w:rPr>
          <w:szCs w:val="24"/>
        </w:rPr>
        <w:t xml:space="preserve">.  </w:t>
      </w:r>
    </w:p>
    <w:p w:rsidR="00ED06A4" w:rsidRDefault="00ED06A4" w:rsidP="00ED06A4">
      <w:pPr>
        <w:pStyle w:val="BodyTextIndent"/>
        <w:spacing w:after="0" w:line="480" w:lineRule="auto"/>
        <w:rPr>
          <w:szCs w:val="24"/>
        </w:rPr>
      </w:pPr>
      <w:r>
        <w:rPr>
          <w:szCs w:val="24"/>
        </w:rPr>
        <w:t xml:space="preserve">It is also important to remember that the life-world is pre-reflective. This pre-reflective state allows access to </w:t>
      </w:r>
      <w:proofErr w:type="spellStart"/>
      <w:r>
        <w:rPr>
          <w:szCs w:val="24"/>
        </w:rPr>
        <w:t>eidae</w:t>
      </w:r>
      <w:proofErr w:type="spellEnd"/>
      <w:r>
        <w:rPr>
          <w:szCs w:val="24"/>
        </w:rPr>
        <w:t xml:space="preserve">. While I do not want to begin a discussion about possible comparisons between </w:t>
      </w:r>
      <w:proofErr w:type="spellStart"/>
      <w:r>
        <w:rPr>
          <w:szCs w:val="24"/>
        </w:rPr>
        <w:t>eidae</w:t>
      </w:r>
      <w:proofErr w:type="spellEnd"/>
      <w:r>
        <w:rPr>
          <w:szCs w:val="24"/>
        </w:rPr>
        <w:t xml:space="preserve"> and archetypes and the pre-reflective life-world and the </w:t>
      </w:r>
      <w:r>
        <w:rPr>
          <w:szCs w:val="24"/>
        </w:rPr>
        <w:lastRenderedPageBreak/>
        <w:t>subconscious, suffice it to say that these are fertile grounds for discussion, and psychotherapy has used phenomenology as a lens for therapeutic study for some time (</w:t>
      </w:r>
      <w:proofErr w:type="spellStart"/>
      <w:r>
        <w:rPr>
          <w:szCs w:val="24"/>
        </w:rPr>
        <w:t>Halling</w:t>
      </w:r>
      <w:proofErr w:type="spellEnd"/>
      <w:r>
        <w:rPr>
          <w:szCs w:val="24"/>
        </w:rPr>
        <w:t xml:space="preserve"> &amp; Dearborn, 1995; Jung, 1951/1971; Spielberg, 1972). </w:t>
      </w:r>
    </w:p>
    <w:p w:rsidR="00ED06A4" w:rsidRDefault="00ED06A4" w:rsidP="00ED06A4">
      <w:pPr>
        <w:pStyle w:val="BodyTextIndent"/>
        <w:spacing w:after="0" w:line="480" w:lineRule="auto"/>
        <w:rPr>
          <w:szCs w:val="24"/>
        </w:rPr>
      </w:pPr>
      <w:r>
        <w:rPr>
          <w:szCs w:val="24"/>
        </w:rPr>
        <w:t xml:space="preserve">If I may simply use an analogy, if I dream about snakes, those snakes have a pre-reflective or subconscious significance that appears throughout human culture and identifies them as archetypes, “definite forms in the psyche which seem to be present always and everywhere” (Jung, 1936/1968, p. 42), or “an accepted cultural expression of an instinct through thousands of years of repeated use” (Laughlin, 1982, p. 76). Your personal experience with and interpretation of what the snakes mean to you may have little relevance to me (outside of a therapeutic relationship). It is the essence of the snakes that are of concern to me, and this essence is </w:t>
      </w:r>
      <w:proofErr w:type="spellStart"/>
      <w:r>
        <w:rPr>
          <w:szCs w:val="24"/>
        </w:rPr>
        <w:t>generalizable</w:t>
      </w:r>
      <w:proofErr w:type="spellEnd"/>
      <w:r>
        <w:rPr>
          <w:szCs w:val="24"/>
        </w:rPr>
        <w:t xml:space="preserve"> as an archetype within the collective unconscious, “a part of the psyche which can be negatively distinguished from a personal unconscious by the fact that it does not, like the latter, owe its existence to personal experience and consequently is not a personal acquisition” (Jung, 1936/1968, p. 42). Likewise, </w:t>
      </w:r>
      <w:proofErr w:type="spellStart"/>
      <w:r>
        <w:rPr>
          <w:szCs w:val="24"/>
        </w:rPr>
        <w:t>eidae</w:t>
      </w:r>
      <w:proofErr w:type="spellEnd"/>
      <w:r>
        <w:rPr>
          <w:szCs w:val="24"/>
        </w:rPr>
        <w:t xml:space="preserve"> exist in the pre-reflective </w:t>
      </w:r>
      <w:proofErr w:type="spellStart"/>
      <w:r>
        <w:rPr>
          <w:szCs w:val="24"/>
        </w:rPr>
        <w:t>Lebenswelt</w:t>
      </w:r>
      <w:proofErr w:type="spellEnd"/>
      <w:r>
        <w:rPr>
          <w:szCs w:val="24"/>
        </w:rPr>
        <w:t xml:space="preserve"> and are, therefore, distinguished from personal experiences. Their existence in the pre-reflective world as a non-personal essence, rather than the personal experience in a personal world, makes them </w:t>
      </w:r>
      <w:proofErr w:type="spellStart"/>
      <w:r>
        <w:rPr>
          <w:szCs w:val="24"/>
        </w:rPr>
        <w:t>generalizable</w:t>
      </w:r>
      <w:proofErr w:type="spellEnd"/>
      <w:r>
        <w:rPr>
          <w:szCs w:val="24"/>
        </w:rPr>
        <w:t xml:space="preserve">. </w:t>
      </w:r>
    </w:p>
    <w:p w:rsidR="00ED06A4" w:rsidRDefault="00ED06A4" w:rsidP="00ED06A4">
      <w:pPr>
        <w:pStyle w:val="BodyTextIndent"/>
        <w:spacing w:after="0" w:line="480" w:lineRule="auto"/>
        <w:rPr>
          <w:szCs w:val="24"/>
        </w:rPr>
      </w:pPr>
      <w:r>
        <w:rPr>
          <w:szCs w:val="24"/>
        </w:rPr>
        <w:t xml:space="preserve">If I may be allowed one more indulgence, Figure 1 (Appendix 2) shows the centripetal spiraling movement from the general (from the previous examples, either the </w:t>
      </w:r>
      <w:proofErr w:type="spellStart"/>
      <w:r>
        <w:rPr>
          <w:szCs w:val="24"/>
        </w:rPr>
        <w:t>Lebenswelt</w:t>
      </w:r>
      <w:proofErr w:type="spellEnd"/>
      <w:r>
        <w:rPr>
          <w:szCs w:val="24"/>
        </w:rPr>
        <w:t xml:space="preserve"> or the collective unconscious) that inductively coalesces into the singular (either an </w:t>
      </w:r>
      <w:proofErr w:type="spellStart"/>
      <w:r>
        <w:rPr>
          <w:szCs w:val="24"/>
        </w:rPr>
        <w:t>eidos</w:t>
      </w:r>
      <w:proofErr w:type="spellEnd"/>
      <w:r>
        <w:rPr>
          <w:szCs w:val="24"/>
        </w:rPr>
        <w:t xml:space="preserve"> or an archetype), and having been reduced either to essence or to instinctual symbol, may then spiral outward in a centrifugal fashion to be </w:t>
      </w:r>
      <w:proofErr w:type="spellStart"/>
      <w:r>
        <w:rPr>
          <w:szCs w:val="24"/>
        </w:rPr>
        <w:t>generalizable</w:t>
      </w:r>
      <w:proofErr w:type="spellEnd"/>
      <w:r>
        <w:rPr>
          <w:szCs w:val="24"/>
        </w:rPr>
        <w:t xml:space="preserve"> to a wider population. This illustration shall be used one more time in the explanation of interpretive phenomenology.</w:t>
      </w:r>
    </w:p>
    <w:p w:rsidR="00ED06A4" w:rsidRDefault="00ED06A4" w:rsidP="00ED06A4">
      <w:pPr>
        <w:pStyle w:val="BodyTextIndent"/>
        <w:spacing w:after="0" w:line="480" w:lineRule="auto"/>
        <w:rPr>
          <w:szCs w:val="24"/>
        </w:rPr>
      </w:pPr>
      <w:r>
        <w:rPr>
          <w:szCs w:val="24"/>
        </w:rPr>
        <w:lastRenderedPageBreak/>
        <w:t xml:space="preserve">To close the present discussion about </w:t>
      </w:r>
      <w:proofErr w:type="spellStart"/>
      <w:r>
        <w:rPr>
          <w:szCs w:val="24"/>
        </w:rPr>
        <w:t>generalizability</w:t>
      </w:r>
      <w:proofErr w:type="spellEnd"/>
      <w:r>
        <w:rPr>
          <w:szCs w:val="24"/>
        </w:rPr>
        <w:t xml:space="preserve">, it must be realized that if one argues against </w:t>
      </w:r>
      <w:proofErr w:type="spellStart"/>
      <w:r>
        <w:rPr>
          <w:szCs w:val="24"/>
        </w:rPr>
        <w:t>generalizability</w:t>
      </w:r>
      <w:proofErr w:type="spellEnd"/>
      <w:r>
        <w:rPr>
          <w:szCs w:val="24"/>
        </w:rPr>
        <w:t xml:space="preserve"> in phenomenology then one is arguing against phenomenological philosophy. Philosophically, </w:t>
      </w:r>
      <w:proofErr w:type="spellStart"/>
      <w:r>
        <w:rPr>
          <w:szCs w:val="24"/>
        </w:rPr>
        <w:t>generalizability</w:t>
      </w:r>
      <w:proofErr w:type="spellEnd"/>
      <w:r>
        <w:rPr>
          <w:szCs w:val="24"/>
        </w:rPr>
        <w:t xml:space="preserve"> is inherent in phenomenology. If one does not agree with the philosophy of phenomenology, then one must make an argument against the logical bases that constitute phenomenology as a philosophy. However, this is separate from an argument against </w:t>
      </w:r>
      <w:proofErr w:type="spellStart"/>
      <w:r>
        <w:rPr>
          <w:szCs w:val="24"/>
        </w:rPr>
        <w:t>generalizability</w:t>
      </w:r>
      <w:proofErr w:type="spellEnd"/>
      <w:r>
        <w:rPr>
          <w:szCs w:val="24"/>
        </w:rPr>
        <w:t xml:space="preserve"> in methodology. If one wants to argue against </w:t>
      </w:r>
      <w:proofErr w:type="spellStart"/>
      <w:r>
        <w:rPr>
          <w:szCs w:val="24"/>
        </w:rPr>
        <w:t>generalizability</w:t>
      </w:r>
      <w:proofErr w:type="spellEnd"/>
      <w:r>
        <w:rPr>
          <w:szCs w:val="24"/>
        </w:rPr>
        <w:t xml:space="preserve"> in phenomenological methodology, then one must either reject the philosophy (with appropriate attention to philosophical rebuttal, as stated above) or accept the philosophy and then argue that the method somehow fails to achieve what is promised by the philosophy.</w:t>
      </w:r>
    </w:p>
    <w:p w:rsidR="00ED06A4" w:rsidRDefault="00ED06A4" w:rsidP="00ED06A4">
      <w:pPr>
        <w:pStyle w:val="BodyTextIndent"/>
        <w:spacing w:after="0" w:line="480" w:lineRule="auto"/>
        <w:rPr>
          <w:szCs w:val="24"/>
        </w:rPr>
      </w:pPr>
      <w:r>
        <w:rPr>
          <w:szCs w:val="24"/>
        </w:rPr>
        <w:t xml:space="preserve">It has been my experience that most statements denying </w:t>
      </w:r>
      <w:proofErr w:type="spellStart"/>
      <w:r>
        <w:rPr>
          <w:szCs w:val="24"/>
        </w:rPr>
        <w:t>generalizability</w:t>
      </w:r>
      <w:proofErr w:type="spellEnd"/>
      <w:r>
        <w:rPr>
          <w:szCs w:val="24"/>
        </w:rPr>
        <w:t xml:space="preserve"> in phenomenology are methodological arguments that do not first define a philosophical stance that opposes phenomenological thought. Such arguments are not supported by an appropriate logical base and are, therefore, spurious. Although these arguments are often made in quantitative research, qualitative research also fails to make appropriate foundational statements when rejecting </w:t>
      </w:r>
      <w:proofErr w:type="spellStart"/>
      <w:r>
        <w:rPr>
          <w:szCs w:val="24"/>
        </w:rPr>
        <w:t>generalizability</w:t>
      </w:r>
      <w:proofErr w:type="spellEnd"/>
      <w:r>
        <w:rPr>
          <w:szCs w:val="24"/>
        </w:rPr>
        <w:t xml:space="preserve">, as evident in </w:t>
      </w:r>
      <w:proofErr w:type="spellStart"/>
      <w:r>
        <w:rPr>
          <w:szCs w:val="24"/>
        </w:rPr>
        <w:t>Giorgi’s</w:t>
      </w:r>
      <w:proofErr w:type="spellEnd"/>
      <w:r>
        <w:rPr>
          <w:szCs w:val="24"/>
        </w:rPr>
        <w:t xml:space="preserve"> (2008) article. In the absence of solid arguments against </w:t>
      </w:r>
      <w:proofErr w:type="spellStart"/>
      <w:r>
        <w:rPr>
          <w:szCs w:val="24"/>
        </w:rPr>
        <w:t>generalizability</w:t>
      </w:r>
      <w:proofErr w:type="spellEnd"/>
      <w:r>
        <w:rPr>
          <w:szCs w:val="24"/>
        </w:rPr>
        <w:t xml:space="preserve">, the firm argument for it, based in phenomenological philosophy, is adequate to support the method which rises from it.  </w:t>
      </w:r>
    </w:p>
    <w:p w:rsidR="00ED06A4" w:rsidRPr="00EB1FFC" w:rsidRDefault="00ED06A4" w:rsidP="00ED06A4">
      <w:pPr>
        <w:pStyle w:val="Heading3"/>
      </w:pPr>
      <w:r>
        <w:t>Interpretive Phenomenology</w:t>
      </w:r>
    </w:p>
    <w:p w:rsidR="00ED06A4" w:rsidRDefault="00ED06A4" w:rsidP="00ED06A4">
      <w:pPr>
        <w:spacing w:after="0" w:line="480" w:lineRule="auto"/>
        <w:ind w:left="720"/>
      </w:pPr>
      <w:r>
        <w:t>And all I saw from where I stood</w:t>
      </w:r>
      <w:r>
        <w:br/>
      </w:r>
      <w:proofErr w:type="gramStart"/>
      <w:r>
        <w:t>Was</w:t>
      </w:r>
      <w:proofErr w:type="gramEnd"/>
      <w:r>
        <w:t xml:space="preserve"> three long mountains and a wood.</w:t>
      </w:r>
      <w:r>
        <w:br/>
        <w:t>Over these things I could not see</w:t>
      </w:r>
      <w:proofErr w:type="gramStart"/>
      <w:r>
        <w:t>:</w:t>
      </w:r>
      <w:proofErr w:type="gramEnd"/>
      <w:r>
        <w:br/>
        <w:t xml:space="preserve">These were the things that bounded me. </w:t>
      </w:r>
    </w:p>
    <w:p w:rsidR="00ED06A4" w:rsidRDefault="00ED06A4" w:rsidP="00ED06A4">
      <w:pPr>
        <w:spacing w:after="0" w:line="480" w:lineRule="auto"/>
        <w:ind w:left="720"/>
      </w:pPr>
      <w:r>
        <w:t>(Edna St. Vincent Millay, “Renascence,” 1912)</w:t>
      </w:r>
    </w:p>
    <w:p w:rsidR="00ED06A4" w:rsidRDefault="00ED06A4" w:rsidP="00ED06A4">
      <w:pPr>
        <w:pStyle w:val="BodyTextIndent"/>
        <w:spacing w:after="0" w:line="480" w:lineRule="auto"/>
        <w:rPr>
          <w:szCs w:val="24"/>
        </w:rPr>
      </w:pPr>
      <w:r>
        <w:rPr>
          <w:szCs w:val="24"/>
        </w:rPr>
        <w:lastRenderedPageBreak/>
        <w:t>Opposing Husserl’s ideas that subjectivity can be bracketed out when examining lived experience, Martin Heidegger (1927/1962) posited that objectivity cannot be achieved because we always come to the essential experience and awareness of Being (</w:t>
      </w:r>
      <w:proofErr w:type="spellStart"/>
      <w:r w:rsidRPr="00FE5070">
        <w:rPr>
          <w:i/>
          <w:szCs w:val="24"/>
        </w:rPr>
        <w:t>Dasein</w:t>
      </w:r>
      <w:proofErr w:type="spellEnd"/>
      <w:r>
        <w:rPr>
          <w:szCs w:val="24"/>
        </w:rPr>
        <w:t>) through being-in-the-world (</w:t>
      </w:r>
      <w:r w:rsidRPr="00FE5070">
        <w:rPr>
          <w:i/>
          <w:szCs w:val="24"/>
        </w:rPr>
        <w:t>in-</w:t>
      </w:r>
      <w:proofErr w:type="spellStart"/>
      <w:r w:rsidRPr="00FE5070">
        <w:rPr>
          <w:i/>
          <w:szCs w:val="24"/>
        </w:rPr>
        <w:t>der</w:t>
      </w:r>
      <w:proofErr w:type="spellEnd"/>
      <w:r w:rsidRPr="00FE5070">
        <w:rPr>
          <w:i/>
          <w:szCs w:val="24"/>
        </w:rPr>
        <w:t>-Welt-</w:t>
      </w:r>
      <w:proofErr w:type="spellStart"/>
      <w:r w:rsidRPr="00FE5070">
        <w:rPr>
          <w:i/>
          <w:szCs w:val="24"/>
        </w:rPr>
        <w:t>Sein</w:t>
      </w:r>
      <w:proofErr w:type="spellEnd"/>
      <w:r>
        <w:rPr>
          <w:szCs w:val="24"/>
        </w:rPr>
        <w:t xml:space="preserve">) (Laverty, 2003). For Heidegger, the researcher is a part of the research, and we cannot interpret without judgment: ‘“Understanding is never without presuppositions. We do not, and cannot, understand anything from a purely objective position. </w:t>
      </w:r>
      <w:proofErr w:type="gramStart"/>
      <w:r>
        <w:rPr>
          <w:szCs w:val="24"/>
        </w:rPr>
        <w:t xml:space="preserve">We always understand from within the context of our disposition and involvement in the world’” (Johnson, 2000, p. 23, in McConnell-Henry, Chapman, &amp; Francis, 2009b, “The development of </w:t>
      </w:r>
      <w:proofErr w:type="spellStart"/>
      <w:r>
        <w:rPr>
          <w:szCs w:val="24"/>
        </w:rPr>
        <w:t>Heideggerian</w:t>
      </w:r>
      <w:proofErr w:type="spellEnd"/>
      <w:r>
        <w:rPr>
          <w:szCs w:val="24"/>
        </w:rPr>
        <w:t xml:space="preserve"> Phenomenology,” </w:t>
      </w:r>
      <w:proofErr w:type="spellStart"/>
      <w:r>
        <w:rPr>
          <w:szCs w:val="24"/>
        </w:rPr>
        <w:t>para</w:t>
      </w:r>
      <w:proofErr w:type="spellEnd"/>
      <w:r>
        <w:rPr>
          <w:szCs w:val="24"/>
        </w:rPr>
        <w:t>. 3).</w:t>
      </w:r>
      <w:proofErr w:type="gramEnd"/>
      <w:r>
        <w:rPr>
          <w:szCs w:val="24"/>
        </w:rPr>
        <w:t xml:space="preserve"> Like the person in the lines from the Millay’s (1912) poem, “Renascence,” above, we are all “bounded” by our being-in-the-world, and over those things, we cannot see.</w:t>
      </w:r>
    </w:p>
    <w:p w:rsidR="00ED06A4" w:rsidRDefault="00ED06A4" w:rsidP="00ED06A4">
      <w:pPr>
        <w:pStyle w:val="BodyTextIndent"/>
        <w:spacing w:after="0" w:line="480" w:lineRule="auto"/>
        <w:rPr>
          <w:szCs w:val="24"/>
        </w:rPr>
      </w:pPr>
      <w:r>
        <w:rPr>
          <w:szCs w:val="24"/>
        </w:rPr>
        <w:t>Heidegger, who was more concerned with the ontological concept of being than Husserl’s epistemological concerns about knowing (McConnell-Henry, Chapman, &amp; Francis, 2009a), suggested that truth may be known through hermeneutics and the interpretation of what it means “to be</w:t>
      </w:r>
      <w:r w:rsidRPr="00DE682C">
        <w:rPr>
          <w:szCs w:val="24"/>
        </w:rPr>
        <w:t xml:space="preserve">.” </w:t>
      </w:r>
      <w:proofErr w:type="spellStart"/>
      <w:r w:rsidRPr="00DE682C">
        <w:rPr>
          <w:szCs w:val="24"/>
        </w:rPr>
        <w:t>Merleau</w:t>
      </w:r>
      <w:proofErr w:type="spellEnd"/>
      <w:r w:rsidRPr="00DE682C">
        <w:rPr>
          <w:szCs w:val="24"/>
        </w:rPr>
        <w:t>-</w:t>
      </w:r>
      <w:proofErr w:type="spellStart"/>
      <w:r w:rsidRPr="00DE682C">
        <w:rPr>
          <w:szCs w:val="24"/>
        </w:rPr>
        <w:t>Ponty</w:t>
      </w:r>
      <w:proofErr w:type="spellEnd"/>
      <w:r w:rsidRPr="00DE682C">
        <w:rPr>
          <w:szCs w:val="24"/>
        </w:rPr>
        <w:t xml:space="preserve"> </w:t>
      </w:r>
      <w:r w:rsidR="00DE682C">
        <w:rPr>
          <w:szCs w:val="24"/>
        </w:rPr>
        <w:t xml:space="preserve">(in Thomas &amp; </w:t>
      </w:r>
      <w:proofErr w:type="spellStart"/>
      <w:r w:rsidR="00DE682C">
        <w:rPr>
          <w:szCs w:val="24"/>
        </w:rPr>
        <w:t>Pollio</w:t>
      </w:r>
      <w:proofErr w:type="spellEnd"/>
      <w:r w:rsidR="00DE682C">
        <w:rPr>
          <w:szCs w:val="24"/>
        </w:rPr>
        <w:t xml:space="preserve">, 2002) </w:t>
      </w:r>
      <w:r w:rsidRPr="00DE682C">
        <w:rPr>
          <w:szCs w:val="24"/>
        </w:rPr>
        <w:t>pointed out that hermeneutic phenomenology</w:t>
      </w:r>
      <w:r>
        <w:rPr>
          <w:szCs w:val="24"/>
        </w:rPr>
        <w:t xml:space="preserve"> has as its aim “to describe human experience on its own terms and not in terms of theoretical principles” </w:t>
      </w:r>
      <w:r w:rsidR="00DE682C">
        <w:rPr>
          <w:szCs w:val="24"/>
        </w:rPr>
        <w:t>(</w:t>
      </w:r>
      <w:r>
        <w:rPr>
          <w:szCs w:val="24"/>
        </w:rPr>
        <w:t>p. 13). This ontological distinction altered the methodological approach of applied phenomenology by pushing interpretation, rather than description, of the phenomenon under study to the fore.</w:t>
      </w:r>
    </w:p>
    <w:p w:rsidR="00ED06A4" w:rsidRDefault="00ED06A4" w:rsidP="00ED06A4">
      <w:pPr>
        <w:pStyle w:val="BodyTextIndent"/>
        <w:spacing w:after="0" w:line="480" w:lineRule="auto"/>
        <w:rPr>
          <w:szCs w:val="24"/>
        </w:rPr>
      </w:pPr>
      <w:r>
        <w:rPr>
          <w:szCs w:val="24"/>
        </w:rPr>
        <w:t xml:space="preserve">A necessary condition for interpretation is being self-reflective (Laverty, 2003) and </w:t>
      </w:r>
      <w:proofErr w:type="spellStart"/>
      <w:r w:rsidRPr="00207C0A">
        <w:rPr>
          <w:szCs w:val="24"/>
        </w:rPr>
        <w:t>Dilthey</w:t>
      </w:r>
      <w:proofErr w:type="spellEnd"/>
      <w:r>
        <w:rPr>
          <w:szCs w:val="24"/>
        </w:rPr>
        <w:t xml:space="preserve"> </w:t>
      </w:r>
      <w:r w:rsidR="00207C0A">
        <w:rPr>
          <w:szCs w:val="24"/>
        </w:rPr>
        <w:t xml:space="preserve">(in </w:t>
      </w:r>
      <w:proofErr w:type="spellStart"/>
      <w:r w:rsidR="00207C0A">
        <w:rPr>
          <w:szCs w:val="24"/>
        </w:rPr>
        <w:t>Todres</w:t>
      </w:r>
      <w:proofErr w:type="spellEnd"/>
      <w:r w:rsidR="00207C0A">
        <w:rPr>
          <w:szCs w:val="24"/>
        </w:rPr>
        <w:t xml:space="preserve"> &amp; Wheeler, 2001) </w:t>
      </w:r>
      <w:r>
        <w:rPr>
          <w:szCs w:val="24"/>
        </w:rPr>
        <w:t xml:space="preserve">stressed the importance of reflexivity and examination of one’s </w:t>
      </w:r>
      <w:proofErr w:type="spellStart"/>
      <w:r>
        <w:rPr>
          <w:szCs w:val="24"/>
        </w:rPr>
        <w:t>positionality</w:t>
      </w:r>
      <w:proofErr w:type="spellEnd"/>
      <w:r>
        <w:rPr>
          <w:szCs w:val="24"/>
        </w:rPr>
        <w:t xml:space="preserve"> in interpretation. It will be noted, however, that this self-reflection is a part of the hermeneutic method itself, and it is through this hermeneutical methodology that truth (for </w:t>
      </w:r>
      <w:r>
        <w:rPr>
          <w:szCs w:val="24"/>
        </w:rPr>
        <w:lastRenderedPageBreak/>
        <w:t>Heidegger, the truth of what it means “to be”) is sought. Heidegger sought the essential truth of being, believing that such truth actually existed and could be known through phenomenological methodology. He developed hermeneutics as a way to advance clarification of the conditions under which understanding occurs in ontology (Dowling, 2004). Because complete objectivity cannot be achieved, hermeneutics is used to perform what is the eidetic reduction</w:t>
      </w:r>
      <w:r w:rsidDel="00134DC9">
        <w:rPr>
          <w:szCs w:val="24"/>
        </w:rPr>
        <w:t xml:space="preserve"> </w:t>
      </w:r>
      <w:r>
        <w:rPr>
          <w:szCs w:val="24"/>
        </w:rPr>
        <w:t>in descriptive phenomenology. As Laverty (2003) pointed out, “for a hermeneutic phenomenological project, the multiple stages of interpretation that allow patterns to emerge, the discussion of how interpretations arise from the data, and the interpretive process itself are seen as critical” (p. 23) to the rigor of the methodology. Heidegger believed that “being is always the being of a being, and accordingly, it becomes accessible only indirectly through some existing entity” (</w:t>
      </w:r>
      <w:proofErr w:type="spellStart"/>
      <w:r>
        <w:rPr>
          <w:szCs w:val="24"/>
        </w:rPr>
        <w:t>Korab-Karpowicz</w:t>
      </w:r>
      <w:proofErr w:type="spellEnd"/>
      <w:r>
        <w:rPr>
          <w:szCs w:val="24"/>
        </w:rPr>
        <w:t xml:space="preserve">, 2009). This necessitated the methodological use of the phenomenological reduction. </w:t>
      </w:r>
      <w:proofErr w:type="gramStart"/>
      <w:r>
        <w:rPr>
          <w:szCs w:val="24"/>
        </w:rPr>
        <w:t xml:space="preserve">As </w:t>
      </w:r>
      <w:proofErr w:type="spellStart"/>
      <w:r>
        <w:rPr>
          <w:szCs w:val="24"/>
        </w:rPr>
        <w:t>Merleau-Ponty</w:t>
      </w:r>
      <w:proofErr w:type="spellEnd"/>
      <w:r>
        <w:rPr>
          <w:szCs w:val="24"/>
        </w:rPr>
        <w:t xml:space="preserve"> (1945/2002) observed, “Heidegger’s ‘being-in-the-world’ appears only against the background of the phenomenological reduction” (p. xvi).</w:t>
      </w:r>
      <w:proofErr w:type="gramEnd"/>
      <w:r>
        <w:rPr>
          <w:szCs w:val="24"/>
        </w:rPr>
        <w:t xml:space="preserve"> </w:t>
      </w:r>
    </w:p>
    <w:p w:rsidR="00ED06A4" w:rsidRDefault="00ED06A4" w:rsidP="00ED06A4">
      <w:pPr>
        <w:pStyle w:val="BodyTextIndent"/>
        <w:spacing w:after="0" w:line="480" w:lineRule="auto"/>
        <w:rPr>
          <w:szCs w:val="24"/>
        </w:rPr>
      </w:pPr>
      <w:r>
        <w:rPr>
          <w:szCs w:val="24"/>
        </w:rPr>
        <w:t xml:space="preserve">This was typical of the Heidegger of </w:t>
      </w:r>
      <w:r>
        <w:rPr>
          <w:i/>
          <w:szCs w:val="24"/>
        </w:rPr>
        <w:t>Being and Time</w:t>
      </w:r>
      <w:r>
        <w:rPr>
          <w:szCs w:val="24"/>
        </w:rPr>
        <w:t xml:space="preserve"> (</w:t>
      </w:r>
      <w:proofErr w:type="spellStart"/>
      <w:r>
        <w:rPr>
          <w:i/>
          <w:iCs/>
          <w:szCs w:val="24"/>
        </w:rPr>
        <w:t>Sein</w:t>
      </w:r>
      <w:proofErr w:type="spellEnd"/>
      <w:r>
        <w:rPr>
          <w:i/>
          <w:iCs/>
          <w:szCs w:val="24"/>
        </w:rPr>
        <w:t xml:space="preserve"> und </w:t>
      </w:r>
      <w:proofErr w:type="spellStart"/>
      <w:r>
        <w:rPr>
          <w:i/>
          <w:iCs/>
          <w:szCs w:val="24"/>
        </w:rPr>
        <w:t>Zeit</w:t>
      </w:r>
      <w:proofErr w:type="spellEnd"/>
      <w:r>
        <w:rPr>
          <w:szCs w:val="24"/>
        </w:rPr>
        <w:t>, 1927), who saw phenomenology as the method of doing ontology, and whose views after “the Turn” (</w:t>
      </w:r>
      <w:r w:rsidRPr="00FE5070">
        <w:rPr>
          <w:i/>
          <w:szCs w:val="24"/>
        </w:rPr>
        <w:t xml:space="preserve">die </w:t>
      </w:r>
      <w:proofErr w:type="spellStart"/>
      <w:r w:rsidRPr="00FE5070">
        <w:rPr>
          <w:i/>
          <w:szCs w:val="24"/>
        </w:rPr>
        <w:t>Kehre</w:t>
      </w:r>
      <w:proofErr w:type="spellEnd"/>
      <w:r>
        <w:rPr>
          <w:szCs w:val="24"/>
        </w:rPr>
        <w:t>) in his thinking were different from those during this period. While this paper intends to take that distinction no further, it is acknowledged that Heidegger moved from the central question of being in this early period to the question of the truth of being in later writings (</w:t>
      </w:r>
      <w:proofErr w:type="spellStart"/>
      <w:r>
        <w:rPr>
          <w:szCs w:val="24"/>
        </w:rPr>
        <w:t>Korab-Karpowics</w:t>
      </w:r>
      <w:proofErr w:type="spellEnd"/>
      <w:r>
        <w:rPr>
          <w:szCs w:val="24"/>
        </w:rPr>
        <w:t>, 2009), from a strictly ontological stance to a position influenced by the existential thought of Kierkegaard and Nietzsche (</w:t>
      </w:r>
      <w:proofErr w:type="spellStart"/>
      <w:r>
        <w:rPr>
          <w:szCs w:val="24"/>
        </w:rPr>
        <w:t>Westphal</w:t>
      </w:r>
      <w:proofErr w:type="spellEnd"/>
      <w:r>
        <w:rPr>
          <w:szCs w:val="24"/>
        </w:rPr>
        <w:t>, 1997).</w:t>
      </w:r>
    </w:p>
    <w:p w:rsidR="00ED06A4" w:rsidRDefault="00ED06A4" w:rsidP="00ED06A4">
      <w:pPr>
        <w:pStyle w:val="BodyTextIndent"/>
        <w:spacing w:after="0" w:line="480" w:lineRule="auto"/>
        <w:rPr>
          <w:szCs w:val="24"/>
        </w:rPr>
      </w:pPr>
      <w:r>
        <w:rPr>
          <w:szCs w:val="24"/>
        </w:rPr>
        <w:t xml:space="preserve">I would now like to recall the spiral in Figure 1 (Appendix 2) and turn the longitudinal structure on its end, so that we are looking down upon the coil. In hermeneutics, one moves from the whole to the part to the whole again, and if we imagine that happening with our spiral, we </w:t>
      </w:r>
      <w:r>
        <w:rPr>
          <w:szCs w:val="24"/>
        </w:rPr>
        <w:lastRenderedPageBreak/>
        <w:t xml:space="preserve">begin to have the effect of a hypnotist’s disk, Figure 2. As we look at the disk, it seems that the disk turns in one direction – from large to small – but as we continue to look at it, it appears to rotate in another – from small to large – in a continuous flux. This simple illusion of the hypnotist’s disk illustrates the interpretive hermeneutic method as movement proceeds from general to specific to general, once again. It is the same spiral we used in Figure 1 to illustrate the eidetic reduction, only it is now set on its end and used to illustrate the hermeneutic method. This change in the position of the spiral (if I may press my luck with one more analogy) is what Heidegger did with phenomenology. He took the eidetic reduction and turned it on end, using hermeneutics as a phenomenological tool to achieve, essentially the same function, i.e., to reduce experience to essence.  </w:t>
      </w:r>
    </w:p>
    <w:p w:rsidR="00ED06A4" w:rsidRDefault="00ED06A4" w:rsidP="00ED06A4">
      <w:pPr>
        <w:pStyle w:val="Heading3"/>
      </w:pPr>
      <w:proofErr w:type="gramStart"/>
      <w:r>
        <w:t>Existential Phenomenology.</w:t>
      </w:r>
      <w:proofErr w:type="gramEnd"/>
    </w:p>
    <w:p w:rsidR="00ED06A4" w:rsidRDefault="00ED06A4" w:rsidP="00ED06A4">
      <w:pPr>
        <w:pStyle w:val="BodyTextIndent"/>
        <w:spacing w:after="0" w:line="480" w:lineRule="auto"/>
        <w:rPr>
          <w:szCs w:val="24"/>
        </w:rPr>
      </w:pPr>
      <w:r>
        <w:rPr>
          <w:szCs w:val="24"/>
        </w:rPr>
        <w:t xml:space="preserve">Existentialism is a philosophy that addresses the questions of being, of living an authentic life, and how to do so with both freedom and responsibility (Thomas &amp; </w:t>
      </w:r>
      <w:proofErr w:type="spellStart"/>
      <w:r>
        <w:rPr>
          <w:szCs w:val="24"/>
        </w:rPr>
        <w:t>Pollio</w:t>
      </w:r>
      <w:proofErr w:type="spellEnd"/>
      <w:r>
        <w:rPr>
          <w:szCs w:val="24"/>
        </w:rPr>
        <w:t xml:space="preserve">, 2002). Existentialist thought, via Kierkegaard, Sartre, and Nietzsche, influenced the later thinking of Heidegger as he pondered the seminal existential question of what it means “to be.” This seems a logical progression in his ontological studies since existentialism is primarily concerned with the questions of not only what it means to be (as stated above), but whether we are capable of being in the world and the significance we make of our being in the world (Lieberman, 1985). </w:t>
      </w:r>
    </w:p>
    <w:p w:rsidR="00ED06A4" w:rsidRDefault="00ED06A4" w:rsidP="00ED06A4">
      <w:pPr>
        <w:pStyle w:val="BodyTextIndent"/>
        <w:spacing w:after="0" w:line="480" w:lineRule="auto"/>
        <w:rPr>
          <w:szCs w:val="24"/>
        </w:rPr>
      </w:pPr>
      <w:r>
        <w:rPr>
          <w:szCs w:val="24"/>
        </w:rPr>
        <w:t xml:space="preserve">Existentialist thought begins with </w:t>
      </w:r>
      <w:proofErr w:type="spellStart"/>
      <w:r>
        <w:rPr>
          <w:szCs w:val="24"/>
        </w:rPr>
        <w:t>Søren</w:t>
      </w:r>
      <w:proofErr w:type="spellEnd"/>
      <w:r>
        <w:rPr>
          <w:szCs w:val="24"/>
        </w:rPr>
        <w:t xml:space="preserve"> Kierkegaard, and </w:t>
      </w:r>
      <w:proofErr w:type="spellStart"/>
      <w:r>
        <w:rPr>
          <w:szCs w:val="24"/>
        </w:rPr>
        <w:t>Ricoeur</w:t>
      </w:r>
      <w:proofErr w:type="spellEnd"/>
      <w:r>
        <w:rPr>
          <w:szCs w:val="24"/>
        </w:rPr>
        <w:t xml:space="preserve"> (1967) said that Kierkegaard “is at the origin of existential phenomenology” (p. 207), implying that existentialism and phenomenology share common concepts. Estes (1970) has suggested that Kierkegaard’s existentialism shares with </w:t>
      </w:r>
      <w:proofErr w:type="spellStart"/>
      <w:r>
        <w:rPr>
          <w:szCs w:val="24"/>
        </w:rPr>
        <w:t>Husserlian</w:t>
      </w:r>
      <w:proofErr w:type="spellEnd"/>
      <w:r>
        <w:rPr>
          <w:szCs w:val="24"/>
        </w:rPr>
        <w:t xml:space="preserve"> phenomenology the conceptual criteria of intentionality (“the mutual implications of man and the other,” p. 155), </w:t>
      </w:r>
      <w:proofErr w:type="spellStart"/>
      <w:r>
        <w:rPr>
          <w:szCs w:val="24"/>
        </w:rPr>
        <w:t>intersubjectivity</w:t>
      </w:r>
      <w:proofErr w:type="spellEnd"/>
      <w:r>
        <w:rPr>
          <w:szCs w:val="24"/>
        </w:rPr>
        <w:t xml:space="preserve"> </w:t>
      </w:r>
      <w:r>
        <w:rPr>
          <w:szCs w:val="24"/>
        </w:rPr>
        <w:lastRenderedPageBreak/>
        <w:t>(</w:t>
      </w:r>
      <w:proofErr w:type="spellStart"/>
      <w:r>
        <w:rPr>
          <w:szCs w:val="24"/>
        </w:rPr>
        <w:t>interhuman</w:t>
      </w:r>
      <w:proofErr w:type="spellEnd"/>
      <w:r>
        <w:rPr>
          <w:szCs w:val="24"/>
        </w:rPr>
        <w:t xml:space="preserve"> relationship and </w:t>
      </w:r>
      <w:proofErr w:type="spellStart"/>
      <w:r>
        <w:rPr>
          <w:szCs w:val="24"/>
        </w:rPr>
        <w:t>interhuman</w:t>
      </w:r>
      <w:proofErr w:type="spellEnd"/>
      <w:r>
        <w:rPr>
          <w:szCs w:val="24"/>
        </w:rPr>
        <w:t xml:space="preserve"> communication) and openness (“the possible ways in which man experiences or intends the other,” p. 155). “For </w:t>
      </w:r>
      <w:proofErr w:type="spellStart"/>
      <w:r>
        <w:rPr>
          <w:szCs w:val="24"/>
        </w:rPr>
        <w:t>Merleau-Ponty</w:t>
      </w:r>
      <w:proofErr w:type="spellEnd"/>
      <w:r>
        <w:rPr>
          <w:szCs w:val="24"/>
        </w:rPr>
        <w:t xml:space="preserve">, as for Husserl before him,” d Thomas and </w:t>
      </w:r>
      <w:proofErr w:type="spellStart"/>
      <w:r>
        <w:rPr>
          <w:szCs w:val="24"/>
        </w:rPr>
        <w:t>Pollio</w:t>
      </w:r>
      <w:proofErr w:type="spellEnd"/>
      <w:r>
        <w:rPr>
          <w:szCs w:val="24"/>
        </w:rPr>
        <w:t xml:space="preserve"> (2002), “intentionality captures the fundamental structure of human experience and reveals an essential interconnectedness between us and the world” (p. 14). This intentionality that makes figural the interconnectedness between person and world is grounded in perception, the most important aspect of </w:t>
      </w:r>
      <w:proofErr w:type="spellStart"/>
      <w:r>
        <w:rPr>
          <w:szCs w:val="24"/>
        </w:rPr>
        <w:t>Merleau-Ponty’s</w:t>
      </w:r>
      <w:proofErr w:type="spellEnd"/>
      <w:r>
        <w:rPr>
          <w:szCs w:val="24"/>
        </w:rPr>
        <w:t xml:space="preserve"> phenomenology (Thomas &amp; </w:t>
      </w:r>
      <w:proofErr w:type="spellStart"/>
      <w:r>
        <w:rPr>
          <w:szCs w:val="24"/>
        </w:rPr>
        <w:t>Pollio</w:t>
      </w:r>
      <w:proofErr w:type="spellEnd"/>
      <w:r>
        <w:rPr>
          <w:szCs w:val="24"/>
        </w:rPr>
        <w:t xml:space="preserve">, 2002). </w:t>
      </w:r>
    </w:p>
    <w:p w:rsidR="00ED06A4" w:rsidRDefault="00ED06A4" w:rsidP="00ED06A4">
      <w:pPr>
        <w:pStyle w:val="BodyTextIndent"/>
        <w:spacing w:after="0" w:line="480" w:lineRule="auto"/>
        <w:rPr>
          <w:szCs w:val="24"/>
        </w:rPr>
      </w:pPr>
      <w:r>
        <w:rPr>
          <w:szCs w:val="24"/>
        </w:rPr>
        <w:t xml:space="preserve">Apart from philosophical similarities that may create an association between existentialism and phenomenology, existentialism adopted the phenomenological method as a logical way in which to do its investigations. </w:t>
      </w:r>
      <w:proofErr w:type="spellStart"/>
      <w:r>
        <w:rPr>
          <w:szCs w:val="24"/>
        </w:rPr>
        <w:t>Spiegelberg</w:t>
      </w:r>
      <w:proofErr w:type="spellEnd"/>
      <w:r>
        <w:rPr>
          <w:szCs w:val="24"/>
        </w:rPr>
        <w:t xml:space="preserve"> (1960) stated that “once existentialism comes to grips with the epistemological problem… it has little hope of support from the more empirical and positivist philosophies or psychologies. Its best chance is an approach which stresses and develops the faithful description of the phenomena as they present themselves [i.e., phenomenology]” (p. 70).</w:t>
      </w:r>
    </w:p>
    <w:p w:rsidR="00ED06A4" w:rsidRDefault="00ED06A4" w:rsidP="00ED06A4">
      <w:pPr>
        <w:pStyle w:val="BodyTextIndent"/>
        <w:spacing w:after="0" w:line="480" w:lineRule="auto"/>
        <w:rPr>
          <w:szCs w:val="24"/>
        </w:rPr>
      </w:pPr>
      <w:proofErr w:type="spellStart"/>
      <w:r>
        <w:rPr>
          <w:szCs w:val="24"/>
        </w:rPr>
        <w:t>Merleau</w:t>
      </w:r>
      <w:proofErr w:type="spellEnd"/>
      <w:r>
        <w:rPr>
          <w:szCs w:val="24"/>
        </w:rPr>
        <w:t>-</w:t>
      </w:r>
      <w:proofErr w:type="spellStart"/>
      <w:r>
        <w:rPr>
          <w:szCs w:val="24"/>
        </w:rPr>
        <w:t>Ponty</w:t>
      </w:r>
      <w:proofErr w:type="spellEnd"/>
      <w:r>
        <w:rPr>
          <w:szCs w:val="24"/>
        </w:rPr>
        <w:t xml:space="preserve"> bridged the gap between Husserl’s proposed transcendental objectivity and Heidegger’s hermeneutic emphasis with his existential hermeneutic phenomenology. “The most important lesson the reduction teaches us,” stated </w:t>
      </w:r>
      <w:proofErr w:type="spellStart"/>
      <w:r>
        <w:rPr>
          <w:szCs w:val="24"/>
        </w:rPr>
        <w:t>Merleau</w:t>
      </w:r>
      <w:proofErr w:type="spellEnd"/>
      <w:r>
        <w:rPr>
          <w:szCs w:val="24"/>
        </w:rPr>
        <w:t>-</w:t>
      </w:r>
      <w:proofErr w:type="spellStart"/>
      <w:r>
        <w:rPr>
          <w:szCs w:val="24"/>
        </w:rPr>
        <w:t>Ponty</w:t>
      </w:r>
      <w:proofErr w:type="spellEnd"/>
      <w:r>
        <w:rPr>
          <w:szCs w:val="24"/>
        </w:rPr>
        <w:t xml:space="preserve"> (1945/2002), “is the impossibility of a complete reduction” (p. xv). </w:t>
      </w:r>
      <w:proofErr w:type="spellStart"/>
      <w:r>
        <w:rPr>
          <w:szCs w:val="24"/>
        </w:rPr>
        <w:t>Epoché</w:t>
      </w:r>
      <w:proofErr w:type="spellEnd"/>
      <w:r>
        <w:rPr>
          <w:szCs w:val="24"/>
        </w:rPr>
        <w:t xml:space="preserve"> does not create objectivity because we are always being-in-the-world (</w:t>
      </w:r>
      <w:proofErr w:type="spellStart"/>
      <w:r w:rsidRPr="00FE5070">
        <w:rPr>
          <w:i/>
          <w:szCs w:val="24"/>
        </w:rPr>
        <w:t>être</w:t>
      </w:r>
      <w:proofErr w:type="spellEnd"/>
      <w:r w:rsidRPr="00FE5070">
        <w:rPr>
          <w:i/>
          <w:szCs w:val="24"/>
        </w:rPr>
        <w:t xml:space="preserve"> au monde</w:t>
      </w:r>
      <w:r>
        <w:rPr>
          <w:szCs w:val="24"/>
        </w:rPr>
        <w:t xml:space="preserve">). It does, however, allow us to reflect on our experiences and the thinking about those experiences to become more obvious and as a result to set aside or bracket our assumptions and paradigms to examine the phenomenon under consideration. While </w:t>
      </w:r>
      <w:proofErr w:type="spellStart"/>
      <w:r>
        <w:rPr>
          <w:szCs w:val="24"/>
        </w:rPr>
        <w:t>Merleau</w:t>
      </w:r>
      <w:proofErr w:type="spellEnd"/>
      <w:r>
        <w:rPr>
          <w:szCs w:val="24"/>
        </w:rPr>
        <w:t>-</w:t>
      </w:r>
      <w:proofErr w:type="spellStart"/>
      <w:r>
        <w:rPr>
          <w:szCs w:val="24"/>
        </w:rPr>
        <w:t>Ponty</w:t>
      </w:r>
      <w:proofErr w:type="spellEnd"/>
      <w:r>
        <w:rPr>
          <w:szCs w:val="24"/>
        </w:rPr>
        <w:t xml:space="preserve"> did not accept Husserl’s idea of the necessity of a transcendental state, he did accept the usefulness of the method and claim consistency between </w:t>
      </w:r>
      <w:r>
        <w:rPr>
          <w:szCs w:val="24"/>
        </w:rPr>
        <w:lastRenderedPageBreak/>
        <w:t xml:space="preserve">existentialism and the phenomenological method (Smith, 2005). This consistency derives from </w:t>
      </w:r>
      <w:proofErr w:type="spellStart"/>
      <w:r>
        <w:rPr>
          <w:szCs w:val="24"/>
        </w:rPr>
        <w:t>Merleau-Ponty’s</w:t>
      </w:r>
      <w:proofErr w:type="spellEnd"/>
      <w:r>
        <w:rPr>
          <w:szCs w:val="24"/>
        </w:rPr>
        <w:t xml:space="preserve"> belief in three separate worlds: the pre-reflective </w:t>
      </w:r>
      <w:proofErr w:type="spellStart"/>
      <w:r>
        <w:rPr>
          <w:szCs w:val="24"/>
        </w:rPr>
        <w:t>Lebenswelt</w:t>
      </w:r>
      <w:proofErr w:type="spellEnd"/>
      <w:r>
        <w:rPr>
          <w:szCs w:val="24"/>
        </w:rPr>
        <w:t xml:space="preserve">, the pre-objective world of lived experience, and the world of science (Dreyfus &amp; </w:t>
      </w:r>
      <w:proofErr w:type="spellStart"/>
      <w:r>
        <w:rPr>
          <w:szCs w:val="24"/>
        </w:rPr>
        <w:t>Todes</w:t>
      </w:r>
      <w:proofErr w:type="spellEnd"/>
      <w:r>
        <w:rPr>
          <w:szCs w:val="24"/>
        </w:rPr>
        <w:t>, 1962; Smith, 2005).</w:t>
      </w:r>
    </w:p>
    <w:p w:rsidR="00ED06A4" w:rsidRDefault="00ED06A4" w:rsidP="00ED06A4">
      <w:pPr>
        <w:pStyle w:val="BodyTextIndent"/>
        <w:spacing w:after="0" w:line="480" w:lineRule="auto"/>
        <w:rPr>
          <w:szCs w:val="24"/>
        </w:rPr>
      </w:pPr>
      <w:proofErr w:type="spellStart"/>
      <w:r>
        <w:rPr>
          <w:szCs w:val="24"/>
        </w:rPr>
        <w:t>Merleau</w:t>
      </w:r>
      <w:proofErr w:type="spellEnd"/>
      <w:r>
        <w:rPr>
          <w:szCs w:val="24"/>
        </w:rPr>
        <w:t>-</w:t>
      </w:r>
      <w:proofErr w:type="spellStart"/>
      <w:r>
        <w:rPr>
          <w:szCs w:val="24"/>
        </w:rPr>
        <w:t>Ponty</w:t>
      </w:r>
      <w:proofErr w:type="spellEnd"/>
      <w:r>
        <w:rPr>
          <w:szCs w:val="24"/>
        </w:rPr>
        <w:t xml:space="preserve"> rejected the Cartesian dualism that posited both a distinction between body and mind and asserted the preeminence of the mind over the body. For </w:t>
      </w:r>
      <w:proofErr w:type="spellStart"/>
      <w:r>
        <w:rPr>
          <w:szCs w:val="24"/>
        </w:rPr>
        <w:t>Merleau</w:t>
      </w:r>
      <w:proofErr w:type="spellEnd"/>
      <w:r>
        <w:rPr>
          <w:szCs w:val="24"/>
        </w:rPr>
        <w:t>-</w:t>
      </w:r>
      <w:proofErr w:type="spellStart"/>
      <w:r>
        <w:rPr>
          <w:szCs w:val="24"/>
        </w:rPr>
        <w:t>Ponty</w:t>
      </w:r>
      <w:proofErr w:type="spellEnd"/>
      <w:r>
        <w:rPr>
          <w:szCs w:val="24"/>
        </w:rPr>
        <w:t xml:space="preserve">, experience was embodied, that is, the world is experienced and understood by and through the body (Thomas &amp; </w:t>
      </w:r>
      <w:proofErr w:type="spellStart"/>
      <w:r>
        <w:rPr>
          <w:szCs w:val="24"/>
        </w:rPr>
        <w:t>Pollio</w:t>
      </w:r>
      <w:proofErr w:type="spellEnd"/>
      <w:r>
        <w:rPr>
          <w:szCs w:val="24"/>
        </w:rPr>
        <w:t xml:space="preserve">, 2002). Body, along with time, </w:t>
      </w:r>
      <w:proofErr w:type="gramStart"/>
      <w:r>
        <w:rPr>
          <w:szCs w:val="24"/>
        </w:rPr>
        <w:t>others ,and</w:t>
      </w:r>
      <w:proofErr w:type="gramEnd"/>
      <w:r>
        <w:rPr>
          <w:szCs w:val="24"/>
        </w:rPr>
        <w:t xml:space="preserve"> world, compose the four existential grounds against which all lived experience becomes figural. This concept of figure and ground, and one’s experience of them, is based in </w:t>
      </w:r>
      <w:proofErr w:type="gramStart"/>
      <w:r>
        <w:rPr>
          <w:szCs w:val="24"/>
        </w:rPr>
        <w:t>gestalt</w:t>
      </w:r>
      <w:proofErr w:type="gramEnd"/>
      <w:r>
        <w:rPr>
          <w:szCs w:val="24"/>
        </w:rPr>
        <w:t xml:space="preserve"> psychology. The concept is often represented by the Rubin vase (Figure 3), where one may see either two white faces as figural on a black ground, or a black vase as figural on a white ground. The colors themselves are meaningless, but what we bring to the seeing of them determines the patterns that we perceive, depending on what we see as figural. Figures become divining rods, pointing to wellsprings of meaning. </w:t>
      </w:r>
    </w:p>
    <w:p w:rsidR="00ED06A4" w:rsidRDefault="00ED06A4" w:rsidP="00ED06A4">
      <w:pPr>
        <w:pStyle w:val="BodyTextIndent"/>
        <w:spacing w:after="0" w:line="480" w:lineRule="auto"/>
        <w:rPr>
          <w:szCs w:val="24"/>
        </w:rPr>
      </w:pPr>
      <w:proofErr w:type="spellStart"/>
      <w:r>
        <w:rPr>
          <w:szCs w:val="24"/>
        </w:rPr>
        <w:t>Merleau</w:t>
      </w:r>
      <w:proofErr w:type="spellEnd"/>
      <w:r>
        <w:rPr>
          <w:szCs w:val="24"/>
        </w:rPr>
        <w:t>-</w:t>
      </w:r>
      <w:proofErr w:type="spellStart"/>
      <w:r>
        <w:rPr>
          <w:szCs w:val="24"/>
        </w:rPr>
        <w:t>Ponty</w:t>
      </w:r>
      <w:proofErr w:type="spellEnd"/>
      <w:r>
        <w:rPr>
          <w:szCs w:val="24"/>
        </w:rPr>
        <w:t xml:space="preserve"> has often been criticized for his use of </w:t>
      </w:r>
      <w:proofErr w:type="gramStart"/>
      <w:r>
        <w:rPr>
          <w:szCs w:val="24"/>
        </w:rPr>
        <w:t>gestalt</w:t>
      </w:r>
      <w:proofErr w:type="gramEnd"/>
      <w:r>
        <w:rPr>
          <w:szCs w:val="24"/>
        </w:rPr>
        <w:t xml:space="preserve"> psychology in his phenomenology, but one must remember that for </w:t>
      </w:r>
      <w:proofErr w:type="spellStart"/>
      <w:r>
        <w:rPr>
          <w:szCs w:val="24"/>
        </w:rPr>
        <w:t>Merleau</w:t>
      </w:r>
      <w:proofErr w:type="spellEnd"/>
      <w:r>
        <w:rPr>
          <w:szCs w:val="24"/>
        </w:rPr>
        <w:t>-</w:t>
      </w:r>
      <w:proofErr w:type="spellStart"/>
      <w:r>
        <w:rPr>
          <w:szCs w:val="24"/>
        </w:rPr>
        <w:t>Ponty</w:t>
      </w:r>
      <w:proofErr w:type="spellEnd"/>
      <w:r>
        <w:rPr>
          <w:szCs w:val="24"/>
        </w:rPr>
        <w:t xml:space="preserve"> investigation occurred in the tripartite world view described above. He saw nothing inherently amiss with using science (and psychology). As we may experience gestalt from seemingly meaningless patterns, we understand essence from what may be seemingly meaningless life experiences. Just as the figure of the black vase becomes apparent when we understand the gestalt of the picture, essence becomes apparent when we understand the gestalt of lived experience. </w:t>
      </w:r>
    </w:p>
    <w:p w:rsidR="00ED06A4" w:rsidRDefault="00ED06A4" w:rsidP="00ED06A4">
      <w:pPr>
        <w:pStyle w:val="BodyTextIndent"/>
        <w:spacing w:after="0" w:line="480" w:lineRule="auto"/>
        <w:rPr>
          <w:szCs w:val="24"/>
        </w:rPr>
      </w:pPr>
      <w:r>
        <w:rPr>
          <w:szCs w:val="24"/>
        </w:rPr>
        <w:t xml:space="preserve">At any rate, science was not the prime means of knowing the world for </w:t>
      </w:r>
      <w:proofErr w:type="spellStart"/>
      <w:r>
        <w:rPr>
          <w:szCs w:val="24"/>
        </w:rPr>
        <w:t>Merleau</w:t>
      </w:r>
      <w:proofErr w:type="spellEnd"/>
      <w:r>
        <w:rPr>
          <w:szCs w:val="24"/>
        </w:rPr>
        <w:t>-</w:t>
      </w:r>
      <w:proofErr w:type="spellStart"/>
      <w:r>
        <w:rPr>
          <w:szCs w:val="24"/>
        </w:rPr>
        <w:t>Ponty</w:t>
      </w:r>
      <w:proofErr w:type="spellEnd"/>
      <w:r>
        <w:rPr>
          <w:szCs w:val="24"/>
        </w:rPr>
        <w:t xml:space="preserve">. “Science manipulates things,” he stated (1964), “and gives up living in them” (p. 1). </w:t>
      </w:r>
      <w:r>
        <w:rPr>
          <w:szCs w:val="24"/>
        </w:rPr>
        <w:lastRenderedPageBreak/>
        <w:t xml:space="preserve">Phenomenological intentionality was, he posited, how interconnectedness with the world was experienced. The Rubin vase, in this case, seems a shallow example of gestalt and its relationship to </w:t>
      </w:r>
      <w:proofErr w:type="spellStart"/>
      <w:r>
        <w:rPr>
          <w:szCs w:val="24"/>
        </w:rPr>
        <w:t>Merleau-Ponty’s</w:t>
      </w:r>
      <w:proofErr w:type="spellEnd"/>
      <w:r>
        <w:rPr>
          <w:szCs w:val="24"/>
        </w:rPr>
        <w:t xml:space="preserve"> phenomenology. As a more apt example, I would suggest a scene from the German</w:t>
      </w:r>
      <w:r>
        <w:rPr>
          <w:color w:val="FF0000"/>
          <w:szCs w:val="24"/>
        </w:rPr>
        <w:t xml:space="preserve"> </w:t>
      </w:r>
      <w:r>
        <w:rPr>
          <w:szCs w:val="24"/>
        </w:rPr>
        <w:t xml:space="preserve">epic poem, </w:t>
      </w:r>
      <w:proofErr w:type="spellStart"/>
      <w:r>
        <w:rPr>
          <w:i/>
          <w:szCs w:val="24"/>
        </w:rPr>
        <w:t>Parzival</w:t>
      </w:r>
      <w:proofErr w:type="spellEnd"/>
      <w:r>
        <w:rPr>
          <w:szCs w:val="24"/>
        </w:rPr>
        <w:t xml:space="preserve"> (Von </w:t>
      </w:r>
      <w:proofErr w:type="spellStart"/>
      <w:r>
        <w:rPr>
          <w:szCs w:val="24"/>
        </w:rPr>
        <w:t>Eschenbach</w:t>
      </w:r>
      <w:proofErr w:type="spellEnd"/>
      <w:r>
        <w:rPr>
          <w:szCs w:val="24"/>
        </w:rPr>
        <w:t xml:space="preserve">, c. 1210/1961, 1980). In Book Six of the poem, the hero, </w:t>
      </w:r>
      <w:proofErr w:type="spellStart"/>
      <w:r>
        <w:rPr>
          <w:szCs w:val="24"/>
        </w:rPr>
        <w:t>Parzival</w:t>
      </w:r>
      <w:proofErr w:type="spellEnd"/>
      <w:r>
        <w:rPr>
          <w:szCs w:val="24"/>
        </w:rPr>
        <w:t xml:space="preserve">, sees three drops of red blood on snowy white ground. These three drops of blood form the likeness of </w:t>
      </w:r>
      <w:proofErr w:type="spellStart"/>
      <w:r>
        <w:rPr>
          <w:szCs w:val="24"/>
        </w:rPr>
        <w:t>Parzival’s</w:t>
      </w:r>
      <w:proofErr w:type="spellEnd"/>
      <w:r>
        <w:rPr>
          <w:szCs w:val="24"/>
        </w:rPr>
        <w:t xml:space="preserve"> wife, </w:t>
      </w:r>
      <w:proofErr w:type="spellStart"/>
      <w:r>
        <w:rPr>
          <w:szCs w:val="24"/>
        </w:rPr>
        <w:t>Condwiramurs</w:t>
      </w:r>
      <w:proofErr w:type="spellEnd"/>
      <w:r>
        <w:rPr>
          <w:szCs w:val="24"/>
        </w:rPr>
        <w:t>: “</w:t>
      </w:r>
      <w:proofErr w:type="spellStart"/>
      <w:r>
        <w:rPr>
          <w:szCs w:val="24"/>
        </w:rPr>
        <w:t>Condwiramurs</w:t>
      </w:r>
      <w:proofErr w:type="spellEnd"/>
      <w:r>
        <w:rPr>
          <w:szCs w:val="24"/>
        </w:rPr>
        <w:t xml:space="preserve">, here lies your image, for the snow offered the blood its whiteness, and the blood reddens the snow. </w:t>
      </w:r>
      <w:proofErr w:type="spellStart"/>
      <w:proofErr w:type="gramStart"/>
      <w:r>
        <w:rPr>
          <w:szCs w:val="24"/>
        </w:rPr>
        <w:t>Condwiramurs</w:t>
      </w:r>
      <w:proofErr w:type="spellEnd"/>
      <w:r>
        <w:rPr>
          <w:szCs w:val="24"/>
        </w:rPr>
        <w:t xml:space="preserve">, your </w:t>
      </w:r>
      <w:r>
        <w:rPr>
          <w:i/>
          <w:szCs w:val="24"/>
        </w:rPr>
        <w:t>beau corps</w:t>
      </w:r>
      <w:r>
        <w:rPr>
          <w:szCs w:val="24"/>
        </w:rPr>
        <w:t xml:space="preserve"> is like these colors” (Von </w:t>
      </w:r>
      <w:proofErr w:type="spellStart"/>
      <w:r>
        <w:rPr>
          <w:szCs w:val="24"/>
        </w:rPr>
        <w:t>Eschenbach</w:t>
      </w:r>
      <w:proofErr w:type="spellEnd"/>
      <w:r>
        <w:rPr>
          <w:szCs w:val="24"/>
        </w:rPr>
        <w:t>, 1961, p. 153).</w:t>
      </w:r>
      <w:proofErr w:type="gramEnd"/>
      <w:r>
        <w:rPr>
          <w:szCs w:val="24"/>
        </w:rPr>
        <w:t xml:space="preserve"> So forceful was the image formed by the blood on the snow, and so powerful was </w:t>
      </w:r>
      <w:proofErr w:type="spellStart"/>
      <w:r>
        <w:rPr>
          <w:szCs w:val="24"/>
        </w:rPr>
        <w:t>Parzival’s</w:t>
      </w:r>
      <w:proofErr w:type="spellEnd"/>
      <w:r>
        <w:rPr>
          <w:szCs w:val="24"/>
        </w:rPr>
        <w:t xml:space="preserve"> yearning for his wife, that the image “robbed him of his senses” (Von </w:t>
      </w:r>
      <w:proofErr w:type="spellStart"/>
      <w:r>
        <w:rPr>
          <w:szCs w:val="24"/>
        </w:rPr>
        <w:t>Eschenbach</w:t>
      </w:r>
      <w:proofErr w:type="spellEnd"/>
      <w:r>
        <w:rPr>
          <w:szCs w:val="24"/>
        </w:rPr>
        <w:t xml:space="preserve">, 1961, p. 154) and “bereft him of all awareness” (Von </w:t>
      </w:r>
      <w:proofErr w:type="spellStart"/>
      <w:r>
        <w:rPr>
          <w:szCs w:val="24"/>
        </w:rPr>
        <w:t>Eschenbach</w:t>
      </w:r>
      <w:proofErr w:type="spellEnd"/>
      <w:r>
        <w:rPr>
          <w:szCs w:val="24"/>
        </w:rPr>
        <w:t xml:space="preserve">, 1980, p. 148), until he “remained still as if he were sleeping” (Von </w:t>
      </w:r>
      <w:proofErr w:type="spellStart"/>
      <w:r>
        <w:rPr>
          <w:szCs w:val="24"/>
        </w:rPr>
        <w:t>Eschenbach</w:t>
      </w:r>
      <w:proofErr w:type="spellEnd"/>
      <w:r>
        <w:rPr>
          <w:szCs w:val="24"/>
        </w:rPr>
        <w:t xml:space="preserve">, 1961, p. 154). </w:t>
      </w:r>
      <w:proofErr w:type="spellStart"/>
      <w:r>
        <w:rPr>
          <w:szCs w:val="24"/>
        </w:rPr>
        <w:t>Parzival</w:t>
      </w:r>
      <w:proofErr w:type="spellEnd"/>
      <w:r>
        <w:rPr>
          <w:szCs w:val="24"/>
        </w:rPr>
        <w:t xml:space="preserve"> rode three jousts while in this almost hypnotic state. This is what figures do in existential phenomenology – they totally absorb our attention. </w:t>
      </w:r>
    </w:p>
    <w:p w:rsidR="00ED06A4" w:rsidRDefault="00ED06A4" w:rsidP="00ED06A4">
      <w:pPr>
        <w:pStyle w:val="BodyTextIndent"/>
        <w:spacing w:after="0" w:line="480" w:lineRule="auto"/>
        <w:rPr>
          <w:szCs w:val="24"/>
        </w:rPr>
      </w:pPr>
      <w:r>
        <w:rPr>
          <w:szCs w:val="24"/>
        </w:rPr>
        <w:t xml:space="preserve">We may suppose the three drops of blood did not form a portrait based in realism, but that this was a pattern (perhaps like Figure 4) that, together with </w:t>
      </w:r>
      <w:proofErr w:type="spellStart"/>
      <w:r>
        <w:rPr>
          <w:szCs w:val="24"/>
        </w:rPr>
        <w:t>Parzival’s</w:t>
      </w:r>
      <w:proofErr w:type="spellEnd"/>
      <w:r>
        <w:rPr>
          <w:szCs w:val="24"/>
        </w:rPr>
        <w:t xml:space="preserve"> longing for his wife, created a gestalt experience. Indeed, “from the way the drops lay on the snow, the hero’s eyes fancied two as her cheeks and the third as her chin… </w:t>
      </w:r>
      <w:proofErr w:type="gramStart"/>
      <w:r>
        <w:rPr>
          <w:szCs w:val="24"/>
        </w:rPr>
        <w:t xml:space="preserve">Mighty Love held him in thrall” (Von </w:t>
      </w:r>
      <w:proofErr w:type="spellStart"/>
      <w:r>
        <w:rPr>
          <w:szCs w:val="24"/>
        </w:rPr>
        <w:t>Eschenbach</w:t>
      </w:r>
      <w:proofErr w:type="spellEnd"/>
      <w:r>
        <w:rPr>
          <w:szCs w:val="24"/>
        </w:rPr>
        <w:t>, 1961, pp. 153-154).</w:t>
      </w:r>
      <w:proofErr w:type="gramEnd"/>
      <w:r>
        <w:rPr>
          <w:szCs w:val="24"/>
        </w:rPr>
        <w:t xml:space="preserve"> The three drops of red blood on the white snow became figural and moved </w:t>
      </w:r>
      <w:proofErr w:type="spellStart"/>
      <w:r>
        <w:rPr>
          <w:szCs w:val="24"/>
        </w:rPr>
        <w:t>Parzival</w:t>
      </w:r>
      <w:proofErr w:type="spellEnd"/>
      <w:r>
        <w:rPr>
          <w:szCs w:val="24"/>
        </w:rPr>
        <w:t xml:space="preserve"> to experience the gestalt of “Mighty Love.” Gestalt connects us to the world through our lived experiences. This example seems better than the Rubin vase as an illustration of how figure and ground relate to lived experience and how gestalt concepts may be incorporated into phenomenology. Figure and ground, necessary for gestalt to occur, help us find </w:t>
      </w:r>
      <w:r>
        <w:rPr>
          <w:szCs w:val="24"/>
        </w:rPr>
        <w:lastRenderedPageBreak/>
        <w:t>essence in phenomenological investigation.</w:t>
      </w:r>
      <w:r>
        <w:rPr>
          <w:color w:val="FF0000"/>
          <w:szCs w:val="24"/>
        </w:rPr>
        <w:t xml:space="preserve"> </w:t>
      </w:r>
      <w:r>
        <w:rPr>
          <w:szCs w:val="24"/>
        </w:rPr>
        <w:t xml:space="preserve">And a phenomenological inquiry would not care about </w:t>
      </w:r>
      <w:proofErr w:type="spellStart"/>
      <w:r>
        <w:rPr>
          <w:szCs w:val="24"/>
        </w:rPr>
        <w:t>Parzival’s</w:t>
      </w:r>
      <w:proofErr w:type="spellEnd"/>
      <w:r>
        <w:rPr>
          <w:szCs w:val="24"/>
        </w:rPr>
        <w:t xml:space="preserve"> feelings for </w:t>
      </w:r>
      <w:proofErr w:type="spellStart"/>
      <w:r>
        <w:rPr>
          <w:szCs w:val="24"/>
        </w:rPr>
        <w:t>Condwiramurs</w:t>
      </w:r>
      <w:proofErr w:type="spellEnd"/>
      <w:r>
        <w:rPr>
          <w:szCs w:val="24"/>
        </w:rPr>
        <w:t>, but about the essence of “Mighty Love” that was evoked by the image in the snow.</w:t>
      </w:r>
    </w:p>
    <w:p w:rsidR="00ED06A4" w:rsidRDefault="00ED06A4" w:rsidP="00ED06A4">
      <w:pPr>
        <w:pStyle w:val="BodyTextIndent"/>
        <w:spacing w:after="0" w:line="480" w:lineRule="auto"/>
        <w:rPr>
          <w:color w:val="FF0000"/>
          <w:szCs w:val="24"/>
        </w:rPr>
      </w:pPr>
      <w:r>
        <w:rPr>
          <w:szCs w:val="24"/>
        </w:rPr>
        <w:t xml:space="preserve">While I do not want to paint the lily on the subject of generalization in phenomenological research, I am loath to pass up a teachable moment when it comes to such a contentious topic in qualitative methodology. The selection from </w:t>
      </w:r>
      <w:proofErr w:type="spellStart"/>
      <w:r>
        <w:rPr>
          <w:i/>
          <w:szCs w:val="24"/>
        </w:rPr>
        <w:t>Parzival</w:t>
      </w:r>
      <w:proofErr w:type="spellEnd"/>
      <w:r>
        <w:rPr>
          <w:szCs w:val="24"/>
        </w:rPr>
        <w:t xml:space="preserve"> is another example of why phenomenological findings are </w:t>
      </w:r>
      <w:proofErr w:type="spellStart"/>
      <w:r>
        <w:rPr>
          <w:szCs w:val="24"/>
        </w:rPr>
        <w:t>generalizable</w:t>
      </w:r>
      <w:proofErr w:type="spellEnd"/>
      <w:r>
        <w:rPr>
          <w:szCs w:val="24"/>
        </w:rPr>
        <w:t xml:space="preserve">. Phenomenology seeks to understand the essence of “Mighty Love” through </w:t>
      </w:r>
      <w:proofErr w:type="spellStart"/>
      <w:r>
        <w:rPr>
          <w:szCs w:val="24"/>
        </w:rPr>
        <w:t>Parzival’s</w:t>
      </w:r>
      <w:proofErr w:type="spellEnd"/>
      <w:r>
        <w:rPr>
          <w:szCs w:val="24"/>
        </w:rPr>
        <w:t xml:space="preserve"> lived experience. It is not interested in </w:t>
      </w:r>
      <w:proofErr w:type="spellStart"/>
      <w:r>
        <w:rPr>
          <w:szCs w:val="24"/>
        </w:rPr>
        <w:t>Parzival’s</w:t>
      </w:r>
      <w:proofErr w:type="spellEnd"/>
      <w:r>
        <w:rPr>
          <w:szCs w:val="24"/>
        </w:rPr>
        <w:t xml:space="preserve"> love for </w:t>
      </w:r>
      <w:proofErr w:type="spellStart"/>
      <w:r>
        <w:rPr>
          <w:szCs w:val="24"/>
        </w:rPr>
        <w:t>Condwiramurs</w:t>
      </w:r>
      <w:proofErr w:type="spellEnd"/>
      <w:r>
        <w:rPr>
          <w:szCs w:val="24"/>
        </w:rPr>
        <w:t xml:space="preserve"> outside of this context. It does not matter whether we examine </w:t>
      </w:r>
      <w:proofErr w:type="spellStart"/>
      <w:r>
        <w:rPr>
          <w:szCs w:val="24"/>
        </w:rPr>
        <w:t>Parzival</w:t>
      </w:r>
      <w:proofErr w:type="spellEnd"/>
      <w:r>
        <w:rPr>
          <w:szCs w:val="24"/>
        </w:rPr>
        <w:t xml:space="preserve"> and </w:t>
      </w:r>
      <w:proofErr w:type="spellStart"/>
      <w:r>
        <w:rPr>
          <w:szCs w:val="24"/>
        </w:rPr>
        <w:t>Condwiramurs</w:t>
      </w:r>
      <w:proofErr w:type="spellEnd"/>
      <w:r>
        <w:rPr>
          <w:szCs w:val="24"/>
        </w:rPr>
        <w:t xml:space="preserve">’ “Mighty Love” in Von </w:t>
      </w:r>
      <w:proofErr w:type="spellStart"/>
      <w:r>
        <w:rPr>
          <w:szCs w:val="24"/>
        </w:rPr>
        <w:t>Eschenbach’s</w:t>
      </w:r>
      <w:proofErr w:type="spellEnd"/>
      <w:r>
        <w:rPr>
          <w:szCs w:val="24"/>
        </w:rPr>
        <w:t xml:space="preserve"> 13th-century Germany poetry or </w:t>
      </w:r>
      <w:proofErr w:type="spellStart"/>
      <w:r>
        <w:rPr>
          <w:szCs w:val="24"/>
        </w:rPr>
        <w:t>Westley</w:t>
      </w:r>
      <w:proofErr w:type="spellEnd"/>
      <w:r>
        <w:rPr>
          <w:szCs w:val="24"/>
        </w:rPr>
        <w:t xml:space="preserve"> and Buttercup’s “True Love” in Goldman’s (2003) contemporary novel, </w:t>
      </w:r>
      <w:r>
        <w:rPr>
          <w:i/>
          <w:szCs w:val="24"/>
        </w:rPr>
        <w:t>The Princess Bride</w:t>
      </w:r>
      <w:r>
        <w:rPr>
          <w:szCs w:val="24"/>
        </w:rPr>
        <w:t xml:space="preserve">; it is, rather, the essence of this type of love for which we seek. The </w:t>
      </w:r>
      <w:proofErr w:type="spellStart"/>
      <w:r>
        <w:rPr>
          <w:szCs w:val="24"/>
        </w:rPr>
        <w:t>eidos</w:t>
      </w:r>
      <w:proofErr w:type="spellEnd"/>
      <w:r>
        <w:rPr>
          <w:szCs w:val="24"/>
        </w:rPr>
        <w:t xml:space="preserve"> of “Mighty Love” is the same </w:t>
      </w:r>
      <w:proofErr w:type="spellStart"/>
      <w:r>
        <w:rPr>
          <w:szCs w:val="24"/>
        </w:rPr>
        <w:t>eidos</w:t>
      </w:r>
      <w:proofErr w:type="spellEnd"/>
      <w:r>
        <w:rPr>
          <w:szCs w:val="24"/>
        </w:rPr>
        <w:t xml:space="preserve"> as that of “True Love,” and it is </w:t>
      </w:r>
      <w:proofErr w:type="spellStart"/>
      <w:r>
        <w:rPr>
          <w:szCs w:val="24"/>
        </w:rPr>
        <w:t>generalizable</w:t>
      </w:r>
      <w:proofErr w:type="spellEnd"/>
      <w:r>
        <w:rPr>
          <w:szCs w:val="24"/>
        </w:rPr>
        <w:t xml:space="preserve"> to the whole of humankind, while </w:t>
      </w:r>
      <w:proofErr w:type="spellStart"/>
      <w:r>
        <w:rPr>
          <w:szCs w:val="24"/>
        </w:rPr>
        <w:t>Parzival’s</w:t>
      </w:r>
      <w:proofErr w:type="spellEnd"/>
      <w:r>
        <w:rPr>
          <w:szCs w:val="24"/>
        </w:rPr>
        <w:t xml:space="preserve"> love is unique to </w:t>
      </w:r>
      <w:proofErr w:type="spellStart"/>
      <w:r>
        <w:rPr>
          <w:szCs w:val="24"/>
        </w:rPr>
        <w:t>Parzival</w:t>
      </w:r>
      <w:proofErr w:type="spellEnd"/>
      <w:r>
        <w:rPr>
          <w:szCs w:val="24"/>
        </w:rPr>
        <w:t xml:space="preserve">, and </w:t>
      </w:r>
      <w:proofErr w:type="spellStart"/>
      <w:r>
        <w:rPr>
          <w:szCs w:val="24"/>
        </w:rPr>
        <w:t>Westley’s</w:t>
      </w:r>
      <w:proofErr w:type="spellEnd"/>
      <w:r>
        <w:rPr>
          <w:szCs w:val="24"/>
        </w:rPr>
        <w:t xml:space="preserve"> love is unique to himself. </w:t>
      </w:r>
      <w:proofErr w:type="spellStart"/>
      <w:r>
        <w:rPr>
          <w:szCs w:val="24"/>
        </w:rPr>
        <w:t>Eidos</w:t>
      </w:r>
      <w:proofErr w:type="spellEnd"/>
      <w:r>
        <w:rPr>
          <w:szCs w:val="24"/>
        </w:rPr>
        <w:t xml:space="preserve"> is </w:t>
      </w:r>
      <w:proofErr w:type="spellStart"/>
      <w:r>
        <w:rPr>
          <w:szCs w:val="24"/>
        </w:rPr>
        <w:t>generalizable</w:t>
      </w:r>
      <w:proofErr w:type="spellEnd"/>
      <w:r>
        <w:rPr>
          <w:szCs w:val="24"/>
        </w:rPr>
        <w:t xml:space="preserve"> across time and space.</w:t>
      </w:r>
      <w:r>
        <w:rPr>
          <w:color w:val="FF0000"/>
          <w:szCs w:val="24"/>
        </w:rPr>
        <w:t xml:space="preserve"> </w:t>
      </w:r>
      <w:r>
        <w:rPr>
          <w:szCs w:val="24"/>
        </w:rPr>
        <w:t xml:space="preserve"> </w:t>
      </w:r>
    </w:p>
    <w:p w:rsidR="00ED06A4" w:rsidRDefault="00ED06A4" w:rsidP="00ED06A4">
      <w:pPr>
        <w:pStyle w:val="BodyTextIndent"/>
        <w:spacing w:after="0" w:line="480" w:lineRule="auto"/>
        <w:rPr>
          <w:szCs w:val="24"/>
        </w:rPr>
      </w:pPr>
      <w:r>
        <w:rPr>
          <w:szCs w:val="24"/>
        </w:rPr>
        <w:t xml:space="preserve">It will also be noted that </w:t>
      </w:r>
      <w:proofErr w:type="spellStart"/>
      <w:r>
        <w:rPr>
          <w:szCs w:val="24"/>
        </w:rPr>
        <w:t>Merleau</w:t>
      </w:r>
      <w:proofErr w:type="spellEnd"/>
      <w:r>
        <w:rPr>
          <w:szCs w:val="24"/>
        </w:rPr>
        <w:t>-</w:t>
      </w:r>
      <w:proofErr w:type="spellStart"/>
      <w:r>
        <w:rPr>
          <w:szCs w:val="24"/>
        </w:rPr>
        <w:t>Ponty</w:t>
      </w:r>
      <w:proofErr w:type="spellEnd"/>
      <w:r>
        <w:rPr>
          <w:szCs w:val="24"/>
        </w:rPr>
        <w:t xml:space="preserve"> was continuously revising his understanding (</w:t>
      </w:r>
      <w:proofErr w:type="spellStart"/>
      <w:r>
        <w:rPr>
          <w:szCs w:val="24"/>
        </w:rPr>
        <w:t>Grene</w:t>
      </w:r>
      <w:proofErr w:type="spellEnd"/>
      <w:r>
        <w:rPr>
          <w:szCs w:val="24"/>
        </w:rPr>
        <w:t xml:space="preserve">, 1976; </w:t>
      </w:r>
      <w:proofErr w:type="spellStart"/>
      <w:r>
        <w:rPr>
          <w:szCs w:val="24"/>
        </w:rPr>
        <w:t>Merleau</w:t>
      </w:r>
      <w:proofErr w:type="spellEnd"/>
      <w:r>
        <w:rPr>
          <w:szCs w:val="24"/>
        </w:rPr>
        <w:t>-</w:t>
      </w:r>
      <w:proofErr w:type="spellStart"/>
      <w:r>
        <w:rPr>
          <w:szCs w:val="24"/>
        </w:rPr>
        <w:t>Ponty</w:t>
      </w:r>
      <w:proofErr w:type="spellEnd"/>
      <w:r>
        <w:rPr>
          <w:szCs w:val="24"/>
        </w:rPr>
        <w:t xml:space="preserve">, &amp; </w:t>
      </w:r>
      <w:proofErr w:type="spellStart"/>
      <w:r>
        <w:rPr>
          <w:szCs w:val="24"/>
        </w:rPr>
        <w:t>Lefort</w:t>
      </w:r>
      <w:proofErr w:type="spellEnd"/>
      <w:r>
        <w:rPr>
          <w:szCs w:val="24"/>
        </w:rPr>
        <w:t xml:space="preserve">, 1968), and notes from prior to his death indicate that this was true up until his sudden demise in 1961. </w:t>
      </w:r>
      <w:proofErr w:type="gramStart"/>
      <w:r>
        <w:rPr>
          <w:szCs w:val="24"/>
        </w:rPr>
        <w:t xml:space="preserve">As in the case of his predecessors, </w:t>
      </w:r>
      <w:proofErr w:type="spellStart"/>
      <w:r>
        <w:rPr>
          <w:szCs w:val="24"/>
        </w:rPr>
        <w:t>Merleau-Ponty’s</w:t>
      </w:r>
      <w:proofErr w:type="spellEnd"/>
      <w:r>
        <w:rPr>
          <w:szCs w:val="24"/>
        </w:rPr>
        <w:t xml:space="preserve"> phenomenology appears to have changed as his own experience with phenomena changed.</w:t>
      </w:r>
      <w:proofErr w:type="gramEnd"/>
      <w:r>
        <w:rPr>
          <w:szCs w:val="24"/>
        </w:rPr>
        <w:t xml:space="preserve"> This is consistent with his philosophy, and anything less would have proved </w:t>
      </w:r>
      <w:proofErr w:type="spellStart"/>
      <w:r>
        <w:rPr>
          <w:szCs w:val="24"/>
        </w:rPr>
        <w:t>Merleau</w:t>
      </w:r>
      <w:proofErr w:type="spellEnd"/>
      <w:r>
        <w:rPr>
          <w:szCs w:val="24"/>
        </w:rPr>
        <w:t>-</w:t>
      </w:r>
      <w:proofErr w:type="spellStart"/>
      <w:r>
        <w:rPr>
          <w:szCs w:val="24"/>
        </w:rPr>
        <w:t>Ponty</w:t>
      </w:r>
      <w:proofErr w:type="spellEnd"/>
      <w:r>
        <w:rPr>
          <w:szCs w:val="24"/>
        </w:rPr>
        <w:t xml:space="preserve"> to have been non-genuine, one who manipulated ideas but ceased to live them. </w:t>
      </w:r>
    </w:p>
    <w:p w:rsidR="00ED06A4" w:rsidRDefault="00ED06A4" w:rsidP="00ED06A4">
      <w:pPr>
        <w:pStyle w:val="BodyTextIndent"/>
        <w:spacing w:after="0" w:line="480" w:lineRule="auto"/>
        <w:rPr>
          <w:szCs w:val="24"/>
        </w:rPr>
      </w:pPr>
      <w:r>
        <w:rPr>
          <w:szCs w:val="24"/>
        </w:rPr>
        <w:t xml:space="preserve">The study of phenomenology continued, and </w:t>
      </w:r>
      <w:proofErr w:type="spellStart"/>
      <w:r>
        <w:rPr>
          <w:szCs w:val="24"/>
        </w:rPr>
        <w:t>Spiegelberg</w:t>
      </w:r>
      <w:proofErr w:type="spellEnd"/>
      <w:r>
        <w:rPr>
          <w:szCs w:val="24"/>
        </w:rPr>
        <w:t xml:space="preserve"> was one of its most visible proponents. His </w:t>
      </w:r>
      <w:r>
        <w:rPr>
          <w:i/>
          <w:iCs/>
          <w:szCs w:val="24"/>
        </w:rPr>
        <w:t>Doing Phenomenology: Essays On and In Phenomenology</w:t>
      </w:r>
      <w:r>
        <w:rPr>
          <w:szCs w:val="24"/>
        </w:rPr>
        <w:t xml:space="preserve"> (1975), is a classic. </w:t>
      </w:r>
      <w:proofErr w:type="spellStart"/>
      <w:r>
        <w:rPr>
          <w:szCs w:val="24"/>
        </w:rPr>
        <w:lastRenderedPageBreak/>
        <w:t>Ricoeur</w:t>
      </w:r>
      <w:proofErr w:type="spellEnd"/>
      <w:r>
        <w:rPr>
          <w:szCs w:val="24"/>
        </w:rPr>
        <w:t xml:space="preserve"> (1978), also, carried the phenomenological flame, and although it may have been dimmed by the propensity in educational research to justify itself through empirical scientific methodology, the phenomenological light continued to grow brighter.  </w:t>
      </w:r>
    </w:p>
    <w:p w:rsidR="00ED06A4" w:rsidRDefault="00ED06A4" w:rsidP="00ED06A4">
      <w:pPr>
        <w:pStyle w:val="Heading2"/>
      </w:pPr>
      <w:bookmarkStart w:id="16" w:name="_Toc309015916"/>
      <w:r>
        <w:t>Existentialism and Phenomenology in Education</w:t>
      </w:r>
      <w:bookmarkEnd w:id="16"/>
    </w:p>
    <w:p w:rsidR="00ED06A4" w:rsidRPr="00F90827" w:rsidRDefault="00ED06A4" w:rsidP="00ED06A4">
      <w:pPr>
        <w:pStyle w:val="Heading3"/>
      </w:pPr>
      <w:r>
        <w:t>Existentialism and Education</w:t>
      </w:r>
    </w:p>
    <w:p w:rsidR="00ED06A4" w:rsidRDefault="00ED06A4" w:rsidP="00ED06A4">
      <w:pPr>
        <w:pStyle w:val="BodyTextIndent"/>
        <w:spacing w:after="0" w:line="480" w:lineRule="auto"/>
        <w:rPr>
          <w:szCs w:val="24"/>
        </w:rPr>
      </w:pPr>
      <w:r>
        <w:rPr>
          <w:szCs w:val="24"/>
        </w:rPr>
        <w:t xml:space="preserve">Existentialist thought has also addressed education, although perhaps one of the names most synonymous with existentialism, Jean Paul Sartre, addressed the subject of education only a little. Nietzsche’s thoughts on existentialism and (German) education envisioned educational institutions imbuing a select few individuals with a curriculum of German culture, producing geniuses who would create or re-create the “‘pure reflection of the eternal and immutable essence of things’” (as cited in Baker, 1966, p. 218). This emphasis on education being the vehicle of culture was also evident in José Ortega y </w:t>
      </w:r>
      <w:proofErr w:type="spellStart"/>
      <w:r>
        <w:rPr>
          <w:szCs w:val="24"/>
        </w:rPr>
        <w:t>Gasset’s</w:t>
      </w:r>
      <w:proofErr w:type="spellEnd"/>
      <w:r>
        <w:rPr>
          <w:szCs w:val="24"/>
        </w:rPr>
        <w:t xml:space="preserve"> (1944) </w:t>
      </w:r>
      <w:r>
        <w:rPr>
          <w:i/>
          <w:iCs/>
          <w:szCs w:val="24"/>
        </w:rPr>
        <w:t>Mission of the University</w:t>
      </w:r>
      <w:r>
        <w:rPr>
          <w:szCs w:val="24"/>
        </w:rPr>
        <w:t xml:space="preserve">, although Ortega considered the university to be the place of education for the common man, and not Nietzsche’s genius elite, and culture to be the ideas of a particular age by which that particular age exists, rather than one set of ideas that fit all ages. </w:t>
      </w:r>
    </w:p>
    <w:p w:rsidR="00ED06A4" w:rsidRDefault="00ED06A4" w:rsidP="00ED06A4">
      <w:pPr>
        <w:pStyle w:val="BodyTextIndent"/>
        <w:spacing w:after="0" w:line="480" w:lineRule="auto"/>
        <w:rPr>
          <w:szCs w:val="24"/>
        </w:rPr>
      </w:pPr>
      <w:r>
        <w:rPr>
          <w:szCs w:val="24"/>
        </w:rPr>
        <w:t xml:space="preserve">According to Ortega, the university has three functions: transmitting culture, teaching professions and scientific research, and the training of new scientists (Baker, 1966). For Ortega, these represented a hierarchy, with enculturation being pre-eminent and separate from research. Karl Jaspers, in his </w:t>
      </w:r>
      <w:r>
        <w:rPr>
          <w:i/>
          <w:iCs/>
          <w:szCs w:val="24"/>
        </w:rPr>
        <w:t>The Idea of the University</w:t>
      </w:r>
      <w:r>
        <w:rPr>
          <w:szCs w:val="24"/>
        </w:rPr>
        <w:t xml:space="preserve"> (1959), saw the university as a community of scholars who seek the truth, and his concept of the university as a cultural center, professional school, and research institute, are quite similar to Ortega’s, although unlike Ortega, Jaspers did not see these as constituting a hierarchy. Also, Jasper’s university was primarily a place to seek </w:t>
      </w:r>
      <w:r>
        <w:rPr>
          <w:szCs w:val="24"/>
        </w:rPr>
        <w:lastRenderedPageBreak/>
        <w:t xml:space="preserve">truth rather than educate the common man, and Jaspers, unlike Ortega, saw research as connected to teaching and not opposed to it (Baker, 1966). </w:t>
      </w:r>
    </w:p>
    <w:p w:rsidR="00ED06A4" w:rsidRDefault="00ED06A4" w:rsidP="00ED06A4">
      <w:pPr>
        <w:pStyle w:val="BodyTextIndent"/>
        <w:spacing w:after="0" w:line="480" w:lineRule="auto"/>
        <w:rPr>
          <w:szCs w:val="24"/>
        </w:rPr>
      </w:pPr>
      <w:r>
        <w:rPr>
          <w:szCs w:val="24"/>
        </w:rPr>
        <w:t xml:space="preserve">Jaspers differed from Nietzsche in that he saw the university as a place of complete freedom, where students and scholars pursued truth without being hampered by rules and regulations. As schools increasingly become the de facto systems of transmission for not only cultural, professional and scientific knowledge, but also for moral knowledge, students should be free to experience life itself, not protected from it; otherwise, they may never come to grips with the existential questions of being. </w:t>
      </w:r>
    </w:p>
    <w:p w:rsidR="00ED06A4" w:rsidRDefault="00ED06A4" w:rsidP="00ED06A4">
      <w:pPr>
        <w:pStyle w:val="BodyTextIndent"/>
        <w:spacing w:after="0" w:line="480" w:lineRule="auto"/>
        <w:rPr>
          <w:szCs w:val="24"/>
        </w:rPr>
      </w:pPr>
      <w:r>
        <w:rPr>
          <w:szCs w:val="24"/>
        </w:rPr>
        <w:t xml:space="preserve">While Jaspers, Nietzsche, and Ortega contributed to existentialist thought about education, existentialist philosopher Martin Buber has been held up as one of the only existentialists to actually develop a philosophy of education (and adult education) within existentialism, using his I-Thou concept to describe the inclusive relationship between the teacher and the student, an authentic relationship between one human being and another (Barker, 1966). This idea of relational education was echoed by Marcel (1952) in </w:t>
      </w:r>
      <w:r>
        <w:rPr>
          <w:i/>
          <w:iCs/>
          <w:szCs w:val="24"/>
        </w:rPr>
        <w:t>Men against Humanity</w:t>
      </w:r>
      <w:r>
        <w:rPr>
          <w:szCs w:val="24"/>
        </w:rPr>
        <w:t xml:space="preserve">, when he stated that “‘what is </w:t>
      </w:r>
      <w:proofErr w:type="spellStart"/>
      <w:r>
        <w:rPr>
          <w:szCs w:val="24"/>
        </w:rPr>
        <w:t>educatable</w:t>
      </w:r>
      <w:proofErr w:type="spellEnd"/>
      <w:r>
        <w:rPr>
          <w:szCs w:val="24"/>
        </w:rPr>
        <w:t xml:space="preserve"> is [not the masses, but] only an individual, or more exactly, a person’” (as cited in </w:t>
      </w:r>
      <w:proofErr w:type="spellStart"/>
      <w:r>
        <w:rPr>
          <w:szCs w:val="24"/>
        </w:rPr>
        <w:t>Niblett</w:t>
      </w:r>
      <w:proofErr w:type="spellEnd"/>
      <w:r>
        <w:rPr>
          <w:szCs w:val="24"/>
        </w:rPr>
        <w:t xml:space="preserve">, 1954, p. 106). </w:t>
      </w:r>
    </w:p>
    <w:p w:rsidR="00ED06A4" w:rsidRPr="00E04B94" w:rsidRDefault="00ED06A4" w:rsidP="00ED06A4">
      <w:pPr>
        <w:pStyle w:val="Heading3"/>
      </w:pPr>
      <w:r>
        <w:t>Phenomenology and Education</w:t>
      </w:r>
    </w:p>
    <w:p w:rsidR="00ED06A4" w:rsidRDefault="00ED06A4" w:rsidP="00ED06A4">
      <w:pPr>
        <w:pStyle w:val="BodyTextIndent"/>
        <w:spacing w:after="0" w:line="480" w:lineRule="auto"/>
        <w:ind w:firstLine="0"/>
        <w:rPr>
          <w:szCs w:val="24"/>
        </w:rPr>
      </w:pPr>
      <w:r>
        <w:rPr>
          <w:szCs w:val="24"/>
        </w:rPr>
        <w:tab/>
        <w:t xml:space="preserve">Phenomenological pedagogy came to the fore in the 1950’s with recognition of the Utrecht School, a body of work created by individual scholars such as </w:t>
      </w:r>
      <w:proofErr w:type="spellStart"/>
      <w:r>
        <w:rPr>
          <w:szCs w:val="24"/>
        </w:rPr>
        <w:t>Langeveld</w:t>
      </w:r>
      <w:proofErr w:type="spellEnd"/>
      <w:r>
        <w:rPr>
          <w:szCs w:val="24"/>
        </w:rPr>
        <w:t xml:space="preserve">, </w:t>
      </w:r>
      <w:proofErr w:type="spellStart"/>
      <w:r>
        <w:rPr>
          <w:szCs w:val="24"/>
        </w:rPr>
        <w:t>Buytendijk</w:t>
      </w:r>
      <w:proofErr w:type="spellEnd"/>
      <w:r>
        <w:rPr>
          <w:szCs w:val="24"/>
        </w:rPr>
        <w:t xml:space="preserve">, </w:t>
      </w:r>
      <w:proofErr w:type="spellStart"/>
      <w:r>
        <w:rPr>
          <w:szCs w:val="24"/>
        </w:rPr>
        <w:t>Rümke</w:t>
      </w:r>
      <w:proofErr w:type="spellEnd"/>
      <w:r>
        <w:rPr>
          <w:szCs w:val="24"/>
        </w:rPr>
        <w:t xml:space="preserve">, Beets, Van </w:t>
      </w:r>
      <w:proofErr w:type="spellStart"/>
      <w:r>
        <w:rPr>
          <w:szCs w:val="24"/>
        </w:rPr>
        <w:t>Lennep</w:t>
      </w:r>
      <w:proofErr w:type="spellEnd"/>
      <w:r>
        <w:rPr>
          <w:szCs w:val="24"/>
        </w:rPr>
        <w:t xml:space="preserve">, </w:t>
      </w:r>
      <w:proofErr w:type="spellStart"/>
      <w:r>
        <w:rPr>
          <w:szCs w:val="24"/>
        </w:rPr>
        <w:t>Bijl</w:t>
      </w:r>
      <w:proofErr w:type="spellEnd"/>
      <w:r>
        <w:rPr>
          <w:szCs w:val="24"/>
        </w:rPr>
        <w:t xml:space="preserve">, Van den Berg, </w:t>
      </w:r>
      <w:proofErr w:type="spellStart"/>
      <w:r>
        <w:rPr>
          <w:szCs w:val="24"/>
        </w:rPr>
        <w:t>Linschoten</w:t>
      </w:r>
      <w:proofErr w:type="spellEnd"/>
      <w:r>
        <w:rPr>
          <w:szCs w:val="24"/>
        </w:rPr>
        <w:t xml:space="preserve">, </w:t>
      </w:r>
      <w:proofErr w:type="spellStart"/>
      <w:r>
        <w:rPr>
          <w:szCs w:val="24"/>
        </w:rPr>
        <w:t>Kouwer</w:t>
      </w:r>
      <w:proofErr w:type="spellEnd"/>
      <w:r>
        <w:rPr>
          <w:szCs w:val="24"/>
        </w:rPr>
        <w:t xml:space="preserve">, Vermeer, and Van </w:t>
      </w:r>
      <w:proofErr w:type="spellStart"/>
      <w:r>
        <w:rPr>
          <w:szCs w:val="24"/>
        </w:rPr>
        <w:t>der</w:t>
      </w:r>
      <w:proofErr w:type="spellEnd"/>
      <w:r>
        <w:rPr>
          <w:szCs w:val="24"/>
        </w:rPr>
        <w:t xml:space="preserve"> </w:t>
      </w:r>
      <w:proofErr w:type="spellStart"/>
      <w:r>
        <w:rPr>
          <w:szCs w:val="24"/>
        </w:rPr>
        <w:t>Zeyde</w:t>
      </w:r>
      <w:proofErr w:type="spellEnd"/>
      <w:r>
        <w:rPr>
          <w:szCs w:val="24"/>
        </w:rPr>
        <w:t xml:space="preserve"> (Van </w:t>
      </w:r>
      <w:proofErr w:type="spellStart"/>
      <w:r>
        <w:rPr>
          <w:szCs w:val="24"/>
        </w:rPr>
        <w:t>Manen</w:t>
      </w:r>
      <w:proofErr w:type="spellEnd"/>
      <w:r>
        <w:rPr>
          <w:szCs w:val="24"/>
        </w:rPr>
        <w:t xml:space="preserve">, 1978-1979). </w:t>
      </w:r>
      <w:proofErr w:type="spellStart"/>
      <w:r>
        <w:rPr>
          <w:szCs w:val="24"/>
        </w:rPr>
        <w:t>Langeveld</w:t>
      </w:r>
      <w:proofErr w:type="spellEnd"/>
      <w:r>
        <w:rPr>
          <w:szCs w:val="24"/>
        </w:rPr>
        <w:t xml:space="preserve">, the founder of the Institute for Didactic and Pedagogic Studies at the University of Utrecht, often noted that phenomenology, after Husserl, was divided into philosophy and method. </w:t>
      </w:r>
      <w:proofErr w:type="spellStart"/>
      <w:r>
        <w:rPr>
          <w:szCs w:val="24"/>
        </w:rPr>
        <w:t>Lengeveld</w:t>
      </w:r>
      <w:proofErr w:type="spellEnd"/>
      <w:r>
        <w:rPr>
          <w:szCs w:val="24"/>
        </w:rPr>
        <w:t xml:space="preserve"> </w:t>
      </w:r>
      <w:r w:rsidR="00656605">
        <w:rPr>
          <w:szCs w:val="24"/>
        </w:rPr>
        <w:t xml:space="preserve">(in </w:t>
      </w:r>
      <w:r w:rsidR="00656605" w:rsidRPr="00656605">
        <w:rPr>
          <w:szCs w:val="24"/>
        </w:rPr>
        <w:t xml:space="preserve">Van </w:t>
      </w:r>
      <w:proofErr w:type="spellStart"/>
      <w:r w:rsidR="00656605" w:rsidRPr="00656605">
        <w:rPr>
          <w:szCs w:val="24"/>
        </w:rPr>
        <w:t>Manen</w:t>
      </w:r>
      <w:proofErr w:type="spellEnd"/>
      <w:r w:rsidR="00656605" w:rsidRPr="00656605">
        <w:rPr>
          <w:szCs w:val="24"/>
        </w:rPr>
        <w:t>, 1978-1979</w:t>
      </w:r>
      <w:r w:rsidR="00656605">
        <w:rPr>
          <w:szCs w:val="24"/>
        </w:rPr>
        <w:t>)</w:t>
      </w:r>
      <w:r w:rsidR="00656605" w:rsidRPr="00656605">
        <w:rPr>
          <w:szCs w:val="24"/>
        </w:rPr>
        <w:t xml:space="preserve"> </w:t>
      </w:r>
      <w:r>
        <w:rPr>
          <w:szCs w:val="24"/>
        </w:rPr>
        <w:t xml:space="preserve">considered his </w:t>
      </w:r>
      <w:r>
        <w:rPr>
          <w:szCs w:val="24"/>
        </w:rPr>
        <w:lastRenderedPageBreak/>
        <w:t xml:space="preserve">contributions to be methodological in nature, rather than philosophical, and his goal was “not to contribute to a transcendental or philosophical phenomenology but rather to develop a pedagogy which is grounded in phenomenological method” </w:t>
      </w:r>
      <w:r w:rsidRPr="00656605">
        <w:rPr>
          <w:szCs w:val="24"/>
        </w:rPr>
        <w:t>(p. 49).</w:t>
      </w:r>
      <w:r>
        <w:rPr>
          <w:szCs w:val="24"/>
        </w:rPr>
        <w:t xml:space="preserve"> One of the prime assumptions associated with this phenomenological pedagogy is “the process of inquiry and theory-building by which assumptions regarding the concept of man, the nature of learning, and views of knowledge are constantly pushed up front, where they can be reflectively explicated” (Van </w:t>
      </w:r>
      <w:proofErr w:type="spellStart"/>
      <w:r>
        <w:rPr>
          <w:szCs w:val="24"/>
        </w:rPr>
        <w:t>Manen</w:t>
      </w:r>
      <w:proofErr w:type="spellEnd"/>
      <w:r>
        <w:rPr>
          <w:szCs w:val="24"/>
        </w:rPr>
        <w:t xml:space="preserve">, 1978-1979, p. 49), and “phenomenological descriptions always are constructed within the integrity of what it means to educate” (Van </w:t>
      </w:r>
      <w:proofErr w:type="spellStart"/>
      <w:r>
        <w:rPr>
          <w:szCs w:val="24"/>
        </w:rPr>
        <w:t>Manen</w:t>
      </w:r>
      <w:proofErr w:type="spellEnd"/>
      <w:r>
        <w:rPr>
          <w:szCs w:val="24"/>
        </w:rPr>
        <w:t xml:space="preserve">, 1978-1979, p. 50). This phenomenological pedagogy contained existential phenomenological assumptions, such as the notion that a developing child constructs his or her own “life-project” through “dynamic self-interpretation” (Van </w:t>
      </w:r>
      <w:proofErr w:type="spellStart"/>
      <w:r>
        <w:rPr>
          <w:szCs w:val="24"/>
        </w:rPr>
        <w:t>Manen</w:t>
      </w:r>
      <w:proofErr w:type="spellEnd"/>
      <w:r>
        <w:rPr>
          <w:szCs w:val="24"/>
        </w:rPr>
        <w:t xml:space="preserve">, 1978-1979, p. 50). The basis of the Utrecht School rested on the idea that “true pedagogy involves assisting the child in coming to terms with, and transcending, the very constraints (constraints which make a behavioral pedagogy possible) that would stand in the way of a reflective and autonomous passage toward responsible adulthood” (Van </w:t>
      </w:r>
      <w:proofErr w:type="spellStart"/>
      <w:r>
        <w:rPr>
          <w:szCs w:val="24"/>
        </w:rPr>
        <w:t>Manen</w:t>
      </w:r>
      <w:proofErr w:type="spellEnd"/>
      <w:r>
        <w:rPr>
          <w:szCs w:val="24"/>
        </w:rPr>
        <w:t xml:space="preserve">, 1978-1979, p. 50). </w:t>
      </w:r>
    </w:p>
    <w:p w:rsidR="00ED06A4" w:rsidRDefault="00ED06A4" w:rsidP="00ED06A4">
      <w:pPr>
        <w:pStyle w:val="BodyTextIndent"/>
        <w:spacing w:after="0" w:line="480" w:lineRule="auto"/>
        <w:ind w:firstLine="0"/>
        <w:rPr>
          <w:szCs w:val="24"/>
        </w:rPr>
      </w:pPr>
      <w:r>
        <w:rPr>
          <w:szCs w:val="24"/>
        </w:rPr>
        <w:tab/>
        <w:t xml:space="preserve">Van </w:t>
      </w:r>
      <w:proofErr w:type="spellStart"/>
      <w:r>
        <w:rPr>
          <w:szCs w:val="24"/>
        </w:rPr>
        <w:t>Manen</w:t>
      </w:r>
      <w:proofErr w:type="spellEnd"/>
      <w:r>
        <w:rPr>
          <w:szCs w:val="24"/>
        </w:rPr>
        <w:t xml:space="preserve"> himself is a disciple of the Utrecht School, and his writings on phenomenology in education are extensive. In his article on “The Phenomenology of Pedagogic Observation” (1979), Van </w:t>
      </w:r>
      <w:proofErr w:type="spellStart"/>
      <w:r>
        <w:rPr>
          <w:szCs w:val="24"/>
        </w:rPr>
        <w:t>Manen</w:t>
      </w:r>
      <w:proofErr w:type="spellEnd"/>
      <w:r>
        <w:rPr>
          <w:szCs w:val="24"/>
        </w:rPr>
        <w:t xml:space="preserve"> pointed out that a true educator demonstrates practical competence in the manner of her ability to create an educational situation from any situation and that the language of education is the language of philosophy and dialectical phenomenology, rather than positivistic science – as is so often the case in North American classrooms. He cited Beets: “‘Pedagogic thought,’ says Beets, ‘is not equivalent to the kind of thinking which occurs in the empirical sciences. But since it describes, analyzes, clarifies, corrects and provides </w:t>
      </w:r>
      <w:r>
        <w:rPr>
          <w:szCs w:val="24"/>
        </w:rPr>
        <w:lastRenderedPageBreak/>
        <w:t xml:space="preserve">direction to concrete situations, pedagogical thinking is closely related to existential philosophy’” (as cited in Van </w:t>
      </w:r>
      <w:proofErr w:type="spellStart"/>
      <w:r>
        <w:rPr>
          <w:szCs w:val="24"/>
        </w:rPr>
        <w:t>Manen</w:t>
      </w:r>
      <w:proofErr w:type="spellEnd"/>
      <w:r>
        <w:rPr>
          <w:szCs w:val="24"/>
        </w:rPr>
        <w:t>, 1979, p. 6). True pedagogy, true education, from this existential phenomenological place, is an invitation toward emancipation, rather than a command to conform to the dictates of authority.</w:t>
      </w:r>
    </w:p>
    <w:p w:rsidR="00ED06A4" w:rsidRDefault="00ED06A4" w:rsidP="00ED06A4">
      <w:pPr>
        <w:pStyle w:val="BodyTextIndent"/>
        <w:spacing w:after="0" w:line="480" w:lineRule="auto"/>
        <w:ind w:firstLine="0"/>
        <w:rPr>
          <w:szCs w:val="24"/>
        </w:rPr>
      </w:pPr>
      <w:r>
        <w:rPr>
          <w:szCs w:val="24"/>
        </w:rPr>
        <w:tab/>
        <w:t xml:space="preserve">Van </w:t>
      </w:r>
      <w:proofErr w:type="spellStart"/>
      <w:r>
        <w:rPr>
          <w:szCs w:val="24"/>
        </w:rPr>
        <w:t>Manen’s</w:t>
      </w:r>
      <w:proofErr w:type="spellEnd"/>
      <w:r>
        <w:rPr>
          <w:szCs w:val="24"/>
        </w:rPr>
        <w:t xml:space="preserve"> writings make it very clear that phenomenological education is very different from the education observed in most North American classrooms. Although constructivist ideas may influence educational practices, few, if any, North American classrooms provide an invitation to emancipation through examination of existential phenomenological assumptions. However, phenomenology in the practice of adult education has slowly been advancing.</w:t>
      </w:r>
    </w:p>
    <w:p w:rsidR="00ED06A4" w:rsidRDefault="00ED06A4" w:rsidP="00ED06A4">
      <w:pPr>
        <w:pStyle w:val="BodyTextIndent"/>
        <w:spacing w:after="0" w:line="480" w:lineRule="auto"/>
        <w:rPr>
          <w:szCs w:val="24"/>
        </w:rPr>
      </w:pPr>
      <w:r>
        <w:rPr>
          <w:szCs w:val="24"/>
        </w:rPr>
        <w:t xml:space="preserve">Phenomenology as a philosophy compatible with research and practice in adult education has been examined. A phenomenological method of research used at the University of Tennessee </w:t>
      </w:r>
      <w:r w:rsidRPr="00656605">
        <w:rPr>
          <w:szCs w:val="24"/>
        </w:rPr>
        <w:t>has been presented</w:t>
      </w:r>
      <w:r>
        <w:rPr>
          <w:szCs w:val="24"/>
        </w:rPr>
        <w:t xml:space="preserve">. This method has been used in adult educational research at the university (Anderson, 2008; Anderson, Taylor, &amp; Ziegler, 2007; </w:t>
      </w:r>
      <w:proofErr w:type="spellStart"/>
      <w:r>
        <w:rPr>
          <w:szCs w:val="24"/>
        </w:rPr>
        <w:t>Donaghy</w:t>
      </w:r>
      <w:proofErr w:type="spellEnd"/>
      <w:r>
        <w:rPr>
          <w:szCs w:val="24"/>
        </w:rPr>
        <w:t>, 2005; Frye, 2007; Frye, Curran, Pierce, Young, &amp; Ziegler, 2005), showing its potential value and relationship to adult education. It has also been used in research in community corrections adult education (Davis, Mottern, &amp; Ziegler, 2010), showing its value to this area of study.</w:t>
      </w:r>
    </w:p>
    <w:p w:rsidR="00ED06A4" w:rsidRDefault="00ED06A4" w:rsidP="00ED06A4">
      <w:pPr>
        <w:pStyle w:val="Heading2"/>
      </w:pPr>
      <w:bookmarkStart w:id="17" w:name="_Toc309015917"/>
      <w:r>
        <w:t>A Phenomenological Method</w:t>
      </w:r>
      <w:bookmarkEnd w:id="17"/>
    </w:p>
    <w:p w:rsidR="00ED06A4" w:rsidRDefault="00ED06A4" w:rsidP="00ED06A4">
      <w:pPr>
        <w:pStyle w:val="BodyTextIndent"/>
        <w:spacing w:after="0" w:line="480" w:lineRule="auto"/>
        <w:ind w:firstLine="0"/>
        <w:rPr>
          <w:szCs w:val="24"/>
        </w:rPr>
      </w:pPr>
      <w:r>
        <w:rPr>
          <w:szCs w:val="24"/>
        </w:rPr>
        <w:tab/>
        <w:t xml:space="preserve">The following phenomenological method is that suggested by Thomas and </w:t>
      </w:r>
      <w:proofErr w:type="spellStart"/>
      <w:r>
        <w:rPr>
          <w:szCs w:val="24"/>
        </w:rPr>
        <w:t>Pollio</w:t>
      </w:r>
      <w:proofErr w:type="spellEnd"/>
      <w:r>
        <w:rPr>
          <w:szCs w:val="24"/>
        </w:rPr>
        <w:t xml:space="preserve"> (2002) and used in the phenomenology research group at the University of Tennessee. While it is not the only phenomenological method, it is a method of doing existential hermeneutic phenomenology and the method used in this study. The flow chart (Figure 5 in Appendix 2) shows the method for doing existential phenomenology based in dialogic research as utilized in the research group. </w:t>
      </w:r>
      <w:r>
        <w:rPr>
          <w:szCs w:val="24"/>
        </w:rPr>
        <w:lastRenderedPageBreak/>
        <w:t>Since the philosophical underpinnings of the method have already been discussed, they will be omitted here except when further comment is warranted.</w:t>
      </w:r>
    </w:p>
    <w:p w:rsidR="00ED06A4" w:rsidRPr="00F6792B" w:rsidRDefault="00ED06A4" w:rsidP="00ED06A4">
      <w:pPr>
        <w:pStyle w:val="Heading3"/>
      </w:pPr>
      <w:r>
        <w:t>Bracketing Interview</w:t>
      </w:r>
    </w:p>
    <w:p w:rsidR="00ED06A4" w:rsidRDefault="00ED06A4" w:rsidP="00ED06A4">
      <w:pPr>
        <w:pStyle w:val="BodyTextIndent"/>
        <w:spacing w:after="0" w:line="480" w:lineRule="auto"/>
        <w:ind w:firstLine="0"/>
        <w:rPr>
          <w:szCs w:val="24"/>
        </w:rPr>
      </w:pPr>
      <w:r>
        <w:rPr>
          <w:szCs w:val="24"/>
        </w:rPr>
        <w:tab/>
        <w:t xml:space="preserve">Before beginning participant interviews, a bracketing interview was performed with me by another phenomenological researcher who was himself in the PhD program and working on a phenomenological dissertation. Bracketing is “a central part of creating rigor within the qualitative research process” (Leary, </w:t>
      </w:r>
      <w:proofErr w:type="spellStart"/>
      <w:r>
        <w:rPr>
          <w:szCs w:val="24"/>
        </w:rPr>
        <w:t>Minichiello</w:t>
      </w:r>
      <w:proofErr w:type="spellEnd"/>
      <w:r>
        <w:rPr>
          <w:szCs w:val="24"/>
        </w:rPr>
        <w:t xml:space="preserve">, &amp; </w:t>
      </w:r>
      <w:proofErr w:type="spellStart"/>
      <w:r>
        <w:rPr>
          <w:szCs w:val="24"/>
        </w:rPr>
        <w:t>Kottler</w:t>
      </w:r>
      <w:proofErr w:type="spellEnd"/>
      <w:r>
        <w:rPr>
          <w:szCs w:val="24"/>
        </w:rPr>
        <w:t xml:space="preserve">, 2009, p. 54). Another researcher who is familiar with phenomenological procedures performs the bracketing interview, a part of the </w:t>
      </w:r>
      <w:proofErr w:type="spellStart"/>
      <w:r>
        <w:rPr>
          <w:szCs w:val="24"/>
        </w:rPr>
        <w:t>epoché</w:t>
      </w:r>
      <w:proofErr w:type="spellEnd"/>
      <w:r>
        <w:rPr>
          <w:szCs w:val="24"/>
        </w:rPr>
        <w:t xml:space="preserve"> process designed to bring to awareness the thoughts of the researcher on the research topic. The </w:t>
      </w:r>
      <w:proofErr w:type="spellStart"/>
      <w:r>
        <w:rPr>
          <w:szCs w:val="24"/>
        </w:rPr>
        <w:t>Johari</w:t>
      </w:r>
      <w:proofErr w:type="spellEnd"/>
      <w:r>
        <w:rPr>
          <w:szCs w:val="24"/>
        </w:rPr>
        <w:t xml:space="preserve"> Widow, a device created by Joseph </w:t>
      </w:r>
      <w:proofErr w:type="spellStart"/>
      <w:r>
        <w:rPr>
          <w:szCs w:val="24"/>
        </w:rPr>
        <w:t>Luft</w:t>
      </w:r>
      <w:proofErr w:type="spellEnd"/>
      <w:r>
        <w:rPr>
          <w:szCs w:val="24"/>
        </w:rPr>
        <w:t xml:space="preserve"> and Harrington Ingham (1955) is a heuristic model explaining awareness in human relations and illustrates one aspect of why a bracketing interview is used. There are four quadrants of awareness in the </w:t>
      </w:r>
      <w:proofErr w:type="spellStart"/>
      <w:r>
        <w:rPr>
          <w:szCs w:val="24"/>
        </w:rPr>
        <w:t>Johari</w:t>
      </w:r>
      <w:proofErr w:type="spellEnd"/>
      <w:r>
        <w:rPr>
          <w:szCs w:val="24"/>
        </w:rPr>
        <w:t xml:space="preserve"> model – open (known to self and others), secret (known to self but not to others), blind (known to others and not to self), and mystery (unknown to either self or others). This device illustrates how the open area may be increased through the processes of disclosure (diminishing the secret area) and acceptance of feedback (diminishing the blind spot), processes that are part and parcel of bracketing and </w:t>
      </w:r>
      <w:proofErr w:type="spellStart"/>
      <w:r>
        <w:rPr>
          <w:szCs w:val="24"/>
        </w:rPr>
        <w:t>epoché</w:t>
      </w:r>
      <w:proofErr w:type="spellEnd"/>
      <w:r>
        <w:rPr>
          <w:szCs w:val="24"/>
        </w:rPr>
        <w:t xml:space="preserve">. </w:t>
      </w:r>
    </w:p>
    <w:p w:rsidR="00ED06A4" w:rsidRDefault="00ED06A4" w:rsidP="00ED06A4">
      <w:pPr>
        <w:pStyle w:val="BodyTextIndent"/>
        <w:spacing w:after="0" w:line="480" w:lineRule="auto"/>
        <w:ind w:firstLine="0"/>
        <w:rPr>
          <w:szCs w:val="24"/>
        </w:rPr>
      </w:pPr>
      <w:r>
        <w:rPr>
          <w:szCs w:val="24"/>
        </w:rPr>
        <w:tab/>
        <w:t xml:space="preserve">After the bracketing interview was conducted, it was transcribed and brought to the research group. One member of the group read the interviewer’s questions while another interviewer read the researcher’s responses. The members of the research group then analyzed the transcript in the same manner that they would do for participants’ interviews later on, suggesting themes that may influence the researcher’s analysis of the data in subsequent interviews with participants. Because we can never have a complete reduction, this process is not </w:t>
      </w:r>
      <w:r>
        <w:rPr>
          <w:szCs w:val="24"/>
        </w:rPr>
        <w:lastRenderedPageBreak/>
        <w:t xml:space="preserve">designed to rid me of preconceptions, but to bring these to my attention so that I may navigate through the research flow without running aground on unseen sandbars of belief, to “make transparent, overt and apparent the researcher’s personal values, background, and cultural suppositions… in an effort to minimize their impact on the phenomenon under investigation” (Gearing, 2004, p. 1445). </w:t>
      </w:r>
    </w:p>
    <w:p w:rsidR="00ED06A4" w:rsidRDefault="00ED06A4" w:rsidP="00ED06A4">
      <w:pPr>
        <w:pStyle w:val="BodyTextIndent"/>
        <w:spacing w:after="0" w:line="480" w:lineRule="auto"/>
        <w:rPr>
          <w:szCs w:val="24"/>
        </w:rPr>
      </w:pPr>
      <w:r>
        <w:rPr>
          <w:szCs w:val="24"/>
        </w:rPr>
        <w:t xml:space="preserve">This process in existential phenomenology is designed to practice reflexivity and allow the researcher to examine his own </w:t>
      </w:r>
      <w:proofErr w:type="spellStart"/>
      <w:r>
        <w:rPr>
          <w:szCs w:val="24"/>
        </w:rPr>
        <w:t>positionality</w:t>
      </w:r>
      <w:proofErr w:type="spellEnd"/>
      <w:r>
        <w:rPr>
          <w:szCs w:val="24"/>
        </w:rPr>
        <w:t xml:space="preserve"> related to the subject. Bracketing and reflexivity are both viewed as part of the research method because, as Ahern (1999) observed, “bracketing and reflexivity are fruit from the same tree. </w:t>
      </w:r>
      <w:proofErr w:type="gramStart"/>
      <w:r>
        <w:rPr>
          <w:szCs w:val="24"/>
        </w:rPr>
        <w:t>One must be reflective in order to bracket” (p. 410).</w:t>
      </w:r>
      <w:proofErr w:type="gramEnd"/>
      <w:r>
        <w:rPr>
          <w:szCs w:val="24"/>
        </w:rPr>
        <w:t xml:space="preserve"> It is also part of the hermeneutic process that will be used to interpret participants’ interviews when searching for thematic data. </w:t>
      </w:r>
    </w:p>
    <w:p w:rsidR="00ED06A4" w:rsidRDefault="00ED06A4" w:rsidP="00ED06A4">
      <w:pPr>
        <w:pStyle w:val="BodyTextIndent"/>
        <w:spacing w:after="0" w:line="480" w:lineRule="auto"/>
        <w:rPr>
          <w:szCs w:val="24"/>
        </w:rPr>
      </w:pPr>
      <w:r>
        <w:rPr>
          <w:szCs w:val="24"/>
        </w:rPr>
        <w:t xml:space="preserve">Reflexive bracketing requires that I state my </w:t>
      </w:r>
      <w:proofErr w:type="spellStart"/>
      <w:r>
        <w:rPr>
          <w:szCs w:val="24"/>
        </w:rPr>
        <w:t>positionality</w:t>
      </w:r>
      <w:proofErr w:type="spellEnd"/>
      <w:r>
        <w:rPr>
          <w:szCs w:val="24"/>
        </w:rPr>
        <w:t xml:space="preserve">, which is especially significant from the hermeneutic, interpretive perspective because I am interpreting and trying to make meaning of others’ experiences. </w:t>
      </w:r>
      <w:proofErr w:type="spellStart"/>
      <w:r>
        <w:rPr>
          <w:szCs w:val="24"/>
        </w:rPr>
        <w:t>Positionality</w:t>
      </w:r>
      <w:proofErr w:type="spellEnd"/>
      <w:r>
        <w:rPr>
          <w:szCs w:val="24"/>
        </w:rPr>
        <w:t xml:space="preserve"> is a way to locate the space that I occupy as a researcher and through which I come to this research (Merriam, Johnson-Bailey, Lee, </w:t>
      </w:r>
      <w:proofErr w:type="spellStart"/>
      <w:r>
        <w:rPr>
          <w:szCs w:val="24"/>
        </w:rPr>
        <w:t>Kee</w:t>
      </w:r>
      <w:proofErr w:type="spellEnd"/>
      <w:r>
        <w:rPr>
          <w:szCs w:val="24"/>
        </w:rPr>
        <w:t xml:space="preserve">, </w:t>
      </w:r>
      <w:proofErr w:type="spellStart"/>
      <w:r>
        <w:rPr>
          <w:szCs w:val="24"/>
        </w:rPr>
        <w:t>Ntseane</w:t>
      </w:r>
      <w:proofErr w:type="spellEnd"/>
      <w:r>
        <w:rPr>
          <w:szCs w:val="24"/>
        </w:rPr>
        <w:t xml:space="preserve">, &amp; </w:t>
      </w:r>
      <w:proofErr w:type="spellStart"/>
      <w:r>
        <w:rPr>
          <w:szCs w:val="24"/>
        </w:rPr>
        <w:t>Muhamad</w:t>
      </w:r>
      <w:proofErr w:type="spellEnd"/>
      <w:r>
        <w:rPr>
          <w:szCs w:val="24"/>
        </w:rPr>
        <w:t xml:space="preserve">, 2001). This awareness of and interaction with </w:t>
      </w:r>
      <w:proofErr w:type="spellStart"/>
      <w:r>
        <w:rPr>
          <w:szCs w:val="24"/>
        </w:rPr>
        <w:t>positionality</w:t>
      </w:r>
      <w:proofErr w:type="spellEnd"/>
      <w:r>
        <w:rPr>
          <w:szCs w:val="24"/>
        </w:rPr>
        <w:t xml:space="preserve"> is a way to practice radical reflexivity that is crucial in qualitative research (Brown, 2006). As Dwyer and Buckle (2009) stated, “as qualitative researchers we are not separate from the study, with limited contact with our participants. </w:t>
      </w:r>
      <w:proofErr w:type="gramStart"/>
      <w:r>
        <w:rPr>
          <w:szCs w:val="24"/>
        </w:rPr>
        <w:t>Instead, we are firmly in all aspects of the research process and essential to it” (p. 61).</w:t>
      </w:r>
      <w:proofErr w:type="gramEnd"/>
    </w:p>
    <w:p w:rsidR="00ED06A4" w:rsidRDefault="00ED06A4" w:rsidP="00ED06A4">
      <w:pPr>
        <w:spacing w:after="0" w:line="480" w:lineRule="auto"/>
        <w:ind w:firstLine="720"/>
        <w:rPr>
          <w:szCs w:val="24"/>
        </w:rPr>
      </w:pPr>
      <w:r>
        <w:rPr>
          <w:szCs w:val="24"/>
        </w:rPr>
        <w:t xml:space="preserve">The elicitation of rich descriptions that characterize interpretive phenomenology may be helped or hindered in this study due to the fact that I am a “native going native,” what Edwards (2002) termed a “deep insider” (p. 71). Paradigms that are an integral aspect of being a deep </w:t>
      </w:r>
      <w:r>
        <w:rPr>
          <w:szCs w:val="24"/>
        </w:rPr>
        <w:lastRenderedPageBreak/>
        <w:t xml:space="preserve">insider can both help and hinder the research process. As Barker pointed out (1992), extending the concepts proposed by Kuhn (1970), paradigms enable us clearly to see things when they conform to our presuppositions but hinder us from seeing things that disagree with the way we think things are supposed to be. In order to help negotiate this complication, radical reflexivity, what Finley (2003, as cited in Brown, 2006) called “subjective self-awareness” (p. 182) and </w:t>
      </w:r>
      <w:proofErr w:type="spellStart"/>
      <w:r>
        <w:rPr>
          <w:szCs w:val="24"/>
        </w:rPr>
        <w:t>Rennie</w:t>
      </w:r>
      <w:proofErr w:type="spellEnd"/>
      <w:r>
        <w:rPr>
          <w:szCs w:val="24"/>
        </w:rPr>
        <w:t xml:space="preserve"> (2007, as cited in Leary, </w:t>
      </w:r>
      <w:proofErr w:type="spellStart"/>
      <w:r>
        <w:rPr>
          <w:szCs w:val="24"/>
        </w:rPr>
        <w:t>Minichiello</w:t>
      </w:r>
      <w:proofErr w:type="spellEnd"/>
      <w:r>
        <w:rPr>
          <w:szCs w:val="24"/>
        </w:rPr>
        <w:t xml:space="preserve">, &amp; </w:t>
      </w:r>
      <w:proofErr w:type="spellStart"/>
      <w:r>
        <w:rPr>
          <w:szCs w:val="24"/>
        </w:rPr>
        <w:t>Kottler</w:t>
      </w:r>
      <w:proofErr w:type="spellEnd"/>
      <w:r>
        <w:rPr>
          <w:szCs w:val="24"/>
        </w:rPr>
        <w:t xml:space="preserve">, 2009) termed “awareness of self-awareness” (p. 53), was practiced through a variety of measures: constant awareness of the issue and the practice of meta-cognition throughout the research process; triangulation the phenomenological research group; and solicitation of participant comments on themes and thematic structure. </w:t>
      </w:r>
    </w:p>
    <w:p w:rsidR="00ED06A4" w:rsidRDefault="00ED06A4" w:rsidP="00ED06A4">
      <w:pPr>
        <w:pStyle w:val="BodyTextIndent"/>
        <w:spacing w:after="0" w:line="480" w:lineRule="auto"/>
        <w:ind w:firstLine="0"/>
        <w:rPr>
          <w:szCs w:val="24"/>
        </w:rPr>
      </w:pPr>
      <w:r>
        <w:rPr>
          <w:szCs w:val="24"/>
        </w:rPr>
        <w:tab/>
        <w:t xml:space="preserve">A senior researcher who was well versed in existential hermeneutic phenomenological philosophy and the phenomenological method itself led the research group. All attendees at the research group meeting were provided with transcripts after signing a confidentiality form. Participation from all individuals attending the research group was sought during open discussion, but those attending also made written comments on the provided transcripts, and these were returned to the researcher at the conclusion of each session. This allowed the researcher to receive feedback from all who chose to provide it. </w:t>
      </w:r>
    </w:p>
    <w:p w:rsidR="00ED06A4" w:rsidRDefault="00ED06A4" w:rsidP="00ED06A4">
      <w:pPr>
        <w:pStyle w:val="Heading3"/>
      </w:pPr>
      <w:proofErr w:type="spellStart"/>
      <w:r>
        <w:t>Positionality</w:t>
      </w:r>
      <w:proofErr w:type="spellEnd"/>
    </w:p>
    <w:p w:rsidR="00ED06A4" w:rsidRDefault="00ED06A4" w:rsidP="00ED06A4">
      <w:pPr>
        <w:spacing w:after="0" w:line="480" w:lineRule="auto"/>
        <w:ind w:firstLine="720"/>
        <w:rPr>
          <w:szCs w:val="24"/>
        </w:rPr>
      </w:pPr>
      <w:r>
        <w:rPr>
          <w:szCs w:val="24"/>
        </w:rPr>
        <w:t xml:space="preserve">I come to this research as a 48-year-old, white male in the lower-middle class. I have a Master of Arts degree in Human Services, and I am currently working on my Ph.D. in Educational Psychology with a specialization in Adult Education. For the past ten years I have worked full time in corrections as a GED/ABE instructor in residential treatment for substance abusing felons and in the county jail, as a correctional counselor in residential treatment, and as </w:t>
      </w:r>
      <w:r>
        <w:rPr>
          <w:szCs w:val="24"/>
        </w:rPr>
        <w:lastRenderedPageBreak/>
        <w:t>the alcohol/drug coordinator for the sheriff’s office’s community alternative to prison program (community corrections). Epistemologically, I place myself in a constructivist paradigm, while ontologically I would say I am a relativist.</w:t>
      </w:r>
    </w:p>
    <w:p w:rsidR="00ED06A4" w:rsidRDefault="00ED06A4" w:rsidP="00ED06A4">
      <w:pPr>
        <w:pStyle w:val="Heading3"/>
      </w:pPr>
      <w:r>
        <w:t>Results of the Bracketing Interview</w:t>
      </w:r>
    </w:p>
    <w:p w:rsidR="00ED06A4" w:rsidRDefault="00ED06A4" w:rsidP="00ED06A4">
      <w:pPr>
        <w:spacing w:after="0" w:line="480" w:lineRule="auto"/>
        <w:rPr>
          <w:szCs w:val="24"/>
        </w:rPr>
      </w:pPr>
      <w:r>
        <w:rPr>
          <w:szCs w:val="24"/>
        </w:rPr>
        <w:tab/>
        <w:t xml:space="preserve">As was noted in the </w:t>
      </w:r>
      <w:proofErr w:type="spellStart"/>
      <w:r>
        <w:rPr>
          <w:szCs w:val="24"/>
        </w:rPr>
        <w:t>positionality</w:t>
      </w:r>
      <w:proofErr w:type="spellEnd"/>
      <w:r>
        <w:rPr>
          <w:szCs w:val="24"/>
        </w:rPr>
        <w:t xml:space="preserve"> statement, I was a GED/ABE instructor with students who were mandated to attend educational classes for several years. The bracketing interview revealed that I held the very strong opinion that the teachers in the study would see their experience in a similar manner as I saw my own experience. This assumption was partly derived from my talking to other GED/ABE teachers about their experiences in the normal course of my work as a GED/ABE teacher and my work with GED/ABE teachers, even when I no longer taught GED/ABE classes. Co-workers talk to one another about their experiences as this provides, on some level, a manner in which to process those experiences. During these talks, it was obvious to me that we shared many of the same experiences. This was an opinion that became especially apparent in the bracketing interview. </w:t>
      </w:r>
    </w:p>
    <w:p w:rsidR="00ED06A4" w:rsidRDefault="00ED06A4" w:rsidP="00ED06A4">
      <w:pPr>
        <w:spacing w:after="0" w:line="480" w:lineRule="auto"/>
        <w:rPr>
          <w:szCs w:val="24"/>
        </w:rPr>
      </w:pPr>
      <w:r>
        <w:rPr>
          <w:szCs w:val="24"/>
        </w:rPr>
        <w:tab/>
        <w:t>Analysis of the bracketing interview also suggested that I focused quite a bit on the students. While I see this as a part of the rich, thick description that is sought in phenomenological interviews (describing one’s experience in Death Valley, one may talk about the heat, the sand, rattlesnakes, and scorpions as a part of creating a setting for understanding the experience), it was a useful reminder that, despite the setting, it was the teachers’ experiences that were the phenomenon under consideration, and these details provided opportunities to explore those experiences in more detail.</w:t>
      </w:r>
    </w:p>
    <w:p w:rsidR="00ED06A4" w:rsidRDefault="00ED06A4" w:rsidP="00ED06A4">
      <w:pPr>
        <w:spacing w:after="0" w:line="480" w:lineRule="auto"/>
        <w:rPr>
          <w:szCs w:val="24"/>
        </w:rPr>
      </w:pPr>
      <w:r>
        <w:rPr>
          <w:szCs w:val="24"/>
        </w:rPr>
        <w:tab/>
        <w:t xml:space="preserve">One question that arose from the bracketing interview was suggested by its absence. This question was, “Why do you do what you do?” Although the question was not in the bracketing </w:t>
      </w:r>
      <w:r>
        <w:rPr>
          <w:szCs w:val="24"/>
        </w:rPr>
        <w:lastRenderedPageBreak/>
        <w:t xml:space="preserve">interview itself, the analysis by the phenomenology group suggested that I had an attitude that teaching court-mandated clients, clients who were “bottom of the barrel,” was elite, that is, this special kind of population required a special kind of teacher. While the research on working with correctional students who are incarcerated certainly suggests that one must have some sort of proclivity for the work, I would extend the setting to include those who work with correctional clients who are either incarcerated or in the community. As for the question of why I do what I do, I engage in work with those who are often viewed as incurable and beyond help because they are the ones who need help the most. I am reminded of the scripture: “Inasmuch as ye have done it unto one of the least of these my brethren, ye have done it unto me” (Matthew 25:40, </w:t>
      </w:r>
      <w:r>
        <w:rPr>
          <w:i/>
          <w:szCs w:val="24"/>
        </w:rPr>
        <w:t>Holy Bible</w:t>
      </w:r>
      <w:r>
        <w:rPr>
          <w:szCs w:val="24"/>
        </w:rPr>
        <w:t xml:space="preserve">, </w:t>
      </w:r>
      <w:proofErr w:type="gramStart"/>
      <w:r>
        <w:rPr>
          <w:szCs w:val="24"/>
        </w:rPr>
        <w:t>KJV</w:t>
      </w:r>
      <w:proofErr w:type="gramEnd"/>
      <w:r>
        <w:rPr>
          <w:szCs w:val="24"/>
        </w:rPr>
        <w:t xml:space="preserve">).   </w:t>
      </w:r>
    </w:p>
    <w:p w:rsidR="00ED06A4" w:rsidRDefault="00ED06A4" w:rsidP="00ED06A4">
      <w:pPr>
        <w:pStyle w:val="Heading3"/>
      </w:pPr>
      <w:r>
        <w:t xml:space="preserve">Participants </w:t>
      </w:r>
    </w:p>
    <w:p w:rsidR="00ED06A4" w:rsidRDefault="00ED06A4" w:rsidP="00ED06A4">
      <w:pPr>
        <w:pStyle w:val="BodyTextIndent"/>
        <w:spacing w:after="0" w:line="480" w:lineRule="auto"/>
        <w:ind w:firstLine="0"/>
        <w:rPr>
          <w:iCs/>
          <w:szCs w:val="24"/>
        </w:rPr>
      </w:pPr>
      <w:r>
        <w:rPr>
          <w:i/>
          <w:szCs w:val="24"/>
        </w:rPr>
        <w:tab/>
      </w:r>
      <w:r>
        <w:rPr>
          <w:iCs/>
          <w:szCs w:val="24"/>
        </w:rPr>
        <w:t xml:space="preserve">Prior to beginning the search for participants, I requested approval for this study from the Institutional Review Board (IRB) at the University of Tennessee. Only after approval of the </w:t>
      </w:r>
      <w:proofErr w:type="gramStart"/>
      <w:r>
        <w:rPr>
          <w:iCs/>
          <w:szCs w:val="24"/>
        </w:rPr>
        <w:t>request,</w:t>
      </w:r>
      <w:proofErr w:type="gramEnd"/>
      <w:r>
        <w:rPr>
          <w:iCs/>
          <w:szCs w:val="24"/>
        </w:rPr>
        <w:t xml:space="preserve"> and in accordance with the conditions set forth in the request, did I begin soliciting participants for the study.</w:t>
      </w:r>
    </w:p>
    <w:p w:rsidR="00ED06A4" w:rsidRDefault="00ED06A4" w:rsidP="00ED06A4">
      <w:pPr>
        <w:pStyle w:val="BodyTextIndent"/>
        <w:spacing w:after="0" w:line="480" w:lineRule="auto"/>
        <w:rPr>
          <w:szCs w:val="24"/>
        </w:rPr>
      </w:pPr>
      <w:r>
        <w:rPr>
          <w:szCs w:val="24"/>
        </w:rPr>
        <w:t xml:space="preserve">Participants were GED/ABE teachers who were working with adult students in community corrections educational programs at the time, or had worked with community corrections students within 12 months of the interview date. Participants were selected by convenience sampling and snowball sampling. I began by approaching the GED/ABE instructor at a local facility by telling him that I was doing a study and looking for volunteer participants to interview. I then solicited recommendations for other possible participants from there, repeating the solicitation process with each participant. </w:t>
      </w:r>
    </w:p>
    <w:p w:rsidR="00ED06A4" w:rsidRDefault="00ED06A4" w:rsidP="00ED06A4">
      <w:pPr>
        <w:pStyle w:val="BodyTextIndent"/>
        <w:spacing w:after="0" w:line="480" w:lineRule="auto"/>
        <w:rPr>
          <w:szCs w:val="24"/>
        </w:rPr>
      </w:pPr>
      <w:r>
        <w:rPr>
          <w:szCs w:val="24"/>
        </w:rPr>
        <w:lastRenderedPageBreak/>
        <w:t xml:space="preserve">I also contacted community corrections programs both within and without the state of Tennessee, asking them if they mandated their clients to attend educational classes if they did not have a GED diploma and, if so, to whom were the clients referred. I then contacted the educational provider to which the students were referred, spoke to the appropriate contact person, explaining my interest in speaking with teachers who worked with court-mandated students and who would like to volunteer for the study. Participants were provided with and signed an IRB-approved informed consent form prior to interviewing.   </w:t>
      </w:r>
    </w:p>
    <w:p w:rsidR="00ED06A4" w:rsidRDefault="00ED06A4" w:rsidP="00ED06A4">
      <w:pPr>
        <w:pStyle w:val="BodyTextIndent"/>
        <w:spacing w:after="0" w:line="480" w:lineRule="auto"/>
        <w:ind w:firstLine="0"/>
        <w:rPr>
          <w:szCs w:val="24"/>
        </w:rPr>
      </w:pPr>
      <w:r>
        <w:rPr>
          <w:szCs w:val="24"/>
        </w:rPr>
        <w:tab/>
        <w:t xml:space="preserve">It should be noted that in phenomenological interviewing there is only one question. This question takes the general form, “What is your experience of _____?” although the exact form of the question may vary somewhat. The intent of the question is to bring participants’ experiences to the fore so that the essence of the experiences can be studied. The researcher may pose test questions to other individuals prior to interviewing participants in order to refine the question that ultimately will be posed to participants. Subsequent interview questions, after the first, are for clarification purposes and to elicit the rich, thick descriptions necessary to define </w:t>
      </w:r>
      <w:proofErr w:type="spellStart"/>
      <w:r>
        <w:rPr>
          <w:szCs w:val="24"/>
        </w:rPr>
        <w:t>eidae</w:t>
      </w:r>
      <w:proofErr w:type="spellEnd"/>
      <w:r>
        <w:rPr>
          <w:szCs w:val="24"/>
        </w:rPr>
        <w:t xml:space="preserve">. A researcher should never introduce a follow-up question that has not been previously introduced by the participant in her dialogue. Interviews ended when data began to be repeated and after the participants were asked if they had anything else they wished to say, giving them the opportunity to provide a full response, and they declined to continue. </w:t>
      </w:r>
    </w:p>
    <w:p w:rsidR="00ED06A4" w:rsidRDefault="00ED06A4" w:rsidP="00ED06A4">
      <w:pPr>
        <w:pStyle w:val="BodyTextIndent"/>
        <w:spacing w:after="0" w:line="480" w:lineRule="auto"/>
        <w:ind w:firstLine="0"/>
        <w:rPr>
          <w:szCs w:val="24"/>
        </w:rPr>
      </w:pPr>
      <w:r>
        <w:rPr>
          <w:szCs w:val="24"/>
        </w:rPr>
        <w:tab/>
        <w:t>All participants were given pseudonyms at the beginning of the interview. Only I know who the participants actually were. Participants were given pseudonyms appropriate for gender and according to alphabetical order (A – Adam, B – Betty, C – Carol, D – David, etc.). Participants were given the opportunity to choose their own pseudonym within the alphabetic order. The demographic data for the participants is included in Tables 1-3 (in Appendix 1).</w:t>
      </w:r>
    </w:p>
    <w:p w:rsidR="00ED06A4" w:rsidRDefault="00ED06A4" w:rsidP="00ED06A4">
      <w:pPr>
        <w:pStyle w:val="BodyTextIndent"/>
        <w:spacing w:after="0" w:line="480" w:lineRule="auto"/>
        <w:rPr>
          <w:szCs w:val="24"/>
        </w:rPr>
      </w:pPr>
      <w:r>
        <w:rPr>
          <w:szCs w:val="24"/>
        </w:rPr>
        <w:lastRenderedPageBreak/>
        <w:t xml:space="preserve">Seven participants were included in this study. Data saturation appeared as early as five interviews. Using the research rule of thumb, </w:t>
      </w:r>
      <w:r w:rsidRPr="00FE5070">
        <w:rPr>
          <w:i/>
          <w:szCs w:val="24"/>
        </w:rPr>
        <w:t>n</w:t>
      </w:r>
      <w:r>
        <w:rPr>
          <w:szCs w:val="24"/>
        </w:rPr>
        <w:t xml:space="preserve">+2, to determine the number of participants, two additional interviews were conducted after data saturation was reached at the fifth interview. No new grounds or themes were apparent in these </w:t>
      </w:r>
      <w:proofErr w:type="gramStart"/>
      <w:r>
        <w:rPr>
          <w:szCs w:val="24"/>
        </w:rPr>
        <w:t>interviews,</w:t>
      </w:r>
      <w:proofErr w:type="gramEnd"/>
      <w:r>
        <w:rPr>
          <w:szCs w:val="24"/>
        </w:rPr>
        <w:t xml:space="preserve"> and the ground and themes already noted in the data were repeated. Upon consultation with my dissertation advisor and the phenomenology expert on my committee, we agreed that seven participants adequately exhibited data saturation. </w:t>
      </w:r>
    </w:p>
    <w:p w:rsidR="00ED06A4" w:rsidRPr="00551164" w:rsidRDefault="00ED06A4" w:rsidP="00ED06A4">
      <w:pPr>
        <w:pStyle w:val="Heading4"/>
      </w:pPr>
      <w:r>
        <w:t>Adam</w:t>
      </w:r>
    </w:p>
    <w:p w:rsidR="00ED06A4" w:rsidRDefault="00ED06A4" w:rsidP="00ED06A4">
      <w:pPr>
        <w:pStyle w:val="BodyTextIndent"/>
        <w:spacing w:after="0" w:line="480" w:lineRule="auto"/>
        <w:ind w:firstLine="0"/>
        <w:rPr>
          <w:szCs w:val="24"/>
        </w:rPr>
      </w:pPr>
      <w:r>
        <w:rPr>
          <w:szCs w:val="24"/>
        </w:rPr>
        <w:tab/>
        <w:t>Adam is an educational coordinator in a community corrections program. The community corrections program where he works represents the highest level of supervision for individuals on probation. All of his students are felony offenders. Adam is a former law enforcement officer and served in the U.S. Navy. He has a Bachelor’s Degree in Sociology. Like all of the other participants, he had no formal training in adult education prior to becoming an adult education instructor. Unlike most of the other participants, he had former informal training in adult education in his military duties. He teaches both GED and ABE, and he has taught both for 4.5 years. Adam sees part of what he does as treating students with a respect they may not get elsewhere and having expectations for them:</w:t>
      </w:r>
    </w:p>
    <w:p w:rsidR="00ED06A4" w:rsidRDefault="00ED06A4" w:rsidP="00ED06A4">
      <w:pPr>
        <w:pStyle w:val="BodyTextIndent"/>
        <w:spacing w:after="0" w:line="480" w:lineRule="auto"/>
        <w:ind w:left="720" w:firstLine="0"/>
      </w:pPr>
      <w:r>
        <w:t xml:space="preserve">And I just pointed out to him, I was like, you know, and I said, “Other people, teachers that you’ve had in the past in a classroom setting that, you know, that you eventually wound up, you know, being kicked out of, this is a whole different ballgame. You don’t have any choice, you have to be here, you’re not going to quit, and I’m not going to let you get over – I’m not going to let you do things, say you can’t do things, ‘cause I know you can.” (Adam, 27-32) </w:t>
      </w:r>
    </w:p>
    <w:p w:rsidR="00ED06A4" w:rsidRDefault="00ED06A4" w:rsidP="00ED06A4">
      <w:pPr>
        <w:pStyle w:val="BodyTextIndent"/>
        <w:spacing w:after="0" w:line="480" w:lineRule="auto"/>
        <w:ind w:firstLine="0"/>
        <w:rPr>
          <w:szCs w:val="24"/>
        </w:rPr>
      </w:pPr>
      <w:r>
        <w:lastRenderedPageBreak/>
        <w:t>Adam raises the level of expectation in his students and then helps them achieve those expectations to develop their self-esteem. This relationship that he develops with his students, of helping them achieve things they often do not consider themselves capable of achieving, goes beyond the job description of a GED teacher. This going-beyond characterizes the participants within this study, their concerns for their students and the subsequent relationships they develop with them.</w:t>
      </w:r>
    </w:p>
    <w:p w:rsidR="00ED06A4" w:rsidRPr="00551164" w:rsidRDefault="00ED06A4" w:rsidP="00ED06A4">
      <w:pPr>
        <w:pStyle w:val="Heading4"/>
        <w:ind w:firstLine="0"/>
      </w:pPr>
      <w:r>
        <w:tab/>
        <w:t>Blizzard</w:t>
      </w:r>
    </w:p>
    <w:p w:rsidR="00ED06A4" w:rsidRDefault="00ED06A4" w:rsidP="00ED06A4">
      <w:pPr>
        <w:pStyle w:val="BodyTextIndent"/>
        <w:spacing w:after="0" w:line="480" w:lineRule="auto"/>
        <w:ind w:firstLine="0"/>
        <w:rPr>
          <w:szCs w:val="24"/>
        </w:rPr>
      </w:pPr>
      <w:r>
        <w:rPr>
          <w:szCs w:val="24"/>
        </w:rPr>
        <w:tab/>
        <w:t xml:space="preserve">Blizzard works for a probation and parole office as a GED instructor. Unlike all of the other participants, who are paid to teach GED/ABE, Blizzard is a volunteer teacher. She has a Master’s Degree in Political Science. Prior to beginning her job in a probation office, she had no previous experience in adult education. She has taught correctional students for one year. Prior informal training in adult education came from her experience observing other teachers and being mentored by them. Blizzard speaks of her desire for her students to not only succeed in life but also to carry that message to others: </w:t>
      </w:r>
    </w:p>
    <w:p w:rsidR="00ED06A4" w:rsidRDefault="00ED06A4" w:rsidP="00ED06A4">
      <w:pPr>
        <w:pStyle w:val="BodyTextIndent"/>
        <w:spacing w:after="0" w:line="480" w:lineRule="auto"/>
        <w:ind w:left="720" w:firstLine="0"/>
      </w:pPr>
      <w:r>
        <w:t xml:space="preserve">But I think especially people who have walked in their </w:t>
      </w:r>
      <w:proofErr w:type="gramStart"/>
      <w:r>
        <w:t>shoes,</w:t>
      </w:r>
      <w:proofErr w:type="gramEnd"/>
      <w:r>
        <w:t xml:space="preserve"> they would have a lot to teach young people. Little kids, you know. “Don’t do this. I did it, and I had to take this huge detour in my life, and so don’t do this,” you know. (Blizzard, 317-320)</w:t>
      </w:r>
    </w:p>
    <w:p w:rsidR="00ED06A4" w:rsidRDefault="00ED06A4" w:rsidP="00ED06A4">
      <w:pPr>
        <w:pStyle w:val="BodyTextIndent"/>
        <w:spacing w:after="0" w:line="480" w:lineRule="auto"/>
        <w:ind w:firstLine="0"/>
        <w:rPr>
          <w:szCs w:val="24"/>
        </w:rPr>
      </w:pPr>
      <w:r>
        <w:t>Seeing improvement in the lives of her students and, through them, to society at large, is an important part of her work as a GED instructor. It is work that does not end at the classroom door, but extends into the lives of the students outside the classroom and into society.</w:t>
      </w:r>
    </w:p>
    <w:p w:rsidR="00ED06A4" w:rsidRDefault="00ED06A4" w:rsidP="00ED06A4">
      <w:pPr>
        <w:pStyle w:val="Heading4"/>
        <w:ind w:firstLine="0"/>
      </w:pPr>
      <w:r>
        <w:tab/>
        <w:t xml:space="preserve">Carla </w:t>
      </w:r>
    </w:p>
    <w:p w:rsidR="00ED06A4" w:rsidRDefault="00ED06A4" w:rsidP="00ED06A4">
      <w:pPr>
        <w:pStyle w:val="BodyTextIndent"/>
        <w:spacing w:after="0" w:line="480" w:lineRule="auto"/>
        <w:ind w:firstLine="0"/>
      </w:pPr>
      <w:r>
        <w:tab/>
        <w:t xml:space="preserve">Like Adam, Carla works in a community corrections setting where her students are felony offenders. Her facility is a Day Reporting Center, where clients without a job are required </w:t>
      </w:r>
      <w:r>
        <w:lastRenderedPageBreak/>
        <w:t>to report for eight hours a day and attend a variety of classes, from the GED and ABE classes taught by her (if they do not already have a high school diploma or GED diploma), to vocational classes, substance abuse classes, responsible thinking classes designed to change criminal thinking patterns, and mental health classes to help clients deal with issues such as anger and develop social skills. Carla views the educational experience to include not only reading, writing, and arithmetic, but also interpersonal skills. Carla has taught both GED and ABE classes for a number of years. She has a Master’s Degree in Counseling Psychology. Carla views anything a student can learn as a part of her educational program:</w:t>
      </w:r>
    </w:p>
    <w:p w:rsidR="00ED06A4" w:rsidRDefault="00ED06A4" w:rsidP="00ED06A4">
      <w:pPr>
        <w:pStyle w:val="BodyTextIndent"/>
        <w:spacing w:after="0" w:line="480" w:lineRule="auto"/>
        <w:ind w:left="720" w:firstLine="0"/>
      </w:pPr>
      <w:r>
        <w:t xml:space="preserve">You know, I’m thinking of the full Day Reporting Center, which sort of encompasses everything but the kitchen sink sometimes. And, you know, learning is learning. If people are learning about how they interact or learning to do fractions or anything – you know, I think </w:t>
      </w:r>
      <w:proofErr w:type="gramStart"/>
      <w:r>
        <w:t>there’s opportunities</w:t>
      </w:r>
      <w:proofErr w:type="gramEnd"/>
      <w:r>
        <w:t xml:space="preserve"> all day long for learning something. (Carla, 161-164)</w:t>
      </w:r>
    </w:p>
    <w:p w:rsidR="00ED06A4" w:rsidRDefault="00ED06A4" w:rsidP="00ED06A4">
      <w:pPr>
        <w:pStyle w:val="BodyTextIndent"/>
        <w:spacing w:after="0" w:line="480" w:lineRule="auto"/>
        <w:ind w:firstLine="0"/>
        <w:rPr>
          <w:szCs w:val="24"/>
        </w:rPr>
      </w:pPr>
      <w:proofErr w:type="gramStart"/>
      <w:r>
        <w:t>This idea that “learning is learning” and not restricted just to subject material in defines her approach to educating her students.</w:t>
      </w:r>
      <w:proofErr w:type="gramEnd"/>
      <w:r>
        <w:t xml:space="preserve"> Rather than limit herself to a relationship based on the contents of a textbook, Carla sees all forms of interaction and relationships as fair game for learning.</w:t>
      </w:r>
    </w:p>
    <w:p w:rsidR="00ED06A4" w:rsidRPr="00551164" w:rsidRDefault="00ED06A4" w:rsidP="00ED06A4">
      <w:pPr>
        <w:pStyle w:val="Heading4"/>
        <w:ind w:firstLine="0"/>
      </w:pPr>
      <w:r>
        <w:tab/>
        <w:t>Debbie</w:t>
      </w:r>
    </w:p>
    <w:p w:rsidR="00ED06A4" w:rsidRDefault="00ED06A4" w:rsidP="00ED06A4">
      <w:pPr>
        <w:pStyle w:val="BodyTextIndent"/>
        <w:spacing w:after="0" w:line="480" w:lineRule="auto"/>
        <w:ind w:firstLine="0"/>
        <w:rPr>
          <w:szCs w:val="24"/>
        </w:rPr>
      </w:pPr>
      <w:r>
        <w:rPr>
          <w:b/>
          <w:szCs w:val="24"/>
        </w:rPr>
        <w:tab/>
      </w:r>
      <w:r>
        <w:rPr>
          <w:szCs w:val="24"/>
        </w:rPr>
        <w:t xml:space="preserve">Debbie works </w:t>
      </w:r>
      <w:proofErr w:type="gramStart"/>
      <w:r>
        <w:rPr>
          <w:szCs w:val="24"/>
        </w:rPr>
        <w:t>in a community corrections</w:t>
      </w:r>
      <w:proofErr w:type="gramEnd"/>
      <w:r>
        <w:rPr>
          <w:szCs w:val="24"/>
        </w:rPr>
        <w:t xml:space="preserve"> Day Reporting Center. She has a Bachelor’s Degree in Social Work and has taught GED and ABE classes for ten years. She began teaching educational classes when she became aware that teachers outside of corrections were afraid of her clients because they were felony offenders:</w:t>
      </w:r>
    </w:p>
    <w:p w:rsidR="00ED06A4" w:rsidRDefault="00ED06A4" w:rsidP="00ED06A4">
      <w:pPr>
        <w:pStyle w:val="BodyTextIndent"/>
        <w:spacing w:after="0" w:line="480" w:lineRule="auto"/>
        <w:ind w:left="720" w:firstLine="0"/>
      </w:pPr>
      <w:r>
        <w:t xml:space="preserve">In being a case officer with Community Corrections, one of our rules was that if they – the offenders – didn’t have their GED, they were supposed to get their GED. Well, my </w:t>
      </w:r>
      <w:r>
        <w:lastRenderedPageBreak/>
        <w:t>students were real uncomfortable because some of the teachers were afraid of them. And just kind of by asking questions and talking, you know, to some of the people in the school system, I found out that that was part of the problem, that the teachers were afraid because they knew my people were felonies. They knew that we were making ‘</w:t>
      </w:r>
      <w:proofErr w:type="spellStart"/>
      <w:r>
        <w:t>em</w:t>
      </w:r>
      <w:proofErr w:type="spellEnd"/>
      <w:r>
        <w:t xml:space="preserve"> </w:t>
      </w:r>
      <w:proofErr w:type="gramStart"/>
      <w:r>
        <w:t>come</w:t>
      </w:r>
      <w:proofErr w:type="gramEnd"/>
      <w:r>
        <w:t>. (Debbie, 5-11)</w:t>
      </w:r>
    </w:p>
    <w:p w:rsidR="00ED06A4" w:rsidRDefault="00ED06A4" w:rsidP="00ED06A4">
      <w:pPr>
        <w:pStyle w:val="BodyTextIndent"/>
        <w:spacing w:after="0" w:line="480" w:lineRule="auto"/>
        <w:ind w:firstLine="0"/>
      </w:pPr>
      <w:r>
        <w:t>Seeing that such a situation was not helpful for her clients, Debbie created her own educational program and began teaching community corrections clients as GED and ABE students.</w:t>
      </w:r>
    </w:p>
    <w:p w:rsidR="00ED06A4" w:rsidRPr="00551164" w:rsidRDefault="00ED06A4" w:rsidP="00ED06A4">
      <w:pPr>
        <w:pStyle w:val="Heading4"/>
      </w:pPr>
      <w:r>
        <w:t xml:space="preserve"> Elaine</w:t>
      </w:r>
    </w:p>
    <w:p w:rsidR="00ED06A4" w:rsidRDefault="00ED06A4" w:rsidP="00ED06A4">
      <w:pPr>
        <w:pStyle w:val="BodyTextIndent"/>
        <w:spacing w:after="0" w:line="480" w:lineRule="auto"/>
        <w:ind w:firstLine="0"/>
        <w:rPr>
          <w:bCs/>
          <w:iCs/>
          <w:szCs w:val="24"/>
        </w:rPr>
      </w:pPr>
      <w:r>
        <w:rPr>
          <w:b/>
          <w:i/>
          <w:szCs w:val="24"/>
        </w:rPr>
        <w:tab/>
      </w:r>
      <w:r>
        <w:rPr>
          <w:bCs/>
          <w:iCs/>
          <w:szCs w:val="24"/>
        </w:rPr>
        <w:t>Elaine has an Ed. S. degree and has taught GED and ABE in community corrections for four years. She sees her educational program as a way to help students get back on track in their lives:</w:t>
      </w:r>
    </w:p>
    <w:p w:rsidR="00ED06A4" w:rsidRDefault="00ED06A4" w:rsidP="00ED06A4">
      <w:pPr>
        <w:spacing w:after="0" w:line="480" w:lineRule="auto"/>
        <w:ind w:left="720"/>
      </w:pPr>
      <w:proofErr w:type="gramStart"/>
      <w:r>
        <w:t>That they have my sympathy that they obviously made a mistake somewhere down the line.</w:t>
      </w:r>
      <w:proofErr w:type="gramEnd"/>
      <w:r>
        <w:t xml:space="preserve"> You know, we – everybody makes mistakes. It’s just obvious theirs was a little bigger than a lot of people’s. But that doesn’t mean that they can’t get back on track. (Elaine, 34-36)</w:t>
      </w:r>
    </w:p>
    <w:p w:rsidR="00ED06A4" w:rsidRDefault="00ED06A4" w:rsidP="00ED06A4">
      <w:pPr>
        <w:pStyle w:val="BodyTextIndent"/>
        <w:spacing w:after="0" w:line="480" w:lineRule="auto"/>
        <w:ind w:firstLine="0"/>
        <w:rPr>
          <w:bCs/>
          <w:iCs/>
          <w:szCs w:val="24"/>
        </w:rPr>
      </w:pPr>
      <w:r>
        <w:rPr>
          <w:bCs/>
          <w:iCs/>
          <w:szCs w:val="24"/>
        </w:rPr>
        <w:t xml:space="preserve">Elaine exhibits a hopefulness and optimism that she carries into her relationships with her students. Her persistent optimism eventually draws students into the educational milieu. Rather than expecting students to come to the educational relationship in a position of lesser power, she goes to the students and actively works to develop trust by shedding the persona of power.   </w:t>
      </w:r>
    </w:p>
    <w:p w:rsidR="00ED06A4" w:rsidRPr="00551164" w:rsidRDefault="00ED06A4" w:rsidP="00ED06A4">
      <w:pPr>
        <w:pStyle w:val="Heading4"/>
      </w:pPr>
      <w:r>
        <w:t>Flo</w:t>
      </w:r>
    </w:p>
    <w:p w:rsidR="00ED06A4" w:rsidRDefault="00ED06A4" w:rsidP="00ED06A4">
      <w:pPr>
        <w:pStyle w:val="BodyTextIndent"/>
        <w:spacing w:after="0" w:line="480" w:lineRule="auto"/>
        <w:ind w:firstLine="0"/>
      </w:pPr>
      <w:r>
        <w:rPr>
          <w:szCs w:val="24"/>
        </w:rPr>
        <w:tab/>
        <w:t xml:space="preserve">Flo works in a community-based adult education program that serves correctional students. She has taught GED and ABE classes for 30 years. She often goes to extraordinary </w:t>
      </w:r>
      <w:r>
        <w:rPr>
          <w:szCs w:val="24"/>
        </w:rPr>
        <w:lastRenderedPageBreak/>
        <w:t>lengths for her students:</w:t>
      </w:r>
      <w:r>
        <w:rPr>
          <w:szCs w:val="24"/>
        </w:rPr>
        <w:br/>
      </w:r>
      <w:r>
        <w:rPr>
          <w:szCs w:val="24"/>
        </w:rPr>
        <w:tab/>
      </w:r>
      <w:r>
        <w:t xml:space="preserve">I had one guy that was in jail. He got out; he was required to get his GED. He did. He </w:t>
      </w:r>
    </w:p>
    <w:p w:rsidR="00ED06A4" w:rsidRDefault="00ED06A4" w:rsidP="00ED06A4">
      <w:pPr>
        <w:pStyle w:val="BodyTextIndent"/>
        <w:spacing w:after="0" w:line="480" w:lineRule="auto"/>
        <w:ind w:left="720" w:firstLine="0"/>
      </w:pPr>
      <w:proofErr w:type="gramStart"/>
      <w:r>
        <w:t>was</w:t>
      </w:r>
      <w:proofErr w:type="gramEnd"/>
      <w:r>
        <w:t xml:space="preserve"> very smart, got it, no problem. Then he wanted to go </w:t>
      </w:r>
      <w:r>
        <w:rPr>
          <w:color w:val="000000"/>
        </w:rPr>
        <w:t>on to</w:t>
      </w:r>
      <w:r>
        <w:t xml:space="preserve"> school. So he comes in my office, he’s </w:t>
      </w:r>
      <w:proofErr w:type="spellStart"/>
      <w:r>
        <w:t>gotta</w:t>
      </w:r>
      <w:proofErr w:type="spellEnd"/>
      <w:r>
        <w:t xml:space="preserve"> get enrolled the next day. So I call and pull some strings and got him in at (College A) in (Town A), set up for a test. He didn’t show up. And I was like two hours that morning, calling and arranging for him, getting the application, getting everything filled out. He just had to go, he just had to go, and he would have got in. Some of these students, you </w:t>
      </w:r>
      <w:proofErr w:type="spellStart"/>
      <w:r>
        <w:t>gotta</w:t>
      </w:r>
      <w:proofErr w:type="spellEnd"/>
      <w:r>
        <w:t xml:space="preserve"> take ‘</w:t>
      </w:r>
      <w:proofErr w:type="spellStart"/>
      <w:r>
        <w:t>em</w:t>
      </w:r>
      <w:proofErr w:type="spellEnd"/>
      <w:r>
        <w:t xml:space="preserve"> right then because once they get out that door, it’s a whole different world to them. (Flo, 82-90)</w:t>
      </w:r>
    </w:p>
    <w:p w:rsidR="00ED06A4" w:rsidRDefault="00ED06A4" w:rsidP="00ED06A4">
      <w:pPr>
        <w:pStyle w:val="BodyTextIndent"/>
        <w:spacing w:after="0" w:line="480" w:lineRule="auto"/>
        <w:ind w:firstLine="0"/>
        <w:rPr>
          <w:szCs w:val="24"/>
        </w:rPr>
      </w:pPr>
      <w:r>
        <w:t>This persistent and extraordinary effort for her students helps define Flo as a teacher. Although she is often disappointed that her efforts are in vain, she continues to put forth the effort for her students.</w:t>
      </w:r>
    </w:p>
    <w:p w:rsidR="00ED06A4" w:rsidRPr="00551164" w:rsidRDefault="00ED06A4" w:rsidP="00ED06A4">
      <w:pPr>
        <w:pStyle w:val="Heading4"/>
      </w:pPr>
      <w:proofErr w:type="spellStart"/>
      <w:r>
        <w:t>Gomer</w:t>
      </w:r>
      <w:proofErr w:type="spellEnd"/>
    </w:p>
    <w:p w:rsidR="00ED06A4" w:rsidRDefault="00ED06A4" w:rsidP="00ED06A4">
      <w:pPr>
        <w:pStyle w:val="BodyTextIndent"/>
        <w:spacing w:after="0" w:line="480" w:lineRule="auto"/>
        <w:ind w:firstLine="0"/>
        <w:rPr>
          <w:szCs w:val="24"/>
        </w:rPr>
      </w:pPr>
      <w:r>
        <w:rPr>
          <w:szCs w:val="24"/>
        </w:rPr>
        <w:tab/>
      </w:r>
      <w:proofErr w:type="spellStart"/>
      <w:r>
        <w:rPr>
          <w:szCs w:val="24"/>
        </w:rPr>
        <w:t>Gomer</w:t>
      </w:r>
      <w:proofErr w:type="spellEnd"/>
      <w:r>
        <w:rPr>
          <w:szCs w:val="24"/>
        </w:rPr>
        <w:t xml:space="preserve"> has a Master of Business Administration degree and a Master’s Degree in Management. He works both as an adult education instructor in GED and ABE and as a vocational instructor, helping teach trade and employment skills to his students. He has worked for 14 years as a GED and ABE teacher. </w:t>
      </w:r>
      <w:proofErr w:type="spellStart"/>
      <w:r>
        <w:rPr>
          <w:szCs w:val="24"/>
        </w:rPr>
        <w:t>Gomer</w:t>
      </w:r>
      <w:proofErr w:type="spellEnd"/>
      <w:r>
        <w:rPr>
          <w:szCs w:val="24"/>
        </w:rPr>
        <w:t xml:space="preserve"> talks about teaching adult students as a labor of love. He sees socialization as part of the academic curriculum, what he terms the “[sociology] and psychology part” of his classes:</w:t>
      </w:r>
    </w:p>
    <w:p w:rsidR="00ED06A4" w:rsidRDefault="00ED06A4" w:rsidP="00ED06A4">
      <w:pPr>
        <w:spacing w:after="0" w:line="480" w:lineRule="auto"/>
        <w:ind w:left="720"/>
      </w:pPr>
      <w:r>
        <w:t>I: You consider that mentoring that you do, and then – that’s my word – but that mentoring that you’re doing and that advice that you’re giving them to be part of the educational program?</w:t>
      </w:r>
    </w:p>
    <w:p w:rsidR="00ED06A4" w:rsidRDefault="00ED06A4" w:rsidP="00ED06A4">
      <w:pPr>
        <w:pStyle w:val="BodyTextIndent"/>
        <w:spacing w:after="0" w:line="480" w:lineRule="auto"/>
        <w:ind w:left="720" w:firstLine="0"/>
      </w:pPr>
      <w:r>
        <w:lastRenderedPageBreak/>
        <w:t xml:space="preserve">P: I think it’s the social studies and psychology part of the program. </w:t>
      </w:r>
      <w:proofErr w:type="gramStart"/>
      <w:r>
        <w:t>When you get down to how to live right, how to treat people better, and how not to screw up your life, maybe again or for the first time.</w:t>
      </w:r>
      <w:proofErr w:type="gramEnd"/>
      <w:r>
        <w:t xml:space="preserve"> But a lot of them, they have trouble. They just didn’t think – just didn’t think. (</w:t>
      </w:r>
      <w:proofErr w:type="spellStart"/>
      <w:r>
        <w:t>Gomer</w:t>
      </w:r>
      <w:proofErr w:type="spellEnd"/>
      <w:r>
        <w:t>, 158-164)</w:t>
      </w:r>
    </w:p>
    <w:p w:rsidR="00ED06A4" w:rsidRDefault="00ED06A4" w:rsidP="00ED06A4">
      <w:pPr>
        <w:pStyle w:val="BodyTextIndent"/>
        <w:spacing w:after="0" w:line="480" w:lineRule="auto"/>
        <w:ind w:firstLine="0"/>
        <w:rPr>
          <w:szCs w:val="24"/>
        </w:rPr>
      </w:pPr>
      <w:r>
        <w:t xml:space="preserve">Like Carla, who sees “learning as learning,” </w:t>
      </w:r>
      <w:proofErr w:type="spellStart"/>
      <w:r>
        <w:t>Gomer</w:t>
      </w:r>
      <w:proofErr w:type="spellEnd"/>
      <w:r>
        <w:t xml:space="preserve"> views his role as a teacher to go beyond the boundaries of academic subject matter and extend into “how to live right.” </w:t>
      </w:r>
    </w:p>
    <w:p w:rsidR="00ED06A4" w:rsidRDefault="00ED06A4" w:rsidP="00ED06A4">
      <w:pPr>
        <w:pStyle w:val="Heading3"/>
      </w:pPr>
      <w:r>
        <w:t>Treatment of Data</w:t>
      </w:r>
    </w:p>
    <w:p w:rsidR="00ED06A4" w:rsidRPr="00D51E18" w:rsidRDefault="00ED06A4" w:rsidP="00ED06A4">
      <w:pPr>
        <w:pStyle w:val="Heading4"/>
      </w:pPr>
      <w:r>
        <w:t>Data Collection</w:t>
      </w:r>
    </w:p>
    <w:p w:rsidR="00ED06A4" w:rsidRDefault="00ED06A4" w:rsidP="00ED06A4">
      <w:pPr>
        <w:pStyle w:val="BodyTextIndent"/>
        <w:spacing w:after="0" w:line="480" w:lineRule="auto"/>
        <w:ind w:firstLine="0"/>
        <w:rPr>
          <w:szCs w:val="24"/>
        </w:rPr>
      </w:pPr>
      <w:r>
        <w:rPr>
          <w:i/>
          <w:szCs w:val="24"/>
        </w:rPr>
        <w:tab/>
      </w:r>
      <w:r>
        <w:rPr>
          <w:szCs w:val="24"/>
        </w:rPr>
        <w:t xml:space="preserve"> Interviews were conducted at locations convenient for participants. Sometimes this was in offices, either theirs or mine (according to their preferences), and at other times it was in hotel lobbies, business centers, or a local mall. The settings of the interviews were chosen to relieve any undue burden on the participants that may have arisen from either travel or stress. While many participants were not concerned about confidentiality, suggestions for meeting places were suggested with this option in mind. </w:t>
      </w:r>
    </w:p>
    <w:p w:rsidR="00ED06A4" w:rsidRDefault="00ED06A4" w:rsidP="00ED06A4">
      <w:pPr>
        <w:pStyle w:val="BodyTextIndent"/>
        <w:spacing w:after="0" w:line="480" w:lineRule="auto"/>
        <w:rPr>
          <w:szCs w:val="24"/>
        </w:rPr>
      </w:pPr>
      <w:r>
        <w:rPr>
          <w:szCs w:val="24"/>
        </w:rPr>
        <w:t xml:space="preserve">A trial interview was conducted to test the form of the question. This interview obtained satisfactory </w:t>
      </w:r>
      <w:proofErr w:type="gramStart"/>
      <w:r>
        <w:rPr>
          <w:szCs w:val="24"/>
        </w:rPr>
        <w:t>results  in</w:t>
      </w:r>
      <w:proofErr w:type="gramEnd"/>
      <w:r>
        <w:rPr>
          <w:szCs w:val="24"/>
        </w:rPr>
        <w:t xml:space="preserve"> that it elicited appropriate responses containing rich, thick description, and it was included in the data analysis. </w:t>
      </w:r>
    </w:p>
    <w:p w:rsidR="00ED06A4" w:rsidRDefault="00ED06A4" w:rsidP="00ED06A4">
      <w:pPr>
        <w:pStyle w:val="BodyTextIndent"/>
        <w:spacing w:after="0" w:line="480" w:lineRule="auto"/>
        <w:ind w:firstLine="0"/>
        <w:rPr>
          <w:szCs w:val="24"/>
        </w:rPr>
      </w:pPr>
      <w:r>
        <w:rPr>
          <w:szCs w:val="24"/>
        </w:rPr>
        <w:tab/>
        <w:t>Participant interviews were digitally recorded and then transcribed by a professional transcriptionist who signed a confidentially agreement prior to beginning transcription work. I reviewed each transcription and edited them for redundancies and context (as the transcriptionist often repeated words or phrases marking her pauses, and unfamiliar words or idiosyncratic words and phrases were, at times, incorrectly transcribed). This allowed me to begin preliminary data analysis while preparing the texts for analysis by the research group.</w:t>
      </w:r>
    </w:p>
    <w:p w:rsidR="00ED06A4" w:rsidRDefault="00ED06A4" w:rsidP="00ED06A4">
      <w:pPr>
        <w:pStyle w:val="Heading4"/>
      </w:pPr>
      <w:r>
        <w:lastRenderedPageBreak/>
        <w:t xml:space="preserve">Data Analysis </w:t>
      </w:r>
    </w:p>
    <w:p w:rsidR="00ED06A4" w:rsidRDefault="00ED06A4" w:rsidP="00ED06A4">
      <w:pPr>
        <w:pStyle w:val="BodyTextIndent"/>
        <w:spacing w:after="0" w:line="480" w:lineRule="auto"/>
        <w:ind w:firstLine="0"/>
        <w:rPr>
          <w:szCs w:val="24"/>
        </w:rPr>
      </w:pPr>
      <w:r>
        <w:rPr>
          <w:szCs w:val="24"/>
        </w:rPr>
        <w:tab/>
        <w:t xml:space="preserve">After participant interviews were transcribed, they were read for meaning units and themes. Meaning units within the data are participants’ words. Themes are “patterns of description that repetitively recur as important aspects of a participant’s description of his/her experience” (Thomas &amp; </w:t>
      </w:r>
      <w:proofErr w:type="spellStart"/>
      <w:r>
        <w:rPr>
          <w:szCs w:val="24"/>
        </w:rPr>
        <w:t>Pollio</w:t>
      </w:r>
      <w:proofErr w:type="spellEnd"/>
      <w:r>
        <w:rPr>
          <w:szCs w:val="24"/>
        </w:rPr>
        <w:t>, 2002, p. 37). As I identified what I believe to be thematic units in the texts, I placed the quotations from the participants underneath a broad theme heading in another document. As different themes were identified, I used a different color text for each theme. This allowed me to move meaning units around as I pondered their significance and exactly which theme the unit may be revealing and to what theme it may belong. This color coding also allowed me to see themes nested within other themes and consider what this meant to an overall understanding of what was actually being seen in the data. It also allowed me to refine thematic headings as the essence of each theme became clearer. I chose to reflect each theme by using a quotation from the participant that contained what I perceived to be the essence of that theme. I used this process in two previous phenomenological research projects, and I found it to work well for me.</w:t>
      </w:r>
    </w:p>
    <w:p w:rsidR="00ED06A4" w:rsidRDefault="00ED06A4" w:rsidP="00ED06A4">
      <w:pPr>
        <w:pStyle w:val="BodyTextIndent"/>
        <w:spacing w:after="0" w:line="480" w:lineRule="auto"/>
        <w:ind w:firstLine="0"/>
        <w:rPr>
          <w:szCs w:val="24"/>
        </w:rPr>
      </w:pPr>
      <w:r>
        <w:rPr>
          <w:szCs w:val="24"/>
        </w:rPr>
        <w:tab/>
        <w:t xml:space="preserve">Ultimately, themes constitute </w:t>
      </w:r>
      <w:proofErr w:type="spellStart"/>
      <w:r>
        <w:rPr>
          <w:szCs w:val="24"/>
        </w:rPr>
        <w:t>eidae</w:t>
      </w:r>
      <w:proofErr w:type="spellEnd"/>
      <w:r>
        <w:rPr>
          <w:szCs w:val="24"/>
        </w:rPr>
        <w:t xml:space="preserve"> (essences). It must be remembered that the goal of existential hermeneutic phenomenology is to interpret and describe the essence of lived experience through the lens of the four existential grounds. The themes that emerged from the data were further interpreted and placed in a thematic structure that helped to define, or rather refine, the essence of the experience under consideration.  </w:t>
      </w:r>
    </w:p>
    <w:p w:rsidR="00ED06A4" w:rsidRDefault="00ED06A4" w:rsidP="00ED06A4">
      <w:pPr>
        <w:pStyle w:val="BodyTextIndent"/>
        <w:spacing w:after="0" w:line="480" w:lineRule="auto"/>
        <w:rPr>
          <w:szCs w:val="24"/>
        </w:rPr>
      </w:pPr>
      <w:r>
        <w:rPr>
          <w:szCs w:val="24"/>
        </w:rPr>
        <w:t xml:space="preserve">Once I did an initial analysis of the transcript (initial because thematic analysis may continue throughout the process), the transcripts were taken to the research group and read for meaning units. This process proceeded in the same manner as the bracketing interview. I </w:t>
      </w:r>
      <w:r>
        <w:rPr>
          <w:szCs w:val="24"/>
        </w:rPr>
        <w:lastRenderedPageBreak/>
        <w:t xml:space="preserve">interacted little, if at all, in the discussion during this group process, although clarifying statements would be made when requested by the group. Words and phrases that seemed significant were highlighted, and thematic units were identified by group members who returned their marked transcripts to me at the end of the group. </w:t>
      </w:r>
    </w:p>
    <w:p w:rsidR="00ED06A4" w:rsidRDefault="00ED06A4" w:rsidP="00ED06A4">
      <w:pPr>
        <w:pStyle w:val="BodyTextIndent"/>
        <w:spacing w:after="0" w:line="480" w:lineRule="auto"/>
        <w:rPr>
          <w:szCs w:val="24"/>
        </w:rPr>
      </w:pPr>
      <w:r>
        <w:rPr>
          <w:szCs w:val="24"/>
        </w:rPr>
        <w:t>This group analysis extended free imaginative variation and contributed to the generalization of the study. It also contributed to the hermeneutic process. While the group focused on only one interview at a time, I was simultaneously looking at all of the interviews and analyzing the data from the specific interview in relation to all of the interviews. This process of focusing on a specific interview, while at the same time reviewing all of the interviews, facilitated the process of moving from the whole to the part and back to the whole again.</w:t>
      </w:r>
    </w:p>
    <w:p w:rsidR="00ED06A4" w:rsidRDefault="00ED06A4" w:rsidP="00ED06A4">
      <w:pPr>
        <w:pStyle w:val="BodyTextIndent"/>
        <w:spacing w:after="0" w:line="480" w:lineRule="auto"/>
        <w:rPr>
          <w:szCs w:val="24"/>
        </w:rPr>
      </w:pPr>
      <w:r>
        <w:rPr>
          <w:szCs w:val="24"/>
        </w:rPr>
        <w:t>Not all transcripts were taken to the phenomenology group for review. Three transcripts were analyzed in the group. Three transcripts were deemed sufficient because the themes themselves were reviewed by the phenomenology group when they examined the thematic structure.</w:t>
      </w:r>
      <w:r>
        <w:rPr>
          <w:color w:val="FF0000"/>
          <w:szCs w:val="24"/>
        </w:rPr>
        <w:t xml:space="preserve"> </w:t>
      </w:r>
      <w:r>
        <w:rPr>
          <w:szCs w:val="24"/>
        </w:rPr>
        <w:t xml:space="preserve">Also, the group, while expanding variation within the study, is not the final authority on themes or thematic structures. When deciding what constitutes essence within the data, no one knows the data as well as well as the researcher. While research group members may come together one day during the week to read and consider a transcript, they do this with many transcripts. Their focus is periodic and divided, not constant and singular, as is mine. In phenomenological research, the researcher lives full-time with the data so that </w:t>
      </w:r>
      <w:proofErr w:type="spellStart"/>
      <w:r>
        <w:rPr>
          <w:szCs w:val="24"/>
        </w:rPr>
        <w:t>the</w:t>
      </w:r>
      <w:proofErr w:type="spellEnd"/>
      <w:r>
        <w:rPr>
          <w:szCs w:val="24"/>
        </w:rPr>
        <w:t xml:space="preserve"> lived experience of the participants becomes his lived experience. The researcher experiences an empathy with the participants, what Finlay (2005) called a reflexive embodied empathy, a relationship between the “participant’s lived body, the researcher’s own body, and the researcher’s embodied </w:t>
      </w:r>
      <w:proofErr w:type="spellStart"/>
      <w:r>
        <w:rPr>
          <w:szCs w:val="24"/>
        </w:rPr>
        <w:t>intersubjective</w:t>
      </w:r>
      <w:proofErr w:type="spellEnd"/>
      <w:r>
        <w:rPr>
          <w:szCs w:val="24"/>
        </w:rPr>
        <w:t xml:space="preserve"> relationship with the participant” (p. 272). </w:t>
      </w:r>
    </w:p>
    <w:p w:rsidR="00ED06A4" w:rsidRDefault="00ED06A4" w:rsidP="00ED06A4">
      <w:pPr>
        <w:pStyle w:val="BodyTextIndent"/>
        <w:spacing w:after="0" w:line="480" w:lineRule="auto"/>
        <w:rPr>
          <w:szCs w:val="24"/>
        </w:rPr>
      </w:pPr>
      <w:r>
        <w:rPr>
          <w:szCs w:val="24"/>
        </w:rPr>
        <w:lastRenderedPageBreak/>
        <w:t>This is not to say that empathy cannot be achieved in phenomenological research without this particular, radical construct. Jaspers (1963, as cited in Walker, 1995) stated that “’we can make a phenomenological representation only through empathizing [</w:t>
      </w:r>
      <w:proofErr w:type="spellStart"/>
      <w:r>
        <w:rPr>
          <w:i/>
          <w:szCs w:val="24"/>
        </w:rPr>
        <w:t>Einfühlen</w:t>
      </w:r>
      <w:proofErr w:type="spellEnd"/>
      <w:r>
        <w:rPr>
          <w:szCs w:val="24"/>
        </w:rPr>
        <w:t>, brackets and italics in original] and understanding [</w:t>
      </w:r>
      <w:proofErr w:type="spellStart"/>
      <w:r>
        <w:rPr>
          <w:i/>
          <w:szCs w:val="24"/>
        </w:rPr>
        <w:t>Verstehen</w:t>
      </w:r>
      <w:proofErr w:type="spellEnd"/>
      <w:r>
        <w:rPr>
          <w:szCs w:val="24"/>
        </w:rPr>
        <w:t xml:space="preserve">]’” (p. 263). Jasper’s empathy, however, has been accused of being a form of “Kantianism” (Walker, 2005, p. 263) in that it is based in intellectual knowing. This is very different, indeed, from the embodied knowing of </w:t>
      </w:r>
      <w:proofErr w:type="spellStart"/>
      <w:r>
        <w:rPr>
          <w:szCs w:val="24"/>
        </w:rPr>
        <w:t>Merleau</w:t>
      </w:r>
      <w:proofErr w:type="spellEnd"/>
      <w:r>
        <w:rPr>
          <w:szCs w:val="24"/>
        </w:rPr>
        <w:t>-</w:t>
      </w:r>
      <w:proofErr w:type="spellStart"/>
      <w:r>
        <w:rPr>
          <w:szCs w:val="24"/>
        </w:rPr>
        <w:t>Ponty</w:t>
      </w:r>
      <w:proofErr w:type="spellEnd"/>
      <w:r>
        <w:rPr>
          <w:szCs w:val="24"/>
        </w:rPr>
        <w:t xml:space="preserve"> (2003): “The body as the power of </w:t>
      </w:r>
      <w:proofErr w:type="spellStart"/>
      <w:r>
        <w:rPr>
          <w:i/>
          <w:szCs w:val="24"/>
        </w:rPr>
        <w:t>Einfuhlung</w:t>
      </w:r>
      <w:proofErr w:type="spellEnd"/>
      <w:r>
        <w:rPr>
          <w:szCs w:val="24"/>
        </w:rPr>
        <w:t xml:space="preserve"> is already desire, libido… the </w:t>
      </w:r>
      <w:proofErr w:type="spellStart"/>
      <w:r>
        <w:rPr>
          <w:szCs w:val="24"/>
        </w:rPr>
        <w:t>esthesiological</w:t>
      </w:r>
      <w:proofErr w:type="spellEnd"/>
      <w:r>
        <w:rPr>
          <w:szCs w:val="24"/>
        </w:rPr>
        <w:t xml:space="preserve"> structure of the human body is thus a libidinal structure…a relation of being and not knowledge” (p. 210). This was part of </w:t>
      </w:r>
      <w:proofErr w:type="spellStart"/>
      <w:r>
        <w:rPr>
          <w:szCs w:val="24"/>
        </w:rPr>
        <w:t>Merleau-Ponty’s</w:t>
      </w:r>
      <w:proofErr w:type="spellEnd"/>
      <w:r>
        <w:rPr>
          <w:szCs w:val="24"/>
        </w:rPr>
        <w:t xml:space="preserve"> understanding of </w:t>
      </w:r>
      <w:proofErr w:type="spellStart"/>
      <w:r>
        <w:rPr>
          <w:i/>
          <w:szCs w:val="24"/>
        </w:rPr>
        <w:t>Ineinander</w:t>
      </w:r>
      <w:proofErr w:type="spellEnd"/>
      <w:r>
        <w:rPr>
          <w:szCs w:val="24"/>
        </w:rPr>
        <w:t xml:space="preserve"> (“in one another”), where “humanity is </w:t>
      </w:r>
      <w:proofErr w:type="spellStart"/>
      <w:r>
        <w:rPr>
          <w:szCs w:val="24"/>
        </w:rPr>
        <w:t>interbeing</w:t>
      </w:r>
      <w:proofErr w:type="spellEnd"/>
      <w:r>
        <w:rPr>
          <w:szCs w:val="24"/>
        </w:rPr>
        <w:t xml:space="preserve">. To be is to inter-be” (Adams, 2007, p. 43.). </w:t>
      </w:r>
      <w:proofErr w:type="spellStart"/>
      <w:r>
        <w:rPr>
          <w:szCs w:val="24"/>
        </w:rPr>
        <w:t>Letiche</w:t>
      </w:r>
      <w:proofErr w:type="spellEnd"/>
      <w:r>
        <w:rPr>
          <w:szCs w:val="24"/>
        </w:rPr>
        <w:t xml:space="preserve"> (2009) stated that, for </w:t>
      </w:r>
      <w:proofErr w:type="spellStart"/>
      <w:r>
        <w:rPr>
          <w:szCs w:val="24"/>
        </w:rPr>
        <w:t>Merleau</w:t>
      </w:r>
      <w:proofErr w:type="spellEnd"/>
      <w:r>
        <w:rPr>
          <w:szCs w:val="24"/>
        </w:rPr>
        <w:t>-</w:t>
      </w:r>
      <w:proofErr w:type="spellStart"/>
      <w:r>
        <w:rPr>
          <w:szCs w:val="24"/>
        </w:rPr>
        <w:t>Ponty</w:t>
      </w:r>
      <w:proofErr w:type="spellEnd"/>
      <w:r>
        <w:rPr>
          <w:szCs w:val="24"/>
        </w:rPr>
        <w:t>, “body and knowing enfold one another in their common flesh” (p. 67).</w:t>
      </w:r>
      <w:r>
        <w:rPr>
          <w:color w:val="FF0000"/>
          <w:szCs w:val="24"/>
        </w:rPr>
        <w:t xml:space="preserve"> </w:t>
      </w:r>
      <w:r>
        <w:rPr>
          <w:szCs w:val="24"/>
        </w:rPr>
        <w:t xml:space="preserve">To be in the world is to inter-be with the world, to have an interconnectedness and </w:t>
      </w:r>
      <w:proofErr w:type="spellStart"/>
      <w:r>
        <w:rPr>
          <w:szCs w:val="24"/>
        </w:rPr>
        <w:t>intersubjectivity</w:t>
      </w:r>
      <w:proofErr w:type="spellEnd"/>
      <w:r>
        <w:rPr>
          <w:szCs w:val="24"/>
        </w:rPr>
        <w:t xml:space="preserve"> with the world. To have this interconnectedness and </w:t>
      </w:r>
      <w:proofErr w:type="spellStart"/>
      <w:r>
        <w:rPr>
          <w:szCs w:val="24"/>
        </w:rPr>
        <w:t>intersubjectivity</w:t>
      </w:r>
      <w:proofErr w:type="spellEnd"/>
      <w:r>
        <w:rPr>
          <w:szCs w:val="24"/>
        </w:rPr>
        <w:t xml:space="preserve"> is to be empathetic with the world. By the simple virtue of being, therefore, we are empathetic with the participant. “Both knowledge and being/reality,” stated Adams (2007), “are inherently </w:t>
      </w:r>
      <w:proofErr w:type="spellStart"/>
      <w:r>
        <w:rPr>
          <w:szCs w:val="24"/>
        </w:rPr>
        <w:t>interrelational</w:t>
      </w:r>
      <w:proofErr w:type="spellEnd"/>
      <w:r>
        <w:rPr>
          <w:szCs w:val="24"/>
        </w:rPr>
        <w:t xml:space="preserve">” (p. 45). </w:t>
      </w:r>
    </w:p>
    <w:p w:rsidR="00ED06A4" w:rsidRDefault="00ED06A4" w:rsidP="00ED06A4">
      <w:pPr>
        <w:pStyle w:val="BodyTextIndent"/>
        <w:spacing w:after="0" w:line="480" w:lineRule="auto"/>
        <w:rPr>
          <w:color w:val="FF0000"/>
          <w:szCs w:val="24"/>
        </w:rPr>
      </w:pPr>
      <w:r>
        <w:rPr>
          <w:szCs w:val="24"/>
        </w:rPr>
        <w:t xml:space="preserve">I cannot help but think, despite </w:t>
      </w:r>
      <w:proofErr w:type="spellStart"/>
      <w:r>
        <w:rPr>
          <w:szCs w:val="24"/>
        </w:rPr>
        <w:t>Gallese’s</w:t>
      </w:r>
      <w:proofErr w:type="spellEnd"/>
      <w:r>
        <w:rPr>
          <w:szCs w:val="24"/>
        </w:rPr>
        <w:t xml:space="preserve"> (2003) hypothesis of a shared neural manifold for </w:t>
      </w:r>
      <w:proofErr w:type="spellStart"/>
      <w:r>
        <w:rPr>
          <w:szCs w:val="24"/>
        </w:rPr>
        <w:t>intersubjectivity</w:t>
      </w:r>
      <w:proofErr w:type="spellEnd"/>
      <w:r>
        <w:rPr>
          <w:szCs w:val="24"/>
        </w:rPr>
        <w:t xml:space="preserve"> that places </w:t>
      </w:r>
      <w:proofErr w:type="spellStart"/>
      <w:r>
        <w:rPr>
          <w:szCs w:val="24"/>
        </w:rPr>
        <w:t>intersubjectivity</w:t>
      </w:r>
      <w:proofErr w:type="spellEnd"/>
      <w:r>
        <w:rPr>
          <w:szCs w:val="24"/>
        </w:rPr>
        <w:t xml:space="preserve"> squarely in the body, as </w:t>
      </w:r>
      <w:proofErr w:type="spellStart"/>
      <w:r>
        <w:rPr>
          <w:szCs w:val="24"/>
        </w:rPr>
        <w:t>Merleau</w:t>
      </w:r>
      <w:proofErr w:type="spellEnd"/>
      <w:r>
        <w:rPr>
          <w:szCs w:val="24"/>
        </w:rPr>
        <w:t>-</w:t>
      </w:r>
      <w:proofErr w:type="spellStart"/>
      <w:r>
        <w:rPr>
          <w:szCs w:val="24"/>
        </w:rPr>
        <w:t>Ponty</w:t>
      </w:r>
      <w:proofErr w:type="spellEnd"/>
      <w:r>
        <w:rPr>
          <w:szCs w:val="24"/>
        </w:rPr>
        <w:t xml:space="preserve"> stated, that just as there are degrees of perception (how we experience the world around us) and </w:t>
      </w:r>
      <w:proofErr w:type="spellStart"/>
      <w:r>
        <w:rPr>
          <w:szCs w:val="24"/>
        </w:rPr>
        <w:t>intersubjectivity</w:t>
      </w:r>
      <w:proofErr w:type="spellEnd"/>
      <w:r>
        <w:rPr>
          <w:szCs w:val="24"/>
        </w:rPr>
        <w:t xml:space="preserve"> (how we experience other’s experience), there are degrees of </w:t>
      </w:r>
      <w:proofErr w:type="spellStart"/>
      <w:r>
        <w:rPr>
          <w:szCs w:val="24"/>
        </w:rPr>
        <w:t>interrelationality</w:t>
      </w:r>
      <w:proofErr w:type="spellEnd"/>
      <w:r>
        <w:rPr>
          <w:szCs w:val="24"/>
        </w:rPr>
        <w:t>, and living with lived experience is a different degree of empathic knowing than simple intellectual visitation with lived experience. I know the body of my lover with an intimacy that voyeurs, or others who come into casual contact with her, will never attain. Be that as it may,</w:t>
      </w:r>
      <w:r>
        <w:rPr>
          <w:color w:val="FF0000"/>
          <w:szCs w:val="24"/>
        </w:rPr>
        <w:t xml:space="preserve"> </w:t>
      </w:r>
      <w:r>
        <w:rPr>
          <w:szCs w:val="24"/>
        </w:rPr>
        <w:t xml:space="preserve">my </w:t>
      </w:r>
      <w:r>
        <w:rPr>
          <w:szCs w:val="24"/>
        </w:rPr>
        <w:lastRenderedPageBreak/>
        <w:t xml:space="preserve">experience with the research group was positive and I did not encounter a situation where their opinion was not given serious consideration. Coming from a constructivist epistemology, I believe that knowledge is co-created between not only the researcher and the participant through the dialogic process, but also between the researcher and the research group. Rejection of feedback only serves to perpetuate blind spots while looking at the </w:t>
      </w:r>
      <w:proofErr w:type="gramStart"/>
      <w:r>
        <w:rPr>
          <w:szCs w:val="24"/>
        </w:rPr>
        <w:t>data,</w:t>
      </w:r>
      <w:proofErr w:type="gramEnd"/>
      <w:r>
        <w:rPr>
          <w:szCs w:val="24"/>
        </w:rPr>
        <w:t xml:space="preserve"> and since no bracketing is ever complete, listening to group feedback is advisable.</w:t>
      </w:r>
      <w:r>
        <w:rPr>
          <w:color w:val="FF0000"/>
          <w:szCs w:val="24"/>
        </w:rPr>
        <w:t xml:space="preserve"> </w:t>
      </w:r>
    </w:p>
    <w:p w:rsidR="00ED06A4" w:rsidRDefault="00ED06A4" w:rsidP="00ED06A4">
      <w:pPr>
        <w:pStyle w:val="BodyTextIndent"/>
        <w:spacing w:after="0" w:line="480" w:lineRule="auto"/>
        <w:rPr>
          <w:szCs w:val="24"/>
        </w:rPr>
      </w:pPr>
      <w:r>
        <w:rPr>
          <w:szCs w:val="24"/>
        </w:rPr>
        <w:t xml:space="preserve">This group process is sometimes understood to relate to the issue of reliability, the ability of the same themes to be replicated in a new study studying the same themes. However, as Thomas and </w:t>
      </w:r>
      <w:proofErr w:type="spellStart"/>
      <w:r>
        <w:rPr>
          <w:szCs w:val="24"/>
        </w:rPr>
        <w:t>Pollio</w:t>
      </w:r>
      <w:proofErr w:type="spellEnd"/>
      <w:r>
        <w:rPr>
          <w:szCs w:val="24"/>
        </w:rPr>
        <w:t xml:space="preserve"> (2002) related, “because reality is ambiguous given its dependence on multiple contexts, and because researchers are bound by the limits of their own perspectives and judgments, there may be more than one legitimate interpretation for any particular set of data. </w:t>
      </w:r>
      <w:proofErr w:type="gramStart"/>
      <w:r>
        <w:rPr>
          <w:szCs w:val="24"/>
        </w:rPr>
        <w:t xml:space="preserve">In a sense, the aim of replication is to </w:t>
      </w:r>
      <w:r>
        <w:rPr>
          <w:i/>
          <w:iCs/>
          <w:szCs w:val="24"/>
        </w:rPr>
        <w:t>extend</w:t>
      </w:r>
      <w:r>
        <w:rPr>
          <w:szCs w:val="24"/>
        </w:rPr>
        <w:t xml:space="preserve">, not to </w:t>
      </w:r>
      <w:r>
        <w:rPr>
          <w:i/>
          <w:iCs/>
          <w:szCs w:val="24"/>
        </w:rPr>
        <w:t>repeat</w:t>
      </w:r>
      <w:r>
        <w:rPr>
          <w:szCs w:val="24"/>
        </w:rPr>
        <w:t>, the themes and relations obtained in the original study” (p. 40).</w:t>
      </w:r>
      <w:proofErr w:type="gramEnd"/>
      <w:r>
        <w:rPr>
          <w:szCs w:val="24"/>
        </w:rPr>
        <w:t xml:space="preserve"> More than an issue of producing reliability, the research group process creates an opportunity of free imaginative variation to occur. This means that the process, while it may relate to reliability, relates more to </w:t>
      </w:r>
      <w:proofErr w:type="spellStart"/>
      <w:r>
        <w:rPr>
          <w:szCs w:val="24"/>
        </w:rPr>
        <w:t>generalizability</w:t>
      </w:r>
      <w:proofErr w:type="spellEnd"/>
      <w:r>
        <w:rPr>
          <w:szCs w:val="24"/>
        </w:rPr>
        <w:t xml:space="preserve"> of findings through the imaginative variation produced by the group. Since a considerable amount of space has previously been given to </w:t>
      </w:r>
      <w:proofErr w:type="spellStart"/>
      <w:r>
        <w:rPr>
          <w:szCs w:val="24"/>
        </w:rPr>
        <w:t>generalizability</w:t>
      </w:r>
      <w:proofErr w:type="spellEnd"/>
      <w:r>
        <w:rPr>
          <w:szCs w:val="24"/>
        </w:rPr>
        <w:t>, it will not be pursued here.</w:t>
      </w:r>
    </w:p>
    <w:p w:rsidR="00ED06A4" w:rsidRDefault="00ED06A4" w:rsidP="00ED06A4">
      <w:pPr>
        <w:pStyle w:val="BodyTextIndent"/>
        <w:spacing w:after="0" w:line="480" w:lineRule="auto"/>
        <w:rPr>
          <w:szCs w:val="24"/>
        </w:rPr>
      </w:pPr>
      <w:r>
        <w:rPr>
          <w:szCs w:val="24"/>
        </w:rPr>
        <w:t xml:space="preserve">The thematic units that were gleaned from individual transcripts were then compared to those identified in other transcripts, and then these were read as a whole for contextual meaning. This is a part of the hermeneutic method where individual units are compared to the whole and the meaning of the whole is understood in relation to individual data units. Themes, in this study, were identified as those units which were present in a majority of the interviews and not contradicted by other meaning units. To be considered a theme in the broad context of this study </w:t>
      </w:r>
      <w:r>
        <w:rPr>
          <w:szCs w:val="24"/>
        </w:rPr>
        <w:lastRenderedPageBreak/>
        <w:t>(as opposed in an individual experience)</w:t>
      </w:r>
      <w:proofErr w:type="gramStart"/>
      <w:r>
        <w:rPr>
          <w:szCs w:val="24"/>
        </w:rPr>
        <w:t>,</w:t>
      </w:r>
      <w:proofErr w:type="gramEnd"/>
      <w:r>
        <w:rPr>
          <w:szCs w:val="24"/>
        </w:rPr>
        <w:t xml:space="preserve"> a unit was repeated across multiple interviews. Data saturation for the study was reached when individual themes became repetitious across the interviews and no new themes were forthcoming. Data saturation was reached relatively early in this study, and after five interviews no new themes were apparent. Although there is no consensus in phenomenological research on what constitutes data saturation, it is generally understood as having been reached when no new themes are emerging from the data and the same themes are being repeated across the data.  </w:t>
      </w:r>
    </w:p>
    <w:p w:rsidR="00ED06A4" w:rsidRDefault="00ED06A4" w:rsidP="00ED06A4">
      <w:pPr>
        <w:pStyle w:val="BodyTextIndent"/>
        <w:spacing w:after="0" w:line="480" w:lineRule="auto"/>
        <w:ind w:firstLine="0"/>
        <w:rPr>
          <w:szCs w:val="24"/>
        </w:rPr>
      </w:pPr>
      <w:r>
        <w:rPr>
          <w:szCs w:val="24"/>
        </w:rPr>
        <w:tab/>
        <w:t xml:space="preserve">Once participants’ interviews had been viewed by the group and read for thematic meanings individually and for a sense of thematic wholeness, I developed a thematic structure. This structure related themes to the grounds against which they stood out. Themes are presented, when applicable, in participants’ words, as these representations tend to carry the most meaning and power. This also assures that the themes come from the data as “all meanings and themes must be located in the text” (Thomas &amp; </w:t>
      </w:r>
      <w:proofErr w:type="spellStart"/>
      <w:r>
        <w:rPr>
          <w:szCs w:val="24"/>
        </w:rPr>
        <w:t>Pollio</w:t>
      </w:r>
      <w:proofErr w:type="spellEnd"/>
      <w:r>
        <w:rPr>
          <w:szCs w:val="24"/>
        </w:rPr>
        <w:t>, 2002, p. 46). The grounds that are present in existential phenomenology are time, body, others, and world, and themes may appear against any or all of these grounds. A graphic representation was developed to graphically present the structure. This structure was presented to the research group which offered thoughts and suggestions on the structure. The group review of the thematic structure was the same as that for interview analysis, with the researcher listening to the suggestions of group members before deciding on a final representation.</w:t>
      </w:r>
    </w:p>
    <w:p w:rsidR="00ED06A4" w:rsidRDefault="00ED06A4" w:rsidP="00ED06A4">
      <w:pPr>
        <w:pStyle w:val="BodyTextIndent"/>
        <w:spacing w:after="0" w:line="480" w:lineRule="auto"/>
        <w:ind w:firstLine="0"/>
        <w:rPr>
          <w:szCs w:val="24"/>
        </w:rPr>
      </w:pPr>
      <w:r>
        <w:rPr>
          <w:szCs w:val="24"/>
        </w:rPr>
        <w:tab/>
        <w:t xml:space="preserve">After the research group gave feedback to the researcher and a thematic structure was decided upon, I presented the findings to the participants who indicated their interest in knowing the outcomes of the research. While some may relate this process to an attempt to secure face validity, “neither the researcher nor the participant is afforded interpretive priority: All results are </w:t>
      </w:r>
      <w:r>
        <w:rPr>
          <w:szCs w:val="24"/>
        </w:rPr>
        <w:lastRenderedPageBreak/>
        <w:t xml:space="preserve">co-constructed on the basis of open and continuing dialogue” (Thomas &amp; </w:t>
      </w:r>
      <w:proofErr w:type="spellStart"/>
      <w:r>
        <w:rPr>
          <w:szCs w:val="24"/>
        </w:rPr>
        <w:t>Pollio</w:t>
      </w:r>
      <w:proofErr w:type="spellEnd"/>
      <w:r>
        <w:rPr>
          <w:szCs w:val="24"/>
        </w:rPr>
        <w:t xml:space="preserve">, 2002, p. 47). This step is an attempt to continue the dialogic process and come to a fuller understanding of the </w:t>
      </w:r>
      <w:proofErr w:type="spellStart"/>
      <w:r>
        <w:rPr>
          <w:szCs w:val="24"/>
        </w:rPr>
        <w:t>eidae</w:t>
      </w:r>
      <w:proofErr w:type="spellEnd"/>
      <w:r>
        <w:rPr>
          <w:szCs w:val="24"/>
        </w:rPr>
        <w:t xml:space="preserve"> that have been identified. While a complete reduction may be unattainable, continued dialogue about the lived experience may further refine the understanding of the experience and the essences that have been identified. </w:t>
      </w:r>
    </w:p>
    <w:p w:rsidR="00ED06A4" w:rsidRDefault="00ED06A4" w:rsidP="00ED06A4">
      <w:pPr>
        <w:pStyle w:val="BodyTextIndent"/>
        <w:spacing w:after="0" w:line="480" w:lineRule="auto"/>
        <w:ind w:firstLine="0"/>
        <w:rPr>
          <w:szCs w:val="24"/>
        </w:rPr>
      </w:pPr>
      <w:r>
        <w:rPr>
          <w:szCs w:val="24"/>
        </w:rPr>
        <w:tab/>
        <w:t>Finally, the results of the study were written up and a final report, i.e., this dissertation, was prepared. This report includes appropriate appendices, containing figures used wi</w:t>
      </w:r>
      <w:r w:rsidR="004B3AD4">
        <w:rPr>
          <w:szCs w:val="24"/>
        </w:rPr>
        <w:t>thin the text and the demographic</w:t>
      </w:r>
      <w:r>
        <w:rPr>
          <w:szCs w:val="24"/>
        </w:rPr>
        <w:t xml:space="preserve"> interview</w:t>
      </w:r>
      <w:r w:rsidR="004B3AD4">
        <w:rPr>
          <w:szCs w:val="24"/>
        </w:rPr>
        <w:t xml:space="preserve"> (Appendix 3)</w:t>
      </w:r>
      <w:r>
        <w:rPr>
          <w:szCs w:val="24"/>
        </w:rPr>
        <w:t xml:space="preserve">. Implications of the research are presented in the final chapter.   </w:t>
      </w:r>
    </w:p>
    <w:p w:rsidR="00ED06A4" w:rsidRDefault="00ED06A4" w:rsidP="00ED06A4">
      <w:pPr>
        <w:pStyle w:val="BodyTextIndent"/>
        <w:spacing w:after="0" w:line="480" w:lineRule="auto"/>
        <w:ind w:firstLine="0"/>
        <w:jc w:val="center"/>
        <w:rPr>
          <w:szCs w:val="24"/>
        </w:rPr>
      </w:pPr>
    </w:p>
    <w:p w:rsidR="00ED06A4" w:rsidRDefault="00ED06A4" w:rsidP="00ED06A4">
      <w:pPr>
        <w:pStyle w:val="Heading1"/>
      </w:pPr>
      <w:r>
        <w:br w:type="page"/>
      </w:r>
      <w:bookmarkStart w:id="18" w:name="_Toc309015918"/>
      <w:r>
        <w:lastRenderedPageBreak/>
        <w:t>Chapter 4: Findings</w:t>
      </w:r>
      <w:bookmarkEnd w:id="18"/>
    </w:p>
    <w:p w:rsidR="00ED06A4" w:rsidRDefault="00ED06A4" w:rsidP="00ED06A4">
      <w:pPr>
        <w:pStyle w:val="BodyTextIndent"/>
        <w:spacing w:after="0" w:line="480" w:lineRule="auto"/>
        <w:ind w:firstLine="0"/>
        <w:rPr>
          <w:bCs/>
          <w:szCs w:val="24"/>
        </w:rPr>
      </w:pPr>
      <w:r>
        <w:rPr>
          <w:b/>
          <w:szCs w:val="24"/>
        </w:rPr>
        <w:tab/>
      </w:r>
      <w:r>
        <w:rPr>
          <w:bCs/>
          <w:szCs w:val="24"/>
        </w:rPr>
        <w:t>In this section, I will first introduce the thematic structure and then break the structure into component parts for further exemplification. This manner of understanding by first seeing the big picture and then examining its constituent parts is my natural mode of learning.</w:t>
      </w:r>
    </w:p>
    <w:p w:rsidR="00ED06A4" w:rsidRDefault="00ED06A4" w:rsidP="00ED06A4">
      <w:pPr>
        <w:pStyle w:val="Heading2"/>
      </w:pPr>
      <w:bookmarkStart w:id="19" w:name="_Toc309015919"/>
      <w:r>
        <w:t>Thematic Structure</w:t>
      </w:r>
      <w:bookmarkEnd w:id="19"/>
    </w:p>
    <w:p w:rsidR="00ED06A4" w:rsidRDefault="00ED06A4" w:rsidP="00ED06A4">
      <w:pPr>
        <w:pStyle w:val="BodyTextIndent"/>
        <w:spacing w:after="0" w:line="480" w:lineRule="auto"/>
        <w:rPr>
          <w:szCs w:val="24"/>
        </w:rPr>
      </w:pPr>
      <w:r>
        <w:rPr>
          <w:szCs w:val="24"/>
        </w:rPr>
        <w:t>This study examined the experience of GED/ABE teachers working with court-mandated students. The findings indicated the ground of a special relationship, a chiasm, between teachers and students. The thematic structure (Figure 6 in Appendix 2) for this study rests on the ground of the chiasm between teachers and students, the special relationship that develops between them. A chiasm is an “intertwining” (</w:t>
      </w:r>
      <w:proofErr w:type="spellStart"/>
      <w:r>
        <w:rPr>
          <w:szCs w:val="24"/>
        </w:rPr>
        <w:t>Merleau</w:t>
      </w:r>
      <w:proofErr w:type="spellEnd"/>
      <w:r>
        <w:rPr>
          <w:szCs w:val="24"/>
        </w:rPr>
        <w:t>-</w:t>
      </w:r>
      <w:proofErr w:type="spellStart"/>
      <w:r>
        <w:rPr>
          <w:szCs w:val="24"/>
        </w:rPr>
        <w:t>Ponty</w:t>
      </w:r>
      <w:proofErr w:type="spellEnd"/>
      <w:r>
        <w:rPr>
          <w:szCs w:val="24"/>
        </w:rPr>
        <w:t xml:space="preserve">, 1964, p. 130), and the chiasm concept is the product of </w:t>
      </w:r>
      <w:proofErr w:type="spellStart"/>
      <w:r>
        <w:rPr>
          <w:szCs w:val="24"/>
        </w:rPr>
        <w:t>Merleau-Ponty’s</w:t>
      </w:r>
      <w:proofErr w:type="spellEnd"/>
      <w:r>
        <w:rPr>
          <w:szCs w:val="24"/>
        </w:rPr>
        <w:t xml:space="preserve"> (1964) reversibility thesis, unfinished at his death in 1961, that stated one both touches and is touched, “that to touch something is also and necessarily to be touched by it” (Dillon, 1983, p. 373). The reversibility thesis sought a phenomenological ontology in which subject and object are one. This concept of chiasm is captured in the poem of </w:t>
      </w:r>
      <w:proofErr w:type="spellStart"/>
      <w:r>
        <w:rPr>
          <w:szCs w:val="24"/>
        </w:rPr>
        <w:t>Jalaluddin</w:t>
      </w:r>
      <w:proofErr w:type="spellEnd"/>
      <w:r>
        <w:rPr>
          <w:szCs w:val="24"/>
        </w:rPr>
        <w:t xml:space="preserve"> </w:t>
      </w:r>
      <w:proofErr w:type="spellStart"/>
      <w:r>
        <w:rPr>
          <w:szCs w:val="24"/>
        </w:rPr>
        <w:t>Rumi</w:t>
      </w:r>
      <w:proofErr w:type="spellEnd"/>
      <w:r>
        <w:rPr>
          <w:szCs w:val="24"/>
        </w:rPr>
        <w:t xml:space="preserve"> (1207-1273):</w:t>
      </w:r>
    </w:p>
    <w:p w:rsidR="00ED06A4" w:rsidRDefault="00ED06A4" w:rsidP="00ED06A4">
      <w:pPr>
        <w:pStyle w:val="BodyTextIndent"/>
        <w:spacing w:after="0" w:line="480" w:lineRule="auto"/>
        <w:ind w:left="720" w:firstLine="0"/>
        <w:rPr>
          <w:szCs w:val="24"/>
        </w:rPr>
      </w:pPr>
      <w:r>
        <w:rPr>
          <w:szCs w:val="24"/>
        </w:rPr>
        <w:t>One went to the door of the Beloved and knocked. A voice asked, “Who is there?”</w:t>
      </w:r>
      <w:r>
        <w:rPr>
          <w:szCs w:val="24"/>
        </w:rPr>
        <w:br/>
        <w:t>He answered, “It is I.”</w:t>
      </w:r>
    </w:p>
    <w:p w:rsidR="00ED06A4" w:rsidRDefault="00ED06A4" w:rsidP="00ED06A4">
      <w:pPr>
        <w:pStyle w:val="BodyTextIndent"/>
        <w:spacing w:after="0" w:line="480" w:lineRule="auto"/>
        <w:ind w:left="720" w:firstLine="0"/>
        <w:rPr>
          <w:szCs w:val="24"/>
        </w:rPr>
      </w:pPr>
      <w:r>
        <w:rPr>
          <w:szCs w:val="24"/>
        </w:rPr>
        <w:t xml:space="preserve">The voice said, “There is no room for </w:t>
      </w:r>
      <w:proofErr w:type="gramStart"/>
      <w:r>
        <w:rPr>
          <w:szCs w:val="24"/>
        </w:rPr>
        <w:t>Me</w:t>
      </w:r>
      <w:proofErr w:type="gramEnd"/>
      <w:r>
        <w:rPr>
          <w:szCs w:val="24"/>
        </w:rPr>
        <w:t xml:space="preserve"> and Thee.”</w:t>
      </w:r>
    </w:p>
    <w:p w:rsidR="00ED06A4" w:rsidRDefault="00ED06A4" w:rsidP="00ED06A4">
      <w:pPr>
        <w:pStyle w:val="BodyTextIndent"/>
        <w:spacing w:after="0" w:line="480" w:lineRule="auto"/>
        <w:ind w:left="720" w:firstLine="0"/>
        <w:rPr>
          <w:szCs w:val="24"/>
        </w:rPr>
      </w:pPr>
      <w:r>
        <w:rPr>
          <w:szCs w:val="24"/>
        </w:rPr>
        <w:t>The door was shut.</w:t>
      </w:r>
    </w:p>
    <w:p w:rsidR="00ED06A4" w:rsidRDefault="00ED06A4" w:rsidP="00ED06A4">
      <w:pPr>
        <w:pStyle w:val="BodyTextIndent"/>
        <w:spacing w:after="0" w:line="480" w:lineRule="auto"/>
        <w:ind w:left="720" w:firstLine="0"/>
        <w:rPr>
          <w:szCs w:val="24"/>
        </w:rPr>
      </w:pPr>
      <w:r>
        <w:rPr>
          <w:szCs w:val="24"/>
        </w:rPr>
        <w:t>After a year of solitude and deprivation he returned and knocked.</w:t>
      </w:r>
    </w:p>
    <w:p w:rsidR="00ED06A4" w:rsidRDefault="00ED06A4" w:rsidP="00ED06A4">
      <w:pPr>
        <w:pStyle w:val="BodyTextIndent"/>
        <w:spacing w:after="0" w:line="480" w:lineRule="auto"/>
        <w:ind w:left="720" w:firstLine="0"/>
        <w:rPr>
          <w:szCs w:val="24"/>
        </w:rPr>
      </w:pPr>
      <w:r>
        <w:rPr>
          <w:szCs w:val="24"/>
        </w:rPr>
        <w:t>A voice from within asked, “Who is there?”</w:t>
      </w:r>
    </w:p>
    <w:p w:rsidR="00ED06A4" w:rsidRDefault="00ED06A4" w:rsidP="00ED06A4">
      <w:pPr>
        <w:pStyle w:val="BodyTextIndent"/>
        <w:spacing w:after="0" w:line="480" w:lineRule="auto"/>
        <w:ind w:left="720" w:firstLine="0"/>
        <w:rPr>
          <w:szCs w:val="24"/>
        </w:rPr>
      </w:pPr>
      <w:r>
        <w:rPr>
          <w:szCs w:val="24"/>
        </w:rPr>
        <w:t>The man said, “It is Thee.”</w:t>
      </w:r>
    </w:p>
    <w:p w:rsidR="00ED06A4" w:rsidRDefault="00ED06A4" w:rsidP="00ED06A4">
      <w:pPr>
        <w:pStyle w:val="BodyTextIndent"/>
        <w:spacing w:after="0" w:line="480" w:lineRule="auto"/>
        <w:ind w:left="720" w:firstLine="0"/>
        <w:rPr>
          <w:szCs w:val="24"/>
        </w:rPr>
      </w:pPr>
      <w:r>
        <w:rPr>
          <w:szCs w:val="24"/>
        </w:rPr>
        <w:t xml:space="preserve">The door was opened for him. </w:t>
      </w:r>
      <w:proofErr w:type="gramStart"/>
      <w:r>
        <w:rPr>
          <w:szCs w:val="24"/>
        </w:rPr>
        <w:t>(</w:t>
      </w:r>
      <w:proofErr w:type="spellStart"/>
      <w:r>
        <w:rPr>
          <w:szCs w:val="24"/>
        </w:rPr>
        <w:t>n.d</w:t>
      </w:r>
      <w:proofErr w:type="spellEnd"/>
      <w:r>
        <w:rPr>
          <w:szCs w:val="24"/>
        </w:rPr>
        <w:t>.)</w:t>
      </w:r>
      <w:proofErr w:type="gramEnd"/>
    </w:p>
    <w:p w:rsidR="00ED06A4" w:rsidRDefault="00ED06A4" w:rsidP="00ED06A4">
      <w:pPr>
        <w:pStyle w:val="BodyTextIndent"/>
        <w:spacing w:after="0" w:line="480" w:lineRule="auto"/>
        <w:ind w:firstLine="0"/>
        <w:rPr>
          <w:szCs w:val="24"/>
        </w:rPr>
      </w:pPr>
      <w:r>
        <w:rPr>
          <w:szCs w:val="24"/>
        </w:rPr>
        <w:lastRenderedPageBreak/>
        <w:t xml:space="preserve">The subject and object are one, and it is only through this chiasm, this oneness, that I exist, i.e., I exists only as Thee. This intertwining or crossing (the word “chiasm” comes from the Greek letter, “chi,” or X) between subject and object, between teacher (subject) and student (object), was described by </w:t>
      </w:r>
      <w:proofErr w:type="spellStart"/>
      <w:r>
        <w:rPr>
          <w:szCs w:val="24"/>
        </w:rPr>
        <w:t>Merleau</w:t>
      </w:r>
      <w:proofErr w:type="spellEnd"/>
      <w:r>
        <w:rPr>
          <w:szCs w:val="24"/>
        </w:rPr>
        <w:t>-</w:t>
      </w:r>
      <w:proofErr w:type="spellStart"/>
      <w:r>
        <w:rPr>
          <w:szCs w:val="24"/>
        </w:rPr>
        <w:t>Ponty</w:t>
      </w:r>
      <w:proofErr w:type="spellEnd"/>
      <w:r>
        <w:rPr>
          <w:szCs w:val="24"/>
        </w:rPr>
        <w:t xml:space="preserve"> (1964): “I can feel myself touched as well and at the same time as touching” (p. 142). Young and Davis (2001, as cited in Thomas, 2005) described chiasm as “the wave when it breaks and curls over. </w:t>
      </w:r>
      <w:proofErr w:type="gramStart"/>
      <w:r>
        <w:rPr>
          <w:szCs w:val="24"/>
        </w:rPr>
        <w:t>It is the place in the wave where the water touches itself” (p. 68).</w:t>
      </w:r>
      <w:proofErr w:type="gramEnd"/>
      <w:r>
        <w:rPr>
          <w:szCs w:val="24"/>
        </w:rPr>
        <w:t xml:space="preserve"> The experiences of teachers and students are intertwined, crossed, and “there is a circle of the touched and the touching” (</w:t>
      </w:r>
      <w:proofErr w:type="spellStart"/>
      <w:r>
        <w:rPr>
          <w:szCs w:val="24"/>
        </w:rPr>
        <w:t>Merleau</w:t>
      </w:r>
      <w:proofErr w:type="spellEnd"/>
      <w:r>
        <w:rPr>
          <w:szCs w:val="24"/>
        </w:rPr>
        <w:t>-</w:t>
      </w:r>
      <w:proofErr w:type="spellStart"/>
      <w:r>
        <w:rPr>
          <w:szCs w:val="24"/>
        </w:rPr>
        <w:t>Ponty</w:t>
      </w:r>
      <w:proofErr w:type="spellEnd"/>
      <w:r>
        <w:rPr>
          <w:szCs w:val="24"/>
        </w:rPr>
        <w:t xml:space="preserve">, 1964, p. 143). The phenomenon of teachers’ experiences is grounded in the chiasm between teachers and students. The teachers’ experience is that they touch the students in various ways (represented by the themes within this study), and they are, in turn, touched by the students’ experiences, which they, too, experience (also represented by the themes in this study). The wave, which is the teacher, touches itself, and the place at which it curls over and touches itself is the student. This is chiasm, depicted in this study as the circular ground, representative of the circle seen when a wave curls back upon itself.  </w:t>
      </w:r>
    </w:p>
    <w:p w:rsidR="00ED06A4" w:rsidRDefault="00ED06A4" w:rsidP="00ED06A4">
      <w:pPr>
        <w:pStyle w:val="BodyTextIndent"/>
        <w:spacing w:after="0" w:line="480" w:lineRule="auto"/>
        <w:rPr>
          <w:szCs w:val="24"/>
        </w:rPr>
      </w:pPr>
      <w:r>
        <w:rPr>
          <w:szCs w:val="24"/>
        </w:rPr>
        <w:t xml:space="preserve">There are four themes in the study: teachers experience change in the students as seen in students’ understanding educational concepts; teachers experience change in the students as seen in life changes for students outside of education; teachers experience a change in society; and teachers experience a change in themselves, noticed as emotion. These themes center </w:t>
      </w:r>
      <w:proofErr w:type="gramStart"/>
      <w:r>
        <w:rPr>
          <w:szCs w:val="24"/>
        </w:rPr>
        <w:t>around</w:t>
      </w:r>
      <w:proofErr w:type="gramEnd"/>
      <w:r>
        <w:rPr>
          <w:szCs w:val="24"/>
        </w:rPr>
        <w:t xml:space="preserve"> changes brought about by the relationship that develops between teachers and students. These changes are always experienced by the teachers but may be experienced by the teachers only as reflected in their experience of the students. </w:t>
      </w:r>
    </w:p>
    <w:p w:rsidR="00ED06A4" w:rsidRDefault="00ED06A4" w:rsidP="00ED06A4">
      <w:pPr>
        <w:pStyle w:val="BodyTextIndent"/>
        <w:spacing w:after="0" w:line="480" w:lineRule="auto"/>
        <w:rPr>
          <w:szCs w:val="24"/>
        </w:rPr>
      </w:pPr>
      <w:r>
        <w:rPr>
          <w:szCs w:val="24"/>
        </w:rPr>
        <w:t xml:space="preserve">The central image representing the themes is the Necker Cube, a biphasic image representing changes in perspective. The cube here represents the themes that are grounded in </w:t>
      </w:r>
      <w:r>
        <w:rPr>
          <w:szCs w:val="24"/>
        </w:rPr>
        <w:lastRenderedPageBreak/>
        <w:t>the chiasm between teachers and students and the manner in which the perspective of these themes can switch between teachers and students. That is to say, themes are seen from the teachers’ experiences, but the teachers’ experiences may be seen only when reflected in the students’ experiences. On the figure, one face/phase represents the teachers (T) while the other face/phase represents the students (S). Themes are represented on the (viewer’s) left edge of each face/phase. Teachers’ experiences that are known only through reflection of the students are represented by numbers 1 and 2, which are on the left leading edge of the face/phase of S. Teachers’ experiences recognized as occurring in the teachers, themselves, are represented by numbers 3 and 4, which are on the left leading edge of the face/phase of T.</w:t>
      </w:r>
    </w:p>
    <w:p w:rsidR="00ED06A4" w:rsidRDefault="00ED06A4" w:rsidP="00ED06A4">
      <w:pPr>
        <w:spacing w:after="0" w:line="480" w:lineRule="auto"/>
        <w:ind w:left="720"/>
        <w:rPr>
          <w:szCs w:val="24"/>
        </w:rPr>
      </w:pPr>
      <w:r>
        <w:rPr>
          <w:szCs w:val="24"/>
        </w:rPr>
        <w:t>The theme, “The light bulb goes off,” (point S1), is the teachers’ experiences of the</w:t>
      </w:r>
    </w:p>
    <w:p w:rsidR="00ED06A4" w:rsidRDefault="00ED06A4" w:rsidP="00ED06A4">
      <w:pPr>
        <w:spacing w:after="0" w:line="480" w:lineRule="auto"/>
      </w:pPr>
      <w:r>
        <w:rPr>
          <w:szCs w:val="24"/>
        </w:rPr>
        <w:t xml:space="preserve"> </w:t>
      </w:r>
      <w:proofErr w:type="gramStart"/>
      <w:r>
        <w:rPr>
          <w:szCs w:val="24"/>
        </w:rPr>
        <w:t>students</w:t>
      </w:r>
      <w:proofErr w:type="gramEnd"/>
      <w:r>
        <w:rPr>
          <w:szCs w:val="24"/>
        </w:rPr>
        <w:t xml:space="preserve">’ recognition or understanding of an educational concept. </w:t>
      </w:r>
      <w:proofErr w:type="gramStart"/>
      <w:r>
        <w:rPr>
          <w:szCs w:val="24"/>
        </w:rPr>
        <w:t>Elaine’s example of explaining a geometry problem to a student and the student’s reaction of “</w:t>
      </w:r>
      <w:r>
        <w:t>Wow!</w:t>
      </w:r>
      <w:proofErr w:type="gramEnd"/>
      <w:r>
        <w:t xml:space="preserve"> This is cool as hell” (Elaine, 63-64), represents a change in the student’s understanding of mathematics as experienced by the teacher. Similarly, the theme, “They realize they can accomplish something” (point S2), is the teachers’ experiences of the students’ recognition that they can achieve something in their lives: “I think the biggest thing is I can see the sense of pride in themselves. And, like I said, they realize that they can accomplish something” (Debbie, 72-73). The teacher only experiences this through the students’ showing a sense of pride in themselves. While it is the students’ experience of pride, the teachers also experience it through the </w:t>
      </w:r>
      <w:proofErr w:type="spellStart"/>
      <w:r>
        <w:t>chiasmatic</w:t>
      </w:r>
      <w:proofErr w:type="spellEnd"/>
      <w:r>
        <w:t xml:space="preserve"> relationship that exists between the two. The left, leading edge of the student face/phase (S1-2) becomes the left, rear edge of the teacher face/phase (T1-2).</w:t>
      </w:r>
    </w:p>
    <w:p w:rsidR="00ED06A4" w:rsidRDefault="00ED06A4" w:rsidP="00ED06A4">
      <w:pPr>
        <w:spacing w:after="0" w:line="480" w:lineRule="auto"/>
      </w:pPr>
      <w:r>
        <w:tab/>
        <w:t>The theme, “You’ve helped make the world a better place,” represents the teachers’ experiences of what they do, the benefits to society of teaching court-mandated students:</w:t>
      </w:r>
    </w:p>
    <w:p w:rsidR="00ED06A4" w:rsidRDefault="00ED06A4" w:rsidP="00ED06A4">
      <w:pPr>
        <w:spacing w:after="0" w:line="480" w:lineRule="auto"/>
        <w:ind w:firstLine="720"/>
      </w:pPr>
      <w:r>
        <w:lastRenderedPageBreak/>
        <w:t>I: What’s the return on the investment that you see?</w:t>
      </w:r>
    </w:p>
    <w:p w:rsidR="00ED06A4" w:rsidRDefault="00ED06A4" w:rsidP="00ED06A4">
      <w:pPr>
        <w:spacing w:after="0" w:line="480" w:lineRule="auto"/>
        <w:ind w:left="720"/>
      </w:pPr>
      <w:r>
        <w:t xml:space="preserve">P: Oh, just to society. Hopefully, he’ll soon be a taxpayer. He will not be criminally involved. Hopefully, he’ll turn his life around, make some money, </w:t>
      </w:r>
      <w:proofErr w:type="gramStart"/>
      <w:r>
        <w:t>buy</w:t>
      </w:r>
      <w:proofErr w:type="gramEnd"/>
      <w:r>
        <w:t xml:space="preserve"> his own car. He won’t have to go from house to house to live, perhaps get an apartment and be set for life, self-sufficient. That’s the payoff. (</w:t>
      </w:r>
      <w:proofErr w:type="spellStart"/>
      <w:r>
        <w:t>Gomer</w:t>
      </w:r>
      <w:proofErr w:type="spellEnd"/>
      <w:r>
        <w:t>, 29-33)</w:t>
      </w:r>
    </w:p>
    <w:p w:rsidR="00ED06A4" w:rsidRDefault="00ED06A4" w:rsidP="00ED06A4">
      <w:pPr>
        <w:spacing w:after="0" w:line="480" w:lineRule="auto"/>
      </w:pPr>
      <w:r>
        <w:t xml:space="preserve">This theme of making a difference in society is represented by the point, T3. The theme, “That was a huge warm fuzzy,” is the teachers’ experiences of what they experience internally, emotionally, through their relationship with the students: </w:t>
      </w:r>
    </w:p>
    <w:p w:rsidR="00ED06A4" w:rsidRDefault="00ED06A4" w:rsidP="00ED06A4">
      <w:pPr>
        <w:spacing w:after="0" w:line="480" w:lineRule="auto"/>
        <w:ind w:left="720"/>
      </w:pPr>
      <w:r>
        <w:rPr>
          <w:rStyle w:val="hw"/>
        </w:rPr>
        <w:t xml:space="preserve">I have to say it’s just the most fulfilling labor of love, and </w:t>
      </w:r>
      <w:proofErr w:type="gramStart"/>
      <w:r>
        <w:rPr>
          <w:rStyle w:val="hw"/>
        </w:rPr>
        <w:t>it’s</w:t>
      </w:r>
      <w:proofErr w:type="gramEnd"/>
      <w:r>
        <w:rPr>
          <w:rStyle w:val="hw"/>
        </w:rPr>
        <w:t xml:space="preserve"> four nights a week…. I love helping people, especially young people, ‘</w:t>
      </w:r>
      <w:proofErr w:type="gramStart"/>
      <w:r>
        <w:rPr>
          <w:rStyle w:val="hw"/>
        </w:rPr>
        <w:t>cause</w:t>
      </w:r>
      <w:proofErr w:type="gramEnd"/>
      <w:r>
        <w:rPr>
          <w:rStyle w:val="hw"/>
        </w:rPr>
        <w:t xml:space="preserve"> I see my children in them. And it’s just a great thing. Somebody’s </w:t>
      </w:r>
      <w:proofErr w:type="spellStart"/>
      <w:r>
        <w:rPr>
          <w:rStyle w:val="hw"/>
        </w:rPr>
        <w:t>gotta</w:t>
      </w:r>
      <w:proofErr w:type="spellEnd"/>
      <w:r>
        <w:rPr>
          <w:rStyle w:val="hw"/>
        </w:rPr>
        <w:t xml:space="preserve"> do it. Somebody’s </w:t>
      </w:r>
      <w:proofErr w:type="spellStart"/>
      <w:r>
        <w:rPr>
          <w:rStyle w:val="hw"/>
        </w:rPr>
        <w:t>gonna</w:t>
      </w:r>
      <w:proofErr w:type="spellEnd"/>
      <w:r>
        <w:rPr>
          <w:rStyle w:val="hw"/>
        </w:rPr>
        <w:t xml:space="preserve"> make a change and some of us try to do that positively, and we see the fruits of our labor once in a great while. It makes it worth it. I’m not here for the money at night, trust me. (</w:t>
      </w:r>
      <w:proofErr w:type="spellStart"/>
      <w:r>
        <w:rPr>
          <w:rStyle w:val="hw"/>
        </w:rPr>
        <w:t>Gomer</w:t>
      </w:r>
      <w:proofErr w:type="spellEnd"/>
      <w:r>
        <w:rPr>
          <w:rStyle w:val="hw"/>
        </w:rPr>
        <w:t>, 321-326)</w:t>
      </w:r>
    </w:p>
    <w:p w:rsidR="00ED06A4" w:rsidRDefault="00ED06A4" w:rsidP="00ED06A4">
      <w:pPr>
        <w:spacing w:after="0" w:line="480" w:lineRule="auto"/>
      </w:pPr>
      <w:r>
        <w:t xml:space="preserve">This theme of an emotional reaction to working with the students is represented as point, T4. This is the front leading edge of the teachers’ experiences (T3-4). While these experiences are within the teachers, they cannot be separated from the students, and T3-4 becomes the left, rear edge of the students’ experiences (S3-4). </w:t>
      </w:r>
    </w:p>
    <w:p w:rsidR="00ED06A4" w:rsidRDefault="00ED06A4" w:rsidP="00ED06A4">
      <w:pPr>
        <w:spacing w:after="0" w:line="480" w:lineRule="auto"/>
      </w:pPr>
      <w:r>
        <w:tab/>
        <w:t xml:space="preserve">Within the ground of chiasm, these four themes flip back and forth, being in the leading edge of one perspective as subject and being in the rear edge of another perspective as object, and then reversing positions between subject and object. This variability adequately reflects the teacher-student relationship in this study. That such a relationship exists holds interesting questions for theory and practice within the field of adult education </w:t>
      </w:r>
      <w:proofErr w:type="gramStart"/>
      <w:r>
        <w:t>specifically,</w:t>
      </w:r>
      <w:proofErr w:type="gramEnd"/>
      <w:r>
        <w:t xml:space="preserve"> and educational psychology in general. </w:t>
      </w:r>
    </w:p>
    <w:p w:rsidR="00ED06A4" w:rsidRDefault="00ED06A4" w:rsidP="00ED06A4">
      <w:pPr>
        <w:pStyle w:val="Heading2"/>
      </w:pPr>
      <w:bookmarkStart w:id="20" w:name="_Toc309015920"/>
      <w:r>
        <w:lastRenderedPageBreak/>
        <w:t>Contextual Ground and Themes</w:t>
      </w:r>
      <w:bookmarkEnd w:id="20"/>
    </w:p>
    <w:p w:rsidR="00ED06A4" w:rsidRDefault="00ED06A4" w:rsidP="00ED06A4">
      <w:pPr>
        <w:pStyle w:val="BodyTextIndent"/>
        <w:spacing w:after="0" w:line="480" w:lineRule="auto"/>
        <w:rPr>
          <w:szCs w:val="24"/>
        </w:rPr>
      </w:pPr>
      <w:r>
        <w:rPr>
          <w:szCs w:val="24"/>
        </w:rPr>
        <w:t>The contextual ground and themes will be presented</w:t>
      </w:r>
      <w:r w:rsidRPr="00DB1A57">
        <w:rPr>
          <w:szCs w:val="24"/>
        </w:rPr>
        <w:t xml:space="preserve"> </w:t>
      </w:r>
      <w:r>
        <w:rPr>
          <w:szCs w:val="24"/>
        </w:rPr>
        <w:t xml:space="preserve">here. The data supporting the ground will be presented, followed by the themes and data that support them. Multiple quotations from the data have been used to show that no cherry picking of data to support thematic assignments was done. The ground and themes were supported by abundant contextual data both within each interview and across the interviews.    </w:t>
      </w:r>
    </w:p>
    <w:p w:rsidR="00ED06A4" w:rsidRDefault="00ED06A4" w:rsidP="00ED06A4">
      <w:pPr>
        <w:pStyle w:val="Heading3"/>
      </w:pPr>
      <w:r>
        <w:t>Contextual Ground: Special Relationship between Teachers and Students (Chiasm): “Your world stops.”</w:t>
      </w:r>
    </w:p>
    <w:p w:rsidR="00ED06A4" w:rsidRDefault="00ED06A4" w:rsidP="00ED06A4">
      <w:pPr>
        <w:pStyle w:val="BodyTextIndent"/>
        <w:spacing w:after="0" w:line="480" w:lineRule="auto"/>
        <w:rPr>
          <w:szCs w:val="24"/>
        </w:rPr>
      </w:pPr>
      <w:r>
        <w:rPr>
          <w:szCs w:val="24"/>
        </w:rPr>
        <w:t>Reading though the transcripts themselves that are the data in this study, one learns that there is a chiasm between teachers and students. When asked about their experiences, teachers begin by telling about their students. It is as if one does not exist without the other, and the teachers’ experiences cannot be understood without understanding the students being taught. This is reasonable, as teachers seem to have the idea that only by understanding the environment in which they work, the world of the students, can one truly understand their experiences. Teachers share their distinct experiences, but these distinct experiences are only vague blots that form the gestalt of the experience itself. These distinct experiences are not their considered experiences. They are not the essence (</w:t>
      </w:r>
      <w:proofErr w:type="spellStart"/>
      <w:r>
        <w:rPr>
          <w:iCs/>
          <w:szCs w:val="24"/>
        </w:rPr>
        <w:t>eidae</w:t>
      </w:r>
      <w:proofErr w:type="spellEnd"/>
      <w:r>
        <w:rPr>
          <w:szCs w:val="24"/>
        </w:rPr>
        <w:t xml:space="preserve">) of their experiences, but all of these things are constituents of the </w:t>
      </w:r>
      <w:proofErr w:type="spellStart"/>
      <w:r>
        <w:rPr>
          <w:iCs/>
          <w:szCs w:val="24"/>
        </w:rPr>
        <w:t>eidae</w:t>
      </w:r>
      <w:proofErr w:type="spellEnd"/>
      <w:r>
        <w:rPr>
          <w:szCs w:val="24"/>
        </w:rPr>
        <w:t xml:space="preserve">. They are the pre-reflective experiences, the </w:t>
      </w:r>
      <w:proofErr w:type="spellStart"/>
      <w:r>
        <w:rPr>
          <w:iCs/>
          <w:szCs w:val="24"/>
        </w:rPr>
        <w:t>Lebenswelt</w:t>
      </w:r>
      <w:proofErr w:type="spellEnd"/>
      <w:r>
        <w:rPr>
          <w:szCs w:val="24"/>
        </w:rPr>
        <w:t xml:space="preserve">, from which the </w:t>
      </w:r>
      <w:proofErr w:type="spellStart"/>
      <w:r>
        <w:rPr>
          <w:iCs/>
          <w:szCs w:val="24"/>
        </w:rPr>
        <w:t>eidae</w:t>
      </w:r>
      <w:proofErr w:type="spellEnd"/>
      <w:r>
        <w:rPr>
          <w:szCs w:val="24"/>
        </w:rPr>
        <w:t xml:space="preserve"> are distilled.  This is seen in the chiasm that exists between teachers and students in this study. The teachers describe their students, and thereby the environment in which they must operate, because it is only through an understanding of the environment, they seem to imply, </w:t>
      </w:r>
      <w:proofErr w:type="gramStart"/>
      <w:r>
        <w:rPr>
          <w:szCs w:val="24"/>
        </w:rPr>
        <w:t>that</w:t>
      </w:r>
      <w:proofErr w:type="gramEnd"/>
      <w:r>
        <w:rPr>
          <w:szCs w:val="24"/>
        </w:rPr>
        <w:t xml:space="preserve"> their experiences can be understood. </w:t>
      </w:r>
    </w:p>
    <w:p w:rsidR="00ED06A4" w:rsidRDefault="00ED06A4" w:rsidP="00ED06A4">
      <w:pPr>
        <w:pStyle w:val="BodyTextIndent"/>
        <w:spacing w:after="0" w:line="480" w:lineRule="auto"/>
        <w:ind w:firstLine="0"/>
        <w:rPr>
          <w:szCs w:val="24"/>
        </w:rPr>
      </w:pPr>
      <w:r>
        <w:rPr>
          <w:szCs w:val="24"/>
        </w:rPr>
        <w:lastRenderedPageBreak/>
        <w:tab/>
        <w:t xml:space="preserve">This Gordian </w:t>
      </w:r>
      <w:proofErr w:type="gramStart"/>
      <w:r>
        <w:rPr>
          <w:szCs w:val="24"/>
        </w:rPr>
        <w:t>Knot</w:t>
      </w:r>
      <w:proofErr w:type="gramEnd"/>
      <w:r>
        <w:rPr>
          <w:szCs w:val="24"/>
        </w:rPr>
        <w:t xml:space="preserve"> of </w:t>
      </w:r>
      <w:proofErr w:type="spellStart"/>
      <w:r>
        <w:rPr>
          <w:szCs w:val="24"/>
        </w:rPr>
        <w:t>chiasmatic</w:t>
      </w:r>
      <w:proofErr w:type="spellEnd"/>
      <w:r>
        <w:rPr>
          <w:szCs w:val="24"/>
        </w:rPr>
        <w:t xml:space="preserve"> interrelationship is the prominent ground within the research. It is the existential ground of others. It is only through the relationship with the other that one’s work finds meaning. Indeed, the presence of </w:t>
      </w:r>
      <w:proofErr w:type="spellStart"/>
      <w:r>
        <w:rPr>
          <w:iCs/>
          <w:szCs w:val="24"/>
        </w:rPr>
        <w:t>Ineinander</w:t>
      </w:r>
      <w:proofErr w:type="spellEnd"/>
      <w:r>
        <w:rPr>
          <w:iCs/>
          <w:szCs w:val="24"/>
        </w:rPr>
        <w:t xml:space="preserve"> (“in one another”)</w:t>
      </w:r>
      <w:r>
        <w:rPr>
          <w:szCs w:val="24"/>
        </w:rPr>
        <w:t xml:space="preserve"> is so stark within the experience between teachers and students that Flo spoke of having her “world stop” when the correctional students came into class and she felt like she was the one “on probation,” going as far as to suggest she “go serve his time” instead of the student, a fine example of </w:t>
      </w:r>
      <w:proofErr w:type="spellStart"/>
      <w:r>
        <w:rPr>
          <w:iCs/>
          <w:szCs w:val="24"/>
        </w:rPr>
        <w:t>Einfulung</w:t>
      </w:r>
      <w:proofErr w:type="spellEnd"/>
      <w:r>
        <w:rPr>
          <w:iCs/>
          <w:szCs w:val="24"/>
        </w:rPr>
        <w:t xml:space="preserve"> (empathy)</w:t>
      </w:r>
      <w:r>
        <w:rPr>
          <w:szCs w:val="24"/>
        </w:rPr>
        <w:t xml:space="preserve"> between teacher and students that repeated itself throughout the research:</w:t>
      </w:r>
    </w:p>
    <w:p w:rsidR="00ED06A4" w:rsidRDefault="00ED06A4" w:rsidP="00ED06A4">
      <w:pPr>
        <w:spacing w:after="0" w:line="480" w:lineRule="auto"/>
        <w:ind w:left="720"/>
      </w:pPr>
      <w:r>
        <w:t xml:space="preserve">So, I guess you would say we have been real busy, we’d be into something, and </w:t>
      </w:r>
      <w:proofErr w:type="spellStart"/>
      <w:r>
        <w:t>somebody’d</w:t>
      </w:r>
      <w:proofErr w:type="spellEnd"/>
      <w:r>
        <w:t xml:space="preserve"> walk in, and you just change your – your world stops because you’ve got to get them – that’s your job. (Flo, 508-510)</w:t>
      </w:r>
    </w:p>
    <w:p w:rsidR="00ED06A4" w:rsidRDefault="00ED06A4" w:rsidP="00ED06A4">
      <w:pPr>
        <w:spacing w:after="0" w:line="480" w:lineRule="auto"/>
        <w:ind w:left="720"/>
      </w:pPr>
    </w:p>
    <w:p w:rsidR="00ED06A4" w:rsidRDefault="00ED06A4" w:rsidP="00ED06A4">
      <w:pPr>
        <w:spacing w:after="0" w:line="480" w:lineRule="auto"/>
        <w:ind w:left="720"/>
      </w:pPr>
      <w:r>
        <w:t xml:space="preserve">I: So that’s an interesting metaphor, that when these students walk in, “your world stops,” and it sort of becomes, then – </w:t>
      </w:r>
      <w:r>
        <w:br/>
        <w:t>P: Their world. (Flo, 514-516)</w:t>
      </w:r>
    </w:p>
    <w:p w:rsidR="00ED06A4" w:rsidRDefault="00ED06A4" w:rsidP="00ED06A4">
      <w:pPr>
        <w:spacing w:after="0" w:line="480" w:lineRule="auto"/>
        <w:ind w:left="720"/>
      </w:pPr>
    </w:p>
    <w:p w:rsidR="00ED06A4" w:rsidRDefault="00ED06A4" w:rsidP="00ED06A4">
      <w:pPr>
        <w:spacing w:after="0" w:line="480" w:lineRule="auto"/>
        <w:ind w:left="720"/>
      </w:pPr>
      <w:r>
        <w:t>Tell ‘</w:t>
      </w:r>
      <w:proofErr w:type="spellStart"/>
      <w:r>
        <w:t>em</w:t>
      </w:r>
      <w:proofErr w:type="spellEnd"/>
      <w:r>
        <w:t xml:space="preserve"> they have to enroll ‘cause the probation officer needs to check in with the teacher to see what they’re capable of doing, because I even made the remark I felt like I was the one in jail when they send them and they can’t do it, you know, and causing trouble. (Flo, 601-604)</w:t>
      </w:r>
    </w:p>
    <w:p w:rsidR="00ED06A4" w:rsidRDefault="00ED06A4" w:rsidP="00ED06A4">
      <w:pPr>
        <w:spacing w:after="0" w:line="480" w:lineRule="auto"/>
        <w:ind w:left="720"/>
      </w:pPr>
    </w:p>
    <w:p w:rsidR="00ED06A4" w:rsidRDefault="00ED06A4" w:rsidP="00ED06A4">
      <w:pPr>
        <w:spacing w:after="0" w:line="480" w:lineRule="auto"/>
        <w:ind w:left="720"/>
      </w:pPr>
      <w:r>
        <w:t>I told one [probation officer] –I said, “Just let me go serve his time,” (Flo, 613).</w:t>
      </w:r>
    </w:p>
    <w:p w:rsidR="00ED06A4" w:rsidRDefault="00ED06A4" w:rsidP="00ED06A4">
      <w:pPr>
        <w:spacing w:after="0" w:line="480" w:lineRule="auto"/>
      </w:pPr>
      <w:r>
        <w:t xml:space="preserve">The examples above indicate an awareness of time  (“your world stops”)  and body  (“I felt like I was the one in jail”), but these experiences occur only within the context of the relationship that </w:t>
      </w:r>
      <w:r>
        <w:lastRenderedPageBreak/>
        <w:t xml:space="preserve">exists between student and teacher. While it was stimulating to toy with the idea of time and body being existential grounds within the text, there was no compelling evidence in the data to suggest these appeared across the data set. </w:t>
      </w:r>
    </w:p>
    <w:p w:rsidR="00ED06A4" w:rsidRDefault="00ED06A4" w:rsidP="00ED06A4">
      <w:pPr>
        <w:spacing w:after="0" w:line="480" w:lineRule="auto"/>
      </w:pPr>
      <w:r>
        <w:tab/>
        <w:t>Another way in which chiasm appears to define the ground of students is the interconnectivity between the students’ accomplishments and the teachers. For teachers, the students’ accomplishments are their accomplishments. Adam speaks of being pleased that his students have succeeded:</w:t>
      </w:r>
    </w:p>
    <w:p w:rsidR="00ED06A4" w:rsidRDefault="00ED06A4" w:rsidP="00ED06A4">
      <w:pPr>
        <w:spacing w:after="0" w:line="480" w:lineRule="auto"/>
        <w:ind w:left="720"/>
      </w:pPr>
      <w:r>
        <w:t>Well, I mean, I’m – I’m pretty pleased that I’ve got, I don’t know, several of the people that have come through here and got GEDs have went on to vocational schools. I’ve got three that are actually going to either (College A), you know, the community college, and I have one that’s in (College B). (Adam, 201-204)</w:t>
      </w:r>
    </w:p>
    <w:p w:rsidR="00ED06A4" w:rsidRDefault="00ED06A4" w:rsidP="00ED06A4">
      <w:pPr>
        <w:spacing w:after="0" w:line="480" w:lineRule="auto"/>
      </w:pPr>
      <w:r>
        <w:t>Blizzard speaks of her “ultimate triumph” of having her students succeeding and passing on the success:</w:t>
      </w:r>
    </w:p>
    <w:p w:rsidR="00ED06A4" w:rsidRDefault="00ED06A4" w:rsidP="00ED06A4">
      <w:pPr>
        <w:spacing w:after="0" w:line="480" w:lineRule="auto"/>
        <w:ind w:left="720"/>
      </w:pPr>
      <w:r>
        <w:t xml:space="preserve">Oh, I think I would be like – I don’t know. It wouldn’t – I don’t want to, well, blow my own horn here, but I just – to </w:t>
      </w:r>
      <w:proofErr w:type="gramStart"/>
      <w:r>
        <w:t>me, that</w:t>
      </w:r>
      <w:proofErr w:type="gramEnd"/>
      <w:r>
        <w:t xml:space="preserve"> would be like the ultimate triumph, to see one of the two of them maybe or anybody else that graduates volunteering their time anywhere in the city to help. It doesn’t have to be education; it can be anything, sports. That would be the ultimate for me, I think. (Blizzard, 306-310)</w:t>
      </w:r>
    </w:p>
    <w:p w:rsidR="00ED06A4" w:rsidRDefault="00ED06A4" w:rsidP="00ED06A4">
      <w:pPr>
        <w:spacing w:after="0" w:line="480" w:lineRule="auto"/>
      </w:pPr>
      <w:r>
        <w:t xml:space="preserve">Flo relates her experiences of students’ experiences as personal successes and failures: </w:t>
      </w:r>
    </w:p>
    <w:p w:rsidR="00ED06A4" w:rsidRDefault="00ED06A4" w:rsidP="00ED06A4">
      <w:pPr>
        <w:spacing w:after="0" w:line="480" w:lineRule="auto"/>
        <w:ind w:left="720"/>
      </w:pPr>
      <w:r>
        <w:t xml:space="preserve">So to stop what you’re doing, sometimes I get aggravated and I think, you know, </w:t>
      </w:r>
      <w:r>
        <w:rPr>
          <w:iCs/>
        </w:rPr>
        <w:t>Should I have done this? But if you do, if h</w:t>
      </w:r>
      <w:r>
        <w:t xml:space="preserve">e does pass his GED, then I would look back, </w:t>
      </w:r>
      <w:r>
        <w:rPr>
          <w:iCs/>
        </w:rPr>
        <w:t>Well, I got that one.</w:t>
      </w:r>
      <w:r>
        <w:rPr>
          <w:i/>
        </w:rPr>
        <w:t xml:space="preserve"> </w:t>
      </w:r>
      <w:r>
        <w:t>(Flo, 559-561)</w:t>
      </w:r>
    </w:p>
    <w:p w:rsidR="00ED06A4" w:rsidRDefault="00ED06A4" w:rsidP="00ED06A4">
      <w:pPr>
        <w:spacing w:after="0" w:line="480" w:lineRule="auto"/>
        <w:ind w:left="720"/>
      </w:pPr>
    </w:p>
    <w:p w:rsidR="00ED06A4" w:rsidRDefault="00ED06A4" w:rsidP="00ED06A4">
      <w:pPr>
        <w:spacing w:after="0" w:line="480" w:lineRule="auto"/>
        <w:ind w:left="720"/>
      </w:pPr>
      <w:r>
        <w:lastRenderedPageBreak/>
        <w:t xml:space="preserve">I think I didn’t help him. You know, I failed at that one. But – and I try to – I started to say, </w:t>
      </w:r>
      <w:r>
        <w:rPr>
          <w:iCs/>
        </w:rPr>
        <w:t>Well, that one, you let that one get by or you didn’t help that one.</w:t>
      </w:r>
      <w:r>
        <w:rPr>
          <w:i/>
        </w:rPr>
        <w:t xml:space="preserve"> </w:t>
      </w:r>
      <w:r>
        <w:t>(Flo, 584-585)</w:t>
      </w:r>
    </w:p>
    <w:p w:rsidR="00ED06A4" w:rsidRDefault="00ED06A4" w:rsidP="00ED06A4">
      <w:pPr>
        <w:spacing w:after="0" w:line="480" w:lineRule="auto"/>
      </w:pPr>
      <w:proofErr w:type="spellStart"/>
      <w:r>
        <w:t>Gomer</w:t>
      </w:r>
      <w:proofErr w:type="spellEnd"/>
      <w:r>
        <w:t xml:space="preserve"> talks about a personal return on the investment he has placed in the students:</w:t>
      </w:r>
    </w:p>
    <w:p w:rsidR="00ED06A4" w:rsidRDefault="00ED06A4" w:rsidP="00ED06A4">
      <w:pPr>
        <w:spacing w:after="0" w:line="480" w:lineRule="auto"/>
        <w:ind w:left="720"/>
      </w:pPr>
      <w:r>
        <w:t xml:space="preserve">Well, it’s very fulfilling to get those </w:t>
      </w:r>
      <w:proofErr w:type="spellStart"/>
      <w:r>
        <w:t>intrinsics</w:t>
      </w:r>
      <w:proofErr w:type="spellEnd"/>
      <w:r>
        <w:t>. It’s not necessarily they pay you all the time. It’s good to know that you’ve helped someone. He’s eighteen now. And it’s just a great feeling to know that you might have turned his future around a bit, showed him there’s a better way, and just help his life in general. And it kind of makes it worthwhile to help someone like that ‘</w:t>
      </w:r>
      <w:proofErr w:type="gramStart"/>
      <w:r>
        <w:t>cause</w:t>
      </w:r>
      <w:proofErr w:type="gramEnd"/>
      <w:r>
        <w:t xml:space="preserve"> you see the return on your investment with someone like Mr. Brown. (</w:t>
      </w:r>
      <w:proofErr w:type="spellStart"/>
      <w:r>
        <w:t>Gomer</w:t>
      </w:r>
      <w:proofErr w:type="spellEnd"/>
      <w:r>
        <w:t xml:space="preserve">, 23-28) </w:t>
      </w:r>
    </w:p>
    <w:p w:rsidR="00ED06A4" w:rsidRDefault="00ED06A4" w:rsidP="00ED06A4">
      <w:pPr>
        <w:spacing w:after="0" w:line="480" w:lineRule="auto"/>
      </w:pPr>
      <w:r>
        <w:t xml:space="preserve">These teachers are saying, in essence, that the students’ successes are their own successes and their failures are their own failures. My pleasure is derived not only from me performing my job as a teacher in an exemplary manner, but from the success of my students. While one may have an abstract or detached sense of accomplishment from seeing a student do well, when my emotions are predicated on the successes of the students, there is </w:t>
      </w:r>
      <w:proofErr w:type="gramStart"/>
      <w:r>
        <w:t>an empathy</w:t>
      </w:r>
      <w:proofErr w:type="gramEnd"/>
      <w:r>
        <w:t xml:space="preserve"> and sense of being connected that grounds the relationship in each other. This was repeated throughout the participants’ experiences. Both Carla and Flo state their experience of sadness:</w:t>
      </w:r>
    </w:p>
    <w:p w:rsidR="00ED06A4" w:rsidRDefault="00ED06A4" w:rsidP="00ED06A4">
      <w:pPr>
        <w:spacing w:after="0" w:line="480" w:lineRule="auto"/>
        <w:ind w:left="720"/>
      </w:pPr>
      <w:r>
        <w:t xml:space="preserve">It’s just </w:t>
      </w:r>
      <w:proofErr w:type="gramStart"/>
      <w:r>
        <w:t>a sadness</w:t>
      </w:r>
      <w:proofErr w:type="gramEnd"/>
      <w:r>
        <w:t xml:space="preserve"> that, you know, they don’t have what it takes to get some of the things that, you know, others find so easy. You know, you wonder, what happened or didn’t happen that they got left out in that particular category and at what point is it frustrating them to the point where maybe the time spent with them would be better used in another way, whether it’s watching a movie and trying to understand the dynamics of </w:t>
      </w:r>
      <w:proofErr w:type="spellStart"/>
      <w:r>
        <w:t>persdonal</w:t>
      </w:r>
      <w:proofErr w:type="spellEnd"/>
      <w:r>
        <w:t xml:space="preserve"> relationships in the movie and not so much scholarly things. (Carla, 127-132)</w:t>
      </w:r>
    </w:p>
    <w:p w:rsidR="00ED06A4" w:rsidRDefault="00ED06A4" w:rsidP="00ED06A4">
      <w:pPr>
        <w:spacing w:after="0" w:line="480" w:lineRule="auto"/>
        <w:ind w:left="720"/>
      </w:pPr>
    </w:p>
    <w:p w:rsidR="00ED06A4" w:rsidRDefault="00ED06A4" w:rsidP="00ED06A4">
      <w:pPr>
        <w:spacing w:after="0" w:line="480" w:lineRule="auto"/>
        <w:ind w:left="720"/>
      </w:pPr>
      <w:r>
        <w:lastRenderedPageBreak/>
        <w:t>The biggest thing that I don’t like working with adults is those that can’t learn. That’s – that’s the saddest part. That’s just heartbreaking to say they want to do it so bad and can’t. (Flo, 233-235).</w:t>
      </w:r>
    </w:p>
    <w:p w:rsidR="00ED06A4" w:rsidRDefault="00ED06A4" w:rsidP="00ED06A4">
      <w:pPr>
        <w:spacing w:after="0" w:line="480" w:lineRule="auto"/>
      </w:pPr>
      <w:r>
        <w:t xml:space="preserve">Sadness, or any emotion, denotes a relationship, as one does not feel emotions (except abstractly) for people about whom one does not care. Again, this relationship, this caring, is grounded in the students themselves. Other emotions experienced within the context of the teacher-student relationship are joy, pride, and disappointment. </w:t>
      </w:r>
    </w:p>
    <w:p w:rsidR="00ED06A4" w:rsidRDefault="00ED06A4" w:rsidP="00ED06A4">
      <w:pPr>
        <w:spacing w:after="0" w:line="480" w:lineRule="auto"/>
        <w:ind w:left="720"/>
      </w:pPr>
      <w:r>
        <w:t>It’s just joyful. It’s just a good feeling. You know, they’ve accomplished it, but you feel like you’ve accomplished something too (Carla, 87-88).</w:t>
      </w:r>
    </w:p>
    <w:p w:rsidR="00ED06A4" w:rsidRDefault="00ED06A4" w:rsidP="00ED06A4">
      <w:pPr>
        <w:spacing w:after="0" w:line="480" w:lineRule="auto"/>
        <w:ind w:left="720"/>
      </w:pPr>
    </w:p>
    <w:p w:rsidR="00ED06A4" w:rsidRDefault="00ED06A4" w:rsidP="00ED06A4">
      <w:pPr>
        <w:spacing w:after="0" w:line="480" w:lineRule="auto"/>
        <w:ind w:left="720"/>
      </w:pPr>
      <w:r>
        <w:t>Well, it just makes me really proud. And usually I’ll talk to ‘</w:t>
      </w:r>
      <w:proofErr w:type="spellStart"/>
      <w:r>
        <w:t>em</w:t>
      </w:r>
      <w:proofErr w:type="spellEnd"/>
      <w:r>
        <w:t xml:space="preserve"> because – I don’t supervise caseload anymore, but because the offenders come through the office and I get to see ‘</w:t>
      </w:r>
      <w:proofErr w:type="spellStart"/>
      <w:r>
        <w:t>em</w:t>
      </w:r>
      <w:proofErr w:type="spellEnd"/>
      <w:r>
        <w:t xml:space="preserve"> and kind of follow ‘</w:t>
      </w:r>
      <w:proofErr w:type="spellStart"/>
      <w:r>
        <w:t>em</w:t>
      </w:r>
      <w:proofErr w:type="spellEnd"/>
      <w:r>
        <w:t xml:space="preserve"> somewhat, you know, then I can talk to ‘</w:t>
      </w:r>
      <w:proofErr w:type="spellStart"/>
      <w:r>
        <w:t>em</w:t>
      </w:r>
      <w:proofErr w:type="spellEnd"/>
      <w:r>
        <w:t xml:space="preserve"> and say, “Now, see, I know when I first said you were going to get your GED, you were reluctant and you didn’t want to go with me.” I said, “Now look what you’ve accomplished.” And I think it gives them a sense of pride, and, of course, it gives me a sense of pride, too, to know that they’ve accomplished something. (Debbie, 42-48)</w:t>
      </w:r>
    </w:p>
    <w:p w:rsidR="00ED06A4" w:rsidRDefault="00ED06A4" w:rsidP="00ED06A4">
      <w:pPr>
        <w:spacing w:after="0" w:line="480" w:lineRule="auto"/>
        <w:ind w:left="720"/>
      </w:pPr>
    </w:p>
    <w:p w:rsidR="00ED06A4" w:rsidRDefault="00ED06A4" w:rsidP="00ED06A4">
      <w:pPr>
        <w:spacing w:after="0" w:line="480" w:lineRule="auto"/>
        <w:ind w:left="720"/>
      </w:pPr>
      <w:r>
        <w:t xml:space="preserve">That I influenced his life positively; that it was – you </w:t>
      </w:r>
      <w:proofErr w:type="gramStart"/>
      <w:r>
        <w:t>know,</w:t>
      </w:r>
      <w:proofErr w:type="gramEnd"/>
      <w:r>
        <w:t xml:space="preserve"> that he was proud of that moment and I was part of it. So it provides me with a sense of accomplishment. (Adam, 191-192)</w:t>
      </w:r>
    </w:p>
    <w:p w:rsidR="00ED06A4" w:rsidRDefault="00ED06A4" w:rsidP="00ED06A4">
      <w:pPr>
        <w:spacing w:after="0" w:line="480" w:lineRule="auto"/>
        <w:ind w:left="720"/>
      </w:pPr>
    </w:p>
    <w:p w:rsidR="00ED06A4" w:rsidRDefault="00ED06A4" w:rsidP="00ED06A4">
      <w:pPr>
        <w:spacing w:after="0" w:line="480" w:lineRule="auto"/>
        <w:ind w:left="720"/>
      </w:pPr>
      <w:r>
        <w:lastRenderedPageBreak/>
        <w:t>It’s just, well, we do have an investment. We have work equity. And we really hate to see that because these are young people that are so bright, they learn so quickly, we thought they were doing well. We don’t fault ourselves, because we treat everyone the same. It’s very disappointing. It’s just a human nature thing. It’s just very disappointing to see them slip right back to the same old stuff and probably get in trouble, go back to jail, go to prison. And it’s – it’s very disappointing to hear something like that, much less read about them in the paper or watch them on TV, and that’s happened too, you know. (</w:t>
      </w:r>
      <w:proofErr w:type="spellStart"/>
      <w:r>
        <w:t>Gomer</w:t>
      </w:r>
      <w:proofErr w:type="spellEnd"/>
      <w:r>
        <w:t>, 69-76)</w:t>
      </w:r>
    </w:p>
    <w:p w:rsidR="00ED06A4" w:rsidRDefault="00ED06A4" w:rsidP="00ED06A4">
      <w:pPr>
        <w:spacing w:after="0" w:line="480" w:lineRule="auto"/>
        <w:ind w:left="720"/>
      </w:pPr>
    </w:p>
    <w:p w:rsidR="00ED06A4" w:rsidRDefault="00ED06A4" w:rsidP="00ED06A4">
      <w:pPr>
        <w:spacing w:after="0" w:line="480" w:lineRule="auto"/>
      </w:pPr>
      <w:r>
        <w:tab/>
        <w:t xml:space="preserve">As will become even more apparent as the themes are explicated, because of the chiasm that exists between teachers and students, ground and themes are all intertwined. What will contextually appear as an indication of the ground of the </w:t>
      </w:r>
      <w:proofErr w:type="spellStart"/>
      <w:r>
        <w:t>chiasmatic</w:t>
      </w:r>
      <w:proofErr w:type="spellEnd"/>
      <w:r>
        <w:t xml:space="preserve"> relationship may also contextually appear as a theme of relationships between teachers and students and even as a theme of the change brought about by the relationship between teachers and students and grounded within the students. </w:t>
      </w:r>
    </w:p>
    <w:p w:rsidR="00ED06A4" w:rsidRDefault="00ED06A4" w:rsidP="00ED06A4">
      <w:pPr>
        <w:spacing w:after="0" w:line="480" w:lineRule="auto"/>
        <w:ind w:firstLine="720"/>
      </w:pPr>
      <w:r>
        <w:t xml:space="preserve">All of the themes emerged from the central ground of the special relationship that exists between teachers and students. It is the relationship between the teacher and the student that stands out in the analysis of the data and grounds the study. </w:t>
      </w:r>
    </w:p>
    <w:p w:rsidR="00ED06A4" w:rsidRDefault="00ED06A4" w:rsidP="00ED06A4">
      <w:pPr>
        <w:spacing w:after="0" w:line="480" w:lineRule="auto"/>
        <w:ind w:firstLine="720"/>
      </w:pPr>
      <w:r>
        <w:t>Adam took note of his picture hanging in a student’s house:</w:t>
      </w:r>
    </w:p>
    <w:p w:rsidR="00ED06A4" w:rsidRDefault="00ED06A4" w:rsidP="00ED06A4">
      <w:pPr>
        <w:pStyle w:val="BodyTextIndent"/>
        <w:spacing w:after="0" w:line="480" w:lineRule="auto"/>
        <w:ind w:left="720" w:firstLine="0"/>
      </w:pPr>
      <w:r>
        <w:t>And he wound up getting his GED and participated in the adult education graduation ceremony they have annually here, which is real nice for ‘</w:t>
      </w:r>
      <w:proofErr w:type="spellStart"/>
      <w:r>
        <w:t>em</w:t>
      </w:r>
      <w:proofErr w:type="spellEnd"/>
      <w:r>
        <w:t xml:space="preserve">. They get caps, gowns, get to walk across the stage, have a reception, they take photographs and stuff and, you know, and he had his family, his kids there with him, and he and I took a photo together. </w:t>
      </w:r>
      <w:r>
        <w:lastRenderedPageBreak/>
        <w:t>And later, when I was doing home visits, his was actually one of the residences that I needed to check. When I was looking, I noticed that there was a big – a framed eight by ten of he and I hanging in his hallway. (Adam, 14-20)</w:t>
      </w:r>
    </w:p>
    <w:p w:rsidR="00ED06A4" w:rsidRDefault="00ED06A4" w:rsidP="00ED06A4">
      <w:pPr>
        <w:pStyle w:val="BodyTextIndent"/>
        <w:spacing w:after="0" w:line="480" w:lineRule="auto"/>
        <w:ind w:firstLine="0"/>
      </w:pPr>
      <w:r>
        <w:t>And it was this same student for whom Adam cut short his family’s out-of-town vacation, so he could attend the graduation ceremony:</w:t>
      </w:r>
    </w:p>
    <w:p w:rsidR="00ED06A4" w:rsidRDefault="00ED06A4" w:rsidP="00ED06A4">
      <w:pPr>
        <w:spacing w:after="0" w:line="480" w:lineRule="auto"/>
        <w:ind w:left="720"/>
      </w:pPr>
      <w:r>
        <w:t xml:space="preserve">I even came back from vacation early to attend his graduation. I cut my vacation short by one day to be here. My wife didn’t really like cutting our vacation short. </w:t>
      </w:r>
    </w:p>
    <w:p w:rsidR="00ED06A4" w:rsidRDefault="00ED06A4" w:rsidP="00ED06A4">
      <w:pPr>
        <w:spacing w:after="0" w:line="480" w:lineRule="auto"/>
        <w:ind w:firstLine="720"/>
      </w:pPr>
      <w:r>
        <w:t>I: I’ll bet not.</w:t>
      </w:r>
    </w:p>
    <w:p w:rsidR="00ED06A4" w:rsidRDefault="00ED06A4" w:rsidP="00ED06A4">
      <w:pPr>
        <w:spacing w:after="0" w:line="480" w:lineRule="auto"/>
        <w:ind w:left="720"/>
      </w:pPr>
      <w:r>
        <w:t>P: I was tan because we had been at the beach, and I was pretty dark. And this guy was black, but he was very light skinned. So when he hung the picture [of his GED graduation] on his wall, one of his friends asked him if I was his dad. (Adam, 222-228)</w:t>
      </w:r>
    </w:p>
    <w:p w:rsidR="00ED06A4" w:rsidRDefault="00ED06A4" w:rsidP="00ED06A4">
      <w:pPr>
        <w:pStyle w:val="BodyTextIndent"/>
        <w:spacing w:after="0" w:line="480" w:lineRule="auto"/>
        <w:ind w:firstLine="0"/>
      </w:pPr>
      <w:r>
        <w:t>The other participants also relate their experiences, which indicate the theme of relationships. Blizzard spoke of the connection between teacher and students:</w:t>
      </w:r>
    </w:p>
    <w:p w:rsidR="00ED06A4" w:rsidRDefault="00ED06A4" w:rsidP="00ED06A4">
      <w:pPr>
        <w:spacing w:after="0" w:line="480" w:lineRule="auto"/>
        <w:ind w:left="720"/>
      </w:pPr>
      <w:r>
        <w:t>And so, you know, there’s a lot of dynamics going on there. But in the classroom they seem to really want to make a connection with the teacher and, you know, that there’s consistency there, that I’m going to be the same every week and be nice to them and helpful, and I think that stands out at this place real strongly. (Blizzard, 186-189)</w:t>
      </w:r>
    </w:p>
    <w:p w:rsidR="00ED06A4" w:rsidRDefault="00ED06A4" w:rsidP="00ED06A4">
      <w:pPr>
        <w:spacing w:after="0" w:line="480" w:lineRule="auto"/>
        <w:ind w:left="720"/>
        <w:rPr>
          <w:szCs w:val="24"/>
        </w:rPr>
      </w:pPr>
      <w:r>
        <w:t>Yeah, they want – they want – I don’t know that they want to know a lot about your life, but they want to know, you know, a little bit about what’s going on with you. And they want to be able to tell you about their life, oh, yeah, they really – some of ‘</w:t>
      </w:r>
      <w:proofErr w:type="spellStart"/>
      <w:r>
        <w:t>em</w:t>
      </w:r>
      <w:proofErr w:type="spellEnd"/>
      <w:r>
        <w:t xml:space="preserve"> did. You know, they’d want, you to know, that the baby is coming and this is going on and my dad is sick. And so they definitely want to, most of ‘</w:t>
      </w:r>
      <w:proofErr w:type="spellStart"/>
      <w:r>
        <w:t>em</w:t>
      </w:r>
      <w:proofErr w:type="spellEnd"/>
      <w:r>
        <w:t>. Most of ‘</w:t>
      </w:r>
      <w:proofErr w:type="spellStart"/>
      <w:r>
        <w:t>em</w:t>
      </w:r>
      <w:proofErr w:type="spellEnd"/>
      <w:r>
        <w:t xml:space="preserve"> </w:t>
      </w:r>
      <w:proofErr w:type="gramStart"/>
      <w:r>
        <w:t>want</w:t>
      </w:r>
      <w:proofErr w:type="gramEnd"/>
      <w:r>
        <w:t xml:space="preserve"> to tell you stories </w:t>
      </w:r>
      <w:r>
        <w:lastRenderedPageBreak/>
        <w:t>about their life. Not all of ‘</w:t>
      </w:r>
      <w:proofErr w:type="spellStart"/>
      <w:r>
        <w:t>em</w:t>
      </w:r>
      <w:proofErr w:type="spellEnd"/>
      <w:r>
        <w:t>, but most of ‘</w:t>
      </w:r>
      <w:proofErr w:type="spellStart"/>
      <w:r>
        <w:t>em</w:t>
      </w:r>
      <w:proofErr w:type="spellEnd"/>
      <w:r>
        <w:t xml:space="preserve"> </w:t>
      </w:r>
      <w:proofErr w:type="gramStart"/>
      <w:r>
        <w:t>want</w:t>
      </w:r>
      <w:proofErr w:type="gramEnd"/>
      <w:r>
        <w:t xml:space="preserve"> to tell you what is going on in their life. (Blizzard, 199-205)</w:t>
      </w:r>
    </w:p>
    <w:p w:rsidR="00ED06A4" w:rsidRDefault="00ED06A4" w:rsidP="00ED06A4">
      <w:pPr>
        <w:pStyle w:val="Header"/>
        <w:spacing w:after="0" w:line="480" w:lineRule="auto"/>
        <w:rPr>
          <w:szCs w:val="24"/>
        </w:rPr>
      </w:pPr>
      <w:r>
        <w:rPr>
          <w:szCs w:val="24"/>
        </w:rPr>
        <w:t>Carla also talked about her experience with students who seemed to crave relationships with the teachers and how teachers also try to connect with students on a personal level:</w:t>
      </w:r>
    </w:p>
    <w:p w:rsidR="00ED06A4" w:rsidRDefault="00ED06A4" w:rsidP="00ED06A4">
      <w:pPr>
        <w:pStyle w:val="Header"/>
        <w:spacing w:after="0" w:line="480" w:lineRule="auto"/>
        <w:ind w:left="720"/>
      </w:pPr>
      <w:r>
        <w:t xml:space="preserve">Yes, he drove us nuts. It was sad. It was sad, but he was coming here to learn how to read, and he worked with the Hooked on Phonics, and you name it. And, you know, he was one of those people that, even that was a struggle for him. But he loved the interaction with people. I mean, he loved to just come in here and talk. I mean, he would talk to everyone in here. </w:t>
      </w:r>
      <w:proofErr w:type="gramStart"/>
      <w:r>
        <w:t>[Laughs.]</w:t>
      </w:r>
      <w:proofErr w:type="gramEnd"/>
      <w:r>
        <w:t xml:space="preserve"> And, you know, he didn’t learn a whole lot, but he enjoyed being here. (Carla, 148-153)</w:t>
      </w:r>
    </w:p>
    <w:p w:rsidR="00ED06A4" w:rsidRDefault="00ED06A4" w:rsidP="00ED06A4">
      <w:pPr>
        <w:pStyle w:val="Header"/>
        <w:spacing w:after="0" w:line="480" w:lineRule="auto"/>
        <w:ind w:left="720"/>
      </w:pPr>
    </w:p>
    <w:p w:rsidR="00ED06A4" w:rsidRDefault="00ED06A4" w:rsidP="00ED06A4">
      <w:pPr>
        <w:pStyle w:val="Header"/>
        <w:spacing w:after="0" w:line="480" w:lineRule="auto"/>
        <w:ind w:left="720"/>
      </w:pPr>
      <w:r>
        <w:tab/>
        <w:t>Yeah, I remember, you know, finding something that they would personally connect with – you know, when you could find something that they were interested in learning. You know, when you found the topic or you found the book or you found the story that was just personal. I felt like, okay, I know them and I know what makes them click or what have you – when you find the motivator. (Carla, 214-218)</w:t>
      </w:r>
    </w:p>
    <w:p w:rsidR="00ED06A4" w:rsidRDefault="00ED06A4" w:rsidP="00ED06A4">
      <w:pPr>
        <w:spacing w:after="0" w:line="480" w:lineRule="auto"/>
      </w:pPr>
      <w:r>
        <w:t>Debbie related the familiarity of relationships experienced within a community:</w:t>
      </w:r>
    </w:p>
    <w:p w:rsidR="00ED06A4" w:rsidRDefault="00ED06A4" w:rsidP="00ED06A4">
      <w:pPr>
        <w:spacing w:after="0" w:line="480" w:lineRule="auto"/>
        <w:ind w:left="720"/>
      </w:pPr>
      <w:r>
        <w:t>Well, I think one of the things is that living in a small town, in a small community, and you run into people at the grocery store or you run into people at Wal-Mart and you run into people, you know, various places, at McDonald’s, and they’ll go, “Do you remember me?” And I go, “Well, of course I remember you,” you know, “How are you doing?” and “Well, you know, since I got my GED, I’ve got this job and I’ve bought a house and I’m doing well, my family’s doing well.” (Debbie, 51-56)</w:t>
      </w:r>
    </w:p>
    <w:p w:rsidR="00ED06A4" w:rsidRDefault="00ED06A4" w:rsidP="00ED06A4">
      <w:pPr>
        <w:spacing w:after="0" w:line="480" w:lineRule="auto"/>
        <w:ind w:left="720"/>
      </w:pPr>
      <w:r>
        <w:lastRenderedPageBreak/>
        <w:t>[A]</w:t>
      </w:r>
      <w:proofErr w:type="spellStart"/>
      <w:r>
        <w:t>nd</w:t>
      </w:r>
      <w:proofErr w:type="spellEnd"/>
      <w:r>
        <w:t>, of course, all of ‘</w:t>
      </w:r>
      <w:proofErr w:type="spellStart"/>
      <w:r>
        <w:t>em</w:t>
      </w:r>
      <w:proofErr w:type="spellEnd"/>
      <w:r>
        <w:t xml:space="preserve"> </w:t>
      </w:r>
      <w:proofErr w:type="gramStart"/>
      <w:r>
        <w:t>don’t</w:t>
      </w:r>
      <w:proofErr w:type="gramEnd"/>
      <w:r>
        <w:t xml:space="preserve"> make it. Some of them go on to the penitentiary, but they’ll come back to me after they get out of the penitentiary to tell me they got their GED, which is kind of – [laughs] kind of interesting. But they’ll make it a point to come by my office and say, “I just wanted to come by and tell you I got my GED while I was away.” And I say, you know, “That’s great.” (Debbie, 59-64)</w:t>
      </w:r>
    </w:p>
    <w:p w:rsidR="00ED06A4" w:rsidRDefault="00ED06A4" w:rsidP="00ED06A4">
      <w:pPr>
        <w:pStyle w:val="Header"/>
        <w:tabs>
          <w:tab w:val="clear" w:pos="4680"/>
          <w:tab w:val="clear" w:pos="9360"/>
          <w:tab w:val="right" w:pos="720"/>
        </w:tabs>
        <w:spacing w:after="0" w:line="480" w:lineRule="auto"/>
      </w:pPr>
      <w:r>
        <w:t>Elaine talked about sharing social rituals, such as smoking, that create opportunities to casually interact with students and develop trust, and how inclusion as a part of the educational group gradually develops relationships:</w:t>
      </w:r>
    </w:p>
    <w:p w:rsidR="00ED06A4" w:rsidRDefault="00ED06A4" w:rsidP="00ED06A4">
      <w:pPr>
        <w:pStyle w:val="Header"/>
        <w:tabs>
          <w:tab w:val="clear" w:pos="4680"/>
          <w:tab w:val="clear" w:pos="9360"/>
          <w:tab w:val="right" w:pos="720"/>
        </w:tabs>
        <w:spacing w:after="0" w:line="480" w:lineRule="auto"/>
        <w:ind w:left="720"/>
      </w:pPr>
      <w:r>
        <w:t>Well, you just – like I said, you just gradually keep involving them a little more and a little more, calling on ‘</w:t>
      </w:r>
      <w:proofErr w:type="spellStart"/>
      <w:r>
        <w:t>em</w:t>
      </w:r>
      <w:proofErr w:type="spellEnd"/>
      <w:r>
        <w:t xml:space="preserve"> a little more and a little more. And, you know, it gets to the point – well, for instance, when we take a break, I go outside with them because I smoke and they all smoke, and we stand and have casual conversation, and I guess that she has learned that, you know, I can be trusted, too. (Elaine, 19-23)</w:t>
      </w:r>
    </w:p>
    <w:p w:rsidR="00ED06A4" w:rsidRDefault="00ED06A4" w:rsidP="00ED06A4">
      <w:pPr>
        <w:pStyle w:val="Header"/>
        <w:tabs>
          <w:tab w:val="clear" w:pos="4680"/>
          <w:tab w:val="clear" w:pos="9360"/>
          <w:tab w:val="right" w:pos="720"/>
        </w:tabs>
        <w:spacing w:after="0" w:line="480" w:lineRule="auto"/>
        <w:ind w:left="720"/>
      </w:pPr>
    </w:p>
    <w:p w:rsidR="00ED06A4" w:rsidRDefault="00ED06A4" w:rsidP="00ED06A4">
      <w:pPr>
        <w:spacing w:after="0" w:line="480" w:lineRule="auto"/>
        <w:ind w:left="720"/>
      </w:pPr>
      <w:r>
        <w:t>Well, you know, I’m pretty much a people person. I was in the classroom before I became an adult ed. teacher and supervisor and, I guess, learned to deal with the more reluctant or bashful, whatever you want to call it, students. And you just keep gradually including her in on the conversations and now, you know, she’s (snaps fingers) quick to answer before anybody else. (Elaine, 10-14)</w:t>
      </w:r>
    </w:p>
    <w:p w:rsidR="00ED06A4" w:rsidRDefault="00ED06A4" w:rsidP="00ED06A4">
      <w:pPr>
        <w:spacing w:after="0" w:line="480" w:lineRule="auto"/>
      </w:pPr>
      <w:proofErr w:type="spellStart"/>
      <w:r>
        <w:t>Gomer</w:t>
      </w:r>
      <w:proofErr w:type="spellEnd"/>
      <w:r>
        <w:t xml:space="preserve"> also spoke of relating to students and forming trusting relationships with students. </w:t>
      </w:r>
    </w:p>
    <w:p w:rsidR="00ED06A4" w:rsidRDefault="00ED06A4" w:rsidP="00ED06A4">
      <w:pPr>
        <w:spacing w:after="0" w:line="480" w:lineRule="auto"/>
        <w:ind w:left="720"/>
      </w:pPr>
      <w:r>
        <w:t xml:space="preserve">I have three children, five years apart. So I have learned to be street savvy. And my youngest is seventeen at (School A). And I know the music, I know how to talk the music, we play the music, and we relate. Long as they learn, have no problem with that. </w:t>
      </w:r>
      <w:r>
        <w:lastRenderedPageBreak/>
        <w:t xml:space="preserve">And we become very tight with those guys. We just get on their – their level, and we can talk just about anything they want to talk about, ‘cause when that big old door closes, we have a good time, we learn and they relate, and they trust us. They know we’re there to help them, not to beat them over the head, take them to the office and all that </w:t>
      </w:r>
      <w:proofErr w:type="spellStart"/>
      <w:r>
        <w:t>crapola</w:t>
      </w:r>
      <w:proofErr w:type="spellEnd"/>
      <w:r>
        <w:t xml:space="preserve">. We don’t do that. That’s old school. We’re there to – to give them a new chance, a new opportunity to make something out of </w:t>
      </w:r>
      <w:proofErr w:type="gramStart"/>
      <w:r>
        <w:t>themselves</w:t>
      </w:r>
      <w:proofErr w:type="gramEnd"/>
      <w:r>
        <w:t>. They feel like we’re there to help them; we’re friends with them. (</w:t>
      </w:r>
      <w:proofErr w:type="spellStart"/>
      <w:r>
        <w:t>Gomer</w:t>
      </w:r>
      <w:proofErr w:type="spellEnd"/>
      <w:r>
        <w:t>, 134-143)</w:t>
      </w:r>
    </w:p>
    <w:p w:rsidR="00ED06A4" w:rsidRDefault="00ED06A4" w:rsidP="00ED06A4">
      <w:pPr>
        <w:spacing w:after="0" w:line="480" w:lineRule="auto"/>
        <w:ind w:left="720"/>
      </w:pPr>
    </w:p>
    <w:p w:rsidR="00ED06A4" w:rsidRDefault="00ED06A4" w:rsidP="00ED06A4">
      <w:pPr>
        <w:spacing w:after="0" w:line="480" w:lineRule="auto"/>
      </w:pPr>
      <w:r>
        <w:tab/>
        <w:t xml:space="preserve">The above examples represent the special relationship, the chiasm, which connects teachers and students. </w:t>
      </w:r>
      <w:proofErr w:type="gramStart"/>
      <w:r>
        <w:t>The following themes that stand out against that ground.</w:t>
      </w:r>
      <w:proofErr w:type="gramEnd"/>
      <w:r>
        <w:t xml:space="preserve"> </w:t>
      </w:r>
    </w:p>
    <w:p w:rsidR="00ED06A4" w:rsidRDefault="00ED06A4" w:rsidP="00ED06A4">
      <w:pPr>
        <w:pStyle w:val="Heading3"/>
      </w:pPr>
      <w:r>
        <w:t>Themes</w:t>
      </w:r>
    </w:p>
    <w:p w:rsidR="00ED06A4" w:rsidRDefault="00ED06A4" w:rsidP="00ED06A4">
      <w:pPr>
        <w:pStyle w:val="Header"/>
        <w:spacing w:after="0" w:line="480" w:lineRule="auto"/>
        <w:ind w:firstLine="720"/>
      </w:pPr>
      <w:r>
        <w:t xml:space="preserve">Within the overarching ground of the special relationships exist four themes, each directly an aspect of the relationships theme and indicating a change brought about by and through the relationship between teacher and students: 1. “The light bulb finally goes off,” indicating that teachers see change in the students’ views of education; 2. “They realize they can accomplish something,” indicating that teachers see a change in the students’ views of themselves; 3. “You’ve helped make the world a better place,” indicating teachers see themselves making a change in society through the students; and, 4. “That was a huge warm fuzzy,” which indicates a change within the teachers themselves. </w:t>
      </w:r>
    </w:p>
    <w:p w:rsidR="00ED06A4" w:rsidRDefault="00ED06A4" w:rsidP="00ED06A4">
      <w:pPr>
        <w:pStyle w:val="Heading4"/>
      </w:pPr>
      <w:r>
        <w:t>Theme 1: “The light bulb finally goes off.”</w:t>
      </w:r>
    </w:p>
    <w:p w:rsidR="00ED06A4" w:rsidRDefault="00ED06A4" w:rsidP="00ED06A4">
      <w:pPr>
        <w:pStyle w:val="Header"/>
        <w:spacing w:after="0" w:line="480" w:lineRule="auto"/>
        <w:ind w:firstLine="720"/>
      </w:pPr>
      <w:r>
        <w:t xml:space="preserve">This theme suggests that teachers see a change in the way students view or understand education. The metaphorical image of a light bulb going off, used to refer to the experience of </w:t>
      </w:r>
      <w:r>
        <w:lastRenderedPageBreak/>
        <w:t xml:space="preserve">understanding, is used by more than one of the participants to describe what they experience in the students. </w:t>
      </w:r>
    </w:p>
    <w:p w:rsidR="00ED06A4" w:rsidRDefault="00ED06A4" w:rsidP="00ED06A4">
      <w:pPr>
        <w:spacing w:after="0" w:line="480" w:lineRule="auto"/>
        <w:ind w:left="720"/>
      </w:pPr>
      <w:r>
        <w:t>And then, you know, and then you reward ‘</w:t>
      </w:r>
      <w:proofErr w:type="spellStart"/>
      <w:r>
        <w:t>em</w:t>
      </w:r>
      <w:proofErr w:type="spellEnd"/>
      <w:r>
        <w:t>, you know, with praise when they do accomplish something, when the light bulb finally goes off, so to speak. (Adam, 32-34).</w:t>
      </w:r>
    </w:p>
    <w:p w:rsidR="00ED06A4" w:rsidRDefault="00ED06A4" w:rsidP="00ED06A4">
      <w:pPr>
        <w:spacing w:after="0" w:line="480" w:lineRule="auto"/>
        <w:ind w:left="720"/>
      </w:pPr>
    </w:p>
    <w:p w:rsidR="00ED06A4" w:rsidRDefault="00ED06A4" w:rsidP="00ED06A4">
      <w:pPr>
        <w:spacing w:after="0" w:line="480" w:lineRule="auto"/>
        <w:ind w:left="720"/>
      </w:pPr>
      <w:r>
        <w:t>Well, I think I try real hard to show the same amount of interest in all of them, but once that little light bulb goes off and the students have a little more interest, a little more desire to, you know, to learn something and improve their skills. (Adam, 67-69)</w:t>
      </w:r>
    </w:p>
    <w:p w:rsidR="00ED06A4" w:rsidRDefault="00ED06A4" w:rsidP="00ED06A4">
      <w:pPr>
        <w:spacing w:after="0" w:line="480" w:lineRule="auto"/>
        <w:ind w:left="720"/>
      </w:pPr>
    </w:p>
    <w:p w:rsidR="00ED06A4" w:rsidRDefault="00ED06A4" w:rsidP="00ED06A4">
      <w:pPr>
        <w:spacing w:after="0" w:line="480" w:lineRule="auto"/>
        <w:ind w:left="720"/>
      </w:pPr>
      <w:r>
        <w:t xml:space="preserve">You know, you have some students that are here that are going through the motions just because they’re forced to go through the motions. So when you do have somebody that actually, all of a sudden, realizes, </w:t>
      </w:r>
      <w:r>
        <w:rPr>
          <w:iCs/>
        </w:rPr>
        <w:t>Hey, I can do this, and I want to do this now</w:t>
      </w:r>
      <w:r>
        <w:rPr>
          <w:i/>
        </w:rPr>
        <w:t>,</w:t>
      </w:r>
      <w:r>
        <w:t xml:space="preserve"> there’s a change in their personality and how they interact with – with not only me – but the rest of the staff here too. (Adam</w:t>
      </w:r>
      <w:proofErr w:type="gramStart"/>
      <w:r>
        <w:t>,81</w:t>
      </w:r>
      <w:proofErr w:type="gramEnd"/>
      <w:r>
        <w:t>-85)</w:t>
      </w:r>
    </w:p>
    <w:p w:rsidR="00ED06A4" w:rsidRDefault="00ED06A4" w:rsidP="00ED06A4">
      <w:pPr>
        <w:spacing w:after="0" w:line="480" w:lineRule="auto"/>
        <w:ind w:left="720"/>
      </w:pPr>
    </w:p>
    <w:p w:rsidR="00ED06A4" w:rsidRDefault="00ED06A4" w:rsidP="00ED06A4">
      <w:pPr>
        <w:spacing w:after="0" w:line="480" w:lineRule="auto"/>
        <w:ind w:left="720"/>
      </w:pPr>
      <w:r>
        <w:t xml:space="preserve">You know, a lot of times you don’t know, you don’t see the light bulb come on; sometimes you do. And a lot of times you’re not sure of whether or not they’re getting it or not. And this, you know – you spend a lot of time and effort and pushing sometimes when people don’t necessarily see the need for what you’re trying to get them to do. And it, you know – it sort of – it makes you feel better when they realize you were right, you don’t always get that but sometimes you do. I would say, you know, “Okay, look, I told you so. I told you this would be worthwhile.” [Laughs] So I guess it’s sort of being able </w:t>
      </w:r>
      <w:r>
        <w:lastRenderedPageBreak/>
        <w:t>to share that with them and, you know, have them see that there was a reason or a benefit for all the hard work. (Carla, 37-45)</w:t>
      </w:r>
    </w:p>
    <w:p w:rsidR="00ED06A4" w:rsidRDefault="00ED06A4" w:rsidP="00ED06A4">
      <w:pPr>
        <w:spacing w:after="0" w:line="480" w:lineRule="auto"/>
      </w:pPr>
    </w:p>
    <w:p w:rsidR="00ED06A4" w:rsidRDefault="00ED06A4" w:rsidP="00ED06A4">
      <w:pPr>
        <w:spacing w:after="0" w:line="480" w:lineRule="auto"/>
        <w:ind w:left="720"/>
      </w:pPr>
      <w:r>
        <w:t>Well, yeah, when, for instance, the student that we were talking about earlier, that I showed him how to do a particular geometry topic and he was like, “Wow! This is cool as hell.” (Elaine, 63-64)</w:t>
      </w:r>
    </w:p>
    <w:p w:rsidR="00ED06A4" w:rsidRDefault="00ED06A4" w:rsidP="00ED06A4">
      <w:pPr>
        <w:spacing w:after="0" w:line="480" w:lineRule="auto"/>
        <w:ind w:left="720"/>
      </w:pPr>
    </w:p>
    <w:p w:rsidR="00ED06A4" w:rsidRDefault="00ED06A4" w:rsidP="00ED06A4">
      <w:pPr>
        <w:pStyle w:val="Header"/>
        <w:spacing w:after="0" w:line="480" w:lineRule="auto"/>
        <w:ind w:left="720"/>
      </w:pPr>
      <w:r>
        <w:t>Well, when you’re looking at ‘</w:t>
      </w:r>
      <w:proofErr w:type="spellStart"/>
      <w:r>
        <w:t>em</w:t>
      </w:r>
      <w:proofErr w:type="spellEnd"/>
      <w:r>
        <w:t xml:space="preserve"> and you can see all of a sudden that they get it, whatever it is that you’re trying to teach, you know, it – it’s good for me and it’s good for them, makes them feel successful. (Elaine, 76-78)</w:t>
      </w:r>
    </w:p>
    <w:p w:rsidR="00ED06A4" w:rsidRDefault="00ED06A4" w:rsidP="00ED06A4">
      <w:pPr>
        <w:pStyle w:val="Header"/>
        <w:spacing w:after="0" w:line="480" w:lineRule="auto"/>
        <w:ind w:left="720"/>
      </w:pPr>
    </w:p>
    <w:p w:rsidR="00ED06A4" w:rsidRDefault="00ED06A4" w:rsidP="00ED06A4">
      <w:pPr>
        <w:pStyle w:val="BodyTextIndent"/>
        <w:spacing w:after="0" w:line="480" w:lineRule="auto"/>
        <w:ind w:left="720" w:firstLine="0"/>
      </w:pPr>
      <w:r>
        <w:t>I think when I have a student who gets their GED and then goes on to trade school or – I don’t know that I’ve really had any that have gone on to college, but some of them, I think the biggest thing is that it helps them get a job, and they realize that that helps them get a job and maintain a job. And I think that’s the biggest thing that I’ve seen. (Debbie, 34-38)</w:t>
      </w:r>
    </w:p>
    <w:p w:rsidR="00ED06A4" w:rsidRDefault="00ED06A4" w:rsidP="00ED06A4">
      <w:pPr>
        <w:pStyle w:val="BodyTextIndent"/>
        <w:spacing w:after="0" w:line="480" w:lineRule="auto"/>
        <w:ind w:left="720" w:firstLine="0"/>
      </w:pPr>
    </w:p>
    <w:p w:rsidR="00ED06A4" w:rsidRDefault="00ED06A4" w:rsidP="00ED06A4">
      <w:pPr>
        <w:spacing w:after="0" w:line="480" w:lineRule="auto"/>
        <w:ind w:left="720"/>
      </w:pPr>
      <w:r>
        <w:t xml:space="preserve">And we’re trying to get their reading skills up, and when you do that, you open up a world to people and – even if it’s just reading the – the junk they want to read, you open up a world to them. (Blizzard, 368-369) </w:t>
      </w:r>
    </w:p>
    <w:p w:rsidR="00ED06A4" w:rsidRDefault="00ED06A4" w:rsidP="00ED06A4">
      <w:pPr>
        <w:spacing w:after="0" w:line="480" w:lineRule="auto"/>
        <w:ind w:left="720"/>
      </w:pPr>
    </w:p>
    <w:p w:rsidR="00ED06A4" w:rsidRDefault="00ED06A4" w:rsidP="00ED06A4">
      <w:pPr>
        <w:spacing w:after="0" w:line="480" w:lineRule="auto"/>
        <w:ind w:left="720"/>
      </w:pPr>
      <w:r>
        <w:t xml:space="preserve">And they know when you leave here, you may see me in another capacity where you’ll be getting your job, and you better not have another tattoo. [Laughs] Sometimes those </w:t>
      </w:r>
      <w:r>
        <w:lastRenderedPageBreak/>
        <w:t>little idle threats – but they’re made to be positive. And it gets through to them. If you laugh about it, think about it, they remember it. They really do. (</w:t>
      </w:r>
      <w:proofErr w:type="spellStart"/>
      <w:r>
        <w:t>Gomer</w:t>
      </w:r>
      <w:proofErr w:type="spellEnd"/>
      <w:r>
        <w:t>, 178-181)</w:t>
      </w:r>
    </w:p>
    <w:p w:rsidR="00ED06A4" w:rsidRDefault="00ED06A4" w:rsidP="00ED06A4">
      <w:pPr>
        <w:pStyle w:val="Heading4"/>
      </w:pPr>
      <w:r>
        <w:t>Theme 2: “They realize they can accomplish something.”</w:t>
      </w:r>
    </w:p>
    <w:p w:rsidR="00ED06A4" w:rsidRDefault="00ED06A4" w:rsidP="00ED06A4">
      <w:pPr>
        <w:pStyle w:val="BodyTextIndent"/>
        <w:spacing w:after="0" w:line="480" w:lineRule="auto"/>
        <w:ind w:firstLine="0"/>
      </w:pPr>
      <w:r>
        <w:rPr>
          <w:i/>
        </w:rPr>
        <w:tab/>
      </w:r>
      <w:r>
        <w:t>This theme represents what teachers experience when students change the way they view themselves. At some point there is a realization in the students that they can achieve personal goals, and this realization is transformed into self-esteem:</w:t>
      </w:r>
    </w:p>
    <w:p w:rsidR="00ED06A4" w:rsidRDefault="00ED06A4" w:rsidP="00ED06A4">
      <w:pPr>
        <w:spacing w:after="0" w:line="480" w:lineRule="auto"/>
        <w:ind w:left="720"/>
      </w:pPr>
      <w:r>
        <w:t>Yeah, but the ones that stand out are the ones that, you know, try. Whatever I give ‘</w:t>
      </w:r>
      <w:proofErr w:type="spellStart"/>
      <w:r>
        <w:t>em</w:t>
      </w:r>
      <w:proofErr w:type="spellEnd"/>
      <w:r>
        <w:t>, they try it. And – and – I mean, there may have been some temporary setbacks with some of them but they verbally will say, you know, “I want to finish this. I want to get this done,” you know. So it’s not just me they’re trying to please. They are trying to please themselves. (Blizzard, 164-168)</w:t>
      </w:r>
    </w:p>
    <w:p w:rsidR="00ED06A4" w:rsidRDefault="00ED06A4" w:rsidP="00ED06A4">
      <w:pPr>
        <w:spacing w:after="0" w:line="480" w:lineRule="auto"/>
        <w:ind w:left="720"/>
      </w:pPr>
    </w:p>
    <w:p w:rsidR="00ED06A4" w:rsidRDefault="00ED06A4" w:rsidP="00ED06A4">
      <w:pPr>
        <w:spacing w:after="0" w:line="480" w:lineRule="auto"/>
        <w:ind w:firstLine="720"/>
      </w:pPr>
      <w:r>
        <w:t>He realized that there – you know, that he was of some worth. (Adam, 11-22)</w:t>
      </w:r>
    </w:p>
    <w:p w:rsidR="00ED06A4" w:rsidRDefault="00ED06A4" w:rsidP="00ED06A4">
      <w:pPr>
        <w:spacing w:after="0" w:line="480" w:lineRule="auto"/>
        <w:ind w:firstLine="720"/>
      </w:pPr>
    </w:p>
    <w:p w:rsidR="00ED06A4" w:rsidRDefault="00ED06A4" w:rsidP="00ED06A4">
      <w:pPr>
        <w:pStyle w:val="Header"/>
        <w:spacing w:after="0" w:line="480" w:lineRule="auto"/>
        <w:ind w:left="720"/>
      </w:pPr>
      <w:r>
        <w:t>Because he was so excited that he had actually been able to put to use in a practical manner what he had learned, and he felt so proud of himself for being able to communicate on that level with written words. (Carla, 12-14)</w:t>
      </w:r>
    </w:p>
    <w:p w:rsidR="00ED06A4" w:rsidRDefault="00ED06A4" w:rsidP="00ED06A4">
      <w:pPr>
        <w:pStyle w:val="Header"/>
        <w:spacing w:after="0" w:line="480" w:lineRule="auto"/>
        <w:ind w:left="720"/>
      </w:pPr>
    </w:p>
    <w:p w:rsidR="00ED06A4" w:rsidRDefault="00ED06A4" w:rsidP="00ED06A4">
      <w:pPr>
        <w:pStyle w:val="Header"/>
        <w:spacing w:after="0" w:line="480" w:lineRule="auto"/>
        <w:ind w:left="720"/>
      </w:pPr>
      <w:r>
        <w:tab/>
        <w:t>I mean, it, you know, increased his self-esteem, and, you know, it helped with his desire to continue to learn more, even though at times he had gotten very frustrated with it. And, you know, it just seemed to lead to the next level. (Carla, 29-31)</w:t>
      </w:r>
    </w:p>
    <w:p w:rsidR="00ED06A4" w:rsidRDefault="00ED06A4" w:rsidP="00ED06A4">
      <w:pPr>
        <w:pStyle w:val="Header"/>
        <w:spacing w:after="0" w:line="480" w:lineRule="auto"/>
        <w:ind w:left="720"/>
      </w:pPr>
    </w:p>
    <w:p w:rsidR="00ED06A4" w:rsidRDefault="00ED06A4" w:rsidP="00ED06A4">
      <w:pPr>
        <w:spacing w:after="0" w:line="480" w:lineRule="auto"/>
        <w:ind w:left="720"/>
      </w:pPr>
      <w:r>
        <w:lastRenderedPageBreak/>
        <w:t>And I think, for me, the thing that makes it worthwhile and one of the reasons that I’ve done it for so long now is that with offenders, when they realize that they can accomplish something, and they get that piece of paper saying you passed your GED, it’s a real boost to ‘</w:t>
      </w:r>
      <w:proofErr w:type="spellStart"/>
      <w:r>
        <w:t>em</w:t>
      </w:r>
      <w:proofErr w:type="spellEnd"/>
      <w:r>
        <w:t>, and they can – they realize that they can accomplish something and that they can do some things that they maybe didn’t realize that they could do before. (Debbie, 24-29)</w:t>
      </w:r>
    </w:p>
    <w:p w:rsidR="00ED06A4" w:rsidRDefault="00ED06A4" w:rsidP="00ED06A4">
      <w:pPr>
        <w:spacing w:after="0" w:line="480" w:lineRule="auto"/>
        <w:ind w:left="720"/>
      </w:pPr>
    </w:p>
    <w:p w:rsidR="00ED06A4" w:rsidRDefault="00ED06A4" w:rsidP="00ED06A4">
      <w:pPr>
        <w:spacing w:after="0" w:line="480" w:lineRule="auto"/>
        <w:ind w:left="720"/>
      </w:pPr>
      <w:r>
        <w:t>And, as I said, there again, being in Special Ed, they knew they were in Special Ed, and they didn’t think they could do anything. And then they begin to realize that they can accomplish things, that they can do some things and that they probably will be able to get their GED. (Debbie, 107-111)</w:t>
      </w:r>
    </w:p>
    <w:p w:rsidR="00ED06A4" w:rsidRDefault="00ED06A4" w:rsidP="00ED06A4">
      <w:pPr>
        <w:spacing w:after="0" w:line="480" w:lineRule="auto"/>
        <w:ind w:left="720"/>
      </w:pPr>
    </w:p>
    <w:p w:rsidR="00ED06A4" w:rsidRDefault="00ED06A4" w:rsidP="00ED06A4">
      <w:pPr>
        <w:spacing w:after="0" w:line="480" w:lineRule="auto"/>
        <w:ind w:left="720"/>
      </w:pPr>
      <w:r>
        <w:t>Yeah, it’s pretty rewarding. And it’s rewarding to see the pride that they have in themselves. Because after that, they seem to stand a little taller and hold their heads a little higher, and you can, in some of them, see a visible difference. (Debbie, 116-118)</w:t>
      </w:r>
    </w:p>
    <w:p w:rsidR="00ED06A4" w:rsidRDefault="00ED06A4" w:rsidP="00ED06A4">
      <w:pPr>
        <w:spacing w:after="0" w:line="480" w:lineRule="auto"/>
        <w:ind w:left="720"/>
      </w:pPr>
    </w:p>
    <w:p w:rsidR="00ED06A4" w:rsidRDefault="00ED06A4" w:rsidP="00ED06A4">
      <w:pPr>
        <w:spacing w:after="0" w:line="480" w:lineRule="auto"/>
        <w:ind w:left="720"/>
      </w:pPr>
      <w:r>
        <w:t xml:space="preserve">But once they realize – and some of them truly can’t write a sentence when they start out. But after, you know, some work and then they begin to realize that they can write a sentence, and then they can write a paragraph, and then they can write five paragraphs. I think that’s an accomplishment. (Debbie, 123-126) </w:t>
      </w:r>
    </w:p>
    <w:p w:rsidR="00ED06A4" w:rsidRDefault="00ED06A4" w:rsidP="00ED06A4">
      <w:pPr>
        <w:spacing w:after="0" w:line="480" w:lineRule="auto"/>
        <w:ind w:left="720"/>
      </w:pPr>
    </w:p>
    <w:p w:rsidR="00ED06A4" w:rsidRDefault="00ED06A4" w:rsidP="00ED06A4">
      <w:pPr>
        <w:spacing w:after="0" w:line="480" w:lineRule="auto"/>
        <w:ind w:left="720"/>
      </w:pPr>
      <w:r>
        <w:t>Because they realize that they can do something, and they realize that they can accomplish something, and it makes them stand a little taller. (Debbie, 138-139)</w:t>
      </w:r>
    </w:p>
    <w:p w:rsidR="00ED06A4" w:rsidRDefault="00ED06A4" w:rsidP="00ED06A4">
      <w:pPr>
        <w:spacing w:after="0" w:line="480" w:lineRule="auto"/>
        <w:ind w:left="720"/>
      </w:pPr>
      <w:r>
        <w:lastRenderedPageBreak/>
        <w:t>He – once he got into it and – and, you know, I had expectations of him and helped him along, I think he realized that he could accomplish some stuff, that he did have some self-value that I don’t think he had before. (Adam, 11-14)</w:t>
      </w:r>
    </w:p>
    <w:p w:rsidR="00ED06A4" w:rsidRDefault="00ED06A4" w:rsidP="00ED06A4">
      <w:pPr>
        <w:spacing w:after="0" w:line="480" w:lineRule="auto"/>
        <w:ind w:left="720"/>
      </w:pPr>
    </w:p>
    <w:p w:rsidR="00ED06A4" w:rsidRDefault="00ED06A4" w:rsidP="00ED06A4">
      <w:pPr>
        <w:spacing w:after="0" w:line="480" w:lineRule="auto"/>
        <w:ind w:left="720"/>
      </w:pPr>
      <w:r>
        <w:t>You know, it – it’s good for me and it’s good for them, makes them feel successful. (Elaine, 77-78)</w:t>
      </w:r>
    </w:p>
    <w:p w:rsidR="00ED06A4" w:rsidRDefault="00ED06A4" w:rsidP="00ED06A4">
      <w:pPr>
        <w:spacing w:after="0" w:line="480" w:lineRule="auto"/>
        <w:ind w:left="720"/>
      </w:pPr>
    </w:p>
    <w:p w:rsidR="00ED06A4" w:rsidRDefault="00ED06A4" w:rsidP="00ED06A4">
      <w:pPr>
        <w:spacing w:after="0" w:line="480" w:lineRule="auto"/>
        <w:ind w:left="720"/>
      </w:pPr>
      <w:r>
        <w:t xml:space="preserve">I think the biggest thing is I can see the sense of pride in </w:t>
      </w:r>
      <w:proofErr w:type="gramStart"/>
      <w:r>
        <w:t>themselves</w:t>
      </w:r>
      <w:proofErr w:type="gramEnd"/>
      <w:r>
        <w:t>. And, like I said, they realize that they can accomplish something. (Debbie, 72-73)</w:t>
      </w:r>
    </w:p>
    <w:p w:rsidR="00ED06A4" w:rsidRDefault="00ED06A4" w:rsidP="00ED06A4">
      <w:pPr>
        <w:spacing w:after="0" w:line="480" w:lineRule="auto"/>
        <w:ind w:left="720"/>
      </w:pPr>
    </w:p>
    <w:p w:rsidR="00ED06A4" w:rsidRDefault="00ED06A4" w:rsidP="00ED06A4">
      <w:pPr>
        <w:spacing w:after="0" w:line="480" w:lineRule="auto"/>
        <w:ind w:left="720"/>
      </w:pPr>
      <w:r>
        <w:t>Well, you know, I’m pretty much a people person. I was in the classroom before I became an adult ed. teacher and supervisor and, I guess, learned to deal with the more reluctant or bashful, whatever you want to call it, students. And you just keep gradually including her in on the conversations and now, you know, she’s [snaps fingers] quick to answer before anybody else. (Elaine, 10-14)</w:t>
      </w:r>
    </w:p>
    <w:p w:rsidR="00ED06A4" w:rsidRDefault="00ED06A4" w:rsidP="00ED06A4">
      <w:pPr>
        <w:spacing w:after="0" w:line="480" w:lineRule="auto"/>
        <w:ind w:left="720"/>
      </w:pPr>
    </w:p>
    <w:p w:rsidR="00ED06A4" w:rsidRDefault="00ED06A4" w:rsidP="00ED06A4">
      <w:pPr>
        <w:spacing w:after="0" w:line="480" w:lineRule="auto"/>
        <w:ind w:left="720"/>
        <w:rPr>
          <w:rStyle w:val="hw"/>
        </w:rPr>
      </w:pPr>
      <w:r>
        <w:rPr>
          <w:rStyle w:val="hw"/>
        </w:rPr>
        <w:t xml:space="preserve">And I pull everything in, as you might already have surmised, but each time I pour myself into this, and if they screw up, I take them somewhere and </w:t>
      </w:r>
      <w:proofErr w:type="gramStart"/>
      <w:r>
        <w:rPr>
          <w:rStyle w:val="hw"/>
        </w:rPr>
        <w:t>I</w:t>
      </w:r>
      <w:proofErr w:type="gramEnd"/>
      <w:r>
        <w:rPr>
          <w:rStyle w:val="hw"/>
        </w:rPr>
        <w:t xml:space="preserve"> – I kind of get in their face. “What do you think you’re doing?” You know? Some of them tear up, you know, “I’m sorry, </w:t>
      </w:r>
      <w:proofErr w:type="spellStart"/>
      <w:r>
        <w:rPr>
          <w:rStyle w:val="hw"/>
        </w:rPr>
        <w:t>Gomer</w:t>
      </w:r>
      <w:proofErr w:type="spellEnd"/>
      <w:r>
        <w:rPr>
          <w:rStyle w:val="hw"/>
        </w:rPr>
        <w:t xml:space="preserve">.” … And they don’t do it again. But you’ve got to push. Nobody else is doing it. Real school system didn’t do it for them, whatever reason. It just didn’t work for them. You fill in. This has worked for some of the younger ones. They’re just not </w:t>
      </w:r>
      <w:r>
        <w:rPr>
          <w:rStyle w:val="hw"/>
        </w:rPr>
        <w:lastRenderedPageBreak/>
        <w:t>used to it. You always love to hear, “Man, if you’d been my teacher in high school, I’d have never left.” (</w:t>
      </w:r>
      <w:proofErr w:type="spellStart"/>
      <w:r>
        <w:rPr>
          <w:rStyle w:val="hw"/>
        </w:rPr>
        <w:t>Gomer</w:t>
      </w:r>
      <w:proofErr w:type="spellEnd"/>
      <w:r>
        <w:rPr>
          <w:rStyle w:val="hw"/>
        </w:rPr>
        <w:t>, 302-309)</w:t>
      </w:r>
    </w:p>
    <w:p w:rsidR="00ED06A4" w:rsidRDefault="00ED06A4" w:rsidP="00ED06A4">
      <w:pPr>
        <w:pStyle w:val="Heading4"/>
        <w:rPr>
          <w:szCs w:val="24"/>
        </w:rPr>
      </w:pPr>
      <w:r>
        <w:rPr>
          <w:szCs w:val="24"/>
        </w:rPr>
        <w:t>Theme 3: “You’ve helped make the world a better place</w:t>
      </w:r>
      <w:proofErr w:type="gramStart"/>
      <w:r>
        <w:rPr>
          <w:szCs w:val="24"/>
        </w:rPr>
        <w:t>..</w:t>
      </w:r>
      <w:proofErr w:type="gramEnd"/>
    </w:p>
    <w:p w:rsidR="00ED06A4" w:rsidRDefault="00ED06A4" w:rsidP="00ED06A4">
      <w:pPr>
        <w:pStyle w:val="BodyTextIndent"/>
        <w:spacing w:after="0" w:line="480" w:lineRule="auto"/>
        <w:ind w:firstLine="0"/>
        <w:rPr>
          <w:szCs w:val="24"/>
        </w:rPr>
      </w:pPr>
      <w:r>
        <w:rPr>
          <w:szCs w:val="24"/>
        </w:rPr>
        <w:tab/>
        <w:t>This theme indicates that teachers experience what they do with students in the classroom as nothing short of making a positive change in society. This belief is well founded if we remember that GED attainment positively correlates into less recidivism within society. As the students succeed, not only do the teachers succeed but society succeeds, as well:</w:t>
      </w:r>
    </w:p>
    <w:p w:rsidR="00ED06A4" w:rsidRDefault="00ED06A4" w:rsidP="00ED06A4">
      <w:pPr>
        <w:spacing w:after="0" w:line="480" w:lineRule="auto"/>
        <w:ind w:firstLine="720"/>
      </w:pPr>
      <w:r>
        <w:t xml:space="preserve">You’ve helped make the world a better place. (Carla, 88) </w:t>
      </w:r>
    </w:p>
    <w:p w:rsidR="00ED06A4" w:rsidRDefault="00ED06A4" w:rsidP="00ED06A4">
      <w:pPr>
        <w:spacing w:after="0" w:line="480" w:lineRule="auto"/>
        <w:ind w:firstLine="720"/>
      </w:pPr>
    </w:p>
    <w:p w:rsidR="00ED06A4" w:rsidRDefault="00ED06A4" w:rsidP="00ED06A4">
      <w:pPr>
        <w:spacing w:after="0" w:line="480" w:lineRule="auto"/>
        <w:ind w:left="720"/>
      </w:pPr>
      <w:r>
        <w:t xml:space="preserve">Making the world a better place for </w:t>
      </w:r>
      <w:r>
        <w:rPr>
          <w:i/>
        </w:rPr>
        <w:t>my</w:t>
      </w:r>
      <w:r>
        <w:t xml:space="preserve"> children because the more people that’s capable of working and earning and paying taxes, you know, that’s less of a burden my </w:t>
      </w:r>
      <w:proofErr w:type="spellStart"/>
      <w:r>
        <w:t>children’ll</w:t>
      </w:r>
      <w:proofErr w:type="spellEnd"/>
      <w:r>
        <w:t xml:space="preserve"> have one day, maybe, to support people who really need to be supported and not just – I’m getting on another soapbox now, but, you know, it’s – you know, I don’t – I don’t necessarily think of it in that way. I mean, first, you get the warm </w:t>
      </w:r>
      <w:proofErr w:type="spellStart"/>
      <w:r>
        <w:t>fuzzies</w:t>
      </w:r>
      <w:proofErr w:type="spellEnd"/>
      <w:r>
        <w:t xml:space="preserve"> and it’s good for them, it’s good for them. But, you know, it’s good for everybody. It’s just a good thing. (Carla, 206-212)</w:t>
      </w:r>
    </w:p>
    <w:p w:rsidR="00ED06A4" w:rsidRDefault="00ED06A4" w:rsidP="00ED06A4">
      <w:pPr>
        <w:spacing w:after="0" w:line="480" w:lineRule="auto"/>
        <w:ind w:left="720"/>
      </w:pPr>
    </w:p>
    <w:p w:rsidR="00ED06A4" w:rsidRDefault="00ED06A4" w:rsidP="00ED06A4">
      <w:pPr>
        <w:spacing w:after="0" w:line="480" w:lineRule="auto"/>
        <w:ind w:left="720"/>
      </w:pPr>
      <w:r>
        <w:t>Well, I’m a part of society, so, you know, I mean, I’ve got kids and stuff. I don’t want – you know, I don’t want them to wind up being a victim. And, hopefully, you know – and I look at it as like, you know, most of our clients have children, whether they’re active in their lives or not. Hopefully, you can break that cycle that a lot of these people have found themselves in. (Adam, 106-114)</w:t>
      </w:r>
    </w:p>
    <w:p w:rsidR="00ED06A4" w:rsidRDefault="00ED06A4" w:rsidP="00ED06A4">
      <w:pPr>
        <w:spacing w:after="0" w:line="480" w:lineRule="auto"/>
        <w:ind w:left="720"/>
      </w:pPr>
    </w:p>
    <w:p w:rsidR="00ED06A4" w:rsidRDefault="00ED06A4" w:rsidP="00ED06A4">
      <w:pPr>
        <w:spacing w:after="0" w:line="480" w:lineRule="auto"/>
        <w:ind w:left="720"/>
      </w:pPr>
      <w:r>
        <w:lastRenderedPageBreak/>
        <w:t>So, you know, hopefully, you know, the changes that they’ve made here that I helped them with will – will help them accomplish, you know, these new goals that they’ve set for themselves, and – and we won’t see them back in the court system (Adam, 205-207).</w:t>
      </w:r>
    </w:p>
    <w:p w:rsidR="00ED06A4" w:rsidRDefault="00ED06A4" w:rsidP="00ED06A4">
      <w:pPr>
        <w:spacing w:after="0" w:line="480" w:lineRule="auto"/>
        <w:ind w:left="720"/>
      </w:pPr>
    </w:p>
    <w:p w:rsidR="00ED06A4" w:rsidRDefault="00ED06A4" w:rsidP="00ED06A4">
      <w:pPr>
        <w:spacing w:after="0" w:line="480" w:lineRule="auto"/>
        <w:ind w:left="720"/>
      </w:pPr>
      <w:r>
        <w:t>And even if they don’t go that far, even if they just further their education, they get a good job, they make enough to take care of their family, well, that’s, in this economy, that’s a huge triumph right there. (Blizzard, 315-317)</w:t>
      </w:r>
    </w:p>
    <w:p w:rsidR="00ED06A4" w:rsidRDefault="00ED06A4" w:rsidP="00ED06A4">
      <w:pPr>
        <w:spacing w:after="0" w:line="480" w:lineRule="auto"/>
        <w:ind w:left="720"/>
      </w:pPr>
    </w:p>
    <w:p w:rsidR="00ED06A4" w:rsidRDefault="00ED06A4" w:rsidP="00ED06A4">
      <w:pPr>
        <w:spacing w:after="0" w:line="480" w:lineRule="auto"/>
        <w:ind w:left="720"/>
      </w:pPr>
      <w:r>
        <w:t>I want them to get it and then move on to something else to become a more productive member of society, because they need to. They don’t need to keep being – especially, the ones that may be a little bit older, they don’t need to keep staying at this level in their life. They need to move on to something higher than this. (Blizzard</w:t>
      </w:r>
      <w:proofErr w:type="gramStart"/>
      <w:r>
        <w:t>,279</w:t>
      </w:r>
      <w:proofErr w:type="gramEnd"/>
      <w:r>
        <w:t>-286)</w:t>
      </w:r>
    </w:p>
    <w:p w:rsidR="00ED06A4" w:rsidRDefault="00ED06A4" w:rsidP="00ED06A4">
      <w:pPr>
        <w:spacing w:after="0" w:line="480" w:lineRule="auto"/>
        <w:ind w:left="720"/>
      </w:pPr>
    </w:p>
    <w:p w:rsidR="00ED06A4" w:rsidRDefault="00ED06A4" w:rsidP="00ED06A4">
      <w:pPr>
        <w:pStyle w:val="Header"/>
        <w:spacing w:after="0" w:line="480" w:lineRule="auto"/>
        <w:ind w:left="720"/>
      </w:pPr>
      <w:r>
        <w:tab/>
        <w:t>And that was something that seemed to work well when it would fit. It wouldn’t always fit. But I guess, peer tutors, sometimes they could explain something better than I could. And, then, it also gave them a feeling of accomplishment that they were taking what they had learned and sharing it with someone else. (Carla, 172-176)</w:t>
      </w:r>
    </w:p>
    <w:p w:rsidR="00ED06A4" w:rsidRDefault="00ED06A4" w:rsidP="00ED06A4">
      <w:pPr>
        <w:pStyle w:val="Header"/>
        <w:spacing w:after="0" w:line="480" w:lineRule="auto"/>
        <w:ind w:left="720"/>
      </w:pPr>
    </w:p>
    <w:p w:rsidR="00ED06A4" w:rsidRDefault="00ED06A4" w:rsidP="00ED06A4">
      <w:pPr>
        <w:pStyle w:val="Header"/>
        <w:spacing w:after="0" w:line="480" w:lineRule="auto"/>
        <w:ind w:left="720"/>
      </w:pPr>
      <w:r>
        <w:t xml:space="preserve">Oh, it was sort of like </w:t>
      </w:r>
      <w:proofErr w:type="gramStart"/>
      <w:r>
        <w:t>a</w:t>
      </w:r>
      <w:proofErr w:type="gramEnd"/>
      <w:r>
        <w:t xml:space="preserve"> educational pay-it-forward. You know – I showed you this, and you show them that and – you know. If you </w:t>
      </w:r>
      <w:proofErr w:type="spellStart"/>
      <w:r>
        <w:t>wanna</w:t>
      </w:r>
      <w:proofErr w:type="spellEnd"/>
      <w:r>
        <w:t xml:space="preserve"> – what is it – feed a village, teach ‘</w:t>
      </w:r>
      <w:proofErr w:type="spellStart"/>
      <w:r>
        <w:t>em</w:t>
      </w:r>
      <w:proofErr w:type="spellEnd"/>
      <w:r>
        <w:t xml:space="preserve"> how to fish instead of giving ‘</w:t>
      </w:r>
      <w:proofErr w:type="spellStart"/>
      <w:r>
        <w:t>em</w:t>
      </w:r>
      <w:proofErr w:type="spellEnd"/>
      <w:r>
        <w:t xml:space="preserve"> fish. It was just sort of the trickle down. (Carla, 179-181)</w:t>
      </w:r>
    </w:p>
    <w:p w:rsidR="00ED06A4" w:rsidRDefault="00ED06A4" w:rsidP="00ED06A4">
      <w:pPr>
        <w:pStyle w:val="Header"/>
        <w:spacing w:after="0" w:line="480" w:lineRule="auto"/>
        <w:ind w:left="720"/>
      </w:pPr>
      <w:r>
        <w:lastRenderedPageBreak/>
        <w:t>And, you know, this has happened several times where people will come back and they’ve been able to help their children with their homework. So that was a huge, you know, warm fuzzy that, they saw the benefit it gave ’</w:t>
      </w:r>
      <w:proofErr w:type="spellStart"/>
      <w:r>
        <w:t>em</w:t>
      </w:r>
      <w:proofErr w:type="spellEnd"/>
      <w:r>
        <w:t>, you know, self-esteem. They looked good for their kids, and so those were some good memories. (Carla, 189-192)</w:t>
      </w:r>
    </w:p>
    <w:p w:rsidR="00ED06A4" w:rsidRDefault="00ED06A4" w:rsidP="00ED06A4">
      <w:pPr>
        <w:pStyle w:val="Header"/>
        <w:spacing w:after="0" w:line="480" w:lineRule="auto"/>
        <w:ind w:left="720"/>
      </w:pPr>
    </w:p>
    <w:p w:rsidR="00ED06A4" w:rsidRDefault="00ED06A4" w:rsidP="00ED06A4">
      <w:pPr>
        <w:spacing w:after="0" w:line="480" w:lineRule="auto"/>
        <w:ind w:left="720"/>
      </w:pPr>
      <w:r>
        <w:t>You know. And, you know, like going back to it makes the world a better place, their kids, you know, benefit from that. So, these children are benefiting from a parent that can help them with their homework, which, in turn, down the road, may encourage them to learn more and be able to do the same for their kids. So it’s just that ongoing every little bit. Every little bit counts. (Carla, 196-201)</w:t>
      </w:r>
    </w:p>
    <w:p w:rsidR="00ED06A4" w:rsidRDefault="00ED06A4" w:rsidP="00ED06A4">
      <w:pPr>
        <w:spacing w:after="0" w:line="480" w:lineRule="auto"/>
        <w:ind w:left="720"/>
      </w:pPr>
    </w:p>
    <w:p w:rsidR="00ED06A4" w:rsidRDefault="00ED06A4" w:rsidP="00ED06A4">
      <w:pPr>
        <w:spacing w:after="0" w:line="480" w:lineRule="auto"/>
        <w:ind w:left="720"/>
      </w:pPr>
      <w:r>
        <w:t>Because anytime you can help someone, teach ‘</w:t>
      </w:r>
      <w:proofErr w:type="spellStart"/>
      <w:r>
        <w:t>em</w:t>
      </w:r>
      <w:proofErr w:type="spellEnd"/>
      <w:r>
        <w:t xml:space="preserve"> something and, you know, meet a goal that they’re trying to achieve, it’s good for everyone. (Elaine, 84-85)</w:t>
      </w:r>
    </w:p>
    <w:p w:rsidR="00ED06A4" w:rsidRDefault="00ED06A4" w:rsidP="00ED06A4">
      <w:pPr>
        <w:spacing w:after="0" w:line="480" w:lineRule="auto"/>
        <w:ind w:left="720"/>
      </w:pPr>
    </w:p>
    <w:p w:rsidR="00ED06A4" w:rsidRDefault="00ED06A4" w:rsidP="00ED06A4">
      <w:pPr>
        <w:spacing w:after="0" w:line="480" w:lineRule="auto"/>
        <w:ind w:left="720"/>
      </w:pPr>
      <w:r>
        <w:t>I think one of the neatest things that I’ve seen is that they’ll come because they have to, and then they’ll say, “Can I bring my mother?” my father, my sister, my brother, my girlfriend, my boyfriend, my husband, my wife, and that’s another way that we’ve gotten students. So I have had a mother and daughter graduate and get their GED together. I’ve had a son and a mother get a GED together. (Debbie, 20-24)</w:t>
      </w:r>
    </w:p>
    <w:p w:rsidR="00ED06A4" w:rsidRDefault="00ED06A4" w:rsidP="00ED06A4">
      <w:pPr>
        <w:spacing w:after="0" w:line="480" w:lineRule="auto"/>
        <w:ind w:left="720"/>
      </w:pPr>
    </w:p>
    <w:p w:rsidR="00ED06A4" w:rsidRDefault="00ED06A4" w:rsidP="00ED06A4">
      <w:pPr>
        <w:spacing w:after="0" w:line="480" w:lineRule="auto"/>
        <w:ind w:left="720"/>
      </w:pPr>
      <w:r>
        <w:t xml:space="preserve">Well, I think, for me, it causes me to be more optimistic about their future. If while they’re here they can make some positive change, develop some self-worth by accomplishing, you know, getting their GED, not only that, getting a driver’s license, </w:t>
      </w:r>
      <w:r>
        <w:lastRenderedPageBreak/>
        <w:t>making some of these positive changes and some changes in their behavior, hopefully, down the road, it’ll keep somebody from becoming a victim of theirs. (Adam, 97-101)</w:t>
      </w:r>
    </w:p>
    <w:p w:rsidR="00ED06A4" w:rsidRDefault="00ED06A4" w:rsidP="00ED06A4">
      <w:pPr>
        <w:spacing w:after="0" w:line="480" w:lineRule="auto"/>
        <w:ind w:left="720"/>
      </w:pPr>
    </w:p>
    <w:p w:rsidR="00ED06A4" w:rsidRDefault="00ED06A4" w:rsidP="00ED06A4">
      <w:pPr>
        <w:spacing w:after="0" w:line="480" w:lineRule="auto"/>
        <w:ind w:left="720"/>
      </w:pPr>
      <w:r>
        <w:t>Well, you know, since I got my GED, I’ve got this job and I’ve bought a house and I’m doing well, my family’s doing well. (Debbie, 54-56)</w:t>
      </w:r>
    </w:p>
    <w:p w:rsidR="00ED06A4" w:rsidRDefault="00ED06A4" w:rsidP="00ED06A4">
      <w:pPr>
        <w:spacing w:after="0" w:line="480" w:lineRule="auto"/>
      </w:pPr>
    </w:p>
    <w:p w:rsidR="00ED06A4" w:rsidRDefault="00ED06A4" w:rsidP="00ED06A4">
      <w:pPr>
        <w:spacing w:after="0" w:line="480" w:lineRule="auto"/>
        <w:ind w:left="720"/>
      </w:pPr>
      <w:r>
        <w:t>I went into (Store A) a couple of months ago, and this guy, I ran into him, he got out, got off probation, he had no – he has no parole officer or anything. He’s got a job and going to church, doing great, hasn’t been in any more trouble. (Flo, 250-252)</w:t>
      </w:r>
    </w:p>
    <w:p w:rsidR="00ED06A4" w:rsidRDefault="00ED06A4" w:rsidP="00ED06A4">
      <w:pPr>
        <w:spacing w:after="0" w:line="480" w:lineRule="auto"/>
      </w:pPr>
    </w:p>
    <w:p w:rsidR="00ED06A4" w:rsidRDefault="00ED06A4" w:rsidP="00ED06A4">
      <w:pPr>
        <w:pStyle w:val="BodyTextIndent"/>
        <w:spacing w:after="0" w:line="480" w:lineRule="auto"/>
        <w:ind w:left="720" w:firstLine="0"/>
        <w:rPr>
          <w:szCs w:val="24"/>
        </w:rPr>
      </w:pPr>
      <w:r>
        <w:t>And, too, if you get that one, it might be the – the gang they – not a gang, but their buddies, they can say, “Well, you know, if he can do it, I can do it.” So that’s – ‘cause most of them are – the ones that’s on probation, they’ve been incarcerated together, and, you know, they’re – or they’ve been maybe in trouble together. And so, you know, it’s a thing that, “Well, if it helps him, you know, I might do that too.” (Flo, 570-574)</w:t>
      </w:r>
      <w:r>
        <w:rPr>
          <w:szCs w:val="24"/>
        </w:rPr>
        <w:t xml:space="preserve"> </w:t>
      </w:r>
    </w:p>
    <w:p w:rsidR="00ED06A4" w:rsidRDefault="00ED06A4" w:rsidP="00ED06A4">
      <w:pPr>
        <w:pStyle w:val="BodyTextIndent"/>
        <w:spacing w:after="0" w:line="480" w:lineRule="auto"/>
        <w:ind w:left="720" w:firstLine="0"/>
        <w:rPr>
          <w:szCs w:val="24"/>
        </w:rPr>
      </w:pPr>
    </w:p>
    <w:p w:rsidR="00ED06A4" w:rsidRDefault="00ED06A4" w:rsidP="00ED06A4">
      <w:pPr>
        <w:spacing w:after="0" w:line="480" w:lineRule="auto"/>
        <w:ind w:firstLine="720"/>
      </w:pPr>
      <w:r>
        <w:t>I: What’s the return on the investment that you see?</w:t>
      </w:r>
    </w:p>
    <w:p w:rsidR="00ED06A4" w:rsidRDefault="00ED06A4" w:rsidP="00ED06A4">
      <w:pPr>
        <w:spacing w:after="0" w:line="480" w:lineRule="auto"/>
        <w:ind w:left="720"/>
      </w:pPr>
      <w:r>
        <w:t xml:space="preserve">P: Oh, just to society. Hopefully, he’ll soon be a taxpayer. He will not be criminally involved. Hopefully, he’ll turn his life around, make some money, </w:t>
      </w:r>
      <w:proofErr w:type="gramStart"/>
      <w:r>
        <w:t>buy</w:t>
      </w:r>
      <w:proofErr w:type="gramEnd"/>
      <w:r>
        <w:t xml:space="preserve"> his own car. He won’t have to go from house to house to live, perhaps get an apartment and be set for life, self-sufficient. That’s the pay off. (</w:t>
      </w:r>
      <w:proofErr w:type="spellStart"/>
      <w:r>
        <w:t>Gomer</w:t>
      </w:r>
      <w:proofErr w:type="spellEnd"/>
      <w:r>
        <w:t>, 29-33)</w:t>
      </w:r>
    </w:p>
    <w:p w:rsidR="00ED06A4" w:rsidRDefault="00ED06A4" w:rsidP="00ED06A4">
      <w:pPr>
        <w:pStyle w:val="BodyTextIndent"/>
        <w:spacing w:after="0" w:line="480" w:lineRule="auto"/>
        <w:ind w:left="720" w:firstLine="0"/>
        <w:rPr>
          <w:szCs w:val="24"/>
        </w:rPr>
      </w:pPr>
    </w:p>
    <w:p w:rsidR="00ED06A4" w:rsidRDefault="00ED06A4" w:rsidP="00ED06A4">
      <w:pPr>
        <w:pStyle w:val="Heading4"/>
      </w:pPr>
      <w:r>
        <w:lastRenderedPageBreak/>
        <w:t xml:space="preserve">Theme 4: “That was a huge warm fuzzy.” </w:t>
      </w:r>
    </w:p>
    <w:p w:rsidR="00ED06A4" w:rsidRDefault="00ED06A4" w:rsidP="00ED06A4">
      <w:pPr>
        <w:pStyle w:val="BodyTextIndent"/>
        <w:spacing w:after="0" w:line="480" w:lineRule="auto"/>
        <w:ind w:firstLine="0"/>
        <w:rPr>
          <w:szCs w:val="24"/>
        </w:rPr>
      </w:pPr>
      <w:r>
        <w:rPr>
          <w:szCs w:val="24"/>
        </w:rPr>
        <w:tab/>
        <w:t xml:space="preserve">This theme, still seen through the relationship with the student, indicates a change in the teachers through how teachers experience students’ successes. The terms </w:t>
      </w:r>
      <w:r w:rsidRPr="00FE5070">
        <w:rPr>
          <w:i/>
          <w:szCs w:val="24"/>
        </w:rPr>
        <w:t>pride</w:t>
      </w:r>
      <w:r>
        <w:rPr>
          <w:szCs w:val="24"/>
        </w:rPr>
        <w:t xml:space="preserve">, </w:t>
      </w:r>
      <w:r w:rsidRPr="00FE5070">
        <w:rPr>
          <w:i/>
          <w:szCs w:val="24"/>
        </w:rPr>
        <w:t>accomplishment</w:t>
      </w:r>
      <w:r>
        <w:rPr>
          <w:szCs w:val="24"/>
        </w:rPr>
        <w:t xml:space="preserve">, </w:t>
      </w:r>
      <w:r w:rsidRPr="00FE5070">
        <w:rPr>
          <w:i/>
          <w:szCs w:val="24"/>
        </w:rPr>
        <w:t>validation</w:t>
      </w:r>
      <w:r>
        <w:rPr>
          <w:szCs w:val="24"/>
        </w:rPr>
        <w:t xml:space="preserve">, </w:t>
      </w:r>
      <w:r w:rsidRPr="00FE5070">
        <w:rPr>
          <w:i/>
          <w:szCs w:val="24"/>
        </w:rPr>
        <w:t>confirmation</w:t>
      </w:r>
      <w:r>
        <w:rPr>
          <w:szCs w:val="24"/>
        </w:rPr>
        <w:t xml:space="preserve">, and </w:t>
      </w:r>
      <w:r w:rsidRPr="00FE5070">
        <w:rPr>
          <w:i/>
          <w:szCs w:val="24"/>
        </w:rPr>
        <w:t>rewarding</w:t>
      </w:r>
      <w:r>
        <w:rPr>
          <w:szCs w:val="24"/>
        </w:rPr>
        <w:t xml:space="preserve"> fill the teachers’ experiences of working with their students: </w:t>
      </w:r>
    </w:p>
    <w:p w:rsidR="00ED06A4" w:rsidRDefault="00ED06A4" w:rsidP="00ED06A4">
      <w:pPr>
        <w:spacing w:after="0" w:line="480" w:lineRule="auto"/>
        <w:ind w:left="720"/>
      </w:pPr>
      <w:r>
        <w:t>As long as they use it for good and don’t go rob a bank with it or something. But just a – it’s just a joyful feeling. (Carla, 89-90)</w:t>
      </w:r>
    </w:p>
    <w:p w:rsidR="00ED06A4" w:rsidRDefault="00ED06A4" w:rsidP="00ED06A4">
      <w:pPr>
        <w:spacing w:after="0" w:line="480" w:lineRule="auto"/>
        <w:ind w:left="720"/>
      </w:pPr>
    </w:p>
    <w:p w:rsidR="00ED06A4" w:rsidRDefault="00ED06A4" w:rsidP="00ED06A4">
      <w:pPr>
        <w:spacing w:after="0" w:line="480" w:lineRule="auto"/>
        <w:ind w:firstLine="720"/>
      </w:pPr>
      <w:r>
        <w:t>It’s just a sense of accomplishment on my part, you know. (Adam, 114)</w:t>
      </w:r>
    </w:p>
    <w:p w:rsidR="00ED06A4" w:rsidRDefault="00ED06A4" w:rsidP="00ED06A4">
      <w:pPr>
        <w:spacing w:after="0" w:line="480" w:lineRule="auto"/>
        <w:ind w:firstLine="720"/>
      </w:pPr>
    </w:p>
    <w:p w:rsidR="00ED06A4" w:rsidRDefault="00ED06A4" w:rsidP="00ED06A4">
      <w:pPr>
        <w:spacing w:after="0" w:line="480" w:lineRule="auto"/>
        <w:ind w:left="720"/>
      </w:pPr>
      <w:r>
        <w:t>Just confirmation that, you know, we were doing something that was worthwhile, even though it was on such a small level. All the work that I had spent with him was paying off. You know, it was almost like a child. I was proud of a child that was learning to do something. (Carla, 19-22)</w:t>
      </w:r>
    </w:p>
    <w:p w:rsidR="00ED06A4" w:rsidRDefault="00ED06A4" w:rsidP="00ED06A4">
      <w:pPr>
        <w:spacing w:after="0" w:line="480" w:lineRule="auto"/>
        <w:ind w:left="720"/>
      </w:pPr>
    </w:p>
    <w:p w:rsidR="00ED06A4" w:rsidRDefault="00ED06A4" w:rsidP="00ED06A4">
      <w:pPr>
        <w:spacing w:after="0" w:line="480" w:lineRule="auto"/>
        <w:ind w:firstLine="720"/>
      </w:pPr>
      <w:r>
        <w:t>Well, a validation, satisfaction. You know, it gives what I do meaning. (Carla, 196)</w:t>
      </w:r>
    </w:p>
    <w:p w:rsidR="00ED06A4" w:rsidRDefault="00ED06A4" w:rsidP="00ED06A4">
      <w:pPr>
        <w:spacing w:after="0" w:line="480" w:lineRule="auto"/>
        <w:ind w:firstLine="720"/>
      </w:pPr>
    </w:p>
    <w:p w:rsidR="00ED06A4" w:rsidRDefault="00ED06A4" w:rsidP="00ED06A4">
      <w:pPr>
        <w:pStyle w:val="Header"/>
        <w:spacing w:after="0" w:line="480" w:lineRule="auto"/>
        <w:ind w:left="720"/>
      </w:pPr>
      <w:r>
        <w:tab/>
        <w:t>Well, of course, it makes you feel good. That’s your biggest thing in teaching. You’re not in teaching for the pay. (Elaine, 59-60)</w:t>
      </w:r>
    </w:p>
    <w:p w:rsidR="00ED06A4" w:rsidRDefault="00ED06A4" w:rsidP="00ED06A4">
      <w:pPr>
        <w:pStyle w:val="Header"/>
        <w:spacing w:after="0" w:line="480" w:lineRule="auto"/>
      </w:pPr>
    </w:p>
    <w:p w:rsidR="00ED06A4" w:rsidRDefault="00ED06A4" w:rsidP="00ED06A4">
      <w:pPr>
        <w:pStyle w:val="Header"/>
        <w:spacing w:after="0" w:line="480" w:lineRule="auto"/>
        <w:ind w:left="720"/>
      </w:pPr>
      <w:r>
        <w:tab/>
        <w:t>Well, you know, anytime someone says something good, it – you know, it makes you work harder too ‘cause it makes you feel good. (Elaine, 65-66)</w:t>
      </w:r>
    </w:p>
    <w:p w:rsidR="00ED06A4" w:rsidRDefault="00ED06A4" w:rsidP="00ED06A4">
      <w:pPr>
        <w:pStyle w:val="Header"/>
        <w:spacing w:after="0" w:line="480" w:lineRule="auto"/>
      </w:pPr>
    </w:p>
    <w:p w:rsidR="00ED06A4" w:rsidRDefault="00ED06A4" w:rsidP="00ED06A4">
      <w:pPr>
        <w:spacing w:after="0" w:line="480" w:lineRule="auto"/>
        <w:ind w:left="720"/>
      </w:pPr>
      <w:r>
        <w:lastRenderedPageBreak/>
        <w:t>Well, you know, again, I’m real proud of ‘</w:t>
      </w:r>
      <w:proofErr w:type="spellStart"/>
      <w:proofErr w:type="gramStart"/>
      <w:r>
        <w:t>em</w:t>
      </w:r>
      <w:proofErr w:type="spellEnd"/>
      <w:r>
        <w:t>,</w:t>
      </w:r>
      <w:proofErr w:type="gramEnd"/>
      <w:r>
        <w:t xml:space="preserve"> and I usually, you know, praise ‘</w:t>
      </w:r>
      <w:proofErr w:type="spellStart"/>
      <w:r>
        <w:t>em</w:t>
      </w:r>
      <w:proofErr w:type="spellEnd"/>
      <w:r>
        <w:t xml:space="preserve"> and say, “Well, I’m proud that you got it. I hate that that’s the way you had to get it, but I’m proud that you got it, and that’ll give you maybe a leg up on getting a job out here now.” (Debbie, 67-70)</w:t>
      </w:r>
    </w:p>
    <w:p w:rsidR="00ED06A4" w:rsidRDefault="00ED06A4" w:rsidP="00ED06A4">
      <w:pPr>
        <w:spacing w:after="0" w:line="480" w:lineRule="auto"/>
        <w:ind w:left="720"/>
      </w:pPr>
    </w:p>
    <w:p w:rsidR="00ED06A4" w:rsidRDefault="00ED06A4" w:rsidP="00ED06A4">
      <w:pPr>
        <w:spacing w:after="0" w:line="480" w:lineRule="auto"/>
        <w:ind w:firstLine="720"/>
      </w:pPr>
      <w:r>
        <w:t>So that was a huge, you know, warm fuzzy. (Carla, 190)</w:t>
      </w:r>
    </w:p>
    <w:p w:rsidR="00ED06A4" w:rsidRDefault="00ED06A4" w:rsidP="00ED06A4">
      <w:pPr>
        <w:spacing w:after="0" w:line="480" w:lineRule="auto"/>
        <w:ind w:firstLine="720"/>
      </w:pPr>
    </w:p>
    <w:p w:rsidR="00ED06A4" w:rsidRDefault="00ED06A4" w:rsidP="00ED06A4">
      <w:pPr>
        <w:spacing w:after="0" w:line="480" w:lineRule="auto"/>
        <w:ind w:firstLine="720"/>
      </w:pPr>
      <w:r>
        <w:t>Yeah, it’s pretty rewarding. (Debbie, 116)</w:t>
      </w:r>
    </w:p>
    <w:p w:rsidR="00ED06A4" w:rsidRDefault="00ED06A4" w:rsidP="00ED06A4">
      <w:pPr>
        <w:spacing w:after="0" w:line="480" w:lineRule="auto"/>
        <w:ind w:firstLine="720"/>
      </w:pPr>
    </w:p>
    <w:p w:rsidR="00ED06A4" w:rsidRDefault="00ED06A4" w:rsidP="00ED06A4">
      <w:pPr>
        <w:spacing w:after="0" w:line="480" w:lineRule="auto"/>
        <w:ind w:left="720"/>
      </w:pPr>
      <w:r>
        <w:t>I enjoy working with them because you have the feeling, you know, if I can help this person, you know, that would be one, because they say, you know, if you help one then that’s something. (Flo, 72-74)</w:t>
      </w:r>
    </w:p>
    <w:p w:rsidR="00ED06A4" w:rsidRDefault="00ED06A4" w:rsidP="00ED06A4">
      <w:pPr>
        <w:spacing w:after="0" w:line="480" w:lineRule="auto"/>
        <w:ind w:left="720"/>
        <w:rPr>
          <w:b/>
        </w:rPr>
      </w:pPr>
    </w:p>
    <w:p w:rsidR="00ED06A4" w:rsidRDefault="00ED06A4" w:rsidP="00ED06A4">
      <w:pPr>
        <w:spacing w:after="0" w:line="480" w:lineRule="auto"/>
        <w:ind w:left="720"/>
      </w:pPr>
      <w:r>
        <w:t xml:space="preserve">But if you get one, you know, out of the bunch, you think, </w:t>
      </w:r>
      <w:r>
        <w:rPr>
          <w:iCs/>
        </w:rPr>
        <w:t>Well, I’ve accomplished something.</w:t>
      </w:r>
      <w:r>
        <w:rPr>
          <w:i/>
        </w:rPr>
        <w:t xml:space="preserve"> </w:t>
      </w:r>
      <w:r>
        <w:t>(Flo, 111-112)</w:t>
      </w:r>
    </w:p>
    <w:p w:rsidR="00ED06A4" w:rsidRDefault="00ED06A4" w:rsidP="00ED06A4">
      <w:pPr>
        <w:spacing w:after="0" w:line="480" w:lineRule="auto"/>
        <w:ind w:left="720"/>
      </w:pPr>
    </w:p>
    <w:p w:rsidR="00ED06A4" w:rsidRDefault="00ED06A4" w:rsidP="00ED06A4">
      <w:pPr>
        <w:spacing w:after="0" w:line="480" w:lineRule="auto"/>
        <w:ind w:left="720"/>
      </w:pPr>
      <w:r>
        <w:t>Well, you feel like you’ve won. I mean, you know, if you look at it as winning the – the battle, you know, you’ve won, you’ve got that one accomplished. (Flo, 259-260)</w:t>
      </w:r>
    </w:p>
    <w:p w:rsidR="00ED06A4" w:rsidRDefault="00ED06A4" w:rsidP="00ED06A4">
      <w:pPr>
        <w:spacing w:after="0" w:line="480" w:lineRule="auto"/>
        <w:ind w:left="720"/>
        <w:rPr>
          <w:b/>
        </w:rPr>
      </w:pPr>
    </w:p>
    <w:p w:rsidR="00ED06A4" w:rsidRDefault="00ED06A4" w:rsidP="00ED06A4">
      <w:pPr>
        <w:spacing w:after="0" w:line="480" w:lineRule="auto"/>
        <w:ind w:left="720"/>
      </w:pPr>
      <w:r>
        <w:t>So it’s rewarding. It’s very rewarding when you know you’ve got that one, if they don’t end up back in trouble and stay out and actually hang on to that job and don’t lose it. (Flo, 270-272)</w:t>
      </w:r>
    </w:p>
    <w:p w:rsidR="00ED06A4" w:rsidRDefault="00ED06A4" w:rsidP="00ED06A4">
      <w:pPr>
        <w:spacing w:after="0" w:line="480" w:lineRule="auto"/>
        <w:ind w:left="720"/>
      </w:pPr>
    </w:p>
    <w:p w:rsidR="00ED06A4" w:rsidRDefault="00ED06A4" w:rsidP="00ED06A4">
      <w:pPr>
        <w:spacing w:after="0" w:line="480" w:lineRule="auto"/>
        <w:ind w:left="720"/>
      </w:pPr>
      <w:r>
        <w:lastRenderedPageBreak/>
        <w:t>Well, it’s just the feeling that you have that you’ve actually helped someone, and, I mean, you don’t receive nothing, no – but you’ve actually – it’s just like you said, you know, you get up and hope to have a good day, and – and if you actually, you know, accomplish what some of your students do, that you know you’ve helped them. And it’s – it’s rewarding to know that, you know, you’ve… to help someone that will maybe benefit them in life and – and to accomplish some of their goals. (Flo, 392-397)</w:t>
      </w:r>
    </w:p>
    <w:p w:rsidR="00ED06A4" w:rsidRDefault="00ED06A4" w:rsidP="00ED06A4">
      <w:pPr>
        <w:spacing w:after="0" w:line="480" w:lineRule="auto"/>
        <w:ind w:left="720"/>
      </w:pPr>
    </w:p>
    <w:p w:rsidR="00ED06A4" w:rsidRDefault="00ED06A4" w:rsidP="00ED06A4">
      <w:pPr>
        <w:spacing w:after="0" w:line="480" w:lineRule="auto"/>
        <w:ind w:left="720"/>
      </w:pPr>
      <w:r>
        <w:rPr>
          <w:rStyle w:val="hw"/>
        </w:rPr>
        <w:t xml:space="preserve">I have to say it’s just the most fulfilling labor of love, and </w:t>
      </w:r>
      <w:proofErr w:type="gramStart"/>
      <w:r>
        <w:rPr>
          <w:rStyle w:val="hw"/>
        </w:rPr>
        <w:t>it’s</w:t>
      </w:r>
      <w:proofErr w:type="gramEnd"/>
      <w:r>
        <w:rPr>
          <w:rStyle w:val="hw"/>
        </w:rPr>
        <w:t xml:space="preserve"> four nights a week…. I love helping people, especially young people ‘</w:t>
      </w:r>
      <w:proofErr w:type="gramStart"/>
      <w:r>
        <w:rPr>
          <w:rStyle w:val="hw"/>
        </w:rPr>
        <w:t>cause</w:t>
      </w:r>
      <w:proofErr w:type="gramEnd"/>
      <w:r>
        <w:rPr>
          <w:rStyle w:val="hw"/>
        </w:rPr>
        <w:t xml:space="preserve"> I see my children in them. And it’s just a great thing. Somebody’s </w:t>
      </w:r>
      <w:proofErr w:type="spellStart"/>
      <w:r>
        <w:rPr>
          <w:rStyle w:val="hw"/>
        </w:rPr>
        <w:t>gotta</w:t>
      </w:r>
      <w:proofErr w:type="spellEnd"/>
      <w:r>
        <w:rPr>
          <w:rStyle w:val="hw"/>
        </w:rPr>
        <w:t xml:space="preserve"> do it. Somebody’s </w:t>
      </w:r>
      <w:proofErr w:type="spellStart"/>
      <w:r>
        <w:rPr>
          <w:rStyle w:val="hw"/>
        </w:rPr>
        <w:t>gonna</w:t>
      </w:r>
      <w:proofErr w:type="spellEnd"/>
      <w:r>
        <w:rPr>
          <w:rStyle w:val="hw"/>
        </w:rPr>
        <w:t xml:space="preserve"> make a change and some of us try to do that positively, and we see the fruits of our labor once in a great while. It makes it worth it. I’m not here for the money at night, trust me. (</w:t>
      </w:r>
      <w:proofErr w:type="spellStart"/>
      <w:r>
        <w:rPr>
          <w:rStyle w:val="hw"/>
        </w:rPr>
        <w:t>Gomer</w:t>
      </w:r>
      <w:proofErr w:type="spellEnd"/>
      <w:r>
        <w:rPr>
          <w:rStyle w:val="hw"/>
        </w:rPr>
        <w:t>, 321-326)</w:t>
      </w:r>
    </w:p>
    <w:p w:rsidR="00ED06A4" w:rsidRDefault="00ED06A4" w:rsidP="00ED06A4">
      <w:pPr>
        <w:pStyle w:val="BodyTextIndent"/>
        <w:spacing w:after="0" w:line="480" w:lineRule="auto"/>
        <w:ind w:firstLine="0"/>
        <w:jc w:val="center"/>
        <w:rPr>
          <w:szCs w:val="24"/>
        </w:rPr>
      </w:pPr>
    </w:p>
    <w:p w:rsidR="00ED06A4" w:rsidRDefault="00ED06A4" w:rsidP="00ED06A4">
      <w:pPr>
        <w:pStyle w:val="Heading1"/>
      </w:pPr>
      <w:r>
        <w:br w:type="page"/>
      </w:r>
      <w:bookmarkStart w:id="21" w:name="_Toc309015921"/>
      <w:r>
        <w:lastRenderedPageBreak/>
        <w:t>Chapter 5: Discussion</w:t>
      </w:r>
      <w:bookmarkEnd w:id="21"/>
    </w:p>
    <w:p w:rsidR="00ED06A4" w:rsidRDefault="00ED06A4" w:rsidP="00ED06A4">
      <w:pPr>
        <w:pStyle w:val="BodyTextIndent"/>
        <w:spacing w:after="0" w:line="480" w:lineRule="auto"/>
        <w:ind w:firstLine="0"/>
        <w:rPr>
          <w:bCs/>
          <w:szCs w:val="24"/>
        </w:rPr>
      </w:pPr>
      <w:r>
        <w:rPr>
          <w:b/>
          <w:szCs w:val="24"/>
        </w:rPr>
        <w:tab/>
      </w:r>
      <w:r>
        <w:rPr>
          <w:bCs/>
          <w:szCs w:val="24"/>
        </w:rPr>
        <w:t xml:space="preserve">This study examined the experience of GED/ABE teachers working with court-mandated students. The findings showed that teachers experienced a special relationship with students, a relationship chiasm (the ground of “Your world stops”) that was experienced not only through teachers’ direct experiences (themes of “You’ve helped make the world a better place” and “That was a huge warm fuzzy”), but through teachers’ experiences of their perceptions of students’ experiences (“The light bulb goes off” and “They realize they can accomplish something”).  </w:t>
      </w:r>
    </w:p>
    <w:p w:rsidR="00ED06A4" w:rsidRDefault="00ED06A4" w:rsidP="00ED06A4">
      <w:pPr>
        <w:pStyle w:val="BodyTextIndent"/>
        <w:spacing w:after="0" w:line="480" w:lineRule="auto"/>
        <w:rPr>
          <w:bCs/>
          <w:szCs w:val="24"/>
        </w:rPr>
      </w:pPr>
      <w:r>
        <w:rPr>
          <w:bCs/>
          <w:szCs w:val="24"/>
        </w:rPr>
        <w:t xml:space="preserve">This special relationship chiasm is reminiscent of Buber’s (1965) I-Thou relationship, in which a genuine relationship exists between two individuals, such as teacher and student.  </w:t>
      </w:r>
      <w:proofErr w:type="gramStart"/>
      <w:r>
        <w:rPr>
          <w:bCs/>
          <w:szCs w:val="24"/>
        </w:rPr>
        <w:t>The I</w:t>
      </w:r>
      <w:proofErr w:type="gramEnd"/>
      <w:r>
        <w:rPr>
          <w:bCs/>
          <w:szCs w:val="24"/>
        </w:rPr>
        <w:t xml:space="preserve">-Thou relationship is distinguished from the I-It relationship, a relationship in which the student is seen as somehow disconnected from the teacher.  In </w:t>
      </w:r>
      <w:proofErr w:type="gramStart"/>
      <w:r>
        <w:rPr>
          <w:bCs/>
          <w:szCs w:val="24"/>
        </w:rPr>
        <w:t>the I</w:t>
      </w:r>
      <w:proofErr w:type="gramEnd"/>
      <w:r>
        <w:rPr>
          <w:bCs/>
          <w:szCs w:val="24"/>
        </w:rPr>
        <w:t xml:space="preserve">-Thou relationship, “the Thou is no longer one thing among others; rather, the whole universe is seen in the light of the Thou, and the Thou is the light of the Universe” (Adkins, 1999, p. 176).  The teacher’s experience of “your world stops” is a wonderful example of the Thou becoming the “light of the universe.”  It is a relationship in which the distinction between the subject and object ceases to exist, as </w:t>
      </w:r>
      <w:proofErr w:type="spellStart"/>
      <w:r>
        <w:rPr>
          <w:bCs/>
          <w:szCs w:val="24"/>
        </w:rPr>
        <w:t>Merleau-Ponty</w:t>
      </w:r>
      <w:proofErr w:type="spellEnd"/>
      <w:r>
        <w:rPr>
          <w:bCs/>
          <w:szCs w:val="24"/>
        </w:rPr>
        <w:t xml:space="preserve"> (1968) suggested in his reversibility thesis.  Subject and object become united as one world: “The educator approaches each student as another world – connected with that of the educator and others, both visibly and invisibly” (Morrison, 1985, p. 11).  </w:t>
      </w:r>
    </w:p>
    <w:p w:rsidR="00ED06A4" w:rsidRDefault="00ED06A4" w:rsidP="00ED06A4">
      <w:pPr>
        <w:pStyle w:val="BodyTextIndent"/>
        <w:spacing w:after="0" w:line="480" w:lineRule="auto"/>
        <w:rPr>
          <w:bCs/>
          <w:szCs w:val="24"/>
        </w:rPr>
      </w:pPr>
      <w:r>
        <w:rPr>
          <w:bCs/>
          <w:szCs w:val="24"/>
        </w:rPr>
        <w:t xml:space="preserve">This connection is undertaken on the part of the teacher: “We do not seek the Thou, nor can we capture it.  We open ourselves and meet it.  </w:t>
      </w:r>
      <w:proofErr w:type="gramStart"/>
      <w:r>
        <w:rPr>
          <w:bCs/>
          <w:szCs w:val="24"/>
        </w:rPr>
        <w:t>The relationship is reciprocal” (</w:t>
      </w:r>
      <w:proofErr w:type="spellStart"/>
      <w:r>
        <w:rPr>
          <w:bCs/>
          <w:szCs w:val="24"/>
        </w:rPr>
        <w:t>Hendley</w:t>
      </w:r>
      <w:proofErr w:type="spellEnd"/>
      <w:r>
        <w:rPr>
          <w:bCs/>
          <w:szCs w:val="24"/>
        </w:rPr>
        <w:t>, 1978, p. 141).</w:t>
      </w:r>
      <w:proofErr w:type="gramEnd"/>
      <w:r>
        <w:rPr>
          <w:bCs/>
          <w:szCs w:val="24"/>
        </w:rPr>
        <w:t xml:space="preserve">  This relationship is not static, just as worlds are not static as they spin through the universe.  </w:t>
      </w:r>
      <w:proofErr w:type="gramStart"/>
      <w:r>
        <w:rPr>
          <w:bCs/>
          <w:szCs w:val="24"/>
        </w:rPr>
        <w:t>“The relationship,” said Buber (1965), is election and electing, passive and active at once” (p. 62).</w:t>
      </w:r>
      <w:proofErr w:type="gramEnd"/>
      <w:r>
        <w:rPr>
          <w:bCs/>
          <w:szCs w:val="24"/>
        </w:rPr>
        <w:t xml:space="preserve">  The teacher and the student both absorb the influence of the other and </w:t>
      </w:r>
      <w:proofErr w:type="gramStart"/>
      <w:r>
        <w:rPr>
          <w:bCs/>
          <w:szCs w:val="24"/>
        </w:rPr>
        <w:t>responds</w:t>
      </w:r>
      <w:proofErr w:type="gramEnd"/>
      <w:r>
        <w:rPr>
          <w:bCs/>
          <w:szCs w:val="24"/>
        </w:rPr>
        <w:t xml:space="preserve"> </w:t>
      </w:r>
      <w:r>
        <w:rPr>
          <w:bCs/>
          <w:szCs w:val="24"/>
        </w:rPr>
        <w:lastRenderedPageBreak/>
        <w:t>(Morrison, 1985).  This is represented in the multi-</w:t>
      </w:r>
      <w:proofErr w:type="spellStart"/>
      <w:r>
        <w:rPr>
          <w:bCs/>
          <w:szCs w:val="24"/>
        </w:rPr>
        <w:t>phasic</w:t>
      </w:r>
      <w:proofErr w:type="spellEnd"/>
      <w:r>
        <w:rPr>
          <w:bCs/>
          <w:szCs w:val="24"/>
        </w:rPr>
        <w:t xml:space="preserve"> nature of the Necker cube, which alternates perspectives as one looks at it.  In </w:t>
      </w:r>
      <w:proofErr w:type="gramStart"/>
      <w:r>
        <w:rPr>
          <w:bCs/>
          <w:szCs w:val="24"/>
        </w:rPr>
        <w:t>the I</w:t>
      </w:r>
      <w:proofErr w:type="gramEnd"/>
      <w:r>
        <w:rPr>
          <w:bCs/>
          <w:szCs w:val="24"/>
        </w:rPr>
        <w:t>-Thou relationship, the teacher “can live the common educational event from the standpoint of the student as well as from his own” (</w:t>
      </w:r>
      <w:proofErr w:type="spellStart"/>
      <w:r>
        <w:rPr>
          <w:bCs/>
          <w:szCs w:val="24"/>
        </w:rPr>
        <w:t>Hendley</w:t>
      </w:r>
      <w:proofErr w:type="spellEnd"/>
      <w:r>
        <w:rPr>
          <w:bCs/>
          <w:szCs w:val="24"/>
        </w:rPr>
        <w:t>, p. 142).   This sense of empathy (</w:t>
      </w:r>
      <w:proofErr w:type="spellStart"/>
      <w:r>
        <w:rPr>
          <w:bCs/>
          <w:szCs w:val="24"/>
        </w:rPr>
        <w:t>Einfülung</w:t>
      </w:r>
      <w:proofErr w:type="spellEnd"/>
      <w:r>
        <w:rPr>
          <w:bCs/>
          <w:szCs w:val="24"/>
        </w:rPr>
        <w:t xml:space="preserve"> and </w:t>
      </w:r>
      <w:proofErr w:type="spellStart"/>
      <w:r>
        <w:rPr>
          <w:bCs/>
          <w:szCs w:val="24"/>
        </w:rPr>
        <w:t>Ineinander</w:t>
      </w:r>
      <w:proofErr w:type="spellEnd"/>
      <w:r>
        <w:rPr>
          <w:bCs/>
          <w:szCs w:val="24"/>
        </w:rPr>
        <w:t xml:space="preserve">) creates </w:t>
      </w:r>
      <w:proofErr w:type="gramStart"/>
      <w:r>
        <w:rPr>
          <w:bCs/>
          <w:szCs w:val="24"/>
        </w:rPr>
        <w:t>the I</w:t>
      </w:r>
      <w:proofErr w:type="gramEnd"/>
      <w:r>
        <w:rPr>
          <w:bCs/>
          <w:szCs w:val="24"/>
        </w:rPr>
        <w:t xml:space="preserve">-Thou relationship: “Embodied, we recognize others existing in their body worlds.  We feel a sense of kinship.  I recognize the other </w:t>
      </w:r>
      <w:proofErr w:type="spellStart"/>
      <w:r>
        <w:rPr>
          <w:bCs/>
          <w:szCs w:val="24"/>
        </w:rPr>
        <w:t>and</w:t>
      </w:r>
      <w:proofErr w:type="spellEnd"/>
      <w:r>
        <w:rPr>
          <w:bCs/>
          <w:szCs w:val="24"/>
        </w:rPr>
        <w:t xml:space="preserve">, at the same time, perceive the other resembles me.  </w:t>
      </w:r>
      <w:proofErr w:type="gramStart"/>
      <w:r>
        <w:rPr>
          <w:bCs/>
          <w:szCs w:val="24"/>
        </w:rPr>
        <w:t>We are implanted in the shared world” (Morrison, p. 11).</w:t>
      </w:r>
      <w:proofErr w:type="gramEnd"/>
      <w:r>
        <w:rPr>
          <w:bCs/>
          <w:szCs w:val="24"/>
        </w:rPr>
        <w:t xml:space="preserve">  </w:t>
      </w:r>
      <w:proofErr w:type="gramStart"/>
      <w:r>
        <w:rPr>
          <w:bCs/>
          <w:szCs w:val="24"/>
        </w:rPr>
        <w:t xml:space="preserve">As </w:t>
      </w:r>
      <w:proofErr w:type="spellStart"/>
      <w:r>
        <w:rPr>
          <w:bCs/>
          <w:szCs w:val="24"/>
        </w:rPr>
        <w:t>Merlaeu-Ponty</w:t>
      </w:r>
      <w:proofErr w:type="spellEnd"/>
      <w:r>
        <w:rPr>
          <w:bCs/>
          <w:szCs w:val="24"/>
        </w:rPr>
        <w:t xml:space="preserve"> (1964b) stated, “all attempts to live apart [are] hypocritical because we are all mysteriously related” (p. 45).</w:t>
      </w:r>
      <w:proofErr w:type="gramEnd"/>
      <w:r>
        <w:rPr>
          <w:bCs/>
          <w:szCs w:val="24"/>
        </w:rPr>
        <w:t xml:space="preserve">  This ability of the teachers to shift perspectives, to partake of </w:t>
      </w:r>
      <w:proofErr w:type="gramStart"/>
      <w:r>
        <w:rPr>
          <w:bCs/>
          <w:szCs w:val="24"/>
        </w:rPr>
        <w:t>the I</w:t>
      </w:r>
      <w:proofErr w:type="gramEnd"/>
      <w:r>
        <w:rPr>
          <w:bCs/>
          <w:szCs w:val="24"/>
        </w:rPr>
        <w:t>-Thou and open themselves to the educational world of the other, is represented by the Necker cube and the teachers’ experiences of both changes in themselves and changes in the students.  This ability to “swing boldly over into the life of his student” (</w:t>
      </w:r>
      <w:proofErr w:type="spellStart"/>
      <w:r>
        <w:rPr>
          <w:bCs/>
          <w:szCs w:val="24"/>
        </w:rPr>
        <w:t>Hendley</w:t>
      </w:r>
      <w:proofErr w:type="spellEnd"/>
      <w:r>
        <w:rPr>
          <w:bCs/>
          <w:szCs w:val="24"/>
        </w:rPr>
        <w:t xml:space="preserve">, p. 142) is also seen in the overlapping between students’ experiences in the educational process (as cited in Davis, Mottern and Ziegler, 2010) and teachers’ experiences of students’ experiences in the current research.      </w:t>
      </w:r>
    </w:p>
    <w:p w:rsidR="00ED06A4" w:rsidRDefault="00ED06A4" w:rsidP="00ED06A4">
      <w:pPr>
        <w:pStyle w:val="BodyTextIndent"/>
        <w:spacing w:after="0" w:line="480" w:lineRule="auto"/>
        <w:ind w:firstLine="0"/>
        <w:rPr>
          <w:bCs/>
          <w:szCs w:val="24"/>
        </w:rPr>
      </w:pPr>
      <w:r>
        <w:rPr>
          <w:bCs/>
          <w:szCs w:val="24"/>
        </w:rPr>
        <w:tab/>
        <w:t xml:space="preserve">These findings about the relationship chiasm, while extending general findings from other areas in educational research and thought such as Buber’s I-Thou relationship and </w:t>
      </w:r>
      <w:proofErr w:type="spellStart"/>
      <w:r>
        <w:rPr>
          <w:bCs/>
          <w:szCs w:val="24"/>
        </w:rPr>
        <w:t>Merleau-Ponty’s</w:t>
      </w:r>
      <w:proofErr w:type="spellEnd"/>
      <w:r>
        <w:rPr>
          <w:bCs/>
          <w:szCs w:val="24"/>
        </w:rPr>
        <w:t xml:space="preserve"> reversibility thesis, have specific implications for the areas of theory and practice in adult education, educational psychology, and professional development. There are no prior studies on teachers’ experiences working with court-mandated students in community corrections programs, and all findings in this study are new to the field of adult education. While adult education studies in Corrections do exist, the relationship chiasm could not be gleaned from the perspective of that research.  A comparison of teachers’ experiences with students’ experiences, however, gives some insight into common ground experienced in this special </w:t>
      </w:r>
      <w:r>
        <w:rPr>
          <w:bCs/>
          <w:szCs w:val="24"/>
        </w:rPr>
        <w:lastRenderedPageBreak/>
        <w:t xml:space="preserve">classroom where teachers work with court-mandated students. The special relationship that teachers experience with students may give insight into struggles with relationship boundaries and suggest future research in educational psychology. Findings about teachers’ experiences in this study mirror experiences of teachers in adult education professional development studies and may suggest opportunities to examine the possibility of incorporating findings from this research in professional development activities. </w:t>
      </w:r>
    </w:p>
    <w:p w:rsidR="00ED06A4" w:rsidRDefault="00ED06A4" w:rsidP="00ED06A4">
      <w:pPr>
        <w:pStyle w:val="Heading2"/>
      </w:pPr>
      <w:bookmarkStart w:id="22" w:name="_Toc309015922"/>
      <w:r>
        <w:t>Implications for Theory and Practice</w:t>
      </w:r>
      <w:bookmarkEnd w:id="22"/>
    </w:p>
    <w:p w:rsidR="00ED06A4" w:rsidRDefault="00ED06A4" w:rsidP="00ED06A4">
      <w:pPr>
        <w:pStyle w:val="BodyTextIndent"/>
        <w:spacing w:after="0" w:line="480" w:lineRule="auto"/>
        <w:rPr>
          <w:szCs w:val="24"/>
        </w:rPr>
      </w:pPr>
      <w:r>
        <w:rPr>
          <w:szCs w:val="24"/>
        </w:rPr>
        <w:t xml:space="preserve">The old dictum that research informs practice and practice drives research is nowhere more applicable than in this area of adult education with community corrections students. The intertwining of relationships between teachers and students, the chiasm, and the importance of those relationships in the learning process provide fertile ground for continuing research. And the research derivative from this study suggests that professional development practice can benefit from findings within the data concerning these relationships and their significance in educational alliance. </w:t>
      </w:r>
    </w:p>
    <w:p w:rsidR="00ED06A4" w:rsidRPr="00B6596A" w:rsidRDefault="00ED06A4" w:rsidP="00ED06A4">
      <w:pPr>
        <w:pStyle w:val="Heading3"/>
      </w:pPr>
      <w:r>
        <w:t>Adult Education</w:t>
      </w:r>
    </w:p>
    <w:p w:rsidR="00ED06A4" w:rsidRDefault="00ED06A4" w:rsidP="00ED06A4">
      <w:pPr>
        <w:pStyle w:val="BodyTextIndent"/>
        <w:spacing w:after="0" w:line="480" w:lineRule="auto"/>
        <w:rPr>
          <w:szCs w:val="24"/>
        </w:rPr>
      </w:pPr>
      <w:r>
        <w:rPr>
          <w:szCs w:val="24"/>
        </w:rPr>
        <w:t xml:space="preserve">Some of the most striking discoveries in the study come from the demographic data, which indicate that none of the participants in the study had any formal training in adult education prior to beginning teaching adult learners, and less than half of them had any informal training. The informal training, as cited above, was on-the-job training. This fits with findings of Smith et al. (as cited in Blakely &amp; Tomlin, 2008) that “few adult education teachers enter adult education classrooms with formal preparation specifically in teaching adults” (p. 136) and may point to either an ignorance or a disregard for learning theories, such as </w:t>
      </w:r>
      <w:proofErr w:type="spellStart"/>
      <w:r>
        <w:rPr>
          <w:szCs w:val="24"/>
        </w:rPr>
        <w:t>andragogy</w:t>
      </w:r>
      <w:proofErr w:type="spellEnd"/>
      <w:r>
        <w:rPr>
          <w:szCs w:val="24"/>
        </w:rPr>
        <w:t xml:space="preserve"> (Knowles, 1980, 2005), that suggest there are differences in adult and non-adult learners. Another </w:t>
      </w:r>
      <w:r>
        <w:rPr>
          <w:szCs w:val="24"/>
        </w:rPr>
        <w:lastRenderedPageBreak/>
        <w:t xml:space="preserve">possibility is that the sample size of this phenomenological study is not sufficient to make generalized statements about numbers, as a larger sample size may indicate more teachers do have previous training in adult education than this sample shows. However, it should be remembered that adult education teachers are not required to have an adult education certification, but are required only to have either a K-12 certification or a waiver, indicating that </w:t>
      </w:r>
      <w:proofErr w:type="spellStart"/>
      <w:r>
        <w:rPr>
          <w:szCs w:val="24"/>
        </w:rPr>
        <w:t>andragogical</w:t>
      </w:r>
      <w:proofErr w:type="spellEnd"/>
      <w:r>
        <w:rPr>
          <w:szCs w:val="24"/>
        </w:rPr>
        <w:t xml:space="preserve"> theories are, at least, not given significant consideration in many adult education settings. </w:t>
      </w:r>
    </w:p>
    <w:p w:rsidR="00ED06A4" w:rsidRDefault="00ED06A4" w:rsidP="00ED06A4">
      <w:pPr>
        <w:pStyle w:val="BodyTextIndent"/>
        <w:spacing w:after="0" w:line="480" w:lineRule="auto"/>
        <w:rPr>
          <w:bCs/>
          <w:szCs w:val="24"/>
        </w:rPr>
      </w:pPr>
      <w:r>
        <w:rPr>
          <w:bCs/>
          <w:szCs w:val="24"/>
        </w:rPr>
        <w:t xml:space="preserve">Prior to this study, no research was available on GED/ABE teachers’ experiences working with court-mandated adult students. The finding that a special relationship, a chiasm, exists between teachers and students and grounds teachers’ experiences is new and heretofore unreported. </w:t>
      </w:r>
      <w:r w:rsidRPr="001D04FF">
        <w:rPr>
          <w:bCs/>
          <w:szCs w:val="24"/>
        </w:rPr>
        <w:t>While research in K-12 education has shown that “the most important factor affecting student learning is the teacher” (Wright, Horn, &amp; Sanders, 1997, p. 63) and “teaching includes a relational component” (</w:t>
      </w:r>
      <w:proofErr w:type="spellStart"/>
      <w:r w:rsidRPr="001D04FF">
        <w:rPr>
          <w:bCs/>
          <w:szCs w:val="24"/>
        </w:rPr>
        <w:t>Frymier</w:t>
      </w:r>
      <w:proofErr w:type="spellEnd"/>
      <w:r w:rsidRPr="001D04FF">
        <w:rPr>
          <w:bCs/>
          <w:szCs w:val="24"/>
        </w:rPr>
        <w:t xml:space="preserve"> &amp; Houser, 2000, p. 216), previous research has not shown how significant the relationships between teachers and students may actually be, such that a relationship chiasm exits.</w:t>
      </w:r>
      <w:r>
        <w:rPr>
          <w:bCs/>
          <w:szCs w:val="24"/>
        </w:rPr>
        <w:t xml:space="preserve"> Perhaps the most similar findings have come from </w:t>
      </w:r>
      <w:proofErr w:type="spellStart"/>
      <w:r>
        <w:rPr>
          <w:bCs/>
          <w:szCs w:val="24"/>
        </w:rPr>
        <w:t>Oreshkina</w:t>
      </w:r>
      <w:proofErr w:type="spellEnd"/>
      <w:r>
        <w:rPr>
          <w:bCs/>
          <w:szCs w:val="24"/>
        </w:rPr>
        <w:t xml:space="preserve"> and Greenberg (2010), who found that teachers’ perceptions of their lived experiences in the classroom include themes of joy and good feelings, similar to the theme in this study of “That was a huge warm fuzzy.”  Adult learning theory has suggested that the “psychological climate… which causes adults to feel accepted, respected and supported” (Knowles, 1980, p. 47) is of the utmost importance in the practice of </w:t>
      </w:r>
      <w:proofErr w:type="spellStart"/>
      <w:r>
        <w:rPr>
          <w:bCs/>
          <w:szCs w:val="24"/>
        </w:rPr>
        <w:t>andragogy</w:t>
      </w:r>
      <w:proofErr w:type="spellEnd"/>
      <w:r>
        <w:rPr>
          <w:bCs/>
          <w:szCs w:val="24"/>
        </w:rPr>
        <w:t xml:space="preserve">. The formation of a chiasm between teachers and students tends to support this assertion. </w:t>
      </w:r>
    </w:p>
    <w:p w:rsidR="00ED06A4" w:rsidRDefault="00ED06A4" w:rsidP="00ED06A4">
      <w:pPr>
        <w:pStyle w:val="BodyTextIndent"/>
        <w:spacing w:after="0" w:line="480" w:lineRule="auto"/>
        <w:rPr>
          <w:bCs/>
          <w:szCs w:val="24"/>
        </w:rPr>
      </w:pPr>
      <w:r>
        <w:rPr>
          <w:bCs/>
          <w:szCs w:val="24"/>
        </w:rPr>
        <w:t xml:space="preserve">The special relationship between teachers and students is the ground in this study of teachers’ experiences working with court-mandated students. Previous research in adult </w:t>
      </w:r>
      <w:r>
        <w:rPr>
          <w:bCs/>
          <w:szCs w:val="24"/>
        </w:rPr>
        <w:lastRenderedPageBreak/>
        <w:t xml:space="preserve">education, on the students’ experiences in court-mandated educational programs, has indicated that the chiasm between teachers and students may be reciprocal. Davis, Mottern, and Ziegler (2010) found a theme of constraint in the students’ experiences and one of their participants commented that going to educational classes was “‘something I didn’t want to do but after being here so long doing it, I can see my benefits from doing it’” (p. 4). This theme in the students’ experiences is very similar to the theme, “You’ve helped make the world a better place,” in the teachers’ experiences. Teachers experience their work with students as creating a better society by providing students with an education and increased opportunities. Students recognize that their opportunities, or benefits, increase from participating in a court-mandated educational program. The same theme in the current study was also seen as a theme of benefits of education in the research of Davis et al.: “‘I think it will affect my life real, real </w:t>
      </w:r>
      <w:proofErr w:type="gramStart"/>
      <w:r>
        <w:rPr>
          <w:bCs/>
          <w:szCs w:val="24"/>
        </w:rPr>
        <w:t>good</w:t>
      </w:r>
      <w:proofErr w:type="gramEnd"/>
      <w:r>
        <w:rPr>
          <w:bCs/>
          <w:szCs w:val="24"/>
        </w:rPr>
        <w:t xml:space="preserve">’” (p. 4). Another student in the Davis et al. study stated, “‘Whenever I took the first test and passed it, the first moment that I found out that I passed it, that was something that really, really meant a lot to me. </w:t>
      </w:r>
      <w:proofErr w:type="gramStart"/>
      <w:r>
        <w:rPr>
          <w:bCs/>
          <w:szCs w:val="24"/>
        </w:rPr>
        <w:t>I felt it in my heart’” (p. 4).</w:t>
      </w:r>
      <w:proofErr w:type="gramEnd"/>
      <w:r>
        <w:rPr>
          <w:bCs/>
          <w:szCs w:val="24"/>
        </w:rPr>
        <w:t xml:space="preserve"> The theme in the current study, “They realize they can accomplish something,” shows that teachers’ experiences students recognizing and valuing achievement is supported by students’ experiences of accomplishment.</w:t>
      </w:r>
    </w:p>
    <w:p w:rsidR="00ED06A4" w:rsidRDefault="00ED06A4" w:rsidP="00ED06A4">
      <w:pPr>
        <w:pStyle w:val="BodyTextIndent"/>
        <w:spacing w:after="0" w:line="480" w:lineRule="auto"/>
        <w:rPr>
          <w:bCs/>
          <w:szCs w:val="24"/>
        </w:rPr>
      </w:pPr>
      <w:r>
        <w:rPr>
          <w:bCs/>
          <w:szCs w:val="24"/>
        </w:rPr>
        <w:t xml:space="preserve">The congruity between the students’ experiences, as presented in Davis et al., and the teachers’ experiences of both their own experiences and the students’ experiences, presented in the current study, provide the field of adult education with new information in this area and present the opportunity to look at these experiences and design others that explore the similarities between teachers’ and students’ experiences in court-mandated education programs.   </w:t>
      </w:r>
    </w:p>
    <w:p w:rsidR="00ED06A4" w:rsidRPr="00B6596A" w:rsidRDefault="00ED06A4" w:rsidP="00ED06A4">
      <w:pPr>
        <w:pStyle w:val="Heading3"/>
        <w:ind w:firstLine="0"/>
      </w:pPr>
      <w:r>
        <w:lastRenderedPageBreak/>
        <w:tab/>
        <w:t>Educational Psychology</w:t>
      </w:r>
    </w:p>
    <w:p w:rsidR="00ED06A4" w:rsidRDefault="00ED06A4" w:rsidP="00ED06A4">
      <w:pPr>
        <w:pStyle w:val="BodyTextIndent"/>
        <w:spacing w:after="0" w:line="480" w:lineRule="auto"/>
        <w:ind w:firstLine="0"/>
        <w:rPr>
          <w:szCs w:val="24"/>
        </w:rPr>
      </w:pPr>
      <w:r>
        <w:rPr>
          <w:szCs w:val="24"/>
        </w:rPr>
        <w:tab/>
        <w:t xml:space="preserve">Implications for further research in Educational Psychology center around findings that the ground is the special relationship between teachers and students and the relationship itself acts in the formation of a chiasm between teachers and students.  </w:t>
      </w:r>
      <w:r>
        <w:rPr>
          <w:bCs/>
          <w:szCs w:val="24"/>
        </w:rPr>
        <w:t>Research with K-12 teachers and underachieving students (</w:t>
      </w:r>
      <w:proofErr w:type="spellStart"/>
      <w:r>
        <w:rPr>
          <w:bCs/>
          <w:szCs w:val="24"/>
        </w:rPr>
        <w:t>Oreshkina</w:t>
      </w:r>
      <w:proofErr w:type="spellEnd"/>
      <w:r>
        <w:rPr>
          <w:bCs/>
          <w:szCs w:val="24"/>
        </w:rPr>
        <w:t xml:space="preserve">, &amp; Greenberg, 2010) has shown that these teachers also focus on the students in their interactions with them.  These findings that teachers focus on their students, especially in community corrections settings where a relationship chiasm is formed, </w:t>
      </w:r>
      <w:r>
        <w:rPr>
          <w:szCs w:val="24"/>
        </w:rPr>
        <w:t xml:space="preserve">mirror findings by </w:t>
      </w:r>
      <w:proofErr w:type="spellStart"/>
      <w:r>
        <w:rPr>
          <w:szCs w:val="24"/>
        </w:rPr>
        <w:t>Bohart</w:t>
      </w:r>
      <w:proofErr w:type="spellEnd"/>
      <w:r>
        <w:rPr>
          <w:szCs w:val="24"/>
        </w:rPr>
        <w:t xml:space="preserve"> (2000) that stated that the client is the most important common factor in therapy, a finding that supports further findings in this study indicating the relationship is the outstanding theme with teachers working with community corrections students. This mirrors studies that have found the therapeutic alliance (the relationship between therapist and client) to be one of the most efficacious factors in counseling (</w:t>
      </w:r>
      <w:proofErr w:type="spellStart"/>
      <w:r>
        <w:rPr>
          <w:szCs w:val="24"/>
        </w:rPr>
        <w:t>Asay</w:t>
      </w:r>
      <w:proofErr w:type="spellEnd"/>
      <w:r>
        <w:rPr>
          <w:szCs w:val="24"/>
        </w:rPr>
        <w:t xml:space="preserve"> &amp; Lambert, 1999; Barrowclough &amp; </w:t>
      </w:r>
      <w:proofErr w:type="spellStart"/>
      <w:r>
        <w:rPr>
          <w:szCs w:val="24"/>
        </w:rPr>
        <w:t>Donmall</w:t>
      </w:r>
      <w:proofErr w:type="spellEnd"/>
      <w:r>
        <w:rPr>
          <w:szCs w:val="24"/>
        </w:rPr>
        <w:t xml:space="preserve">, 2005; Kurtz &amp; </w:t>
      </w:r>
      <w:proofErr w:type="spellStart"/>
      <w:r>
        <w:rPr>
          <w:szCs w:val="24"/>
        </w:rPr>
        <w:t>Grummon</w:t>
      </w:r>
      <w:proofErr w:type="spellEnd"/>
      <w:r>
        <w:rPr>
          <w:szCs w:val="24"/>
        </w:rPr>
        <w:t xml:space="preserve">, 1972; Meier, Connors, Carroll, </w:t>
      </w:r>
      <w:proofErr w:type="spellStart"/>
      <w:r>
        <w:rPr>
          <w:szCs w:val="24"/>
        </w:rPr>
        <w:t>DiClemente</w:t>
      </w:r>
      <w:proofErr w:type="spellEnd"/>
      <w:r>
        <w:rPr>
          <w:szCs w:val="24"/>
        </w:rPr>
        <w:t xml:space="preserve">, </w:t>
      </w:r>
      <w:proofErr w:type="spellStart"/>
      <w:r>
        <w:rPr>
          <w:szCs w:val="24"/>
        </w:rPr>
        <w:t>Longabaugh</w:t>
      </w:r>
      <w:proofErr w:type="spellEnd"/>
      <w:r>
        <w:rPr>
          <w:szCs w:val="24"/>
        </w:rPr>
        <w:t xml:space="preserve">, &amp; Donovan, 1997) and findings that a positive student-teacher relationship may have positive effects on students learning (Cornelius-White, 2007; Whitt, </w:t>
      </w:r>
      <w:proofErr w:type="spellStart"/>
      <w:r>
        <w:rPr>
          <w:szCs w:val="24"/>
        </w:rPr>
        <w:t>Wheeless</w:t>
      </w:r>
      <w:proofErr w:type="spellEnd"/>
      <w:r>
        <w:rPr>
          <w:szCs w:val="24"/>
        </w:rPr>
        <w:t xml:space="preserve">, &amp; Allen, 2004). Studies directed at describing the parameters of effective learning relationships between students and teachers within community corrections settings are warranted. </w:t>
      </w:r>
    </w:p>
    <w:p w:rsidR="00ED06A4" w:rsidRDefault="00ED06A4" w:rsidP="00ED06A4">
      <w:pPr>
        <w:pStyle w:val="BodyTextIndent"/>
        <w:spacing w:after="0" w:line="480" w:lineRule="auto"/>
        <w:ind w:firstLine="0"/>
        <w:rPr>
          <w:szCs w:val="24"/>
        </w:rPr>
      </w:pPr>
      <w:r>
        <w:rPr>
          <w:szCs w:val="24"/>
        </w:rPr>
        <w:tab/>
        <w:t xml:space="preserve">If the educational alliance that develops between teacher and student is as powerful as the therapeutic alliance may be, then consideration may be given to the effects of this educational alliance on teacher and student, especially in the areas of transference and </w:t>
      </w:r>
      <w:proofErr w:type="spellStart"/>
      <w:r>
        <w:rPr>
          <w:szCs w:val="24"/>
        </w:rPr>
        <w:t>countertransference</w:t>
      </w:r>
      <w:proofErr w:type="spellEnd"/>
      <w:r>
        <w:rPr>
          <w:szCs w:val="24"/>
        </w:rPr>
        <w:t xml:space="preserve">. Transference is a term used to describe “the revival in a current object relationship, especially to the analyst, of thought, feeling, and behavior derived from repressed fantasies originating in significant </w:t>
      </w:r>
      <w:proofErr w:type="spellStart"/>
      <w:r>
        <w:rPr>
          <w:szCs w:val="24"/>
        </w:rPr>
        <w:t>conflictual</w:t>
      </w:r>
      <w:proofErr w:type="spellEnd"/>
      <w:r>
        <w:rPr>
          <w:szCs w:val="24"/>
        </w:rPr>
        <w:t xml:space="preserve"> childhood relationships” (</w:t>
      </w:r>
      <w:proofErr w:type="spellStart"/>
      <w:r>
        <w:rPr>
          <w:szCs w:val="24"/>
        </w:rPr>
        <w:t>Luborsky</w:t>
      </w:r>
      <w:proofErr w:type="spellEnd"/>
      <w:r>
        <w:rPr>
          <w:szCs w:val="24"/>
        </w:rPr>
        <w:t xml:space="preserve">, Graff, </w:t>
      </w:r>
      <w:proofErr w:type="spellStart"/>
      <w:r>
        <w:rPr>
          <w:szCs w:val="24"/>
        </w:rPr>
        <w:t>Pulver</w:t>
      </w:r>
      <w:proofErr w:type="spellEnd"/>
      <w:r>
        <w:rPr>
          <w:szCs w:val="24"/>
        </w:rPr>
        <w:t xml:space="preserve">, &amp; Curtis, 1973, p. 70). </w:t>
      </w:r>
      <w:proofErr w:type="spellStart"/>
      <w:r>
        <w:rPr>
          <w:szCs w:val="24"/>
        </w:rPr>
        <w:lastRenderedPageBreak/>
        <w:t>Countertransference</w:t>
      </w:r>
      <w:proofErr w:type="spellEnd"/>
      <w:r>
        <w:rPr>
          <w:szCs w:val="24"/>
        </w:rPr>
        <w:t xml:space="preserve"> is understood as the “therapists’ reactions to patients that are based on the therapists’ unresolved conflict” (</w:t>
      </w:r>
      <w:proofErr w:type="spellStart"/>
      <w:r>
        <w:rPr>
          <w:szCs w:val="24"/>
        </w:rPr>
        <w:t>Betan</w:t>
      </w:r>
      <w:proofErr w:type="spellEnd"/>
      <w:r>
        <w:rPr>
          <w:szCs w:val="24"/>
        </w:rPr>
        <w:t xml:space="preserve">, Heim, Conklin, &amp; </w:t>
      </w:r>
      <w:proofErr w:type="spellStart"/>
      <w:r>
        <w:rPr>
          <w:szCs w:val="24"/>
        </w:rPr>
        <w:t>Westen</w:t>
      </w:r>
      <w:proofErr w:type="spellEnd"/>
      <w:r>
        <w:rPr>
          <w:szCs w:val="24"/>
        </w:rPr>
        <w:t xml:space="preserve">, 2005, p. 890). Indeed, even within the field of psychoanalysis, from whence the terms derive, practitioners have had difficulty both conceptualizing and effectively applying these concepts to therapeutic relationships (Davies, 1998; </w:t>
      </w:r>
      <w:proofErr w:type="spellStart"/>
      <w:r>
        <w:rPr>
          <w:szCs w:val="24"/>
        </w:rPr>
        <w:t>Gelso</w:t>
      </w:r>
      <w:proofErr w:type="spellEnd"/>
      <w:r>
        <w:rPr>
          <w:szCs w:val="24"/>
        </w:rPr>
        <w:t xml:space="preserve">, Hill, Mohr, </w:t>
      </w:r>
      <w:proofErr w:type="spellStart"/>
      <w:r>
        <w:rPr>
          <w:szCs w:val="24"/>
        </w:rPr>
        <w:t>Rochlen</w:t>
      </w:r>
      <w:proofErr w:type="spellEnd"/>
      <w:r>
        <w:rPr>
          <w:szCs w:val="24"/>
        </w:rPr>
        <w:t xml:space="preserve">, &amp; Zach, 1999; Piper, </w:t>
      </w:r>
      <w:proofErr w:type="spellStart"/>
      <w:r>
        <w:rPr>
          <w:szCs w:val="24"/>
        </w:rPr>
        <w:t>Azim</w:t>
      </w:r>
      <w:proofErr w:type="spellEnd"/>
      <w:r>
        <w:rPr>
          <w:szCs w:val="24"/>
        </w:rPr>
        <w:t>, Joyce, &amp; McCallum, 1991). Future phenomenological research in educational psychology may consider the romantic and sexual relationships, what Davies (1998) terms “erotic transference-</w:t>
      </w:r>
      <w:proofErr w:type="spellStart"/>
      <w:r>
        <w:rPr>
          <w:szCs w:val="24"/>
        </w:rPr>
        <w:t>countertransference</w:t>
      </w:r>
      <w:proofErr w:type="spellEnd"/>
      <w:r>
        <w:rPr>
          <w:szCs w:val="24"/>
        </w:rPr>
        <w:t xml:space="preserve">” (p. 749), that </w:t>
      </w:r>
      <w:proofErr w:type="gramStart"/>
      <w:r>
        <w:rPr>
          <w:szCs w:val="24"/>
        </w:rPr>
        <w:t>have</w:t>
      </w:r>
      <w:proofErr w:type="gramEnd"/>
      <w:r>
        <w:rPr>
          <w:szCs w:val="24"/>
        </w:rPr>
        <w:t xml:space="preserve"> developed between adult teachers and non-adult students. Is the development of such relationships a result of the relationship chiasm becoming the ground in the educational alliance and erotic transference and </w:t>
      </w:r>
      <w:proofErr w:type="spellStart"/>
      <w:r>
        <w:rPr>
          <w:szCs w:val="24"/>
        </w:rPr>
        <w:t>countertransference</w:t>
      </w:r>
      <w:proofErr w:type="spellEnd"/>
      <w:r>
        <w:rPr>
          <w:szCs w:val="24"/>
        </w:rPr>
        <w:t xml:space="preserve"> developing into inappropriate relationships between teacher and student? </w:t>
      </w:r>
    </w:p>
    <w:p w:rsidR="00ED06A4" w:rsidRDefault="00ED06A4" w:rsidP="00ED06A4">
      <w:pPr>
        <w:pStyle w:val="BodyTextIndent"/>
        <w:spacing w:after="0" w:line="480" w:lineRule="auto"/>
        <w:rPr>
          <w:szCs w:val="24"/>
        </w:rPr>
      </w:pPr>
      <w:proofErr w:type="spellStart"/>
      <w:r>
        <w:rPr>
          <w:szCs w:val="24"/>
        </w:rPr>
        <w:t>Aultman</w:t>
      </w:r>
      <w:proofErr w:type="spellEnd"/>
      <w:r>
        <w:rPr>
          <w:szCs w:val="24"/>
        </w:rPr>
        <w:t xml:space="preserve">, Williams-Johnson, and </w:t>
      </w:r>
      <w:proofErr w:type="spellStart"/>
      <w:r>
        <w:rPr>
          <w:szCs w:val="24"/>
        </w:rPr>
        <w:t>Schutz</w:t>
      </w:r>
      <w:proofErr w:type="spellEnd"/>
      <w:r>
        <w:rPr>
          <w:szCs w:val="24"/>
        </w:rPr>
        <w:t xml:space="preserve"> (2009) studied boundary dilemmas in teacher-student relationships with 13 in-service, K-12 teachers from graduate education courses through a sequence of two semi-structured interviews. They found that teachers struggled with maintaining “the line” (p. 644), the </w:t>
      </w:r>
      <w:proofErr w:type="gramStart"/>
      <w:r>
        <w:rPr>
          <w:szCs w:val="24"/>
        </w:rPr>
        <w:t>boundary between demonstrating care</w:t>
      </w:r>
      <w:proofErr w:type="gramEnd"/>
      <w:r>
        <w:rPr>
          <w:szCs w:val="24"/>
        </w:rPr>
        <w:t xml:space="preserve"> for students while maintaining a healthy classroom environment. They identified 11 types of boundaries, derived both inductively and deductively from the interviews. Included within the boundary types was relationship boundaries, a boundary involving intimate teacher-student relationships where “participants had knowledge of this type of boundary violation occurring in their school or school system” (p. 642).  </w:t>
      </w:r>
    </w:p>
    <w:p w:rsidR="00ED06A4" w:rsidRDefault="00ED06A4" w:rsidP="00ED06A4">
      <w:pPr>
        <w:pStyle w:val="BodyTextIndent"/>
        <w:spacing w:after="0" w:line="480" w:lineRule="auto"/>
        <w:rPr>
          <w:szCs w:val="24"/>
        </w:rPr>
      </w:pPr>
      <w:r>
        <w:rPr>
          <w:szCs w:val="24"/>
        </w:rPr>
        <w:t xml:space="preserve">Further research is necessary to explore the dynamics of these relationships. Given the seeming rise of these relationships, or at least the media coverage of them, and the research by </w:t>
      </w:r>
      <w:proofErr w:type="spellStart"/>
      <w:r>
        <w:rPr>
          <w:szCs w:val="24"/>
        </w:rPr>
        <w:t>Aultman</w:t>
      </w:r>
      <w:proofErr w:type="spellEnd"/>
      <w:r>
        <w:rPr>
          <w:szCs w:val="24"/>
        </w:rPr>
        <w:t xml:space="preserve"> et al. (2009), research in this area may be considered timely.  That such relationships </w:t>
      </w:r>
      <w:r>
        <w:rPr>
          <w:szCs w:val="24"/>
        </w:rPr>
        <w:lastRenderedPageBreak/>
        <w:t xml:space="preserve">exist in higher education has been the subject of Robertson’s (1999) paper on managing transference in college teacher and student relationships.  It would be naïve to suggest that transference and </w:t>
      </w:r>
      <w:proofErr w:type="spellStart"/>
      <w:r>
        <w:rPr>
          <w:szCs w:val="24"/>
        </w:rPr>
        <w:t>countertransference</w:t>
      </w:r>
      <w:proofErr w:type="spellEnd"/>
      <w:r>
        <w:rPr>
          <w:szCs w:val="24"/>
        </w:rPr>
        <w:t xml:space="preserve"> issues do not exist in adult education relationships, and the consequences of these relationships on the learning process should be examined.    </w:t>
      </w:r>
    </w:p>
    <w:p w:rsidR="00ED06A4" w:rsidRDefault="00ED06A4" w:rsidP="00ED06A4">
      <w:pPr>
        <w:pStyle w:val="Heading3"/>
      </w:pPr>
      <w:r>
        <w:t>Professional Development</w:t>
      </w:r>
      <w:r>
        <w:tab/>
      </w:r>
    </w:p>
    <w:p w:rsidR="00ED06A4" w:rsidRDefault="00ED06A4" w:rsidP="00ED06A4">
      <w:pPr>
        <w:pStyle w:val="BodyTextIndent"/>
        <w:spacing w:after="0" w:line="480" w:lineRule="auto"/>
        <w:ind w:firstLine="0"/>
        <w:rPr>
          <w:bCs/>
          <w:szCs w:val="24"/>
        </w:rPr>
      </w:pPr>
      <w:r>
        <w:rPr>
          <w:i/>
          <w:szCs w:val="24"/>
        </w:rPr>
        <w:tab/>
      </w:r>
      <w:r>
        <w:rPr>
          <w:szCs w:val="24"/>
        </w:rPr>
        <w:t xml:space="preserve">If the relationship between teacher and student is as important as this research indicates, professional development activities may seek to include significant training on how to develop educational alliance (the relationship between teacher and student) to improve learning outcomes. On a hopeful note, Smith et al. </w:t>
      </w:r>
      <w:r>
        <w:rPr>
          <w:bCs/>
          <w:szCs w:val="24"/>
        </w:rPr>
        <w:t xml:space="preserve">(as cited in Blakely &amp; Tomlin, 2008) found that through professional development, “most teachers, even dropouts, changed at least minimally through gains in knowledge or actions in their classrooms; relatively few experienced no change at all. </w:t>
      </w:r>
      <w:proofErr w:type="gramStart"/>
      <w:r>
        <w:rPr>
          <w:bCs/>
          <w:szCs w:val="24"/>
        </w:rPr>
        <w:t>Almost all (90% of the whole sample, 95% of completers) gained some knowledge on the topic” (p. 27).</w:t>
      </w:r>
      <w:proofErr w:type="gramEnd"/>
      <w:r>
        <w:rPr>
          <w:bCs/>
          <w:szCs w:val="24"/>
        </w:rPr>
        <w:t xml:space="preserve"> Interestingly, some of these changes mirrored ground and themes seen in the current </w:t>
      </w:r>
      <w:proofErr w:type="gramStart"/>
      <w:r>
        <w:rPr>
          <w:bCs/>
          <w:szCs w:val="24"/>
        </w:rPr>
        <w:t>study,</w:t>
      </w:r>
      <w:proofErr w:type="gramEnd"/>
      <w:r>
        <w:rPr>
          <w:bCs/>
          <w:szCs w:val="24"/>
        </w:rPr>
        <w:t xml:space="preserve"> and it must be remembered that Smith et al. studied professional development and that this research looks at teachers’ experiences working with students. These examples are included to show that the ground and themes apparent in this research were seen after professional development in other research and indicated teacher change in a manner that increased the educational alliance. No direct relationships are being suggested, as Smith et al. and this research looked at very different questions. It is only included here to show that professional development activities may produce integrated change in a way that supports what is seen in this study. </w:t>
      </w:r>
    </w:p>
    <w:p w:rsidR="00ED06A4" w:rsidRDefault="00ED06A4" w:rsidP="00ED06A4">
      <w:pPr>
        <w:pStyle w:val="BodyTextIndent"/>
        <w:spacing w:after="0" w:line="480" w:lineRule="auto"/>
        <w:rPr>
          <w:bCs/>
          <w:szCs w:val="24"/>
        </w:rPr>
      </w:pPr>
      <w:r>
        <w:rPr>
          <w:bCs/>
          <w:szCs w:val="24"/>
        </w:rPr>
        <w:t xml:space="preserve">In their research with adult education teachers, Smith et al. found that those teachers who showed integrated change (change in both thinking and acting) as a result of professional </w:t>
      </w:r>
      <w:r>
        <w:rPr>
          <w:bCs/>
          <w:szCs w:val="24"/>
        </w:rPr>
        <w:lastRenderedPageBreak/>
        <w:t xml:space="preserve">development developed a better understanding of their students.  One of their participants, Pamela, “came to understand that discussing learner needs was not peripheral to the learner process, but an integral part of it” (Smith et al., p. 83) and “slowly began to learn more about students’ lives and about other ways to bridge the gap between classroom and community” (Smith et al., p. 84). In this current study, </w:t>
      </w:r>
      <w:proofErr w:type="spellStart"/>
      <w:r>
        <w:rPr>
          <w:bCs/>
          <w:szCs w:val="24"/>
        </w:rPr>
        <w:t>Gomer</w:t>
      </w:r>
      <w:proofErr w:type="spellEnd"/>
      <w:r>
        <w:rPr>
          <w:bCs/>
          <w:szCs w:val="24"/>
        </w:rPr>
        <w:t xml:space="preserve"> talks about addressing subjects outside of the academic curriculum with his students, what he called the “sociology and psychology” aspects of his program, bridging the gap, as Smith et al. stated, between the students’ lives in the classroom and the students’ lives in the community. This was represented in the theme, “You’ve helped make the world a better place,” where teachers experienced change in themselves. </w:t>
      </w:r>
    </w:p>
    <w:p w:rsidR="00ED06A4" w:rsidRDefault="00ED06A4" w:rsidP="00ED06A4">
      <w:pPr>
        <w:pStyle w:val="BodyTextIndent"/>
        <w:spacing w:after="0" w:line="480" w:lineRule="auto"/>
        <w:rPr>
          <w:bCs/>
          <w:szCs w:val="24"/>
        </w:rPr>
      </w:pPr>
      <w:r>
        <w:rPr>
          <w:bCs/>
          <w:szCs w:val="24"/>
        </w:rPr>
        <w:t xml:space="preserve">Erica, in Smith et al., “gained a deeper understanding of the factors she could and could not control, recognizing that there might be instances of learner dropout that were beyond her control but others </w:t>
      </w:r>
      <w:proofErr w:type="spellStart"/>
      <w:r>
        <w:rPr>
          <w:bCs/>
          <w:szCs w:val="24"/>
        </w:rPr>
        <w:t>where</w:t>
      </w:r>
      <w:proofErr w:type="spellEnd"/>
      <w:r>
        <w:rPr>
          <w:bCs/>
          <w:szCs w:val="24"/>
        </w:rPr>
        <w:t xml:space="preserve"> either she or the program could have an effect” (p. 82). This reminds one of Flo’s frustrations with students who did not take advantage of the opportunities she often went to great lengths to create for them, opportunities where her world stopped and became their world, indicating the chiasm between teacher and student. </w:t>
      </w:r>
    </w:p>
    <w:p w:rsidR="00ED06A4" w:rsidRDefault="00ED06A4" w:rsidP="00ED06A4">
      <w:pPr>
        <w:pStyle w:val="BodyTextIndent"/>
        <w:spacing w:after="0" w:line="480" w:lineRule="auto"/>
        <w:ind w:firstLine="0"/>
        <w:rPr>
          <w:bCs/>
          <w:szCs w:val="24"/>
        </w:rPr>
      </w:pPr>
      <w:r>
        <w:rPr>
          <w:bCs/>
          <w:szCs w:val="24"/>
        </w:rPr>
        <w:tab/>
        <w:t xml:space="preserve">Another participant in the Smith et al. study, Esther, showed integrated change and “felt she became more aware than she had been prior to the professional development of the importance of listening to students, and she changed her lesson plans to add time for hearing about and responding to students’ needs” (p. 85). This corresponds to teachers’ experiences in the current study in the ground of </w:t>
      </w:r>
      <w:proofErr w:type="spellStart"/>
      <w:r>
        <w:rPr>
          <w:bCs/>
          <w:szCs w:val="24"/>
        </w:rPr>
        <w:t>chiasmatic</w:t>
      </w:r>
      <w:proofErr w:type="spellEnd"/>
      <w:r>
        <w:rPr>
          <w:bCs/>
          <w:szCs w:val="24"/>
        </w:rPr>
        <w:t xml:space="preserve"> relationship where both Blizzard and Carla talked about their experiences of students seeking to relate to the teachers and </w:t>
      </w:r>
      <w:proofErr w:type="spellStart"/>
      <w:r>
        <w:rPr>
          <w:bCs/>
          <w:szCs w:val="24"/>
        </w:rPr>
        <w:t>Gomer’s</w:t>
      </w:r>
      <w:proofErr w:type="spellEnd"/>
      <w:r>
        <w:rPr>
          <w:bCs/>
          <w:szCs w:val="24"/>
        </w:rPr>
        <w:t xml:space="preserve"> comments about seeking to relate to the students.</w:t>
      </w:r>
    </w:p>
    <w:p w:rsidR="00ED06A4" w:rsidRDefault="00ED06A4" w:rsidP="00ED06A4">
      <w:pPr>
        <w:pStyle w:val="BodyTextIndent"/>
        <w:spacing w:after="0" w:line="480" w:lineRule="auto"/>
        <w:ind w:firstLine="0"/>
        <w:rPr>
          <w:bCs/>
          <w:szCs w:val="24"/>
        </w:rPr>
      </w:pPr>
      <w:r>
        <w:rPr>
          <w:bCs/>
          <w:szCs w:val="24"/>
        </w:rPr>
        <w:lastRenderedPageBreak/>
        <w:tab/>
        <w:t>Because of this closer relationship with students, Meg, another participant in the Smith et al. study, “became very active in responding more to learners’ needs through curriculum and program improvement” (p. 85)</w:t>
      </w:r>
      <w:proofErr w:type="gramStart"/>
      <w:r>
        <w:rPr>
          <w:bCs/>
          <w:szCs w:val="24"/>
        </w:rPr>
        <w:t>, indicating</w:t>
      </w:r>
      <w:proofErr w:type="gramEnd"/>
      <w:r>
        <w:rPr>
          <w:bCs/>
          <w:szCs w:val="24"/>
        </w:rPr>
        <w:t xml:space="preserve"> that this special relationship that grounds the students in the current study may have implications for adult learning. It has been suggested that the relationship between teachers and adult students affects student learning through the constructivist process. A relational context of respect is created between teacher and student that </w:t>
      </w:r>
      <w:proofErr w:type="gramStart"/>
      <w:r>
        <w:rPr>
          <w:bCs/>
          <w:szCs w:val="24"/>
        </w:rPr>
        <w:t>facilitates</w:t>
      </w:r>
      <w:proofErr w:type="gramEnd"/>
      <w:r>
        <w:rPr>
          <w:bCs/>
          <w:szCs w:val="24"/>
        </w:rPr>
        <w:t xml:space="preserve"> the co-creation of learning (</w:t>
      </w:r>
      <w:proofErr w:type="spellStart"/>
      <w:r>
        <w:rPr>
          <w:bCs/>
          <w:szCs w:val="24"/>
        </w:rPr>
        <w:t>Haidet</w:t>
      </w:r>
      <w:proofErr w:type="spellEnd"/>
      <w:r>
        <w:rPr>
          <w:bCs/>
          <w:szCs w:val="24"/>
        </w:rPr>
        <w:t xml:space="preserve"> &amp; Stein, 2006). While this idea is currently conceptual in nature, if such ideas may be shown to have validity through future research, then the relationship chiasm between teachers and court-mandated students may also facilitate learning. Further research is needed to demonstrate relationships between these constructs. </w:t>
      </w:r>
    </w:p>
    <w:p w:rsidR="00ED06A4" w:rsidRDefault="00ED06A4" w:rsidP="00ED06A4">
      <w:pPr>
        <w:pStyle w:val="BodyTextIndent"/>
        <w:spacing w:after="0" w:line="480" w:lineRule="auto"/>
        <w:ind w:firstLine="0"/>
        <w:rPr>
          <w:szCs w:val="24"/>
        </w:rPr>
      </w:pPr>
      <w:r>
        <w:rPr>
          <w:bCs/>
          <w:szCs w:val="24"/>
        </w:rPr>
        <w:tab/>
      </w:r>
      <w:r>
        <w:t xml:space="preserve">Teachers cannot be expected effectively to function in a correctional environment without being prepared for the almost antithetical circumstances (in relation to non-correctional education) in which they find themselves. The fact that many of them do come to the world of working with correctional students with no prior training in either the area of adult or correctional education and are still able to influence, mentor, and teach students in this alien world towards completion of educational goals is a testament to the dedication and tenacity of these educators. It stands as a true sign of their compassion for their students that they do not take the easy path of capitulation and submission to the students’ passing whims, but remain exemplars of self-discipline and a steadfast rock upon which the students can build a free and sound future. </w:t>
      </w:r>
    </w:p>
    <w:p w:rsidR="00ED06A4" w:rsidRDefault="00ED06A4" w:rsidP="00ED06A4">
      <w:pPr>
        <w:pStyle w:val="BodyTextIndent"/>
        <w:spacing w:after="0" w:line="480" w:lineRule="auto"/>
        <w:ind w:firstLine="0"/>
        <w:rPr>
          <w:szCs w:val="24"/>
        </w:rPr>
      </w:pPr>
      <w:r>
        <w:rPr>
          <w:szCs w:val="24"/>
        </w:rPr>
        <w:tab/>
        <w:t xml:space="preserve">This training may also include training on the development of erotic transference and </w:t>
      </w:r>
      <w:proofErr w:type="spellStart"/>
      <w:r>
        <w:rPr>
          <w:szCs w:val="24"/>
        </w:rPr>
        <w:t>countertransference</w:t>
      </w:r>
      <w:proofErr w:type="spellEnd"/>
      <w:r>
        <w:rPr>
          <w:szCs w:val="24"/>
        </w:rPr>
        <w:t xml:space="preserve"> and how teachers can recognize and deal with these issues. While </w:t>
      </w:r>
      <w:proofErr w:type="spellStart"/>
      <w:r>
        <w:rPr>
          <w:szCs w:val="24"/>
        </w:rPr>
        <w:t>countertransference</w:t>
      </w:r>
      <w:proofErr w:type="spellEnd"/>
      <w:r>
        <w:rPr>
          <w:szCs w:val="24"/>
        </w:rPr>
        <w:t xml:space="preserve"> may not be as significant an issue in adult education, given that both teacher </w:t>
      </w:r>
      <w:r>
        <w:rPr>
          <w:szCs w:val="24"/>
        </w:rPr>
        <w:lastRenderedPageBreak/>
        <w:t xml:space="preserve">and student are adults, issues of power in the educational alliance may be worth considering. If </w:t>
      </w:r>
      <w:proofErr w:type="spellStart"/>
      <w:r>
        <w:rPr>
          <w:szCs w:val="24"/>
        </w:rPr>
        <w:t>countertransference</w:t>
      </w:r>
      <w:proofErr w:type="spellEnd"/>
      <w:r>
        <w:rPr>
          <w:szCs w:val="24"/>
        </w:rPr>
        <w:t xml:space="preserve"> in the educational alliance has downsides, as </w:t>
      </w:r>
      <w:proofErr w:type="spellStart"/>
      <w:r>
        <w:rPr>
          <w:szCs w:val="24"/>
        </w:rPr>
        <w:t>countertransference</w:t>
      </w:r>
      <w:proofErr w:type="spellEnd"/>
      <w:r>
        <w:rPr>
          <w:szCs w:val="24"/>
        </w:rPr>
        <w:t xml:space="preserve"> in the therapeutic alliance may (Piper et al., 1991), the issue should at least be considered and training provided on the subject. While teacher training usually covers what are appropriate and inappropriate behaviors in the classroom, issues of transference and </w:t>
      </w:r>
      <w:proofErr w:type="spellStart"/>
      <w:r>
        <w:rPr>
          <w:szCs w:val="24"/>
        </w:rPr>
        <w:t>countertransference</w:t>
      </w:r>
      <w:proofErr w:type="spellEnd"/>
      <w:r>
        <w:rPr>
          <w:szCs w:val="24"/>
        </w:rPr>
        <w:t xml:space="preserve"> are not usually covered (Robertson, 1999). Also, the terms </w:t>
      </w:r>
      <w:r w:rsidRPr="00FE5070">
        <w:rPr>
          <w:i/>
          <w:szCs w:val="24"/>
        </w:rPr>
        <w:t>appropriate</w:t>
      </w:r>
      <w:r>
        <w:rPr>
          <w:szCs w:val="24"/>
        </w:rPr>
        <w:t xml:space="preserve"> and </w:t>
      </w:r>
      <w:r w:rsidRPr="00FE5070">
        <w:rPr>
          <w:i/>
          <w:szCs w:val="24"/>
        </w:rPr>
        <w:t>inappropriate</w:t>
      </w:r>
      <w:r>
        <w:rPr>
          <w:szCs w:val="24"/>
        </w:rPr>
        <w:t xml:space="preserve"> may tend to cause repression of these thoughts and feelings that may eventually lead to their eruption into behavior. Teachers who experience </w:t>
      </w:r>
      <w:proofErr w:type="spellStart"/>
      <w:r>
        <w:rPr>
          <w:szCs w:val="24"/>
        </w:rPr>
        <w:t>countertransference</w:t>
      </w:r>
      <w:proofErr w:type="spellEnd"/>
      <w:r>
        <w:rPr>
          <w:szCs w:val="24"/>
        </w:rPr>
        <w:t xml:space="preserve"> brought about by the </w:t>
      </w:r>
      <w:proofErr w:type="spellStart"/>
      <w:r>
        <w:rPr>
          <w:szCs w:val="24"/>
        </w:rPr>
        <w:t>chiasmatic</w:t>
      </w:r>
      <w:proofErr w:type="spellEnd"/>
      <w:r>
        <w:rPr>
          <w:szCs w:val="24"/>
        </w:rPr>
        <w:t xml:space="preserve"> relationship between teachers and students may not talk about these thoughts and feelings and finally act upon them. By addressing issues of </w:t>
      </w:r>
      <w:proofErr w:type="spellStart"/>
      <w:r>
        <w:rPr>
          <w:szCs w:val="24"/>
        </w:rPr>
        <w:t>countertransference</w:t>
      </w:r>
      <w:proofErr w:type="spellEnd"/>
      <w:r>
        <w:rPr>
          <w:szCs w:val="24"/>
        </w:rPr>
        <w:t xml:space="preserve"> in professional development, teachers may be encouraged to seek supervision when these thoughts and feeling occur and thereby deal with them in a manner less likely to lead to erotic relationships between teachers and students. </w:t>
      </w:r>
    </w:p>
    <w:p w:rsidR="00ED06A4" w:rsidRDefault="00ED06A4" w:rsidP="00ED06A4">
      <w:pPr>
        <w:pStyle w:val="BodyTextIndent"/>
        <w:spacing w:after="0" w:line="480" w:lineRule="auto"/>
        <w:ind w:firstLine="0"/>
        <w:rPr>
          <w:szCs w:val="24"/>
        </w:rPr>
      </w:pPr>
      <w:r>
        <w:rPr>
          <w:szCs w:val="24"/>
        </w:rPr>
        <w:tab/>
        <w:t xml:space="preserve">That </w:t>
      </w:r>
      <w:proofErr w:type="spellStart"/>
      <w:r>
        <w:rPr>
          <w:szCs w:val="24"/>
        </w:rPr>
        <w:t>countertransference</w:t>
      </w:r>
      <w:proofErr w:type="spellEnd"/>
      <w:r>
        <w:rPr>
          <w:szCs w:val="24"/>
        </w:rPr>
        <w:t xml:space="preserve"> issues may be present in teacher and students relationships in adult education is indicated in the data where teachers identify students as their children, even though the students are adults and are not related to the teachers. Such situations in a therapeutic setting may indicate the need for supervisory intervention. </w:t>
      </w:r>
    </w:p>
    <w:p w:rsidR="00ED06A4" w:rsidRDefault="00ED06A4" w:rsidP="00ED06A4">
      <w:pPr>
        <w:pStyle w:val="BodyTextIndent"/>
        <w:spacing w:after="0" w:line="480" w:lineRule="auto"/>
      </w:pPr>
      <w:r>
        <w:t xml:space="preserve">The research in this current study has found that the relationship between teachers and students is so profound as to create a chiasm between them. Such relationships are not to be taken lightly, and to ignore classical wisdom about therapeutic alliance in the relationships should perhaps enter into professional development discussions in adult education and educational psychology about relationships that develop through educational alliance. Adult </w:t>
      </w:r>
      <w:r>
        <w:lastRenderedPageBreak/>
        <w:t xml:space="preserve">education – and education, generally – may benefit by exploring the lessons other fields have already learned, fields such as correctional education and psychotherapy. </w:t>
      </w:r>
    </w:p>
    <w:p w:rsidR="00ED06A4" w:rsidRDefault="00ED06A4" w:rsidP="00ED06A4">
      <w:pPr>
        <w:pStyle w:val="BodyTextIndent"/>
        <w:spacing w:after="0" w:line="480" w:lineRule="auto"/>
        <w:ind w:firstLine="0"/>
        <w:rPr>
          <w:b/>
        </w:rPr>
      </w:pPr>
      <w:r w:rsidRPr="002919E8">
        <w:rPr>
          <w:b/>
        </w:rPr>
        <w:t>Recommendations for Future Research</w:t>
      </w:r>
    </w:p>
    <w:p w:rsidR="00ED06A4" w:rsidRDefault="00ED06A4" w:rsidP="00ED06A4">
      <w:pPr>
        <w:pStyle w:val="BodyTextIndent"/>
        <w:spacing w:after="0" w:line="480" w:lineRule="auto"/>
        <w:ind w:firstLine="0"/>
      </w:pPr>
      <w:r>
        <w:rPr>
          <w:b/>
        </w:rPr>
        <w:tab/>
      </w:r>
      <w:r w:rsidRPr="00C67CC8">
        <w:t>As has b</w:t>
      </w:r>
      <w:r>
        <w:t>een previously stated, the area</w:t>
      </w:r>
      <w:r w:rsidRPr="00C67CC8">
        <w:t xml:space="preserve"> of adult education with community corrections students</w:t>
      </w:r>
      <w:r>
        <w:t xml:space="preserve"> is a unique niche that has been underexplored, leaving more questions than answers.  It is a vacuum that begs to be filled.  Comparative studies that look at the lived experiences of teachers working with juvenile students, especially juvenile delinquent and underachieving students, may provide information about the similarities and differences among teachers working with adult students and allow us to re-examine </w:t>
      </w:r>
      <w:proofErr w:type="spellStart"/>
      <w:r>
        <w:t>andragogical</w:t>
      </w:r>
      <w:proofErr w:type="spellEnd"/>
      <w:r>
        <w:t xml:space="preserve"> and pedagogical assumptions in education.</w:t>
      </w:r>
    </w:p>
    <w:p w:rsidR="00ED06A4" w:rsidRPr="00C67CC8" w:rsidRDefault="00ED06A4" w:rsidP="00ED06A4">
      <w:pPr>
        <w:pStyle w:val="BodyTextIndent"/>
        <w:spacing w:after="0" w:line="480" w:lineRule="auto"/>
        <w:ind w:firstLine="0"/>
      </w:pPr>
      <w:r>
        <w:tab/>
        <w:t xml:space="preserve">The issues of transference and </w:t>
      </w:r>
      <w:proofErr w:type="spellStart"/>
      <w:r>
        <w:t>countertransference</w:t>
      </w:r>
      <w:proofErr w:type="spellEnd"/>
      <w:r>
        <w:t xml:space="preserve"> in adult education relationships, especially given the significance of the teacher-student relationship chiasm as demonstrated in this study, may be further explored.  What do these issues mean in the negotiation of power in adult education relationships?  How may adult educators address issues of equity in relationships with correctional students outside the boundaries of jail or prison practice?    </w:t>
      </w:r>
      <w:r w:rsidRPr="00C67CC8">
        <w:tab/>
      </w:r>
    </w:p>
    <w:p w:rsidR="00ED06A4" w:rsidRDefault="00ED06A4" w:rsidP="00ED06A4">
      <w:pPr>
        <w:pStyle w:val="BodyTextIndent"/>
        <w:spacing w:after="0" w:line="480" w:lineRule="auto"/>
      </w:pPr>
      <w:r>
        <w:t xml:space="preserve">The demographic data in this study indicated participants were between the ages of 47 and 63 years old.  This is the developmental stage identified by Erikson (1981) as </w:t>
      </w:r>
      <w:proofErr w:type="spellStart"/>
      <w:r>
        <w:t>generativity</w:t>
      </w:r>
      <w:proofErr w:type="spellEnd"/>
      <w:r>
        <w:t xml:space="preserve">, a period characterized by the undertaking of meaningful and productive work or self-absorption and stagnation.  What is it about this work, teaching adult community corrections students, that attracts these teachers?  Is there something unique to this population of teachers that draws them, specifically, to work with these students?  During the initial bracketing for this research, I identified that I work with these students because they are the students with whom no one else wants to work.  Is it possible that this challenge is present for other teachers, as well?  Does such </w:t>
      </w:r>
      <w:r>
        <w:lastRenderedPageBreak/>
        <w:t xml:space="preserve">a challenge, undertaken by one of the participants as a volunteer activity, fulfill them in a way that other, perhaps less mundane work, </w:t>
      </w:r>
      <w:proofErr w:type="gramStart"/>
      <w:r>
        <w:t>does</w:t>
      </w:r>
      <w:proofErr w:type="gramEnd"/>
      <w:r>
        <w:t xml:space="preserve"> not?  All of these are questions that can be addressed by future research.  </w:t>
      </w:r>
    </w:p>
    <w:p w:rsidR="00ED06A4" w:rsidRDefault="00ED06A4" w:rsidP="00ED06A4">
      <w:pPr>
        <w:pStyle w:val="BodyTextIndent"/>
        <w:spacing w:after="0" w:line="480" w:lineRule="auto"/>
        <w:ind w:firstLine="0"/>
      </w:pPr>
      <w:r>
        <w:tab/>
        <w:t xml:space="preserve">The demographic data also indicted that most of the participants had several years of experience teaching community corrections students.  In a profession where burnout is common, what allows these teachers to endure?  What brings these teachers back to the classroom, day after day, and month after month, and year after year to work with these students?  </w:t>
      </w:r>
    </w:p>
    <w:p w:rsidR="00ED06A4" w:rsidRDefault="00ED06A4" w:rsidP="00ED06A4">
      <w:pPr>
        <w:pStyle w:val="BodyTextIndent"/>
        <w:spacing w:after="0" w:line="480" w:lineRule="auto"/>
      </w:pPr>
      <w:r>
        <w:t xml:space="preserve">All of these </w:t>
      </w:r>
      <w:proofErr w:type="gramStart"/>
      <w:r>
        <w:t>questions,</w:t>
      </w:r>
      <w:proofErr w:type="gramEnd"/>
      <w:r>
        <w:t xml:space="preserve"> and many more, present themselves as suitable topics for research in adult education with community corrections teachers, students, and the relationship that develops between them.</w:t>
      </w:r>
    </w:p>
    <w:p w:rsidR="00ED06A4" w:rsidRDefault="00ED06A4" w:rsidP="00ED06A4">
      <w:pPr>
        <w:pStyle w:val="BodyTextIndent"/>
        <w:spacing w:after="0" w:line="480" w:lineRule="auto"/>
        <w:ind w:firstLine="0"/>
      </w:pPr>
      <w:r>
        <w:tab/>
      </w:r>
    </w:p>
    <w:p w:rsidR="00ED06A4" w:rsidRPr="002919E8" w:rsidRDefault="00ED06A4" w:rsidP="00ED06A4">
      <w:pPr>
        <w:pStyle w:val="BodyTextIndent"/>
        <w:spacing w:after="0" w:line="480" w:lineRule="auto"/>
        <w:ind w:firstLine="0"/>
      </w:pPr>
      <w:r>
        <w:tab/>
        <w:t xml:space="preserve">       </w:t>
      </w:r>
    </w:p>
    <w:p w:rsidR="00ED06A4" w:rsidRDefault="00ED06A4" w:rsidP="00ED06A4">
      <w:pPr>
        <w:pStyle w:val="BodyTextIndent"/>
        <w:spacing w:after="0" w:line="480" w:lineRule="auto"/>
      </w:pPr>
    </w:p>
    <w:p w:rsidR="00ED06A4" w:rsidRDefault="00ED06A4" w:rsidP="00ED06A4">
      <w:pPr>
        <w:pStyle w:val="Heading1"/>
      </w:pPr>
    </w:p>
    <w:p w:rsidR="00ED06A4" w:rsidRDefault="00ED06A4" w:rsidP="00ED06A4"/>
    <w:p w:rsidR="00ED06A4" w:rsidRDefault="00ED06A4" w:rsidP="00ED06A4"/>
    <w:p w:rsidR="00ED06A4" w:rsidRDefault="00ED06A4" w:rsidP="00ED06A4"/>
    <w:p w:rsidR="00ED06A4" w:rsidRDefault="00ED06A4" w:rsidP="00ED06A4">
      <w:pPr>
        <w:pStyle w:val="Heading1"/>
      </w:pPr>
    </w:p>
    <w:p w:rsidR="00ED06A4" w:rsidRDefault="00ED06A4" w:rsidP="00ED06A4"/>
    <w:p w:rsidR="00ED06A4" w:rsidRPr="007B6FFD" w:rsidRDefault="00ED06A4" w:rsidP="00ED06A4"/>
    <w:p w:rsidR="00ED06A4" w:rsidRDefault="00ED06A4" w:rsidP="00ED06A4">
      <w:pPr>
        <w:pStyle w:val="Heading1"/>
      </w:pPr>
    </w:p>
    <w:p w:rsidR="00ED06A4" w:rsidRDefault="00ED06A4" w:rsidP="00ED06A4">
      <w:pPr>
        <w:pStyle w:val="Heading1"/>
      </w:pPr>
    </w:p>
    <w:p w:rsidR="00ED06A4" w:rsidRDefault="00ED06A4" w:rsidP="00ED06A4">
      <w:pPr>
        <w:pStyle w:val="Heading1"/>
      </w:pPr>
      <w:bookmarkStart w:id="23" w:name="_Toc309015923"/>
      <w:r>
        <w:t>List of References</w:t>
      </w:r>
      <w:bookmarkEnd w:id="23"/>
    </w:p>
    <w:p w:rsidR="00ED06A4" w:rsidRDefault="00ED06A4" w:rsidP="00ED06A4">
      <w:pPr>
        <w:pStyle w:val="BodyTextIndent"/>
        <w:spacing w:after="0" w:line="480" w:lineRule="auto"/>
        <w:ind w:firstLine="0"/>
        <w:jc w:val="center"/>
      </w:pPr>
    </w:p>
    <w:p w:rsidR="00ED06A4" w:rsidRDefault="00ED06A4" w:rsidP="00ED06A4">
      <w:pPr>
        <w:pStyle w:val="BodyTextIndent"/>
        <w:spacing w:after="0" w:line="480" w:lineRule="auto"/>
        <w:ind w:firstLine="0"/>
        <w:jc w:val="center"/>
      </w:pPr>
    </w:p>
    <w:p w:rsidR="00ED06A4" w:rsidRDefault="00ED06A4" w:rsidP="00ED06A4">
      <w:pPr>
        <w:pStyle w:val="BodyTextIndent"/>
        <w:spacing w:after="0" w:line="480" w:lineRule="auto"/>
        <w:ind w:firstLine="0"/>
        <w:jc w:val="center"/>
      </w:pPr>
    </w:p>
    <w:p w:rsidR="00ED06A4" w:rsidRDefault="00ED06A4" w:rsidP="00ED06A4">
      <w:pPr>
        <w:pStyle w:val="BodyTextIndent"/>
        <w:spacing w:after="0" w:line="480" w:lineRule="auto"/>
        <w:ind w:firstLine="0"/>
        <w:jc w:val="center"/>
      </w:pPr>
    </w:p>
    <w:p w:rsidR="00ED06A4" w:rsidRDefault="00ED06A4" w:rsidP="00ED06A4">
      <w:pPr>
        <w:spacing w:after="0" w:line="480" w:lineRule="auto"/>
        <w:ind w:left="720" w:hanging="720"/>
      </w:pPr>
    </w:p>
    <w:p w:rsidR="00ED06A4" w:rsidRDefault="00ED06A4" w:rsidP="00ED06A4">
      <w:pPr>
        <w:spacing w:after="0" w:line="480" w:lineRule="auto"/>
        <w:ind w:left="720" w:hanging="720"/>
      </w:pPr>
    </w:p>
    <w:p w:rsidR="00ED06A4" w:rsidRDefault="00ED06A4" w:rsidP="00ED06A4">
      <w:pPr>
        <w:spacing w:after="0" w:line="480" w:lineRule="auto"/>
        <w:ind w:left="720" w:hanging="720"/>
      </w:pPr>
    </w:p>
    <w:p w:rsidR="00ED06A4" w:rsidRDefault="00ED06A4" w:rsidP="00ED06A4">
      <w:pPr>
        <w:spacing w:after="0" w:line="480" w:lineRule="auto"/>
        <w:ind w:left="720" w:hanging="720"/>
      </w:pPr>
    </w:p>
    <w:p w:rsidR="00ED06A4" w:rsidRDefault="00ED06A4" w:rsidP="00ED06A4">
      <w:pPr>
        <w:spacing w:after="0" w:line="480" w:lineRule="auto"/>
        <w:ind w:left="720" w:hanging="720"/>
      </w:pPr>
    </w:p>
    <w:p w:rsidR="00ED06A4" w:rsidRDefault="00ED06A4" w:rsidP="00ED06A4">
      <w:pPr>
        <w:spacing w:after="0" w:line="480" w:lineRule="auto"/>
        <w:ind w:left="720" w:hanging="720"/>
      </w:pPr>
    </w:p>
    <w:p w:rsidR="00ED06A4" w:rsidRDefault="00ED06A4" w:rsidP="00ED06A4">
      <w:pPr>
        <w:spacing w:after="0" w:line="480" w:lineRule="auto"/>
        <w:ind w:left="720" w:hanging="720"/>
      </w:pPr>
    </w:p>
    <w:p w:rsidR="00ED06A4" w:rsidRDefault="00ED06A4" w:rsidP="00ED06A4">
      <w:pPr>
        <w:spacing w:after="0" w:line="480" w:lineRule="auto"/>
        <w:ind w:left="720" w:hanging="720"/>
      </w:pPr>
    </w:p>
    <w:p w:rsidR="00ED06A4" w:rsidRDefault="00ED06A4" w:rsidP="00ED06A4">
      <w:pPr>
        <w:spacing w:after="0" w:line="480" w:lineRule="auto"/>
        <w:ind w:left="720" w:hanging="720"/>
      </w:pPr>
    </w:p>
    <w:p w:rsidR="00ED06A4" w:rsidRDefault="00ED06A4" w:rsidP="00ED06A4">
      <w:pPr>
        <w:spacing w:after="0" w:line="480" w:lineRule="auto"/>
        <w:ind w:left="720" w:hanging="720"/>
      </w:pPr>
    </w:p>
    <w:p w:rsidR="00ED06A4" w:rsidRDefault="00ED06A4" w:rsidP="00ED06A4">
      <w:pPr>
        <w:spacing w:after="0" w:line="480" w:lineRule="auto"/>
        <w:ind w:left="720" w:hanging="720"/>
      </w:pPr>
    </w:p>
    <w:p w:rsidR="00ED06A4" w:rsidRDefault="00ED06A4" w:rsidP="00ED06A4">
      <w:pPr>
        <w:spacing w:after="0" w:line="480" w:lineRule="auto"/>
        <w:ind w:left="720" w:hanging="720"/>
      </w:pPr>
    </w:p>
    <w:p w:rsidR="00ED06A4" w:rsidRDefault="00ED06A4" w:rsidP="00ED06A4">
      <w:pPr>
        <w:spacing w:after="0" w:line="480" w:lineRule="auto"/>
        <w:ind w:left="720" w:hanging="720"/>
      </w:pPr>
    </w:p>
    <w:p w:rsidR="00ED06A4" w:rsidRDefault="00ED06A4" w:rsidP="00ED06A4">
      <w:pPr>
        <w:spacing w:after="0" w:line="480" w:lineRule="auto"/>
        <w:ind w:left="720" w:hanging="720"/>
      </w:pPr>
    </w:p>
    <w:p w:rsidR="00ED06A4" w:rsidRDefault="00ED06A4" w:rsidP="00ED06A4">
      <w:pPr>
        <w:spacing w:after="0" w:line="480" w:lineRule="auto"/>
        <w:ind w:left="720" w:hanging="720"/>
      </w:pPr>
    </w:p>
    <w:p w:rsidR="00ED06A4" w:rsidRDefault="00ED06A4" w:rsidP="00ED06A4">
      <w:pPr>
        <w:spacing w:after="0" w:line="480" w:lineRule="auto"/>
        <w:ind w:left="720" w:hanging="720"/>
      </w:pPr>
    </w:p>
    <w:p w:rsidR="00ED06A4" w:rsidRDefault="00ED06A4" w:rsidP="00ED06A4">
      <w:pPr>
        <w:spacing w:after="0" w:line="480" w:lineRule="auto"/>
        <w:ind w:left="720" w:hanging="720"/>
      </w:pPr>
      <w:r>
        <w:lastRenderedPageBreak/>
        <w:t xml:space="preserve">Abel, G. G., Gore, D. K., </w:t>
      </w:r>
      <w:proofErr w:type="spellStart"/>
      <w:r>
        <w:t>Hoilland</w:t>
      </w:r>
      <w:proofErr w:type="spellEnd"/>
      <w:r>
        <w:t xml:space="preserve">, C. L., Camps, N., Becker, J. V., &amp; </w:t>
      </w:r>
      <w:proofErr w:type="spellStart"/>
      <w:r>
        <w:t>Rathner</w:t>
      </w:r>
      <w:proofErr w:type="spellEnd"/>
      <w:r>
        <w:t xml:space="preserve">, J. (1989, June). </w:t>
      </w:r>
      <w:proofErr w:type="gramStart"/>
      <w:r>
        <w:t>The measurement of the cognitive distortions of child molesters.</w:t>
      </w:r>
      <w:proofErr w:type="gramEnd"/>
      <w:r>
        <w:t xml:space="preserve"> </w:t>
      </w:r>
      <w:r>
        <w:rPr>
          <w:i/>
          <w:iCs/>
        </w:rPr>
        <w:t>Sexual Abuse: A Journal of Research and Treatment, 2</w:t>
      </w:r>
      <w:r>
        <w:t>(2), 135-152.</w:t>
      </w:r>
    </w:p>
    <w:p w:rsidR="00ED06A4" w:rsidRDefault="00ED06A4" w:rsidP="00ED06A4">
      <w:pPr>
        <w:spacing w:after="0" w:line="480" w:lineRule="auto"/>
        <w:ind w:left="720" w:hanging="720"/>
      </w:pPr>
      <w:r>
        <w:t xml:space="preserve">Adams, W. W. (2007). The primacy of interrelating: Practicing ecological psychology with Buber, </w:t>
      </w:r>
      <w:proofErr w:type="spellStart"/>
      <w:r>
        <w:t>Levinas</w:t>
      </w:r>
      <w:proofErr w:type="spellEnd"/>
      <w:r>
        <w:t xml:space="preserve">, and </w:t>
      </w:r>
      <w:proofErr w:type="spellStart"/>
      <w:r>
        <w:t>Merleau</w:t>
      </w:r>
      <w:proofErr w:type="spellEnd"/>
      <w:r>
        <w:t>-</w:t>
      </w:r>
      <w:proofErr w:type="spellStart"/>
      <w:r>
        <w:t>Ponty</w:t>
      </w:r>
      <w:proofErr w:type="spellEnd"/>
      <w:r>
        <w:t xml:space="preserve">. </w:t>
      </w:r>
      <w:r>
        <w:rPr>
          <w:i/>
        </w:rPr>
        <w:t>Journal of Phenomenological Psychology, 38</w:t>
      </w:r>
      <w:r>
        <w:t xml:space="preserve">(1), 24-61. </w:t>
      </w:r>
      <w:proofErr w:type="spellStart"/>
      <w:proofErr w:type="gramStart"/>
      <w:r>
        <w:t>doi</w:t>
      </w:r>
      <w:proofErr w:type="spellEnd"/>
      <w:proofErr w:type="gramEnd"/>
      <w:r>
        <w:t xml:space="preserve">: 10.1163/156916207X190238 </w:t>
      </w:r>
    </w:p>
    <w:p w:rsidR="00ED06A4" w:rsidRDefault="00ED06A4" w:rsidP="00ED06A4">
      <w:pPr>
        <w:spacing w:after="0" w:line="480" w:lineRule="auto"/>
        <w:ind w:left="720" w:hanging="720"/>
      </w:pPr>
      <w:r>
        <w:t xml:space="preserve">Adkins, V. K. (1999). </w:t>
      </w:r>
      <w:proofErr w:type="gramStart"/>
      <w:r>
        <w:t>Buber and the dialectic of teaching.</w:t>
      </w:r>
      <w:proofErr w:type="gramEnd"/>
      <w:r>
        <w:t xml:space="preserve"> </w:t>
      </w:r>
      <w:r w:rsidRPr="005B0FA1">
        <w:rPr>
          <w:i/>
        </w:rPr>
        <w:t>Journal of Educational Thought, 33</w:t>
      </w:r>
      <w:r>
        <w:t>(2), 175-181.</w:t>
      </w:r>
    </w:p>
    <w:p w:rsidR="00ED06A4" w:rsidRDefault="00ED06A4" w:rsidP="00ED06A4">
      <w:pPr>
        <w:spacing w:after="0" w:line="480" w:lineRule="auto"/>
        <w:ind w:left="720" w:hanging="720"/>
      </w:pPr>
      <w:r>
        <w:t xml:space="preserve">Ahern, K. J. (1999). Ten tips for reflexive bracketing. </w:t>
      </w:r>
      <w:r>
        <w:rPr>
          <w:i/>
          <w:iCs/>
        </w:rPr>
        <w:t>Qualitative Health Research, 9</w:t>
      </w:r>
      <w:r>
        <w:t xml:space="preserve">(3), 407-411. </w:t>
      </w:r>
      <w:proofErr w:type="spellStart"/>
      <w:proofErr w:type="gramStart"/>
      <w:r>
        <w:t>doi</w:t>
      </w:r>
      <w:proofErr w:type="spellEnd"/>
      <w:proofErr w:type="gramEnd"/>
      <w:r>
        <w:t>: 10.1177/104973239900900309</w:t>
      </w:r>
    </w:p>
    <w:p w:rsidR="00ED06A4" w:rsidRDefault="00ED06A4" w:rsidP="00ED06A4">
      <w:pPr>
        <w:spacing w:after="0" w:line="480" w:lineRule="auto"/>
        <w:ind w:left="720" w:hanging="720"/>
      </w:pPr>
      <w:proofErr w:type="spellStart"/>
      <w:r>
        <w:t>Alewine</w:t>
      </w:r>
      <w:proofErr w:type="spellEnd"/>
      <w:r>
        <w:t xml:space="preserve">, H. S. (2010). </w:t>
      </w:r>
      <w:proofErr w:type="spellStart"/>
      <w:proofErr w:type="gramStart"/>
      <w:r>
        <w:t>Andragogical</w:t>
      </w:r>
      <w:proofErr w:type="spellEnd"/>
      <w:r>
        <w:t xml:space="preserve"> methods and readiness for the correctional GED classroom.</w:t>
      </w:r>
      <w:proofErr w:type="gramEnd"/>
      <w:r>
        <w:t xml:space="preserve"> </w:t>
      </w:r>
      <w:r>
        <w:rPr>
          <w:i/>
        </w:rPr>
        <w:t>Journal of Correctional Education, 61</w:t>
      </w:r>
      <w:r>
        <w:t>(1), 9-14.</w:t>
      </w:r>
    </w:p>
    <w:p w:rsidR="00ED06A4" w:rsidRDefault="00ED06A4" w:rsidP="00ED06A4">
      <w:pPr>
        <w:spacing w:after="0" w:line="480" w:lineRule="auto"/>
        <w:ind w:left="720" w:hanging="720"/>
      </w:pPr>
      <w:r>
        <w:t xml:space="preserve">Anderson, M. N. (2008). </w:t>
      </w:r>
      <w:r w:rsidRPr="00530372">
        <w:rPr>
          <w:i/>
        </w:rPr>
        <w:t>Thinking inside the box: Graduate students’ perspectives on hindered creativity</w:t>
      </w:r>
      <w:r>
        <w:t xml:space="preserve"> (Doctoral dissertation).  </w:t>
      </w:r>
      <w:proofErr w:type="gramStart"/>
      <w:r>
        <w:t>Retrieved from UT Libraries Catalog.</w:t>
      </w:r>
      <w:proofErr w:type="gramEnd"/>
      <w:r>
        <w:t xml:space="preserve"> (Thesis 2008b .A63)</w:t>
      </w:r>
    </w:p>
    <w:p w:rsidR="00ED06A4" w:rsidRPr="0053474D" w:rsidRDefault="00ED06A4" w:rsidP="00ED06A4">
      <w:pPr>
        <w:spacing w:after="0" w:line="480" w:lineRule="auto"/>
        <w:ind w:left="720" w:hanging="720"/>
      </w:pPr>
      <w:proofErr w:type="gramStart"/>
      <w:r>
        <w:t>Anderson, M., Taylor, J., &amp; Ziegler, M. (2007).</w:t>
      </w:r>
      <w:proofErr w:type="gramEnd"/>
      <w:r>
        <w:t xml:space="preserve"> “I don’t know the secret handshake”: Making social class visible in a learning context. Retrieved from </w:t>
      </w:r>
      <w:hyperlink r:id="rId8" w:history="1">
        <w:r w:rsidRPr="00FE5070">
          <w:rPr>
            <w:rStyle w:val="Hyperlink"/>
            <w:color w:val="auto"/>
            <w:u w:val="none"/>
          </w:rPr>
          <w:t>http://74.125.155.132/ scholar?q=cache:e9KZaLX2j6QJ:scholar.google.com/+michelle+anderson+i+don%27t+know+the+secret+handshake&amp;hl=en&amp;as_sdt=8000000000000</w:t>
        </w:r>
      </w:hyperlink>
    </w:p>
    <w:p w:rsidR="00ED06A4" w:rsidRPr="0053474D" w:rsidRDefault="00ED06A4" w:rsidP="00ED06A4">
      <w:pPr>
        <w:spacing w:after="0" w:line="480" w:lineRule="auto"/>
        <w:ind w:left="720" w:hanging="720"/>
      </w:pPr>
      <w:r>
        <w:t xml:space="preserve">Anderson, S. V. (1995). </w:t>
      </w:r>
      <w:r>
        <w:rPr>
          <w:i/>
        </w:rPr>
        <w:t>Evaluation of the impact of correctional education programs on recidivism</w:t>
      </w:r>
      <w:r>
        <w:t xml:space="preserve">. </w:t>
      </w:r>
      <w:proofErr w:type="gramStart"/>
      <w:r>
        <w:t xml:space="preserve">Retrieved from </w:t>
      </w:r>
      <w:hyperlink r:id="rId9" w:history="1">
        <w:proofErr w:type="gramEnd"/>
        <w:r w:rsidRPr="00FE5070">
          <w:rPr>
            <w:rStyle w:val="Hyperlink"/>
            <w:color w:val="auto"/>
            <w:u w:val="none"/>
          </w:rPr>
          <w:t>http://www.ncjrs.gov/App/Publications/abstract</w:t>
        </w:r>
        <w:proofErr w:type="gramStart"/>
        <w:r w:rsidRPr="00FE5070">
          <w:rPr>
            <w:rStyle w:val="Hyperlink"/>
            <w:color w:val="auto"/>
            <w:u w:val="none"/>
          </w:rPr>
          <w:t>.</w:t>
        </w:r>
        <w:proofErr w:type="gramEnd"/>
        <w:r w:rsidRPr="00FE5070">
          <w:rPr>
            <w:rStyle w:val="Hyperlink"/>
            <w:color w:val="auto"/>
            <w:u w:val="none"/>
          </w:rPr>
          <w:t xml:space="preserve"> </w:t>
        </w:r>
        <w:proofErr w:type="spellStart"/>
        <w:r w:rsidRPr="00FE5070">
          <w:rPr>
            <w:rStyle w:val="Hyperlink"/>
            <w:color w:val="auto"/>
            <w:u w:val="none"/>
          </w:rPr>
          <w:t>aspx?ID</w:t>
        </w:r>
        <w:proofErr w:type="spellEnd"/>
        <w:r w:rsidRPr="00FE5070">
          <w:rPr>
            <w:rStyle w:val="Hyperlink"/>
            <w:color w:val="auto"/>
            <w:u w:val="none"/>
          </w:rPr>
          <w:t>=174087</w:t>
        </w:r>
      </w:hyperlink>
      <w:r w:rsidRPr="0053474D">
        <w:t xml:space="preserve"> </w:t>
      </w:r>
    </w:p>
    <w:p w:rsidR="00ED06A4" w:rsidRDefault="00ED06A4" w:rsidP="00ED06A4">
      <w:pPr>
        <w:spacing w:after="0" w:line="480" w:lineRule="auto"/>
        <w:ind w:left="720" w:hanging="720"/>
        <w:rPr>
          <w:rFonts w:eastAsia="Times New Roman"/>
          <w:sz w:val="20"/>
          <w:szCs w:val="20"/>
        </w:rPr>
      </w:pPr>
      <w:r>
        <w:rPr>
          <w:rFonts w:eastAsia="Times New Roman"/>
          <w:szCs w:val="24"/>
        </w:rPr>
        <w:lastRenderedPageBreak/>
        <w:t xml:space="preserve">Andrews, D. A., Zinger, I., </w:t>
      </w:r>
      <w:proofErr w:type="spellStart"/>
      <w:r>
        <w:rPr>
          <w:rFonts w:eastAsia="Times New Roman"/>
          <w:szCs w:val="24"/>
        </w:rPr>
        <w:t>Hoge</w:t>
      </w:r>
      <w:proofErr w:type="spellEnd"/>
      <w:r>
        <w:rPr>
          <w:rFonts w:eastAsia="Times New Roman"/>
          <w:szCs w:val="24"/>
        </w:rPr>
        <w:t xml:space="preserve">, R. D., </w:t>
      </w:r>
      <w:proofErr w:type="spellStart"/>
      <w:r>
        <w:rPr>
          <w:rFonts w:eastAsia="Times New Roman"/>
          <w:szCs w:val="24"/>
        </w:rPr>
        <w:t>Bonta</w:t>
      </w:r>
      <w:proofErr w:type="spellEnd"/>
      <w:r>
        <w:rPr>
          <w:rFonts w:eastAsia="Times New Roman"/>
          <w:szCs w:val="24"/>
        </w:rPr>
        <w:t xml:space="preserve">, J., </w:t>
      </w:r>
      <w:proofErr w:type="spellStart"/>
      <w:r>
        <w:rPr>
          <w:rFonts w:eastAsia="Times New Roman"/>
          <w:szCs w:val="24"/>
        </w:rPr>
        <w:t>Gendreau</w:t>
      </w:r>
      <w:proofErr w:type="spellEnd"/>
      <w:r>
        <w:rPr>
          <w:rFonts w:eastAsia="Times New Roman"/>
          <w:szCs w:val="24"/>
        </w:rPr>
        <w:t xml:space="preserve">, P., &amp; Cullen, F. T. (1990). Does correctional treatment work? </w:t>
      </w:r>
      <w:proofErr w:type="gramStart"/>
      <w:r>
        <w:rPr>
          <w:rFonts w:eastAsia="Times New Roman"/>
          <w:szCs w:val="24"/>
        </w:rPr>
        <w:t>A clinically relevant and psychologically informed meta-analysis.</w:t>
      </w:r>
      <w:proofErr w:type="gramEnd"/>
      <w:r>
        <w:rPr>
          <w:rFonts w:eastAsia="Times New Roman"/>
          <w:szCs w:val="24"/>
        </w:rPr>
        <w:t xml:space="preserve"> </w:t>
      </w:r>
      <w:r>
        <w:rPr>
          <w:rFonts w:eastAsia="Times New Roman"/>
          <w:i/>
          <w:iCs/>
          <w:szCs w:val="24"/>
        </w:rPr>
        <w:t>Criminology, 28</w:t>
      </w:r>
      <w:r>
        <w:rPr>
          <w:rFonts w:eastAsia="Times New Roman"/>
          <w:szCs w:val="24"/>
        </w:rPr>
        <w:t>(3), 369-404.</w:t>
      </w:r>
    </w:p>
    <w:p w:rsidR="00ED06A4" w:rsidRDefault="00ED06A4" w:rsidP="00ED06A4">
      <w:pPr>
        <w:spacing w:after="0" w:line="480" w:lineRule="auto"/>
        <w:ind w:left="720" w:hanging="720"/>
      </w:pPr>
      <w:r>
        <w:t xml:space="preserve">Ashcroft, R. (1999). </w:t>
      </w:r>
      <w:proofErr w:type="gramStart"/>
      <w:r>
        <w:t>Training and professional identity for educators in alternative education settings.</w:t>
      </w:r>
      <w:proofErr w:type="gramEnd"/>
      <w:r>
        <w:t xml:space="preserve"> </w:t>
      </w:r>
      <w:r>
        <w:rPr>
          <w:i/>
        </w:rPr>
        <w:t>The Clearing House, 73</w:t>
      </w:r>
      <w:r>
        <w:t>(2), 82-85.</w:t>
      </w:r>
    </w:p>
    <w:p w:rsidR="00ED06A4" w:rsidRDefault="00ED06A4" w:rsidP="00ED06A4">
      <w:pPr>
        <w:spacing w:after="0" w:line="480" w:lineRule="auto"/>
        <w:ind w:left="720" w:hanging="720"/>
      </w:pPr>
      <w:proofErr w:type="spellStart"/>
      <w:proofErr w:type="gramStart"/>
      <w:r>
        <w:t>Asay</w:t>
      </w:r>
      <w:proofErr w:type="spellEnd"/>
      <w:r>
        <w:t xml:space="preserve">, T. P., &amp; </w:t>
      </w:r>
      <w:proofErr w:type="spellStart"/>
      <w:r>
        <w:t>lambert</w:t>
      </w:r>
      <w:proofErr w:type="spellEnd"/>
      <w:r>
        <w:t>, M. J. (1999).</w:t>
      </w:r>
      <w:proofErr w:type="gramEnd"/>
      <w:r>
        <w:t xml:space="preserve"> The empirical case for the common factors in therapy: </w:t>
      </w:r>
      <w:proofErr w:type="spellStart"/>
      <w:r>
        <w:t>Quantitave</w:t>
      </w:r>
      <w:proofErr w:type="spellEnd"/>
      <w:r>
        <w:t xml:space="preserve"> findings. In M.A, Hubble, B. L. Duncan, &amp; S. D. Miller (Eds.), </w:t>
      </w:r>
      <w:proofErr w:type="gramStart"/>
      <w:r>
        <w:rPr>
          <w:i/>
        </w:rPr>
        <w:t>The</w:t>
      </w:r>
      <w:proofErr w:type="gramEnd"/>
      <w:r>
        <w:rPr>
          <w:i/>
        </w:rPr>
        <w:t xml:space="preserve"> heart and soul of change: What works in therapy</w:t>
      </w:r>
      <w:r>
        <w:t xml:space="preserve"> (pp. 33-56). Washington, D. C.: American Psychological Association.</w:t>
      </w:r>
    </w:p>
    <w:p w:rsidR="00ED06A4" w:rsidRDefault="00ED06A4" w:rsidP="00ED06A4">
      <w:pPr>
        <w:spacing w:after="0" w:line="480" w:lineRule="auto"/>
        <w:ind w:left="720" w:hanging="720"/>
      </w:pPr>
      <w:proofErr w:type="spellStart"/>
      <w:proofErr w:type="gramStart"/>
      <w:r>
        <w:t>Aultman</w:t>
      </w:r>
      <w:proofErr w:type="spellEnd"/>
      <w:r>
        <w:t xml:space="preserve">, L. P., Williams-Johnson, M. R., &amp; </w:t>
      </w:r>
      <w:proofErr w:type="spellStart"/>
      <w:r>
        <w:t>Schutz</w:t>
      </w:r>
      <w:proofErr w:type="spellEnd"/>
      <w:r>
        <w:t>, P. A. (2009).</w:t>
      </w:r>
      <w:proofErr w:type="gramEnd"/>
      <w:r>
        <w:t xml:space="preserve"> Boundary dilemmas in teacher-student relationships: Struggling with “the line.” </w:t>
      </w:r>
      <w:r>
        <w:rPr>
          <w:i/>
          <w:iCs/>
        </w:rPr>
        <w:t>Teaching and Teacher Education, 25</w:t>
      </w:r>
      <w:r>
        <w:t xml:space="preserve">(1), 636-646. </w:t>
      </w:r>
      <w:proofErr w:type="spellStart"/>
      <w:proofErr w:type="gramStart"/>
      <w:r>
        <w:t>doi</w:t>
      </w:r>
      <w:proofErr w:type="spellEnd"/>
      <w:proofErr w:type="gramEnd"/>
      <w:r>
        <w:t>: 10.1016/j.tate.2008.10.002</w:t>
      </w:r>
    </w:p>
    <w:p w:rsidR="00ED06A4" w:rsidRDefault="00ED06A4" w:rsidP="00ED06A4">
      <w:pPr>
        <w:spacing w:after="0" w:line="480" w:lineRule="auto"/>
        <w:ind w:left="720" w:hanging="720"/>
      </w:pPr>
      <w:proofErr w:type="gramStart"/>
      <w:r>
        <w:t>Baird, I. C. (2001).</w:t>
      </w:r>
      <w:proofErr w:type="gramEnd"/>
      <w:r>
        <w:t xml:space="preserve"> </w:t>
      </w:r>
      <w:proofErr w:type="gramStart"/>
      <w:r>
        <w:t>Education, incarceration, and the marginalization of women.</w:t>
      </w:r>
      <w:proofErr w:type="gramEnd"/>
      <w:r>
        <w:t xml:space="preserve"> In V. Sheared, &amp; P. A. </w:t>
      </w:r>
      <w:proofErr w:type="spellStart"/>
      <w:r>
        <w:t>Sissel</w:t>
      </w:r>
      <w:proofErr w:type="spellEnd"/>
      <w:r>
        <w:t xml:space="preserve"> (Eds.), </w:t>
      </w:r>
      <w:r w:rsidRPr="002F4E80">
        <w:rPr>
          <w:i/>
        </w:rPr>
        <w:t>Making space: Merging theory and practice in adult education</w:t>
      </w:r>
      <w:r>
        <w:t xml:space="preserve"> (pp. 168-181). Westport, CT: Greenwood Publishing.</w:t>
      </w:r>
    </w:p>
    <w:p w:rsidR="00ED06A4" w:rsidRDefault="00ED06A4" w:rsidP="00ED06A4">
      <w:pPr>
        <w:spacing w:after="0" w:line="480" w:lineRule="auto"/>
        <w:ind w:left="720" w:hanging="720"/>
      </w:pPr>
      <w:r>
        <w:t xml:space="preserve">Baker, B. F. (1966). </w:t>
      </w:r>
      <w:proofErr w:type="gramStart"/>
      <w:r>
        <w:t>Existential philosophers on education.</w:t>
      </w:r>
      <w:proofErr w:type="gramEnd"/>
      <w:r>
        <w:t xml:space="preserve"> </w:t>
      </w:r>
      <w:r>
        <w:rPr>
          <w:i/>
          <w:iCs/>
        </w:rPr>
        <w:t>Educational Theory, 16</w:t>
      </w:r>
      <w:r>
        <w:t>(3), 216-224.</w:t>
      </w:r>
    </w:p>
    <w:p w:rsidR="00ED06A4" w:rsidRDefault="00ED06A4" w:rsidP="00ED06A4">
      <w:pPr>
        <w:spacing w:after="0" w:line="480" w:lineRule="auto"/>
        <w:ind w:left="720" w:hanging="720"/>
      </w:pPr>
      <w:proofErr w:type="gramStart"/>
      <w:r>
        <w:t>Barker, J. A. (1992).</w:t>
      </w:r>
      <w:proofErr w:type="gramEnd"/>
      <w:r>
        <w:t xml:space="preserve"> </w:t>
      </w:r>
      <w:r>
        <w:rPr>
          <w:i/>
          <w:iCs/>
        </w:rPr>
        <w:t>Paradigms: The business of discovering the future</w:t>
      </w:r>
      <w:r>
        <w:t>. New York, NY: Harper Business.</w:t>
      </w:r>
    </w:p>
    <w:p w:rsidR="00ED06A4" w:rsidRDefault="00ED06A4" w:rsidP="00ED06A4">
      <w:pPr>
        <w:spacing w:after="0" w:line="480" w:lineRule="auto"/>
        <w:ind w:left="720" w:hanging="720"/>
      </w:pPr>
      <w:proofErr w:type="spellStart"/>
      <w:proofErr w:type="gramStart"/>
      <w:r>
        <w:t>Batchelder</w:t>
      </w:r>
      <w:proofErr w:type="spellEnd"/>
      <w:r>
        <w:t xml:space="preserve">, J. S., &amp; </w:t>
      </w:r>
      <w:proofErr w:type="spellStart"/>
      <w:r>
        <w:t>Rachal</w:t>
      </w:r>
      <w:proofErr w:type="spellEnd"/>
      <w:r>
        <w:t>, J. R. (2000).</w:t>
      </w:r>
      <w:proofErr w:type="gramEnd"/>
      <w:r>
        <w:t xml:space="preserve"> Efficacy on a computer-assisted program in a prison setting: An experimental study. </w:t>
      </w:r>
      <w:r>
        <w:rPr>
          <w:i/>
        </w:rPr>
        <w:t>Adult Education Quarterly, 50</w:t>
      </w:r>
      <w:r>
        <w:t>(2), 120-133.</w:t>
      </w:r>
    </w:p>
    <w:p w:rsidR="00ED06A4" w:rsidRDefault="00ED06A4" w:rsidP="00ED06A4">
      <w:pPr>
        <w:spacing w:after="0" w:line="480" w:lineRule="auto"/>
        <w:ind w:left="720" w:hanging="720"/>
      </w:pPr>
      <w:proofErr w:type="gramStart"/>
      <w:r>
        <w:t>Beck, A. T. (1976).</w:t>
      </w:r>
      <w:proofErr w:type="gramEnd"/>
      <w:r>
        <w:t xml:space="preserve"> </w:t>
      </w:r>
      <w:proofErr w:type="gramStart"/>
      <w:r>
        <w:rPr>
          <w:i/>
          <w:iCs/>
        </w:rPr>
        <w:t>Cognitive therapy and the emotional disorders</w:t>
      </w:r>
      <w:r>
        <w:t>.</w:t>
      </w:r>
      <w:proofErr w:type="gramEnd"/>
      <w:r>
        <w:t xml:space="preserve"> New York, NY: International Universities Press.</w:t>
      </w:r>
    </w:p>
    <w:p w:rsidR="00ED06A4" w:rsidRDefault="00ED06A4" w:rsidP="00ED06A4">
      <w:pPr>
        <w:spacing w:after="0" w:line="480" w:lineRule="auto"/>
        <w:ind w:left="720" w:hanging="720"/>
      </w:pPr>
      <w:r>
        <w:lastRenderedPageBreak/>
        <w:t xml:space="preserve">Behan, C. (2010). Report from the European Prison Education Association. </w:t>
      </w:r>
      <w:r>
        <w:rPr>
          <w:i/>
        </w:rPr>
        <w:t>Journal of Correctional Education, 61</w:t>
      </w:r>
      <w:r>
        <w:t>(1), 2-4.</w:t>
      </w:r>
    </w:p>
    <w:p w:rsidR="00ED06A4" w:rsidRDefault="00ED06A4" w:rsidP="00ED06A4">
      <w:pPr>
        <w:spacing w:after="0" w:line="480" w:lineRule="auto"/>
        <w:ind w:left="720" w:hanging="720"/>
      </w:pPr>
      <w:proofErr w:type="spellStart"/>
      <w:r>
        <w:t>Betan</w:t>
      </w:r>
      <w:proofErr w:type="spellEnd"/>
      <w:r>
        <w:t xml:space="preserve">, E., Heim, A. K., Conklin, C. Z., &amp; </w:t>
      </w:r>
      <w:proofErr w:type="spellStart"/>
      <w:r>
        <w:t>Westen</w:t>
      </w:r>
      <w:proofErr w:type="spellEnd"/>
      <w:r>
        <w:t xml:space="preserve">, D. (2005). </w:t>
      </w:r>
      <w:proofErr w:type="spellStart"/>
      <w:r>
        <w:t>Countertransference</w:t>
      </w:r>
      <w:proofErr w:type="spellEnd"/>
      <w:r>
        <w:t xml:space="preserve"> phenomena and personality pathology in clinical practice: An empirical investigation. </w:t>
      </w:r>
      <w:r>
        <w:rPr>
          <w:i/>
        </w:rPr>
        <w:t>American Journal of Psychiatry, 162</w:t>
      </w:r>
      <w:r>
        <w:t>(5), 890-898.</w:t>
      </w:r>
    </w:p>
    <w:p w:rsidR="00ED06A4" w:rsidRDefault="00ED06A4" w:rsidP="00ED06A4">
      <w:pPr>
        <w:spacing w:after="0" w:line="480" w:lineRule="auto"/>
        <w:ind w:left="720" w:hanging="720"/>
      </w:pPr>
      <w:proofErr w:type="spellStart"/>
      <w:r>
        <w:t>Boshler</w:t>
      </w:r>
      <w:proofErr w:type="spellEnd"/>
      <w:r>
        <w:t xml:space="preserve">, R. (1983). </w:t>
      </w:r>
      <w:r>
        <w:rPr>
          <w:i/>
        </w:rPr>
        <w:t xml:space="preserve">Education inside: Motives for participation in prison education </w:t>
      </w:r>
      <w:proofErr w:type="spellStart"/>
      <w:r>
        <w:rPr>
          <w:i/>
        </w:rPr>
        <w:t>programmes</w:t>
      </w:r>
      <w:proofErr w:type="spellEnd"/>
      <w:r>
        <w:t>. Vancouver British Columbia: British Columbia University.</w:t>
      </w:r>
    </w:p>
    <w:p w:rsidR="00ED06A4" w:rsidRDefault="00ED06A4" w:rsidP="00ED06A4">
      <w:pPr>
        <w:spacing w:after="0" w:line="480" w:lineRule="auto"/>
        <w:ind w:left="720" w:hanging="720"/>
      </w:pPr>
      <w:proofErr w:type="gramStart"/>
      <w:r>
        <w:t>Brentano, F. (1874).</w:t>
      </w:r>
      <w:proofErr w:type="gramEnd"/>
      <w:r>
        <w:t xml:space="preserve"> </w:t>
      </w:r>
      <w:proofErr w:type="gramStart"/>
      <w:r>
        <w:rPr>
          <w:i/>
          <w:iCs/>
        </w:rPr>
        <w:t>Psychology from an Empirical Standpoint</w:t>
      </w:r>
      <w:r>
        <w:t>.</w:t>
      </w:r>
      <w:proofErr w:type="gramEnd"/>
      <w:r>
        <w:t xml:space="preserve"> New York, NY: </w:t>
      </w:r>
      <w:proofErr w:type="spellStart"/>
      <w:r>
        <w:t>Routledge</w:t>
      </w:r>
      <w:proofErr w:type="spellEnd"/>
      <w:r>
        <w:t>. (Original work published 1874).</w:t>
      </w:r>
    </w:p>
    <w:p w:rsidR="00ED06A4" w:rsidRDefault="00ED06A4" w:rsidP="00ED06A4">
      <w:pPr>
        <w:spacing w:after="0" w:line="480" w:lineRule="auto"/>
        <w:ind w:left="720" w:hanging="720"/>
      </w:pPr>
      <w:r>
        <w:t xml:space="preserve">Brewster, D. R., &amp; Sharp, S. F. (2002). Educational programs and recidivism in Oklahoma: Another look. </w:t>
      </w:r>
      <w:r>
        <w:rPr>
          <w:i/>
        </w:rPr>
        <w:t>Prison Journal, 82</w:t>
      </w:r>
      <w:r>
        <w:t>(3), 314-334.</w:t>
      </w:r>
    </w:p>
    <w:p w:rsidR="00ED06A4" w:rsidRDefault="00ED06A4" w:rsidP="00ED06A4">
      <w:pPr>
        <w:spacing w:after="0" w:line="480" w:lineRule="auto"/>
        <w:ind w:left="720" w:hanging="720"/>
      </w:pPr>
      <w:proofErr w:type="gramStart"/>
      <w:r>
        <w:t>Brookfield, S. (1994).</w:t>
      </w:r>
      <w:proofErr w:type="gramEnd"/>
      <w:r>
        <w:t xml:space="preserve"> Tales from the dark side: A </w:t>
      </w:r>
      <w:proofErr w:type="spellStart"/>
      <w:r>
        <w:t>phenomenography</w:t>
      </w:r>
      <w:proofErr w:type="spellEnd"/>
      <w:r>
        <w:t xml:space="preserve"> of adult critical reflection. </w:t>
      </w:r>
      <w:proofErr w:type="gramStart"/>
      <w:r>
        <w:rPr>
          <w:i/>
          <w:iCs/>
        </w:rPr>
        <w:t>International Journal of Lifelong Learning, 13</w:t>
      </w:r>
      <w:r>
        <w:t>(3), 230-216.</w:t>
      </w:r>
      <w:proofErr w:type="gramEnd"/>
    </w:p>
    <w:p w:rsidR="00ED06A4" w:rsidRDefault="00ED06A4" w:rsidP="00ED06A4">
      <w:pPr>
        <w:spacing w:after="0" w:line="480" w:lineRule="auto"/>
        <w:ind w:left="720" w:hanging="720"/>
      </w:pPr>
      <w:proofErr w:type="gramStart"/>
      <w:r>
        <w:t>Brookfield, S. (1995).</w:t>
      </w:r>
      <w:proofErr w:type="gramEnd"/>
      <w:r>
        <w:t xml:space="preserve"> </w:t>
      </w:r>
      <w:proofErr w:type="gramStart"/>
      <w:r>
        <w:rPr>
          <w:i/>
        </w:rPr>
        <w:t>Becoming a critically reflective teacher</w:t>
      </w:r>
      <w:r>
        <w:t>.</w:t>
      </w:r>
      <w:proofErr w:type="gramEnd"/>
      <w:r>
        <w:t xml:space="preserve"> San Francisco, CA: </w:t>
      </w:r>
      <w:proofErr w:type="spellStart"/>
      <w:r>
        <w:t>Josey</w:t>
      </w:r>
      <w:proofErr w:type="spellEnd"/>
      <w:r>
        <w:t>-Bass.</w:t>
      </w:r>
    </w:p>
    <w:p w:rsidR="00ED06A4" w:rsidRDefault="00ED06A4" w:rsidP="00ED06A4">
      <w:pPr>
        <w:spacing w:after="0" w:line="480" w:lineRule="auto"/>
        <w:ind w:left="720" w:hanging="720"/>
      </w:pPr>
      <w:r>
        <w:t xml:space="preserve">Brown, J. (2006). Reflexivity in the research process: Psychoanalytic observations. </w:t>
      </w:r>
      <w:r>
        <w:rPr>
          <w:i/>
          <w:iCs/>
        </w:rPr>
        <w:t>International Journal of Social Research Methodology, 9</w:t>
      </w:r>
      <w:r>
        <w:t xml:space="preserve">(3), 181-197. </w:t>
      </w:r>
    </w:p>
    <w:p w:rsidR="00ED06A4" w:rsidRDefault="00ED06A4" w:rsidP="00ED06A4">
      <w:pPr>
        <w:spacing w:after="0" w:line="480" w:lineRule="auto"/>
        <w:ind w:left="720" w:hanging="720"/>
      </w:pPr>
      <w:proofErr w:type="gramStart"/>
      <w:r>
        <w:t>Buber, M. (1965).</w:t>
      </w:r>
      <w:proofErr w:type="gramEnd"/>
      <w:r>
        <w:t xml:space="preserve"> </w:t>
      </w:r>
      <w:proofErr w:type="gramStart"/>
      <w:r w:rsidRPr="005B0FA1">
        <w:rPr>
          <w:i/>
        </w:rPr>
        <w:t>I and thou.</w:t>
      </w:r>
      <w:proofErr w:type="gramEnd"/>
      <w:r>
        <w:t xml:space="preserve"> New York, NY: Scribner.</w:t>
      </w:r>
    </w:p>
    <w:p w:rsidR="00ED06A4" w:rsidRDefault="00ED06A4" w:rsidP="00ED06A4">
      <w:pPr>
        <w:spacing w:after="0" w:line="480" w:lineRule="auto"/>
        <w:ind w:left="720" w:hanging="720"/>
      </w:pPr>
      <w:proofErr w:type="spellStart"/>
      <w:r>
        <w:t>Caelli</w:t>
      </w:r>
      <w:proofErr w:type="spellEnd"/>
      <w:r>
        <w:t xml:space="preserve">, K. (2000). The changing face of phenomenological research: Traditional and American phenomenology in nursing. </w:t>
      </w:r>
      <w:r>
        <w:rPr>
          <w:i/>
        </w:rPr>
        <w:t>Qualitative Health Research, 10</w:t>
      </w:r>
      <w:r>
        <w:t>(3), 366-377.</w:t>
      </w:r>
    </w:p>
    <w:p w:rsidR="00ED06A4" w:rsidRDefault="00ED06A4" w:rsidP="00ED06A4">
      <w:pPr>
        <w:spacing w:after="0" w:line="480" w:lineRule="auto"/>
        <w:ind w:left="720" w:hanging="720"/>
      </w:pPr>
      <w:proofErr w:type="spellStart"/>
      <w:r>
        <w:t>Caelli</w:t>
      </w:r>
      <w:proofErr w:type="spellEnd"/>
      <w:r>
        <w:t xml:space="preserve">, K. (2001). Engaging with phenomenology: Is it more of a challenge than it needs to be? </w:t>
      </w:r>
      <w:r>
        <w:rPr>
          <w:i/>
          <w:iCs/>
        </w:rPr>
        <w:t>Qualitative Health Research, 11</w:t>
      </w:r>
      <w:r>
        <w:t>(2), 273-281.</w:t>
      </w:r>
    </w:p>
    <w:p w:rsidR="00ED06A4" w:rsidRPr="008F6062" w:rsidRDefault="00ED06A4" w:rsidP="00ED06A4">
      <w:pPr>
        <w:spacing w:after="0" w:line="480" w:lineRule="auto"/>
        <w:ind w:left="720" w:hanging="720"/>
      </w:pPr>
      <w:proofErr w:type="gramStart"/>
      <w:r>
        <w:rPr>
          <w:bCs/>
        </w:rPr>
        <w:lastRenderedPageBreak/>
        <w:t>Case, P. F.</w:t>
      </w:r>
      <w:r>
        <w:t xml:space="preserve"> (2006).</w:t>
      </w:r>
      <w:proofErr w:type="gramEnd"/>
      <w:r>
        <w:t xml:space="preserve"> </w:t>
      </w:r>
      <w:r>
        <w:rPr>
          <w:bCs/>
          <w:i/>
        </w:rPr>
        <w:t>Predicting risk time and probability: An assessment of prison education and recidivism</w:t>
      </w:r>
      <w:r>
        <w:rPr>
          <w:bCs/>
        </w:rPr>
        <w:t xml:space="preserve">. </w:t>
      </w:r>
      <w:r>
        <w:rPr>
          <w:iCs/>
        </w:rPr>
        <w:t xml:space="preserve">Retrieved from </w:t>
      </w:r>
      <w:hyperlink r:id="rId10" w:history="1">
        <w:r w:rsidRPr="008F6062">
          <w:rPr>
            <w:rStyle w:val="Hyperlink"/>
            <w:iCs/>
            <w:color w:val="auto"/>
            <w:u w:val="none"/>
          </w:rPr>
          <w:t>http://www.allacademic.com//meta/p_mla_apa_research_ citation/0/9/5/1/4/pages95149/p95149-1.php</w:t>
        </w:r>
      </w:hyperlink>
      <w:r w:rsidRPr="008F6062">
        <w:rPr>
          <w:iCs/>
        </w:rPr>
        <w:t xml:space="preserve"> </w:t>
      </w:r>
    </w:p>
    <w:p w:rsidR="00ED06A4" w:rsidRDefault="00ED06A4" w:rsidP="00ED06A4">
      <w:pPr>
        <w:spacing w:after="0" w:line="480" w:lineRule="auto"/>
        <w:ind w:left="720" w:hanging="720"/>
      </w:pPr>
      <w:proofErr w:type="gramStart"/>
      <w:r>
        <w:t xml:space="preserve">Casey, P., &amp; </w:t>
      </w:r>
      <w:proofErr w:type="spellStart"/>
      <w:r>
        <w:t>Rottman</w:t>
      </w:r>
      <w:proofErr w:type="spellEnd"/>
      <w:r>
        <w:t>, D. B. (2000).</w:t>
      </w:r>
      <w:proofErr w:type="gramEnd"/>
      <w:r>
        <w:t xml:space="preserve"> </w:t>
      </w:r>
      <w:proofErr w:type="gramStart"/>
      <w:r>
        <w:t>Therapeutic jurisprudence in the courts.</w:t>
      </w:r>
      <w:proofErr w:type="gramEnd"/>
      <w:r>
        <w:t xml:space="preserve"> </w:t>
      </w:r>
      <w:r>
        <w:rPr>
          <w:i/>
        </w:rPr>
        <w:t>Behavioral Sciences &amp; the Law, 18</w:t>
      </w:r>
      <w:r>
        <w:t>(4), 445-457.</w:t>
      </w:r>
    </w:p>
    <w:p w:rsidR="00ED06A4" w:rsidRDefault="00ED06A4" w:rsidP="00ED06A4">
      <w:pPr>
        <w:spacing w:after="0" w:line="480" w:lineRule="auto"/>
        <w:ind w:left="720" w:hanging="720"/>
      </w:pPr>
      <w:proofErr w:type="spellStart"/>
      <w:r>
        <w:t>Cervero</w:t>
      </w:r>
      <w:proofErr w:type="spellEnd"/>
      <w:r>
        <w:t xml:space="preserve">, R. M. (1988). </w:t>
      </w:r>
      <w:proofErr w:type="gramStart"/>
      <w:r>
        <w:rPr>
          <w:i/>
        </w:rPr>
        <w:t>Effective continuing education for professionals</w:t>
      </w:r>
      <w:r>
        <w:t>.</w:t>
      </w:r>
      <w:proofErr w:type="gramEnd"/>
      <w:r>
        <w:t xml:space="preserve"> San Francisco, CA: </w:t>
      </w:r>
      <w:proofErr w:type="spellStart"/>
      <w:r>
        <w:t>Jossey</w:t>
      </w:r>
      <w:proofErr w:type="spellEnd"/>
      <w:r>
        <w:t>-Bass.</w:t>
      </w:r>
    </w:p>
    <w:p w:rsidR="00ED06A4" w:rsidRDefault="00ED06A4" w:rsidP="00ED06A4">
      <w:pPr>
        <w:spacing w:after="0" w:line="480" w:lineRule="auto"/>
        <w:ind w:left="720" w:hanging="720"/>
      </w:pPr>
      <w:proofErr w:type="spellStart"/>
      <w:proofErr w:type="gramStart"/>
      <w:r>
        <w:t>Cervero</w:t>
      </w:r>
      <w:proofErr w:type="spellEnd"/>
      <w:r>
        <w:t>, R. M., &amp; Wilson, A. L. (2006).</w:t>
      </w:r>
      <w:proofErr w:type="gramEnd"/>
      <w:r>
        <w:t xml:space="preserve"> </w:t>
      </w:r>
      <w:proofErr w:type="gramStart"/>
      <w:r>
        <w:rPr>
          <w:i/>
        </w:rPr>
        <w:t>Working the planning table: Negotiating democratically for adult, continuing, and workplace education</w:t>
      </w:r>
      <w:r>
        <w:t>.</w:t>
      </w:r>
      <w:proofErr w:type="gramEnd"/>
      <w:r>
        <w:t xml:space="preserve"> San Francisco, CA: </w:t>
      </w:r>
      <w:proofErr w:type="spellStart"/>
      <w:r>
        <w:t>Jossey</w:t>
      </w:r>
      <w:proofErr w:type="spellEnd"/>
      <w:r>
        <w:t>-Bass.</w:t>
      </w:r>
    </w:p>
    <w:p w:rsidR="00ED06A4" w:rsidRDefault="00ED06A4" w:rsidP="00ED06A4">
      <w:pPr>
        <w:spacing w:after="0" w:line="480" w:lineRule="auto"/>
        <w:ind w:left="720" w:hanging="720"/>
        <w:rPr>
          <w:rFonts w:eastAsia="Times New Roman"/>
          <w:szCs w:val="24"/>
        </w:rPr>
      </w:pPr>
      <w:proofErr w:type="spellStart"/>
      <w:r>
        <w:rPr>
          <w:rFonts w:eastAsia="Times New Roman"/>
          <w:szCs w:val="24"/>
        </w:rPr>
        <w:t>Chavaria</w:t>
      </w:r>
      <w:proofErr w:type="spellEnd"/>
      <w:r>
        <w:rPr>
          <w:rFonts w:eastAsia="Times New Roman"/>
          <w:szCs w:val="24"/>
        </w:rPr>
        <w:t xml:space="preserve">, F. R. (1997). </w:t>
      </w:r>
      <w:proofErr w:type="gramStart"/>
      <w:r>
        <w:rPr>
          <w:rFonts w:eastAsia="Times New Roman"/>
          <w:szCs w:val="24"/>
        </w:rPr>
        <w:t>Probation and cognitive skills.</w:t>
      </w:r>
      <w:proofErr w:type="gramEnd"/>
      <w:r>
        <w:rPr>
          <w:rFonts w:eastAsia="Times New Roman"/>
          <w:szCs w:val="24"/>
        </w:rPr>
        <w:t xml:space="preserve"> </w:t>
      </w:r>
      <w:r>
        <w:rPr>
          <w:rFonts w:eastAsia="Times New Roman"/>
          <w:i/>
          <w:iCs/>
          <w:szCs w:val="24"/>
        </w:rPr>
        <w:t>Federal Probation, 61</w:t>
      </w:r>
      <w:r>
        <w:rPr>
          <w:rFonts w:eastAsia="Times New Roman"/>
          <w:szCs w:val="24"/>
        </w:rPr>
        <w:t>(2), 57-60.</w:t>
      </w:r>
    </w:p>
    <w:p w:rsidR="00ED06A4" w:rsidRDefault="00ED06A4" w:rsidP="00ED06A4">
      <w:pPr>
        <w:spacing w:after="0" w:line="480" w:lineRule="auto"/>
        <w:ind w:left="720" w:hanging="720"/>
        <w:rPr>
          <w:rFonts w:eastAsia="Times New Roman"/>
          <w:sz w:val="20"/>
          <w:szCs w:val="20"/>
        </w:rPr>
      </w:pPr>
      <w:r>
        <w:t xml:space="preserve">Chavez, R., &amp; </w:t>
      </w:r>
      <w:proofErr w:type="spellStart"/>
      <w:r>
        <w:t>Dawe</w:t>
      </w:r>
      <w:proofErr w:type="spellEnd"/>
      <w:r>
        <w:t xml:space="preserve">, S. (2007). International research trends in education and training provision in correctional settings. In S. </w:t>
      </w:r>
      <w:proofErr w:type="spellStart"/>
      <w:r>
        <w:t>Dawe</w:t>
      </w:r>
      <w:proofErr w:type="spellEnd"/>
      <w:r>
        <w:t xml:space="preserve"> (Ed.), </w:t>
      </w:r>
      <w:r>
        <w:rPr>
          <w:i/>
          <w:iCs/>
        </w:rPr>
        <w:t>Vocational education and training for adult prisoners in Australia: Research readings</w:t>
      </w:r>
      <w:r>
        <w:t xml:space="preserve"> (pp. 19-33). Adelaide SA 5000, Australia: National Centre for Vocational Education Research.</w:t>
      </w:r>
    </w:p>
    <w:p w:rsidR="00ED06A4" w:rsidRDefault="00ED06A4" w:rsidP="00ED06A4">
      <w:pPr>
        <w:spacing w:after="0" w:line="480" w:lineRule="auto"/>
        <w:ind w:left="720" w:hanging="720"/>
      </w:pPr>
      <w:proofErr w:type="gramStart"/>
      <w:r>
        <w:t>Clements, C. B., &amp; McKee, J. M. (2000).</w:t>
      </w:r>
      <w:proofErr w:type="gramEnd"/>
      <w:r>
        <w:t xml:space="preserve"> </w:t>
      </w:r>
      <w:proofErr w:type="gramStart"/>
      <w:r>
        <w:t xml:space="preserve">The challenge of individualized instruction in corrections, </w:t>
      </w:r>
      <w:r>
        <w:rPr>
          <w:i/>
        </w:rPr>
        <w:t>Journal of Correctional Education, 51</w:t>
      </w:r>
      <w:r>
        <w:t>, 270-281.</w:t>
      </w:r>
      <w:proofErr w:type="gramEnd"/>
    </w:p>
    <w:p w:rsidR="00ED06A4" w:rsidRDefault="00ED06A4" w:rsidP="00ED06A4">
      <w:pPr>
        <w:spacing w:after="0" w:line="480" w:lineRule="auto"/>
        <w:ind w:left="720" w:hanging="720"/>
      </w:pPr>
      <w:r>
        <w:t xml:space="preserve">Collins, M. (1981a). </w:t>
      </w:r>
      <w:proofErr w:type="gramStart"/>
      <w:r>
        <w:rPr>
          <w:i/>
          <w:iCs/>
        </w:rPr>
        <w:t>Doing philosophical research in adult education</w:t>
      </w:r>
      <w:r>
        <w:t>.</w:t>
      </w:r>
      <w:proofErr w:type="gramEnd"/>
      <w:r>
        <w:t xml:space="preserve"> East Lansing, MI: National Center for Research on Teacher Learning. </w:t>
      </w:r>
      <w:proofErr w:type="gramStart"/>
      <w:r>
        <w:t>(ERIC Document Reproduction Service No.</w:t>
      </w:r>
      <w:proofErr w:type="gramEnd"/>
      <w:r>
        <w:t xml:space="preserve"> ED205677)</w:t>
      </w:r>
    </w:p>
    <w:p w:rsidR="00ED06A4" w:rsidRDefault="00ED06A4" w:rsidP="00ED06A4">
      <w:pPr>
        <w:spacing w:after="0" w:line="480" w:lineRule="auto"/>
        <w:ind w:left="720" w:hanging="720"/>
      </w:pPr>
      <w:r>
        <w:t xml:space="preserve">Collins, M. (1981b). </w:t>
      </w:r>
      <w:r>
        <w:rPr>
          <w:i/>
          <w:iCs/>
        </w:rPr>
        <w:t>Phenomenological perspectives in adult continuing education: Implications for research and practice</w:t>
      </w:r>
      <w:r>
        <w:t xml:space="preserve">. East Lansing, MI: National Center for Research on Teacher Learning. </w:t>
      </w:r>
      <w:proofErr w:type="gramStart"/>
      <w:r>
        <w:t>(ERIC Document Reproduction Service No.</w:t>
      </w:r>
      <w:proofErr w:type="gramEnd"/>
      <w:r>
        <w:t xml:space="preserve"> ED202993)</w:t>
      </w:r>
    </w:p>
    <w:p w:rsidR="00ED06A4" w:rsidRDefault="00ED06A4" w:rsidP="00ED06A4">
      <w:pPr>
        <w:spacing w:after="0" w:line="480" w:lineRule="auto"/>
        <w:ind w:left="720" w:hanging="720"/>
      </w:pPr>
      <w:proofErr w:type="gramStart"/>
      <w:r>
        <w:lastRenderedPageBreak/>
        <w:t>Collins, M. (1984).</w:t>
      </w:r>
      <w:proofErr w:type="gramEnd"/>
      <w:r>
        <w:t xml:space="preserve"> Phenomenological perspectives: Some implications for adult education. In S. B. Merriam (Ed.), </w:t>
      </w:r>
      <w:proofErr w:type="gramStart"/>
      <w:r>
        <w:rPr>
          <w:i/>
        </w:rPr>
        <w:t>Selected</w:t>
      </w:r>
      <w:proofErr w:type="gramEnd"/>
      <w:r>
        <w:rPr>
          <w:i/>
        </w:rPr>
        <w:t xml:space="preserve"> writings on philosophy and adult education</w:t>
      </w:r>
      <w:r>
        <w:t xml:space="preserve"> (pp. 179-189). Malabar, FL: Robert E. Krieger Publishing Company.</w:t>
      </w:r>
    </w:p>
    <w:p w:rsidR="00ED06A4" w:rsidRDefault="00ED06A4" w:rsidP="00ED06A4">
      <w:pPr>
        <w:spacing w:after="0" w:line="480" w:lineRule="auto"/>
        <w:ind w:left="720" w:hanging="720"/>
      </w:pPr>
      <w:proofErr w:type="gramStart"/>
      <w:r>
        <w:t xml:space="preserve">Connors, G. J., Carroll, K. M., </w:t>
      </w:r>
      <w:proofErr w:type="spellStart"/>
      <w:r>
        <w:t>DiClemente</w:t>
      </w:r>
      <w:proofErr w:type="spellEnd"/>
      <w:r>
        <w:t xml:space="preserve">, C. C., </w:t>
      </w:r>
      <w:proofErr w:type="spellStart"/>
      <w:r>
        <w:t>Longabaugh</w:t>
      </w:r>
      <w:proofErr w:type="spellEnd"/>
      <w:r>
        <w:t>, R., &amp; Donovan, D. M. (2005).</w:t>
      </w:r>
      <w:proofErr w:type="gramEnd"/>
      <w:r>
        <w:t xml:space="preserve"> </w:t>
      </w:r>
      <w:proofErr w:type="gramStart"/>
      <w:r>
        <w:t>The therapeutic alliance and its relationship to alcoholism treatment participation and outcome.</w:t>
      </w:r>
      <w:proofErr w:type="gramEnd"/>
      <w:r>
        <w:t xml:space="preserve"> </w:t>
      </w:r>
      <w:r>
        <w:rPr>
          <w:i/>
        </w:rPr>
        <w:t>Journal of Consulting and Clinical Psychology, 65</w:t>
      </w:r>
      <w:r>
        <w:t>(4), 588-598.</w:t>
      </w:r>
    </w:p>
    <w:p w:rsidR="00ED06A4" w:rsidRDefault="00ED06A4" w:rsidP="00ED06A4">
      <w:pPr>
        <w:pStyle w:val="BodyText"/>
        <w:spacing w:after="0" w:line="480" w:lineRule="auto"/>
        <w:ind w:left="720" w:hanging="720"/>
        <w:rPr>
          <w:iCs/>
        </w:rPr>
      </w:pPr>
      <w:r>
        <w:rPr>
          <w:iCs/>
        </w:rPr>
        <w:t xml:space="preserve">Corcoran, T. B. (1995). </w:t>
      </w:r>
      <w:r>
        <w:rPr>
          <w:i/>
        </w:rPr>
        <w:t>Helping teachers teach well: Transforming professional development</w:t>
      </w:r>
      <w:r>
        <w:rPr>
          <w:iCs/>
        </w:rPr>
        <w:t>. New Brunswick, NJ: CPRE Policy Briefs.</w:t>
      </w:r>
    </w:p>
    <w:p w:rsidR="00ED06A4" w:rsidRDefault="00ED06A4" w:rsidP="00ED06A4">
      <w:pPr>
        <w:pStyle w:val="BodyText"/>
        <w:spacing w:after="0" w:line="480" w:lineRule="auto"/>
        <w:ind w:left="720" w:hanging="720"/>
        <w:rPr>
          <w:iCs/>
        </w:rPr>
      </w:pPr>
      <w:r>
        <w:rPr>
          <w:iCs/>
        </w:rPr>
        <w:t xml:space="preserve">Cornelius-White, J. (2007). Learner-centered teacher-student relationships are effective: A meta-analysis. </w:t>
      </w:r>
      <w:r>
        <w:rPr>
          <w:i/>
          <w:iCs/>
        </w:rPr>
        <w:t>Review of Educational Research, 77</w:t>
      </w:r>
      <w:r>
        <w:rPr>
          <w:iCs/>
        </w:rPr>
        <w:t xml:space="preserve">(1), 113-143. </w:t>
      </w:r>
      <w:proofErr w:type="spellStart"/>
      <w:proofErr w:type="gramStart"/>
      <w:r>
        <w:rPr>
          <w:iCs/>
        </w:rPr>
        <w:t>doi</w:t>
      </w:r>
      <w:proofErr w:type="spellEnd"/>
      <w:proofErr w:type="gramEnd"/>
      <w:r>
        <w:rPr>
          <w:iCs/>
        </w:rPr>
        <w:t>: 10.3102/ 003465430298563</w:t>
      </w:r>
    </w:p>
    <w:p w:rsidR="00ED06A4" w:rsidRDefault="00ED06A4" w:rsidP="00ED06A4">
      <w:pPr>
        <w:pStyle w:val="BodyText"/>
        <w:spacing w:after="0" w:line="480" w:lineRule="auto"/>
        <w:ind w:left="720" w:hanging="720"/>
        <w:rPr>
          <w:iCs/>
        </w:rPr>
      </w:pPr>
      <w:proofErr w:type="spellStart"/>
      <w:r>
        <w:rPr>
          <w:iCs/>
        </w:rPr>
        <w:t>Cranton</w:t>
      </w:r>
      <w:proofErr w:type="spellEnd"/>
      <w:r>
        <w:rPr>
          <w:iCs/>
        </w:rPr>
        <w:t xml:space="preserve">, P. (1996). </w:t>
      </w:r>
      <w:r>
        <w:rPr>
          <w:i/>
          <w:iCs/>
        </w:rPr>
        <w:t>Professional development as transformative learning: New perspectives for teachers of adults</w:t>
      </w:r>
      <w:r>
        <w:rPr>
          <w:iCs/>
        </w:rPr>
        <w:t xml:space="preserve">. San Francisco, CA: </w:t>
      </w:r>
      <w:proofErr w:type="spellStart"/>
      <w:r>
        <w:rPr>
          <w:iCs/>
        </w:rPr>
        <w:t>Jossey</w:t>
      </w:r>
      <w:proofErr w:type="spellEnd"/>
      <w:r>
        <w:rPr>
          <w:iCs/>
        </w:rPr>
        <w:t>-Bass.</w:t>
      </w:r>
    </w:p>
    <w:p w:rsidR="00ED06A4" w:rsidRDefault="00ED06A4" w:rsidP="00ED06A4">
      <w:pPr>
        <w:pStyle w:val="BodyText"/>
        <w:spacing w:after="0" w:line="480" w:lineRule="auto"/>
        <w:ind w:left="720" w:hanging="720"/>
        <w:rPr>
          <w:iCs/>
        </w:rPr>
      </w:pPr>
      <w:proofErr w:type="spellStart"/>
      <w:proofErr w:type="gramStart"/>
      <w:r>
        <w:rPr>
          <w:iCs/>
        </w:rPr>
        <w:t>Cranton</w:t>
      </w:r>
      <w:proofErr w:type="spellEnd"/>
      <w:r>
        <w:rPr>
          <w:iCs/>
        </w:rPr>
        <w:t>, P., &amp; King, K. P. (2003).</w:t>
      </w:r>
      <w:proofErr w:type="gramEnd"/>
      <w:r>
        <w:rPr>
          <w:iCs/>
        </w:rPr>
        <w:t xml:space="preserve"> </w:t>
      </w:r>
      <w:proofErr w:type="gramStart"/>
      <w:r>
        <w:rPr>
          <w:iCs/>
        </w:rPr>
        <w:t>Transformative learning as a professional development goal.</w:t>
      </w:r>
      <w:proofErr w:type="gramEnd"/>
      <w:r>
        <w:rPr>
          <w:iCs/>
        </w:rPr>
        <w:t xml:space="preserve"> </w:t>
      </w:r>
      <w:r>
        <w:rPr>
          <w:i/>
        </w:rPr>
        <w:t>New Directions for Adult and Continuing Education, 98</w:t>
      </w:r>
      <w:r>
        <w:rPr>
          <w:iCs/>
        </w:rPr>
        <w:t>, 31-37.</w:t>
      </w:r>
    </w:p>
    <w:p w:rsidR="00ED06A4" w:rsidRDefault="00ED06A4" w:rsidP="00ED06A4">
      <w:pPr>
        <w:spacing w:after="0" w:line="480" w:lineRule="auto"/>
        <w:ind w:left="720" w:hanging="720"/>
      </w:pPr>
      <w:r>
        <w:t xml:space="preserve">Creswell, J. W. (2009). </w:t>
      </w:r>
      <w:r>
        <w:rPr>
          <w:i/>
          <w:iCs/>
        </w:rPr>
        <w:t xml:space="preserve">Research design: </w:t>
      </w:r>
      <w:proofErr w:type="gramStart"/>
      <w:r>
        <w:rPr>
          <w:i/>
          <w:iCs/>
        </w:rPr>
        <w:t>Qualitative, quantitative, and mixed methods approaches</w:t>
      </w:r>
      <w:proofErr w:type="gramEnd"/>
      <w:r>
        <w:rPr>
          <w:i/>
          <w:iCs/>
        </w:rPr>
        <w:t xml:space="preserve"> </w:t>
      </w:r>
      <w:r>
        <w:t>(3</w:t>
      </w:r>
      <w:r>
        <w:rPr>
          <w:vertAlign w:val="superscript"/>
        </w:rPr>
        <w:t>rd</w:t>
      </w:r>
      <w:r>
        <w:t xml:space="preserve"> Ed.). Thousand Oaks, CA: Sage.</w:t>
      </w:r>
    </w:p>
    <w:p w:rsidR="00ED06A4" w:rsidRDefault="00ED06A4" w:rsidP="00ED06A4">
      <w:pPr>
        <w:spacing w:after="0" w:line="480" w:lineRule="auto"/>
        <w:ind w:left="720" w:hanging="720"/>
      </w:pPr>
      <w:r>
        <w:t xml:space="preserve">Davidson, H. S. (2000). </w:t>
      </w:r>
      <w:proofErr w:type="gramStart"/>
      <w:r>
        <w:t>Control and democracy in adult correctional education.</w:t>
      </w:r>
      <w:proofErr w:type="gramEnd"/>
      <w:r>
        <w:t xml:space="preserve">  In A. L. Wilson, &amp; E. R. Hayes (Eds.), </w:t>
      </w:r>
      <w:r w:rsidRPr="002F4E80">
        <w:rPr>
          <w:i/>
        </w:rPr>
        <w:t>Handbook of Adult and Continuing Education</w:t>
      </w:r>
      <w:r>
        <w:t xml:space="preserve"> (pp. 392-407).  San Francisco, CA: </w:t>
      </w:r>
      <w:proofErr w:type="spellStart"/>
      <w:r>
        <w:t>Jossey</w:t>
      </w:r>
      <w:proofErr w:type="spellEnd"/>
      <w:r>
        <w:t>-Bass.</w:t>
      </w:r>
    </w:p>
    <w:p w:rsidR="00ED06A4" w:rsidRDefault="00ED06A4" w:rsidP="00ED06A4">
      <w:pPr>
        <w:spacing w:after="0" w:line="480" w:lineRule="auto"/>
        <w:ind w:left="720" w:hanging="720"/>
      </w:pPr>
      <w:r>
        <w:t>Davies, J. M. (1998). Between the disclosure and foreclosure of erotic transference-</w:t>
      </w:r>
      <w:proofErr w:type="spellStart"/>
      <w:r>
        <w:t>countertransference</w:t>
      </w:r>
      <w:proofErr w:type="spellEnd"/>
      <w:r>
        <w:t xml:space="preserve"> can psychoanalysis find a place for human </w:t>
      </w:r>
      <w:proofErr w:type="gramStart"/>
      <w:r>
        <w:t>sexuality.</w:t>
      </w:r>
      <w:proofErr w:type="gramEnd"/>
      <w:r>
        <w:t xml:space="preserve"> </w:t>
      </w:r>
      <w:r>
        <w:rPr>
          <w:i/>
        </w:rPr>
        <w:t>Psychoanalytic Dialogues, 8</w:t>
      </w:r>
      <w:r>
        <w:t>(6), 747-766.</w:t>
      </w:r>
    </w:p>
    <w:p w:rsidR="00ED06A4" w:rsidRDefault="00ED06A4" w:rsidP="00ED06A4">
      <w:pPr>
        <w:pStyle w:val="Footer"/>
        <w:spacing w:after="0" w:line="480" w:lineRule="auto"/>
        <w:ind w:left="720" w:hanging="720"/>
        <w:rPr>
          <w:szCs w:val="24"/>
        </w:rPr>
      </w:pPr>
      <w:proofErr w:type="gramStart"/>
      <w:r>
        <w:rPr>
          <w:szCs w:val="24"/>
        </w:rPr>
        <w:lastRenderedPageBreak/>
        <w:t>Davis, C.A., Mottern, R., &amp; Ziegler, M.F. (2010).</w:t>
      </w:r>
      <w:proofErr w:type="gramEnd"/>
      <w:r>
        <w:rPr>
          <w:szCs w:val="24"/>
        </w:rPr>
        <w:t xml:space="preserve"> “It’s like a prison without bars”: Experiences in a mandatory GED program. </w:t>
      </w:r>
      <w:proofErr w:type="gramStart"/>
      <w:r>
        <w:rPr>
          <w:szCs w:val="24"/>
        </w:rPr>
        <w:t xml:space="preserve">In P. Gandy, S. </w:t>
      </w:r>
      <w:proofErr w:type="spellStart"/>
      <w:r>
        <w:rPr>
          <w:szCs w:val="24"/>
        </w:rPr>
        <w:t>Tieszen</w:t>
      </w:r>
      <w:proofErr w:type="spellEnd"/>
      <w:r>
        <w:rPr>
          <w:szCs w:val="24"/>
        </w:rPr>
        <w:t>, C. Taylor-Hunt, D. Flowers, &amp; V. Sheared (</w:t>
      </w:r>
      <w:proofErr w:type="spellStart"/>
      <w:r>
        <w:rPr>
          <w:szCs w:val="24"/>
        </w:rPr>
        <w:t>Eds</w:t>
      </w:r>
      <w:proofErr w:type="spellEnd"/>
      <w:r>
        <w:rPr>
          <w:szCs w:val="24"/>
        </w:rPr>
        <w:t>).</w:t>
      </w:r>
      <w:proofErr w:type="gramEnd"/>
      <w:r>
        <w:rPr>
          <w:szCs w:val="24"/>
        </w:rPr>
        <w:t xml:space="preserve"> </w:t>
      </w:r>
      <w:proofErr w:type="gramStart"/>
      <w:r>
        <w:rPr>
          <w:i/>
          <w:iCs/>
          <w:szCs w:val="24"/>
        </w:rPr>
        <w:t>51st Adult Education Research Conference (AERC) and 3</w:t>
      </w:r>
      <w:r>
        <w:rPr>
          <w:i/>
          <w:iCs/>
          <w:szCs w:val="24"/>
          <w:vertAlign w:val="superscript"/>
        </w:rPr>
        <w:t>rd</w:t>
      </w:r>
      <w:r>
        <w:rPr>
          <w:i/>
          <w:iCs/>
          <w:szCs w:val="24"/>
        </w:rPr>
        <w:t xml:space="preserve"> Western Region Research Conference on the Education of Adults (WRRCEA) Joint Conference Proceedings.</w:t>
      </w:r>
      <w:proofErr w:type="gramEnd"/>
      <w:r>
        <w:rPr>
          <w:i/>
          <w:iCs/>
          <w:szCs w:val="24"/>
        </w:rPr>
        <w:t xml:space="preserve"> </w:t>
      </w:r>
      <w:r>
        <w:rPr>
          <w:szCs w:val="24"/>
        </w:rPr>
        <w:t>(pp. 115-121). Sacramento, CA: California State University.</w:t>
      </w:r>
    </w:p>
    <w:p w:rsidR="00ED06A4" w:rsidRDefault="00ED06A4" w:rsidP="00ED06A4">
      <w:pPr>
        <w:pStyle w:val="BodyText"/>
        <w:spacing w:after="0" w:line="480" w:lineRule="auto"/>
        <w:ind w:left="720" w:hanging="720"/>
        <w:rPr>
          <w:iCs/>
        </w:rPr>
      </w:pPr>
      <w:proofErr w:type="spellStart"/>
      <w:proofErr w:type="gramStart"/>
      <w:r>
        <w:rPr>
          <w:iCs/>
        </w:rPr>
        <w:t>DelliCarpini</w:t>
      </w:r>
      <w:proofErr w:type="spellEnd"/>
      <w:r>
        <w:rPr>
          <w:iCs/>
        </w:rPr>
        <w:t>, M. (2008).</w:t>
      </w:r>
      <w:proofErr w:type="gramEnd"/>
      <w:r>
        <w:rPr>
          <w:iCs/>
        </w:rPr>
        <w:t xml:space="preserve"> </w:t>
      </w:r>
      <w:proofErr w:type="gramStart"/>
      <w:r>
        <w:rPr>
          <w:iCs/>
        </w:rPr>
        <w:t>Creating communities of professional practice in the correctional education classroom.</w:t>
      </w:r>
      <w:proofErr w:type="gramEnd"/>
      <w:r>
        <w:rPr>
          <w:iCs/>
        </w:rPr>
        <w:t xml:space="preserve"> </w:t>
      </w:r>
      <w:r>
        <w:rPr>
          <w:i/>
          <w:iCs/>
        </w:rPr>
        <w:t>Journal of Correctional Education, 59</w:t>
      </w:r>
      <w:r>
        <w:rPr>
          <w:iCs/>
        </w:rPr>
        <w:t>(3), 219-230.</w:t>
      </w:r>
    </w:p>
    <w:p w:rsidR="00ED06A4" w:rsidRDefault="00ED06A4" w:rsidP="00ED06A4">
      <w:pPr>
        <w:spacing w:after="0" w:line="480" w:lineRule="auto"/>
        <w:ind w:left="720" w:hanging="720"/>
      </w:pPr>
      <w:proofErr w:type="gramStart"/>
      <w:r>
        <w:t>Deshler, D., &amp; Hagan, N. (1989).</w:t>
      </w:r>
      <w:proofErr w:type="gramEnd"/>
      <w:r>
        <w:t xml:space="preserve"> Adult education research: Issues and directions. In S. Merriam, &amp; P. Cunningham (Eds.), </w:t>
      </w:r>
      <w:proofErr w:type="gramStart"/>
      <w:r>
        <w:rPr>
          <w:i/>
          <w:iCs/>
        </w:rPr>
        <w:t>The</w:t>
      </w:r>
      <w:proofErr w:type="gramEnd"/>
      <w:r>
        <w:rPr>
          <w:i/>
          <w:iCs/>
        </w:rPr>
        <w:t xml:space="preserve"> handbook of adult and continuing education</w:t>
      </w:r>
      <w:r>
        <w:t xml:space="preserve"> (pp. 147-167). San Francisco, CA: </w:t>
      </w:r>
      <w:proofErr w:type="spellStart"/>
      <w:r>
        <w:t>Josey</w:t>
      </w:r>
      <w:proofErr w:type="spellEnd"/>
      <w:r>
        <w:t>-Bass.</w:t>
      </w:r>
    </w:p>
    <w:p w:rsidR="00ED06A4" w:rsidRDefault="00ED06A4" w:rsidP="00ED06A4">
      <w:pPr>
        <w:pStyle w:val="BodyText"/>
        <w:spacing w:after="0" w:line="480" w:lineRule="auto"/>
        <w:ind w:left="720" w:hanging="720"/>
        <w:rPr>
          <w:iCs/>
        </w:rPr>
      </w:pPr>
      <w:proofErr w:type="spellStart"/>
      <w:proofErr w:type="gramStart"/>
      <w:r>
        <w:rPr>
          <w:iCs/>
        </w:rPr>
        <w:t>Desimones</w:t>
      </w:r>
      <w:proofErr w:type="spellEnd"/>
      <w:r>
        <w:rPr>
          <w:iCs/>
        </w:rPr>
        <w:t xml:space="preserve">, L. M., Porter, A. C., </w:t>
      </w:r>
      <w:proofErr w:type="spellStart"/>
      <w:r>
        <w:rPr>
          <w:iCs/>
        </w:rPr>
        <w:t>Garet</w:t>
      </w:r>
      <w:proofErr w:type="spellEnd"/>
      <w:r>
        <w:rPr>
          <w:iCs/>
        </w:rPr>
        <w:t xml:space="preserve">, M. S., Yoon, K. S., &amp; </w:t>
      </w:r>
      <w:proofErr w:type="spellStart"/>
      <w:r>
        <w:rPr>
          <w:iCs/>
        </w:rPr>
        <w:t>Birman</w:t>
      </w:r>
      <w:proofErr w:type="spellEnd"/>
      <w:r>
        <w:rPr>
          <w:iCs/>
        </w:rPr>
        <w:t>, B. F. (2002).</w:t>
      </w:r>
      <w:proofErr w:type="gramEnd"/>
      <w:r>
        <w:rPr>
          <w:iCs/>
        </w:rPr>
        <w:t xml:space="preserve"> Effects of professional development on teachers’ instruction: Results from a three-year study. </w:t>
      </w:r>
      <w:r>
        <w:rPr>
          <w:i/>
        </w:rPr>
        <w:t>Educational Evaluation and Policy Analysis, 24</w:t>
      </w:r>
      <w:r>
        <w:rPr>
          <w:iCs/>
        </w:rPr>
        <w:t>(2), 81-112.</w:t>
      </w:r>
    </w:p>
    <w:p w:rsidR="00ED06A4" w:rsidRDefault="00ED06A4" w:rsidP="00ED06A4">
      <w:pPr>
        <w:pStyle w:val="BodyText"/>
        <w:spacing w:after="0" w:line="480" w:lineRule="auto"/>
        <w:ind w:left="720" w:hanging="720"/>
        <w:rPr>
          <w:iCs/>
        </w:rPr>
      </w:pPr>
      <w:r>
        <w:rPr>
          <w:iCs/>
        </w:rPr>
        <w:t xml:space="preserve">Dillon, M. C. (1983). </w:t>
      </w:r>
      <w:proofErr w:type="spellStart"/>
      <w:proofErr w:type="gramStart"/>
      <w:r>
        <w:rPr>
          <w:iCs/>
        </w:rPr>
        <w:t>Merleau</w:t>
      </w:r>
      <w:proofErr w:type="spellEnd"/>
      <w:r>
        <w:rPr>
          <w:iCs/>
        </w:rPr>
        <w:t>-</w:t>
      </w:r>
      <w:proofErr w:type="spellStart"/>
      <w:r>
        <w:rPr>
          <w:iCs/>
        </w:rPr>
        <w:t>Ponty</w:t>
      </w:r>
      <w:proofErr w:type="spellEnd"/>
      <w:r>
        <w:rPr>
          <w:iCs/>
        </w:rPr>
        <w:t xml:space="preserve"> and the reversibility thesis.</w:t>
      </w:r>
      <w:proofErr w:type="gramEnd"/>
      <w:r>
        <w:rPr>
          <w:iCs/>
        </w:rPr>
        <w:t xml:space="preserve"> </w:t>
      </w:r>
      <w:r>
        <w:rPr>
          <w:i/>
          <w:iCs/>
        </w:rPr>
        <w:t>Man and World, 16</w:t>
      </w:r>
      <w:r>
        <w:rPr>
          <w:iCs/>
        </w:rPr>
        <w:t>, 365-388.</w:t>
      </w:r>
    </w:p>
    <w:p w:rsidR="00ED06A4" w:rsidRDefault="00ED06A4" w:rsidP="00ED06A4">
      <w:pPr>
        <w:pStyle w:val="BodyText"/>
        <w:spacing w:after="0" w:line="480" w:lineRule="auto"/>
        <w:ind w:left="720" w:hanging="720"/>
        <w:rPr>
          <w:iCs/>
        </w:rPr>
      </w:pPr>
      <w:proofErr w:type="spellStart"/>
      <w:r>
        <w:rPr>
          <w:iCs/>
        </w:rPr>
        <w:t>Donaghy</w:t>
      </w:r>
      <w:proofErr w:type="spellEnd"/>
      <w:r>
        <w:rPr>
          <w:iCs/>
        </w:rPr>
        <w:t xml:space="preserve">, R. C. (2005). </w:t>
      </w:r>
      <w:r w:rsidRPr="00530372">
        <w:rPr>
          <w:i/>
          <w:iCs/>
        </w:rPr>
        <w:t>“It permeates the whole fabric of your life”: The experience of scholars who have studied self-directed learning</w:t>
      </w:r>
      <w:r>
        <w:rPr>
          <w:iCs/>
        </w:rPr>
        <w:t xml:space="preserve"> (Doctoral dissertation). </w:t>
      </w:r>
      <w:proofErr w:type="gramStart"/>
      <w:r>
        <w:rPr>
          <w:iCs/>
        </w:rPr>
        <w:t>UT Libraries Catalog.</w:t>
      </w:r>
      <w:proofErr w:type="gramEnd"/>
      <w:r>
        <w:rPr>
          <w:iCs/>
        </w:rPr>
        <w:t xml:space="preserve"> (Thesis 2005b .D66)</w:t>
      </w:r>
    </w:p>
    <w:p w:rsidR="00ED06A4" w:rsidRDefault="00ED06A4" w:rsidP="00ED06A4">
      <w:pPr>
        <w:pStyle w:val="BodyText"/>
        <w:spacing w:after="0" w:line="480" w:lineRule="auto"/>
        <w:ind w:left="720" w:hanging="720"/>
        <w:rPr>
          <w:iCs/>
        </w:rPr>
      </w:pPr>
      <w:proofErr w:type="gramStart"/>
      <w:r>
        <w:t>Dowden, C., &amp; Andrews, D. A. (2004).</w:t>
      </w:r>
      <w:proofErr w:type="gramEnd"/>
      <w:r>
        <w:t xml:space="preserve"> The importance of staff practice in delivering effective correctional treatment: A meta-analytic review of core correctional practice. </w:t>
      </w:r>
      <w:proofErr w:type="gramStart"/>
      <w:r>
        <w:t>International Journal of Offender Therapy and Comparative criminology, 48(2), 203-214.</w:t>
      </w:r>
      <w:proofErr w:type="gramEnd"/>
    </w:p>
    <w:p w:rsidR="00ED06A4" w:rsidRDefault="00ED06A4" w:rsidP="00ED06A4">
      <w:pPr>
        <w:spacing w:after="0" w:line="480" w:lineRule="auto"/>
        <w:ind w:left="720" w:hanging="720"/>
      </w:pPr>
      <w:proofErr w:type="gramStart"/>
      <w:r>
        <w:t>Dowling, M. (2004).</w:t>
      </w:r>
      <w:proofErr w:type="gramEnd"/>
      <w:r>
        <w:t xml:space="preserve"> Hermeneutics: An exploration. </w:t>
      </w:r>
      <w:r>
        <w:rPr>
          <w:i/>
          <w:iCs/>
        </w:rPr>
        <w:t>Researcher, 11</w:t>
      </w:r>
      <w:r>
        <w:t>(4), 30-39.</w:t>
      </w:r>
    </w:p>
    <w:p w:rsidR="00ED06A4" w:rsidRDefault="00ED06A4" w:rsidP="00ED06A4">
      <w:pPr>
        <w:spacing w:after="0" w:line="480" w:lineRule="auto"/>
        <w:ind w:left="720" w:hanging="720"/>
      </w:pPr>
      <w:proofErr w:type="gramStart"/>
      <w:r>
        <w:t>Dowling, M. (2007).</w:t>
      </w:r>
      <w:proofErr w:type="gramEnd"/>
      <w:r>
        <w:t xml:space="preserve"> From Husserl to van </w:t>
      </w:r>
      <w:proofErr w:type="spellStart"/>
      <w:r>
        <w:t>Manen</w:t>
      </w:r>
      <w:proofErr w:type="spellEnd"/>
      <w:r>
        <w:t xml:space="preserve">: A review of different phenomenological approaches. </w:t>
      </w:r>
      <w:r>
        <w:rPr>
          <w:i/>
          <w:iCs/>
        </w:rPr>
        <w:t>International Journal of Nursing Studies, 44</w:t>
      </w:r>
      <w:r>
        <w:t>(1), 131-142.</w:t>
      </w:r>
    </w:p>
    <w:p w:rsidR="00ED06A4" w:rsidRDefault="00ED06A4" w:rsidP="00ED06A4">
      <w:pPr>
        <w:spacing w:after="0" w:line="480" w:lineRule="auto"/>
        <w:ind w:left="720" w:hanging="720"/>
      </w:pPr>
      <w:proofErr w:type="gramStart"/>
      <w:r>
        <w:lastRenderedPageBreak/>
        <w:t xml:space="preserve">Dreyfus, H. L., &amp; </w:t>
      </w:r>
      <w:proofErr w:type="spellStart"/>
      <w:r>
        <w:t>Todes</w:t>
      </w:r>
      <w:proofErr w:type="spellEnd"/>
      <w:r>
        <w:t>, S. J. (1962).</w:t>
      </w:r>
      <w:proofErr w:type="gramEnd"/>
      <w:r>
        <w:t xml:space="preserve"> </w:t>
      </w:r>
      <w:proofErr w:type="gramStart"/>
      <w:r>
        <w:t xml:space="preserve">The three worlds of </w:t>
      </w:r>
      <w:proofErr w:type="spellStart"/>
      <w:r>
        <w:t>Merleau</w:t>
      </w:r>
      <w:proofErr w:type="spellEnd"/>
      <w:r>
        <w:t>-</w:t>
      </w:r>
      <w:proofErr w:type="spellStart"/>
      <w:r>
        <w:t>Ponty</w:t>
      </w:r>
      <w:proofErr w:type="spellEnd"/>
      <w:r>
        <w:t>.</w:t>
      </w:r>
      <w:proofErr w:type="gramEnd"/>
      <w:r>
        <w:t xml:space="preserve"> </w:t>
      </w:r>
      <w:r>
        <w:rPr>
          <w:i/>
          <w:iCs/>
        </w:rPr>
        <w:t>Philosophy and Phenomenological Research, 22</w:t>
      </w:r>
      <w:r>
        <w:t>(4), 559-565.</w:t>
      </w:r>
    </w:p>
    <w:p w:rsidR="00ED06A4" w:rsidRDefault="00ED06A4" w:rsidP="00ED06A4">
      <w:pPr>
        <w:spacing w:after="0" w:line="480" w:lineRule="auto"/>
        <w:ind w:left="720" w:hanging="720"/>
      </w:pPr>
      <w:proofErr w:type="gramStart"/>
      <w:r>
        <w:t>Duffy, T. M., &amp; Cunningham, D. J. (1996).</w:t>
      </w:r>
      <w:proofErr w:type="gramEnd"/>
      <w:r>
        <w:t xml:space="preserve"> Constructivism: Implications for the design and delivery of instruction. </w:t>
      </w:r>
      <w:r>
        <w:rPr>
          <w:i/>
          <w:iCs/>
        </w:rPr>
        <w:t>Handbook of Research for Educational Communications and Technology, 40</w:t>
      </w:r>
      <w:r>
        <w:t>(4), 170-198.</w:t>
      </w:r>
    </w:p>
    <w:p w:rsidR="00ED06A4" w:rsidRDefault="00ED06A4" w:rsidP="00ED06A4">
      <w:pPr>
        <w:spacing w:after="0" w:line="480" w:lineRule="auto"/>
        <w:ind w:left="720" w:hanging="720"/>
      </w:pPr>
      <w:proofErr w:type="gramStart"/>
      <w:r>
        <w:t>Dwyer, S. C., &amp; Buckle, J. L. (2009).</w:t>
      </w:r>
      <w:proofErr w:type="gramEnd"/>
      <w:r>
        <w:t xml:space="preserve"> The space between: On being an insider-outsider in qualitative research. </w:t>
      </w:r>
      <w:r>
        <w:rPr>
          <w:i/>
          <w:iCs/>
        </w:rPr>
        <w:t>International Journal of Qualitative Methods, 8</w:t>
      </w:r>
      <w:r>
        <w:t>(1), 54-63.</w:t>
      </w:r>
    </w:p>
    <w:p w:rsidR="00ED06A4" w:rsidRDefault="00ED06A4" w:rsidP="00ED06A4">
      <w:pPr>
        <w:spacing w:after="0" w:line="480" w:lineRule="auto"/>
        <w:ind w:left="720" w:hanging="720"/>
      </w:pPr>
      <w:r>
        <w:t xml:space="preserve">Edwards, B. (2002). </w:t>
      </w:r>
      <w:proofErr w:type="gramStart"/>
      <w:r>
        <w:t>Deep insider research.</w:t>
      </w:r>
      <w:proofErr w:type="gramEnd"/>
      <w:r>
        <w:t xml:space="preserve"> </w:t>
      </w:r>
      <w:r>
        <w:rPr>
          <w:i/>
          <w:iCs/>
        </w:rPr>
        <w:t>Qualitative Research Journal, 2</w:t>
      </w:r>
      <w:r>
        <w:t>(1), 71-84.</w:t>
      </w:r>
    </w:p>
    <w:p w:rsidR="00ED06A4" w:rsidRDefault="00ED06A4" w:rsidP="00ED06A4">
      <w:pPr>
        <w:spacing w:after="0" w:line="480" w:lineRule="auto"/>
        <w:ind w:left="720" w:hanging="720"/>
      </w:pPr>
      <w:r>
        <w:t xml:space="preserve">Edwards-Willey, T. L. (2005). </w:t>
      </w:r>
      <w:proofErr w:type="gramStart"/>
      <w:r>
        <w:t>Perceptions of inmate-students’ ability to succeed.</w:t>
      </w:r>
      <w:proofErr w:type="gramEnd"/>
      <w:r>
        <w:t xml:space="preserve"> </w:t>
      </w:r>
      <w:r>
        <w:rPr>
          <w:i/>
        </w:rPr>
        <w:t>Journal of Correctional Education, 56</w:t>
      </w:r>
      <w:r>
        <w:t>(1), 65-86.</w:t>
      </w:r>
    </w:p>
    <w:p w:rsidR="00ED06A4" w:rsidRDefault="00ED06A4" w:rsidP="00ED06A4">
      <w:pPr>
        <w:pStyle w:val="BodyText"/>
        <w:spacing w:after="0" w:line="480" w:lineRule="auto"/>
        <w:ind w:left="720" w:hanging="720"/>
        <w:rPr>
          <w:iCs/>
        </w:rPr>
      </w:pPr>
      <w:r>
        <w:rPr>
          <w:iCs/>
        </w:rPr>
        <w:t xml:space="preserve">Eggleston, C. R. (1991). </w:t>
      </w:r>
      <w:proofErr w:type="gramStart"/>
      <w:r>
        <w:rPr>
          <w:iCs/>
        </w:rPr>
        <w:t>Correctional education professional development.</w:t>
      </w:r>
      <w:proofErr w:type="gramEnd"/>
      <w:r>
        <w:rPr>
          <w:iCs/>
        </w:rPr>
        <w:t xml:space="preserve"> </w:t>
      </w:r>
      <w:r>
        <w:rPr>
          <w:i/>
        </w:rPr>
        <w:t>Journal of Correctional Education, 42</w:t>
      </w:r>
      <w:r>
        <w:rPr>
          <w:iCs/>
        </w:rPr>
        <w:t>(1), 16</w:t>
      </w:r>
      <w:r w:rsidR="00656605">
        <w:rPr>
          <w:iCs/>
        </w:rPr>
        <w:t>-</w:t>
      </w:r>
      <w:r>
        <w:rPr>
          <w:iCs/>
        </w:rPr>
        <w:t>22.</w:t>
      </w:r>
    </w:p>
    <w:p w:rsidR="00ED06A4" w:rsidRDefault="00ED06A4" w:rsidP="00ED06A4">
      <w:pPr>
        <w:pStyle w:val="BodyText"/>
        <w:spacing w:after="0" w:line="480" w:lineRule="auto"/>
        <w:ind w:left="720" w:hanging="720"/>
        <w:rPr>
          <w:iCs/>
        </w:rPr>
      </w:pPr>
      <w:r>
        <w:rPr>
          <w:iCs/>
        </w:rPr>
        <w:t xml:space="preserve">Ellis, A. (1992). </w:t>
      </w:r>
      <w:proofErr w:type="gramStart"/>
      <w:r>
        <w:rPr>
          <w:iCs/>
        </w:rPr>
        <w:t>Group rational-emotive and cognitive-behavioral therapy.</w:t>
      </w:r>
      <w:proofErr w:type="gramEnd"/>
      <w:r>
        <w:rPr>
          <w:iCs/>
        </w:rPr>
        <w:t xml:space="preserve"> </w:t>
      </w:r>
      <w:r>
        <w:rPr>
          <w:i/>
        </w:rPr>
        <w:t>International Journal of Group Psychotherapy, 42</w:t>
      </w:r>
      <w:r>
        <w:rPr>
          <w:iCs/>
        </w:rPr>
        <w:t>, 63-80.</w:t>
      </w:r>
    </w:p>
    <w:p w:rsidR="00ED06A4" w:rsidRDefault="00ED06A4" w:rsidP="00ED06A4">
      <w:pPr>
        <w:pStyle w:val="BodyText"/>
        <w:spacing w:after="0" w:line="480" w:lineRule="auto"/>
        <w:ind w:left="720" w:hanging="720"/>
        <w:rPr>
          <w:iCs/>
        </w:rPr>
      </w:pPr>
      <w:proofErr w:type="gramStart"/>
      <w:r>
        <w:rPr>
          <w:iCs/>
        </w:rPr>
        <w:t>Erikson, E. H., &amp; Erikson, J. M. (1981).</w:t>
      </w:r>
      <w:proofErr w:type="gramEnd"/>
      <w:r>
        <w:rPr>
          <w:iCs/>
        </w:rPr>
        <w:t xml:space="preserve"> On </w:t>
      </w:r>
      <w:proofErr w:type="spellStart"/>
      <w:r>
        <w:rPr>
          <w:iCs/>
        </w:rPr>
        <w:t>generativity</w:t>
      </w:r>
      <w:proofErr w:type="spellEnd"/>
      <w:r>
        <w:rPr>
          <w:iCs/>
        </w:rPr>
        <w:t xml:space="preserve"> and identity: From a conversation with Erik and Joan Erikson. </w:t>
      </w:r>
      <w:r w:rsidRPr="006D7A67">
        <w:rPr>
          <w:i/>
          <w:iCs/>
        </w:rPr>
        <w:t>Harvard Educational Review, 51</w:t>
      </w:r>
      <w:r>
        <w:rPr>
          <w:iCs/>
        </w:rPr>
        <w:t>(2), 249-269.</w:t>
      </w:r>
    </w:p>
    <w:p w:rsidR="00ED06A4" w:rsidRDefault="00ED06A4" w:rsidP="00ED06A4">
      <w:pPr>
        <w:spacing w:after="0" w:line="480" w:lineRule="auto"/>
        <w:ind w:left="720" w:hanging="720"/>
      </w:pPr>
      <w:r>
        <w:t xml:space="preserve">Estes, C. R. (1970). Concepts as criteria derived from an existential-phenomenological perspective. </w:t>
      </w:r>
      <w:r>
        <w:rPr>
          <w:i/>
          <w:iCs/>
        </w:rPr>
        <w:t>Educational Theory, 20</w:t>
      </w:r>
      <w:r>
        <w:t>(2), 150-156.</w:t>
      </w:r>
    </w:p>
    <w:p w:rsidR="00ED06A4" w:rsidRDefault="00ED06A4" w:rsidP="00ED06A4">
      <w:pPr>
        <w:spacing w:after="0" w:line="480" w:lineRule="auto"/>
        <w:ind w:left="720" w:hanging="720"/>
      </w:pPr>
      <w:proofErr w:type="spellStart"/>
      <w:r>
        <w:t>Farabee</w:t>
      </w:r>
      <w:proofErr w:type="spellEnd"/>
      <w:r>
        <w:t xml:space="preserve">, D., Prendergast, M., &amp; </w:t>
      </w:r>
      <w:proofErr w:type="spellStart"/>
      <w:r>
        <w:t>Anglin</w:t>
      </w:r>
      <w:proofErr w:type="spellEnd"/>
      <w:r>
        <w:t xml:space="preserve">, M. D. (1998). </w:t>
      </w:r>
      <w:proofErr w:type="gramStart"/>
      <w:r>
        <w:t>The effectiveness of coerced treatment for drug-abusing offenders.</w:t>
      </w:r>
      <w:proofErr w:type="gramEnd"/>
      <w:r>
        <w:t xml:space="preserve"> </w:t>
      </w:r>
      <w:r>
        <w:rPr>
          <w:i/>
        </w:rPr>
        <w:t>Federal Probation, 62</w:t>
      </w:r>
      <w:r>
        <w:t>(1), 3-10.</w:t>
      </w:r>
    </w:p>
    <w:p w:rsidR="00ED06A4" w:rsidRDefault="00ED06A4" w:rsidP="00ED06A4">
      <w:pPr>
        <w:pStyle w:val="BodyText"/>
        <w:spacing w:after="0" w:line="480" w:lineRule="auto"/>
        <w:ind w:left="720" w:hanging="720"/>
        <w:rPr>
          <w:iCs/>
        </w:rPr>
      </w:pPr>
      <w:proofErr w:type="spellStart"/>
      <w:proofErr w:type="gramStart"/>
      <w:r>
        <w:rPr>
          <w:iCs/>
        </w:rPr>
        <w:t>Feist</w:t>
      </w:r>
      <w:proofErr w:type="spellEnd"/>
      <w:r>
        <w:rPr>
          <w:iCs/>
        </w:rPr>
        <w:t>, L. (2003).</w:t>
      </w:r>
      <w:proofErr w:type="gramEnd"/>
      <w:r>
        <w:rPr>
          <w:iCs/>
        </w:rPr>
        <w:t xml:space="preserve"> </w:t>
      </w:r>
      <w:proofErr w:type="gramStart"/>
      <w:r>
        <w:rPr>
          <w:iCs/>
        </w:rPr>
        <w:t>Removing barriers to professional development.</w:t>
      </w:r>
      <w:proofErr w:type="gramEnd"/>
      <w:r>
        <w:rPr>
          <w:iCs/>
        </w:rPr>
        <w:t xml:space="preserve"> </w:t>
      </w:r>
      <w:r>
        <w:rPr>
          <w:i/>
        </w:rPr>
        <w:t>T. H. E. Journal, 30</w:t>
      </w:r>
      <w:r>
        <w:rPr>
          <w:iCs/>
        </w:rPr>
        <w:t>(11), pp. 30, 32, 34-36.</w:t>
      </w:r>
    </w:p>
    <w:p w:rsidR="00ED06A4" w:rsidRDefault="00ED06A4" w:rsidP="00ED06A4">
      <w:pPr>
        <w:pStyle w:val="BodyText"/>
        <w:spacing w:after="0" w:line="480" w:lineRule="auto"/>
        <w:ind w:left="720" w:hanging="720"/>
        <w:rPr>
          <w:iCs/>
        </w:rPr>
      </w:pPr>
      <w:r>
        <w:rPr>
          <w:iCs/>
        </w:rPr>
        <w:lastRenderedPageBreak/>
        <w:t xml:space="preserve">Ferraro, J. M. (2000). </w:t>
      </w:r>
      <w:proofErr w:type="gramStart"/>
      <w:r>
        <w:rPr>
          <w:i/>
        </w:rPr>
        <w:t>Reflective practice and professional development</w:t>
      </w:r>
      <w:r>
        <w:rPr>
          <w:iCs/>
        </w:rPr>
        <w:t>.</w:t>
      </w:r>
      <w:proofErr w:type="gramEnd"/>
      <w:r>
        <w:rPr>
          <w:iCs/>
        </w:rPr>
        <w:t xml:space="preserve"> East Lansing, MI: National Center for Research on Teacher Learning. </w:t>
      </w:r>
      <w:proofErr w:type="gramStart"/>
      <w:r>
        <w:rPr>
          <w:iCs/>
        </w:rPr>
        <w:t>(ERIC Document Reproduction Service No.</w:t>
      </w:r>
      <w:proofErr w:type="gramEnd"/>
      <w:r>
        <w:rPr>
          <w:iCs/>
        </w:rPr>
        <w:t xml:space="preserve"> ED449120)</w:t>
      </w:r>
    </w:p>
    <w:p w:rsidR="00ED06A4" w:rsidRDefault="00ED06A4" w:rsidP="00ED06A4">
      <w:pPr>
        <w:pStyle w:val="BodyText"/>
        <w:spacing w:after="0" w:line="480" w:lineRule="auto"/>
        <w:ind w:left="720" w:hanging="720"/>
        <w:rPr>
          <w:iCs/>
        </w:rPr>
      </w:pPr>
      <w:r>
        <w:rPr>
          <w:iCs/>
        </w:rPr>
        <w:t xml:space="preserve">Finlay, L. (2005). “Reflexive Embodied Empathy”: A phenomenology of participant-researcher </w:t>
      </w:r>
      <w:proofErr w:type="spellStart"/>
      <w:r>
        <w:rPr>
          <w:iCs/>
        </w:rPr>
        <w:t>intersubjectivity</w:t>
      </w:r>
      <w:proofErr w:type="spellEnd"/>
      <w:r>
        <w:rPr>
          <w:i/>
          <w:iCs/>
        </w:rPr>
        <w:t>. The Humanistic Psychologist, 33</w:t>
      </w:r>
      <w:r>
        <w:rPr>
          <w:iCs/>
        </w:rPr>
        <w:t xml:space="preserve">(4), 271-292. </w:t>
      </w:r>
    </w:p>
    <w:p w:rsidR="00ED06A4" w:rsidRDefault="00ED06A4" w:rsidP="00ED06A4">
      <w:pPr>
        <w:pStyle w:val="BodyTextIndent2"/>
        <w:spacing w:line="480" w:lineRule="auto"/>
      </w:pPr>
      <w:r>
        <w:t xml:space="preserve">Flowers, S. (2000). </w:t>
      </w:r>
      <w:proofErr w:type="gramStart"/>
      <w:r>
        <w:t>Understanding the learner who is court-mandated to learn.</w:t>
      </w:r>
      <w:proofErr w:type="gramEnd"/>
      <w:r>
        <w:t xml:space="preserve"> </w:t>
      </w:r>
      <w:r>
        <w:rPr>
          <w:i/>
        </w:rPr>
        <w:t>Practitioner research briefs, 1999-2000 report series</w:t>
      </w:r>
      <w:r>
        <w:t>. Dayton, VA: Virginia State Department of Education (ERIC Document Reproduction Service No. ED445245)</w:t>
      </w:r>
    </w:p>
    <w:p w:rsidR="00ED06A4" w:rsidRDefault="00ED06A4" w:rsidP="00ED06A4">
      <w:pPr>
        <w:pStyle w:val="BodyTextIndent2"/>
        <w:spacing w:line="480" w:lineRule="auto"/>
      </w:pPr>
      <w:r>
        <w:t xml:space="preserve">Fox, T. A. (1991). Prison educators’ practice of adult education in prison education </w:t>
      </w:r>
      <w:proofErr w:type="spellStart"/>
      <w:r>
        <w:t>programmes</w:t>
      </w:r>
      <w:proofErr w:type="spellEnd"/>
      <w:r>
        <w:t xml:space="preserve">: A Canadian case study. </w:t>
      </w:r>
      <w:proofErr w:type="gramStart"/>
      <w:r>
        <w:rPr>
          <w:i/>
        </w:rPr>
        <w:t>International Journal of Lifelong education, 10</w:t>
      </w:r>
      <w:r>
        <w:t>(1), 35-44.</w:t>
      </w:r>
      <w:proofErr w:type="gramEnd"/>
    </w:p>
    <w:p w:rsidR="00ED06A4" w:rsidRDefault="00ED06A4" w:rsidP="00ED06A4">
      <w:pPr>
        <w:pStyle w:val="BodyTextIndent2"/>
        <w:spacing w:line="480" w:lineRule="auto"/>
      </w:pPr>
      <w:r>
        <w:t xml:space="preserve">Frye, S. B. (2007).  </w:t>
      </w:r>
      <w:r w:rsidRPr="00530372">
        <w:rPr>
          <w:i/>
        </w:rPr>
        <w:t>How adult students experience having their beliefs challenged in undergraduate religion class: A phenomenological analysis</w:t>
      </w:r>
      <w:r>
        <w:t xml:space="preserve"> (Doctoral dissertation). </w:t>
      </w:r>
      <w:proofErr w:type="gramStart"/>
      <w:r>
        <w:t>UT Libraries Catalog.</w:t>
      </w:r>
      <w:proofErr w:type="gramEnd"/>
      <w:r>
        <w:t xml:space="preserve"> (Thesis 2007 .F79)</w:t>
      </w:r>
    </w:p>
    <w:p w:rsidR="00ED06A4" w:rsidRPr="0053474D" w:rsidRDefault="00ED06A4" w:rsidP="00ED06A4">
      <w:pPr>
        <w:spacing w:after="0" w:line="480" w:lineRule="auto"/>
        <w:ind w:left="720" w:hanging="720"/>
      </w:pPr>
      <w:r>
        <w:t xml:space="preserve">Frye, S. B., Curran, R., Pierce, C. A., Young, E., &amp; Ziegler, M. (2005). </w:t>
      </w:r>
      <w:proofErr w:type="gramStart"/>
      <w:r>
        <w:t>Crashing the party: A working class perspective on the ivory tower.</w:t>
      </w:r>
      <w:proofErr w:type="gramEnd"/>
      <w:r>
        <w:t xml:space="preserve"> Retrieved from </w:t>
      </w:r>
      <w:hyperlink r:id="rId11" w:history="1">
        <w:r w:rsidRPr="00FE5070">
          <w:rPr>
            <w:rStyle w:val="Hyperlink"/>
            <w:color w:val="auto"/>
            <w:u w:val="none"/>
          </w:rPr>
          <w:t>http://www.adulterc.org/ /2005/Proceedings/Frye.PDF</w:t>
        </w:r>
      </w:hyperlink>
      <w:r w:rsidRPr="0053474D">
        <w:t xml:space="preserve"> </w:t>
      </w:r>
    </w:p>
    <w:p w:rsidR="00ED06A4" w:rsidRDefault="00ED06A4" w:rsidP="00ED06A4">
      <w:pPr>
        <w:spacing w:after="0" w:line="480" w:lineRule="auto"/>
        <w:ind w:left="720" w:hanging="720"/>
      </w:pPr>
      <w:proofErr w:type="spellStart"/>
      <w:r>
        <w:t>Frymier</w:t>
      </w:r>
      <w:proofErr w:type="spellEnd"/>
      <w:r>
        <w:t xml:space="preserve">, A. B., Houser, M. L. (2000). </w:t>
      </w:r>
      <w:proofErr w:type="gramStart"/>
      <w:r>
        <w:t>The teacher-student relationship as an interpersonal relationship.</w:t>
      </w:r>
      <w:proofErr w:type="gramEnd"/>
      <w:r>
        <w:t xml:space="preserve"> </w:t>
      </w:r>
      <w:r>
        <w:rPr>
          <w:i/>
          <w:iCs/>
        </w:rPr>
        <w:t>Communication Education, 49</w:t>
      </w:r>
      <w:r>
        <w:t>(3), 207-219.</w:t>
      </w:r>
    </w:p>
    <w:p w:rsidR="00ED06A4" w:rsidRDefault="00ED06A4" w:rsidP="00ED06A4">
      <w:pPr>
        <w:spacing w:after="0" w:line="480" w:lineRule="auto"/>
        <w:ind w:left="720" w:hanging="720"/>
      </w:pPr>
      <w:proofErr w:type="spellStart"/>
      <w:proofErr w:type="gramStart"/>
      <w:r>
        <w:t>Gallese</w:t>
      </w:r>
      <w:proofErr w:type="spellEnd"/>
      <w:r>
        <w:t>, V. (2003).</w:t>
      </w:r>
      <w:proofErr w:type="gramEnd"/>
      <w:r>
        <w:t xml:space="preserve"> The roots of empathy: The shared manifold hypothesis and the neural basis of </w:t>
      </w:r>
      <w:proofErr w:type="spellStart"/>
      <w:r>
        <w:t>intersubjectivity</w:t>
      </w:r>
      <w:proofErr w:type="spellEnd"/>
      <w:r>
        <w:t xml:space="preserve">. </w:t>
      </w:r>
      <w:r>
        <w:rPr>
          <w:i/>
        </w:rPr>
        <w:t>Psychopathology, 36</w:t>
      </w:r>
      <w:r>
        <w:t xml:space="preserve">, 171-180. </w:t>
      </w:r>
      <w:proofErr w:type="spellStart"/>
      <w:proofErr w:type="gramStart"/>
      <w:r>
        <w:t>doi</w:t>
      </w:r>
      <w:proofErr w:type="spellEnd"/>
      <w:proofErr w:type="gramEnd"/>
      <w:r>
        <w:t xml:space="preserve">: 10.1159/000072786 </w:t>
      </w:r>
    </w:p>
    <w:p w:rsidR="00ED06A4" w:rsidRDefault="00ED06A4" w:rsidP="00ED06A4">
      <w:pPr>
        <w:pStyle w:val="BodyText"/>
        <w:spacing w:after="0" w:line="480" w:lineRule="auto"/>
        <w:ind w:left="720" w:hanging="720"/>
        <w:rPr>
          <w:iCs/>
        </w:rPr>
      </w:pPr>
      <w:proofErr w:type="spellStart"/>
      <w:r>
        <w:rPr>
          <w:iCs/>
        </w:rPr>
        <w:t>Garet</w:t>
      </w:r>
      <w:proofErr w:type="spellEnd"/>
      <w:r>
        <w:rPr>
          <w:iCs/>
        </w:rPr>
        <w:t xml:space="preserve">, M. S., Porter, A. C., </w:t>
      </w:r>
      <w:proofErr w:type="spellStart"/>
      <w:r>
        <w:rPr>
          <w:iCs/>
        </w:rPr>
        <w:t>Desimones</w:t>
      </w:r>
      <w:proofErr w:type="spellEnd"/>
      <w:r>
        <w:rPr>
          <w:iCs/>
        </w:rPr>
        <w:t xml:space="preserve">, L., </w:t>
      </w:r>
      <w:proofErr w:type="spellStart"/>
      <w:r>
        <w:rPr>
          <w:iCs/>
        </w:rPr>
        <w:t>Birman</w:t>
      </w:r>
      <w:proofErr w:type="spellEnd"/>
      <w:r>
        <w:rPr>
          <w:iCs/>
        </w:rPr>
        <w:t xml:space="preserve">, B. F., Yoon, K. S. (2001). What makes professional development effective? </w:t>
      </w:r>
      <w:proofErr w:type="gramStart"/>
      <w:r>
        <w:rPr>
          <w:iCs/>
        </w:rPr>
        <w:t>Results from a national sample of teachers.</w:t>
      </w:r>
      <w:proofErr w:type="gramEnd"/>
      <w:r>
        <w:rPr>
          <w:iCs/>
        </w:rPr>
        <w:t xml:space="preserve"> </w:t>
      </w:r>
      <w:r>
        <w:rPr>
          <w:i/>
        </w:rPr>
        <w:t>American Educational Research Journal, 38</w:t>
      </w:r>
      <w:r>
        <w:rPr>
          <w:iCs/>
        </w:rPr>
        <w:t>(4), 915-945.</w:t>
      </w:r>
    </w:p>
    <w:p w:rsidR="00ED06A4" w:rsidRDefault="00ED06A4" w:rsidP="00ED06A4">
      <w:pPr>
        <w:spacing w:after="0" w:line="480" w:lineRule="auto"/>
        <w:ind w:left="720" w:hanging="720"/>
      </w:pPr>
      <w:proofErr w:type="gramStart"/>
      <w:r>
        <w:lastRenderedPageBreak/>
        <w:t>Garrison, D. R. (1985).</w:t>
      </w:r>
      <w:proofErr w:type="gramEnd"/>
      <w:r>
        <w:t xml:space="preserve"> Research paradigms in adult education: Philosophical differences and complementary methodologies. East Lansing, MI: National Center for Research on Teacher Learning. </w:t>
      </w:r>
      <w:proofErr w:type="gramStart"/>
      <w:r>
        <w:t>(ERIC Document Reproduction No.</w:t>
      </w:r>
      <w:proofErr w:type="gramEnd"/>
      <w:r>
        <w:t xml:space="preserve"> ED262243)</w:t>
      </w:r>
    </w:p>
    <w:p w:rsidR="00ED06A4" w:rsidRDefault="00ED06A4" w:rsidP="00ED06A4">
      <w:pPr>
        <w:pStyle w:val="BodyTextIndent2"/>
        <w:spacing w:line="480" w:lineRule="auto"/>
      </w:pPr>
      <w:proofErr w:type="gramStart"/>
      <w:r>
        <w:t>Gearing, R. E. (2004).</w:t>
      </w:r>
      <w:proofErr w:type="gramEnd"/>
      <w:r>
        <w:t xml:space="preserve"> </w:t>
      </w:r>
      <w:proofErr w:type="gramStart"/>
      <w:r>
        <w:t>Bracketing in research: A typology.</w:t>
      </w:r>
      <w:proofErr w:type="gramEnd"/>
      <w:r>
        <w:t xml:space="preserve"> </w:t>
      </w:r>
      <w:r>
        <w:rPr>
          <w:i/>
          <w:iCs/>
        </w:rPr>
        <w:t>Qualitative Health Research, 14</w:t>
      </w:r>
      <w:r>
        <w:t xml:space="preserve">(10), 1429-1452. </w:t>
      </w:r>
      <w:proofErr w:type="spellStart"/>
      <w:proofErr w:type="gramStart"/>
      <w:r>
        <w:t>doi</w:t>
      </w:r>
      <w:proofErr w:type="spellEnd"/>
      <w:proofErr w:type="gramEnd"/>
      <w:r>
        <w:t>: 10.1177/1049732304270394</w:t>
      </w:r>
    </w:p>
    <w:p w:rsidR="00ED06A4" w:rsidRDefault="00ED06A4" w:rsidP="00ED06A4">
      <w:pPr>
        <w:spacing w:after="0" w:line="480" w:lineRule="auto"/>
        <w:ind w:left="720" w:hanging="720"/>
      </w:pPr>
      <w:r>
        <w:t xml:space="preserve">Gee, J. (2006). Education in rural county jails: Need versus opportunity. </w:t>
      </w:r>
      <w:r>
        <w:rPr>
          <w:i/>
        </w:rPr>
        <w:t>Journal of Correctional Education, 57</w:t>
      </w:r>
      <w:r>
        <w:t>(4), 312-325.</w:t>
      </w:r>
    </w:p>
    <w:p w:rsidR="00ED06A4" w:rsidRDefault="00ED06A4" w:rsidP="00ED06A4">
      <w:pPr>
        <w:spacing w:after="0" w:line="480" w:lineRule="auto"/>
        <w:ind w:left="720" w:hanging="720"/>
      </w:pPr>
      <w:proofErr w:type="spellStart"/>
      <w:proofErr w:type="gramStart"/>
      <w:r>
        <w:t>Gehring</w:t>
      </w:r>
      <w:proofErr w:type="spellEnd"/>
      <w:r>
        <w:t>, T. (2000).</w:t>
      </w:r>
      <w:proofErr w:type="gramEnd"/>
      <w:r>
        <w:t xml:space="preserve"> </w:t>
      </w:r>
      <w:proofErr w:type="gramStart"/>
      <w:r>
        <w:t>Recidivism as a measure of correctional education program success.</w:t>
      </w:r>
      <w:proofErr w:type="gramEnd"/>
      <w:r>
        <w:t xml:space="preserve"> </w:t>
      </w:r>
      <w:r>
        <w:rPr>
          <w:i/>
          <w:iCs/>
        </w:rPr>
        <w:t>Journal of Correctional Education, 51</w:t>
      </w:r>
      <w:r>
        <w:t>(2), 197-205.</w:t>
      </w:r>
    </w:p>
    <w:p w:rsidR="00ED06A4" w:rsidRDefault="00ED06A4" w:rsidP="00ED06A4">
      <w:pPr>
        <w:spacing w:after="0" w:line="480" w:lineRule="auto"/>
        <w:ind w:left="720" w:hanging="720"/>
      </w:pPr>
      <w:proofErr w:type="spellStart"/>
      <w:r>
        <w:t>Gelso</w:t>
      </w:r>
      <w:proofErr w:type="spellEnd"/>
      <w:r>
        <w:t xml:space="preserve">, C. J., Hill, C. E., Mohr, J. J., </w:t>
      </w:r>
      <w:proofErr w:type="spellStart"/>
      <w:r>
        <w:t>Rochlen</w:t>
      </w:r>
      <w:proofErr w:type="spellEnd"/>
      <w:r>
        <w:t xml:space="preserve">, A. B., &amp; Zach, J. (1999). </w:t>
      </w:r>
      <w:proofErr w:type="gramStart"/>
      <w:r>
        <w:t>Describing the face of transference: psychodynamic therapists’ recollections about transference in cases of successful long-term therapy.</w:t>
      </w:r>
      <w:proofErr w:type="gramEnd"/>
      <w:r>
        <w:t xml:space="preserve"> </w:t>
      </w:r>
      <w:proofErr w:type="gramStart"/>
      <w:r>
        <w:rPr>
          <w:i/>
        </w:rPr>
        <w:t>Journal of Counseling Psychology, 46</w:t>
      </w:r>
      <w:r>
        <w:t>(2), 257-267.</w:t>
      </w:r>
      <w:proofErr w:type="gramEnd"/>
    </w:p>
    <w:p w:rsidR="00ED06A4" w:rsidRDefault="00ED06A4" w:rsidP="00ED06A4">
      <w:pPr>
        <w:spacing w:after="0" w:line="480" w:lineRule="auto"/>
        <w:ind w:left="720" w:hanging="720"/>
        <w:rPr>
          <w:sz w:val="20"/>
          <w:szCs w:val="20"/>
        </w:rPr>
      </w:pPr>
      <w:proofErr w:type="spellStart"/>
      <w:proofErr w:type="gramStart"/>
      <w:r>
        <w:t>Gendreau</w:t>
      </w:r>
      <w:proofErr w:type="spellEnd"/>
      <w:r>
        <w:t xml:space="preserve">, P., Little, T., &amp; </w:t>
      </w:r>
      <w:proofErr w:type="spellStart"/>
      <w:r>
        <w:t>Goggin</w:t>
      </w:r>
      <w:proofErr w:type="spellEnd"/>
      <w:r>
        <w:t>, C. (1996).</w:t>
      </w:r>
      <w:proofErr w:type="gramEnd"/>
      <w:r>
        <w:t xml:space="preserve"> A meta-analysis of the predictors of adult offender recidivism: What works! </w:t>
      </w:r>
      <w:r>
        <w:rPr>
          <w:i/>
          <w:iCs/>
        </w:rPr>
        <w:t>Criminology, 34</w:t>
      </w:r>
      <w:r>
        <w:t>(4), 575-607.</w:t>
      </w:r>
    </w:p>
    <w:p w:rsidR="00ED06A4" w:rsidRDefault="00ED06A4" w:rsidP="00ED06A4">
      <w:pPr>
        <w:spacing w:after="0" w:line="480" w:lineRule="auto"/>
        <w:ind w:left="720" w:hanging="720"/>
      </w:pPr>
      <w:proofErr w:type="spellStart"/>
      <w:proofErr w:type="gramStart"/>
      <w:r>
        <w:t>Germine</w:t>
      </w:r>
      <w:proofErr w:type="spellEnd"/>
      <w:r>
        <w:t>, M. (1991).</w:t>
      </w:r>
      <w:proofErr w:type="gramEnd"/>
      <w:r>
        <w:t xml:space="preserve"> </w:t>
      </w:r>
      <w:proofErr w:type="gramStart"/>
      <w:r>
        <w:t>Consciousness and synchronicity.</w:t>
      </w:r>
      <w:proofErr w:type="gramEnd"/>
      <w:r>
        <w:t xml:space="preserve"> </w:t>
      </w:r>
      <w:r>
        <w:rPr>
          <w:i/>
        </w:rPr>
        <w:t>Medical Hypotheses, 36</w:t>
      </w:r>
      <w:r>
        <w:t>, 277-283.</w:t>
      </w:r>
    </w:p>
    <w:p w:rsidR="00ED06A4" w:rsidRDefault="00ED06A4" w:rsidP="00ED06A4">
      <w:pPr>
        <w:spacing w:after="0" w:line="480" w:lineRule="auto"/>
        <w:ind w:left="720" w:hanging="720"/>
      </w:pPr>
      <w:proofErr w:type="spellStart"/>
      <w:r>
        <w:t>Giorgi</w:t>
      </w:r>
      <w:proofErr w:type="spellEnd"/>
      <w:r>
        <w:t xml:space="preserve">, A. (1997). </w:t>
      </w:r>
      <w:proofErr w:type="gramStart"/>
      <w:r>
        <w:t>The theory, practice, and evaluation of the phenomenological method as a qualitative research procedure.</w:t>
      </w:r>
      <w:proofErr w:type="gramEnd"/>
      <w:r>
        <w:t xml:space="preserve"> </w:t>
      </w:r>
      <w:r>
        <w:rPr>
          <w:i/>
          <w:iCs/>
        </w:rPr>
        <w:t>Journal of Phenomenological Psychology, 28</w:t>
      </w:r>
      <w:r>
        <w:t>(2), 235-260.</w:t>
      </w:r>
    </w:p>
    <w:p w:rsidR="00ED06A4" w:rsidRDefault="00ED06A4" w:rsidP="00ED06A4">
      <w:pPr>
        <w:spacing w:after="0" w:line="480" w:lineRule="auto"/>
        <w:ind w:left="720" w:hanging="720"/>
      </w:pPr>
      <w:proofErr w:type="spellStart"/>
      <w:r>
        <w:t>Giorgi</w:t>
      </w:r>
      <w:proofErr w:type="spellEnd"/>
      <w:r>
        <w:t xml:space="preserve">, A. (2007). </w:t>
      </w:r>
      <w:proofErr w:type="gramStart"/>
      <w:r>
        <w:t>Concerning the phenomenological methods of Husserl and Heidegger and their application in psychology.</w:t>
      </w:r>
      <w:proofErr w:type="gramEnd"/>
      <w:r>
        <w:t xml:space="preserve"> </w:t>
      </w:r>
      <w:r>
        <w:rPr>
          <w:i/>
          <w:iCs/>
        </w:rPr>
        <w:t xml:space="preserve">Collection du </w:t>
      </w:r>
      <w:proofErr w:type="spellStart"/>
      <w:r>
        <w:rPr>
          <w:i/>
          <w:iCs/>
        </w:rPr>
        <w:t>Cirp</w:t>
      </w:r>
      <w:proofErr w:type="spellEnd"/>
      <w:r>
        <w:rPr>
          <w:i/>
          <w:iCs/>
        </w:rPr>
        <w:t>, 1</w:t>
      </w:r>
      <w:r>
        <w:t>, 63-78.</w:t>
      </w:r>
    </w:p>
    <w:p w:rsidR="00ED06A4" w:rsidRDefault="00ED06A4" w:rsidP="00ED06A4">
      <w:pPr>
        <w:spacing w:after="0" w:line="480" w:lineRule="auto"/>
        <w:ind w:left="720" w:hanging="720"/>
      </w:pPr>
      <w:proofErr w:type="spellStart"/>
      <w:r>
        <w:t>Girogi</w:t>
      </w:r>
      <w:proofErr w:type="spellEnd"/>
      <w:r>
        <w:t xml:space="preserve">, A. (2008). Difficulties encountered in the application of the phenomenological method in the social sciences. </w:t>
      </w:r>
      <w:proofErr w:type="gramStart"/>
      <w:r>
        <w:rPr>
          <w:i/>
          <w:iCs/>
        </w:rPr>
        <w:t>Indo-</w:t>
      </w:r>
      <w:proofErr w:type="spellStart"/>
      <w:r>
        <w:rPr>
          <w:i/>
          <w:iCs/>
        </w:rPr>
        <w:t>Paciofic</w:t>
      </w:r>
      <w:proofErr w:type="spellEnd"/>
      <w:r>
        <w:rPr>
          <w:i/>
          <w:iCs/>
        </w:rPr>
        <w:t xml:space="preserve"> Journal of Phenomenology, 8</w:t>
      </w:r>
      <w:r>
        <w:t>(1).</w:t>
      </w:r>
      <w:proofErr w:type="gramEnd"/>
      <w:r>
        <w:t xml:space="preserve"> Retrieved from </w:t>
      </w:r>
      <w:hyperlink r:id="rId12" w:history="1">
        <w:r w:rsidRPr="00FE5070">
          <w:rPr>
            <w:rStyle w:val="Hyperlink"/>
            <w:color w:val="auto"/>
            <w:u w:val="none"/>
          </w:rPr>
          <w:t>http://www.ipjp.org</w:t>
        </w:r>
      </w:hyperlink>
    </w:p>
    <w:p w:rsidR="00ED06A4" w:rsidRDefault="00ED06A4" w:rsidP="00ED06A4">
      <w:pPr>
        <w:spacing w:after="0" w:line="480" w:lineRule="auto"/>
        <w:ind w:left="720" w:hanging="720"/>
      </w:pPr>
      <w:proofErr w:type="spellStart"/>
      <w:proofErr w:type="gramStart"/>
      <w:r>
        <w:lastRenderedPageBreak/>
        <w:t>Giorgi</w:t>
      </w:r>
      <w:proofErr w:type="spellEnd"/>
      <w:r>
        <w:t xml:space="preserve">, A., Fischer, W. F., &amp; von </w:t>
      </w:r>
      <w:proofErr w:type="spellStart"/>
      <w:r>
        <w:t>Eckartsberg</w:t>
      </w:r>
      <w:proofErr w:type="spellEnd"/>
      <w:r>
        <w:t>, R. (</w:t>
      </w:r>
      <w:proofErr w:type="spellStart"/>
      <w:r>
        <w:t>Eds</w:t>
      </w:r>
      <w:proofErr w:type="spellEnd"/>
      <w:r>
        <w:t>).</w:t>
      </w:r>
      <w:proofErr w:type="gramEnd"/>
      <w:r>
        <w:t xml:space="preserve"> (1971). </w:t>
      </w:r>
      <w:r>
        <w:rPr>
          <w:i/>
          <w:iCs/>
        </w:rPr>
        <w:t>Duquesne studies in phenomenological psychology: Vol. 1.</w:t>
      </w:r>
      <w:r>
        <w:t xml:space="preserve"> Pittsburg, PA: Duquesne University Press.</w:t>
      </w:r>
    </w:p>
    <w:p w:rsidR="00ED06A4" w:rsidRDefault="00ED06A4" w:rsidP="00ED06A4">
      <w:pPr>
        <w:spacing w:after="0" w:line="480" w:lineRule="auto"/>
        <w:ind w:left="720" w:hanging="720"/>
      </w:pPr>
      <w:proofErr w:type="gramStart"/>
      <w:r>
        <w:t>Goldman, W. (2003).</w:t>
      </w:r>
      <w:proofErr w:type="gramEnd"/>
      <w:r>
        <w:t xml:space="preserve"> </w:t>
      </w:r>
      <w:r>
        <w:rPr>
          <w:i/>
        </w:rPr>
        <w:t>The princess bride: S Morgenstern’s classic tale of true love and high adventure</w:t>
      </w:r>
      <w:r>
        <w:t>. New York, NY: Harcourt.</w:t>
      </w:r>
    </w:p>
    <w:p w:rsidR="00ED06A4" w:rsidRPr="00C24501" w:rsidRDefault="00ED06A4" w:rsidP="00ED06A4">
      <w:pPr>
        <w:spacing w:after="0" w:line="480" w:lineRule="auto"/>
        <w:ind w:left="720" w:hanging="720"/>
      </w:pPr>
      <w:proofErr w:type="gramStart"/>
      <w:r>
        <w:t>Gordon, H. R. D., &amp; Weldon, B. (2003).</w:t>
      </w:r>
      <w:proofErr w:type="gramEnd"/>
      <w:r>
        <w:t xml:space="preserve"> </w:t>
      </w:r>
      <w:r>
        <w:rPr>
          <w:i/>
        </w:rPr>
        <w:t>Impact of career and technical education programs on adult offenders: learning behind bars</w:t>
      </w:r>
      <w:r>
        <w:t xml:space="preserve">. </w:t>
      </w:r>
      <w:proofErr w:type="gramStart"/>
      <w:r>
        <w:t xml:space="preserve">Retrieved August 31, 2009 from </w:t>
      </w:r>
      <w:hyperlink r:id="rId13" w:history="1">
        <w:r w:rsidRPr="00FE5070">
          <w:rPr>
            <w:rStyle w:val="Hyperlink"/>
            <w:color w:val="auto"/>
            <w:u w:val="none"/>
          </w:rPr>
          <w:t>http://www.ncjrs.</w:t>
        </w:r>
        <w:proofErr w:type="gramEnd"/>
        <w:r w:rsidRPr="00FE5070">
          <w:rPr>
            <w:rStyle w:val="Hyperlink"/>
            <w:color w:val="auto"/>
            <w:u w:val="none"/>
          </w:rPr>
          <w:t xml:space="preserve"> </w:t>
        </w:r>
        <w:proofErr w:type="spellStart"/>
        <w:r w:rsidRPr="00FE5070">
          <w:rPr>
            <w:rStyle w:val="Hyperlink"/>
            <w:color w:val="auto"/>
            <w:u w:val="none"/>
          </w:rPr>
          <w:t>gov</w:t>
        </w:r>
        <w:proofErr w:type="spellEnd"/>
        <w:r w:rsidRPr="00FE5070">
          <w:rPr>
            <w:rStyle w:val="Hyperlink"/>
            <w:color w:val="auto"/>
            <w:u w:val="none"/>
          </w:rPr>
          <w:t>/App/Publications/</w:t>
        </w:r>
        <w:proofErr w:type="spellStart"/>
        <w:r w:rsidRPr="00FE5070">
          <w:rPr>
            <w:rStyle w:val="Hyperlink"/>
            <w:color w:val="auto"/>
            <w:u w:val="none"/>
          </w:rPr>
          <w:t>abstract.aspx?ID</w:t>
        </w:r>
        <w:proofErr w:type="spellEnd"/>
        <w:r w:rsidRPr="00FE5070">
          <w:rPr>
            <w:rStyle w:val="Hyperlink"/>
            <w:color w:val="auto"/>
            <w:u w:val="none"/>
          </w:rPr>
          <w:t>=203952</w:t>
        </w:r>
      </w:hyperlink>
      <w:r w:rsidRPr="00C24501">
        <w:t xml:space="preserve"> </w:t>
      </w:r>
    </w:p>
    <w:p w:rsidR="00ED06A4" w:rsidRDefault="00ED06A4" w:rsidP="00ED06A4">
      <w:pPr>
        <w:spacing w:after="0" w:line="480" w:lineRule="auto"/>
        <w:ind w:left="720" w:hanging="720"/>
      </w:pPr>
      <w:proofErr w:type="spellStart"/>
      <w:r>
        <w:t>Grbich</w:t>
      </w:r>
      <w:proofErr w:type="spellEnd"/>
      <w:r>
        <w:t xml:space="preserve">, C. (2007). </w:t>
      </w:r>
      <w:proofErr w:type="gramStart"/>
      <w:r>
        <w:rPr>
          <w:i/>
          <w:iCs/>
        </w:rPr>
        <w:t>Qualitative data analysis</w:t>
      </w:r>
      <w:r>
        <w:t>.</w:t>
      </w:r>
      <w:proofErr w:type="gramEnd"/>
      <w:r>
        <w:t xml:space="preserve"> Thousand Oaks, CA: Sage.</w:t>
      </w:r>
    </w:p>
    <w:p w:rsidR="00ED06A4" w:rsidRDefault="00ED06A4" w:rsidP="00ED06A4">
      <w:pPr>
        <w:spacing w:after="0" w:line="480" w:lineRule="auto"/>
        <w:ind w:left="720" w:hanging="720"/>
      </w:pPr>
      <w:proofErr w:type="spellStart"/>
      <w:proofErr w:type="gramStart"/>
      <w:r>
        <w:t>Grene</w:t>
      </w:r>
      <w:proofErr w:type="spellEnd"/>
      <w:r>
        <w:t>, M. (1976).</w:t>
      </w:r>
      <w:proofErr w:type="gramEnd"/>
      <w:r>
        <w:t xml:space="preserve"> </w:t>
      </w:r>
      <w:proofErr w:type="spellStart"/>
      <w:proofErr w:type="gramStart"/>
      <w:r>
        <w:t>Merleau</w:t>
      </w:r>
      <w:proofErr w:type="spellEnd"/>
      <w:r>
        <w:t>-</w:t>
      </w:r>
      <w:proofErr w:type="spellStart"/>
      <w:r>
        <w:t>Ponty</w:t>
      </w:r>
      <w:proofErr w:type="spellEnd"/>
      <w:r>
        <w:t xml:space="preserve"> and the renewal of ontology.</w:t>
      </w:r>
      <w:proofErr w:type="gramEnd"/>
      <w:r>
        <w:t xml:space="preserve"> </w:t>
      </w:r>
      <w:r>
        <w:rPr>
          <w:i/>
          <w:iCs/>
        </w:rPr>
        <w:t>The Review of Metaphysics, 29</w:t>
      </w:r>
      <w:r>
        <w:t>(4), 605-625.</w:t>
      </w:r>
    </w:p>
    <w:p w:rsidR="00ED06A4" w:rsidRDefault="00ED06A4" w:rsidP="00ED06A4">
      <w:pPr>
        <w:pStyle w:val="BodyText"/>
        <w:spacing w:after="0" w:line="480" w:lineRule="auto"/>
        <w:ind w:left="720" w:hanging="720"/>
        <w:rPr>
          <w:iCs/>
        </w:rPr>
      </w:pPr>
      <w:proofErr w:type="spellStart"/>
      <w:r>
        <w:rPr>
          <w:iCs/>
        </w:rPr>
        <w:t>Guskey</w:t>
      </w:r>
      <w:proofErr w:type="spellEnd"/>
      <w:r>
        <w:rPr>
          <w:iCs/>
        </w:rPr>
        <w:t xml:space="preserve">, T. R. (1995). Results-oriented professional development: In search of an optimal mix of effective practices. </w:t>
      </w:r>
      <w:r>
        <w:rPr>
          <w:i/>
        </w:rPr>
        <w:t>Journal of Staff Development, 15</w:t>
      </w:r>
      <w:r>
        <w:rPr>
          <w:iCs/>
        </w:rPr>
        <w:t>(4), 42-50.</w:t>
      </w:r>
    </w:p>
    <w:p w:rsidR="00ED06A4" w:rsidRDefault="00ED06A4" w:rsidP="00ED06A4">
      <w:pPr>
        <w:pStyle w:val="BodyText"/>
        <w:spacing w:after="0" w:line="480" w:lineRule="auto"/>
        <w:ind w:left="720" w:hanging="720"/>
        <w:rPr>
          <w:iCs/>
        </w:rPr>
      </w:pPr>
      <w:proofErr w:type="spellStart"/>
      <w:proofErr w:type="gramStart"/>
      <w:r>
        <w:rPr>
          <w:iCs/>
        </w:rPr>
        <w:t>Guskey</w:t>
      </w:r>
      <w:proofErr w:type="spellEnd"/>
      <w:r>
        <w:rPr>
          <w:iCs/>
        </w:rPr>
        <w:t>, T. R., &amp; Sparks, D. (1997).</w:t>
      </w:r>
      <w:proofErr w:type="gramEnd"/>
      <w:r>
        <w:rPr>
          <w:iCs/>
        </w:rPr>
        <w:t xml:space="preserve"> </w:t>
      </w:r>
      <w:proofErr w:type="gramStart"/>
      <w:r>
        <w:rPr>
          <w:iCs/>
        </w:rPr>
        <w:t>Exploring the relationship between staff development and improvement in learning.</w:t>
      </w:r>
      <w:proofErr w:type="gramEnd"/>
      <w:r>
        <w:rPr>
          <w:iCs/>
        </w:rPr>
        <w:t xml:space="preserve"> </w:t>
      </w:r>
      <w:r>
        <w:rPr>
          <w:i/>
        </w:rPr>
        <w:t>Journal of Staff Development, 17</w:t>
      </w:r>
      <w:r>
        <w:rPr>
          <w:iCs/>
        </w:rPr>
        <w:t>(4), 34-38.</w:t>
      </w:r>
    </w:p>
    <w:p w:rsidR="00ED06A4" w:rsidRDefault="00ED06A4" w:rsidP="00ED06A4">
      <w:pPr>
        <w:pStyle w:val="BodyText"/>
        <w:spacing w:after="0" w:line="480" w:lineRule="auto"/>
        <w:ind w:left="720" w:hanging="720"/>
        <w:rPr>
          <w:iCs/>
        </w:rPr>
      </w:pPr>
      <w:proofErr w:type="spellStart"/>
      <w:proofErr w:type="gramStart"/>
      <w:r>
        <w:rPr>
          <w:iCs/>
        </w:rPr>
        <w:t>Guskey</w:t>
      </w:r>
      <w:proofErr w:type="spellEnd"/>
      <w:r>
        <w:rPr>
          <w:iCs/>
        </w:rPr>
        <w:t>, T. R., &amp; Sparks, D. (2002).</w:t>
      </w:r>
      <w:proofErr w:type="gramEnd"/>
      <w:r>
        <w:rPr>
          <w:iCs/>
        </w:rPr>
        <w:t xml:space="preserve"> </w:t>
      </w:r>
      <w:proofErr w:type="gramStart"/>
      <w:r>
        <w:rPr>
          <w:i/>
        </w:rPr>
        <w:t>Linking professional development to improvements in student learning</w:t>
      </w:r>
      <w:r>
        <w:rPr>
          <w:iCs/>
        </w:rPr>
        <w:t>.</w:t>
      </w:r>
      <w:proofErr w:type="gramEnd"/>
      <w:r>
        <w:rPr>
          <w:iCs/>
        </w:rPr>
        <w:t xml:space="preserve"> East Lansing, MI: National Center for Research on Teacher Learning (ERIC Document Reproduction No. ED464112) </w:t>
      </w:r>
    </w:p>
    <w:p w:rsidR="00ED06A4" w:rsidRDefault="00ED06A4" w:rsidP="00ED06A4">
      <w:pPr>
        <w:pStyle w:val="BodyText"/>
        <w:spacing w:after="0" w:line="480" w:lineRule="auto"/>
        <w:ind w:left="720" w:hanging="720"/>
        <w:rPr>
          <w:iCs/>
        </w:rPr>
      </w:pPr>
      <w:proofErr w:type="spellStart"/>
      <w:proofErr w:type="gramStart"/>
      <w:r>
        <w:rPr>
          <w:iCs/>
        </w:rPr>
        <w:t>Haidat</w:t>
      </w:r>
      <w:proofErr w:type="spellEnd"/>
      <w:r>
        <w:rPr>
          <w:iCs/>
        </w:rPr>
        <w:t>, P., &amp; Stein, H. F. (2006).</w:t>
      </w:r>
      <w:proofErr w:type="gramEnd"/>
      <w:r>
        <w:rPr>
          <w:iCs/>
        </w:rPr>
        <w:t xml:space="preserve"> The role of the student-teacher relationship in the formation of physicians: The hidden curriculum as process. </w:t>
      </w:r>
      <w:r>
        <w:rPr>
          <w:i/>
        </w:rPr>
        <w:t>Journal of General Internal Medicine, 21</w:t>
      </w:r>
      <w:r>
        <w:rPr>
          <w:iCs/>
        </w:rPr>
        <w:t>(1), 16-20.</w:t>
      </w:r>
    </w:p>
    <w:p w:rsidR="00ED06A4" w:rsidRDefault="00ED06A4" w:rsidP="00ED06A4">
      <w:pPr>
        <w:spacing w:after="0" w:line="480" w:lineRule="auto"/>
        <w:ind w:left="720" w:hanging="720"/>
      </w:pPr>
      <w:proofErr w:type="spellStart"/>
      <w:r>
        <w:t>Halling</w:t>
      </w:r>
      <w:proofErr w:type="spellEnd"/>
      <w:r>
        <w:t xml:space="preserve">, S., &amp; Dearborn </w:t>
      </w:r>
      <w:proofErr w:type="spellStart"/>
      <w:r>
        <w:t>Nill</w:t>
      </w:r>
      <w:proofErr w:type="spellEnd"/>
      <w:r>
        <w:t xml:space="preserve">, J. (1995). </w:t>
      </w:r>
      <w:proofErr w:type="gramStart"/>
      <w:r>
        <w:t>A brief history of existential phenomenological psychiatry and psychotherapy.</w:t>
      </w:r>
      <w:proofErr w:type="gramEnd"/>
      <w:r>
        <w:t xml:space="preserve"> </w:t>
      </w:r>
      <w:r>
        <w:rPr>
          <w:i/>
          <w:iCs/>
        </w:rPr>
        <w:t>Journal of Phenomenological Psychology, 26</w:t>
      </w:r>
      <w:r>
        <w:t>(1), 1-45.</w:t>
      </w:r>
    </w:p>
    <w:p w:rsidR="00ED06A4" w:rsidRPr="00C24501" w:rsidRDefault="00ED06A4" w:rsidP="00ED06A4">
      <w:pPr>
        <w:spacing w:after="0" w:line="480" w:lineRule="auto"/>
        <w:ind w:left="720" w:hanging="720"/>
        <w:rPr>
          <w:szCs w:val="24"/>
          <w:u w:val="single"/>
        </w:rPr>
      </w:pPr>
      <w:proofErr w:type="gramStart"/>
      <w:r>
        <w:rPr>
          <w:szCs w:val="24"/>
        </w:rPr>
        <w:lastRenderedPageBreak/>
        <w:t>Harper, G., &amp; Chitty, C. (2005).</w:t>
      </w:r>
      <w:proofErr w:type="gramEnd"/>
      <w:r>
        <w:rPr>
          <w:szCs w:val="24"/>
        </w:rPr>
        <w:t xml:space="preserve"> </w:t>
      </w:r>
      <w:r>
        <w:rPr>
          <w:i/>
          <w:iCs/>
          <w:szCs w:val="24"/>
        </w:rPr>
        <w:t>Impact of corrections on reoffending: A review of “What Works.”</w:t>
      </w:r>
      <w:r>
        <w:rPr>
          <w:szCs w:val="24"/>
        </w:rPr>
        <w:t xml:space="preserve"> Retrieved from </w:t>
      </w:r>
      <w:hyperlink r:id="rId14" w:history="1">
        <w:r w:rsidRPr="00FE5070">
          <w:rPr>
            <w:rStyle w:val="Hyperlink"/>
            <w:color w:val="auto"/>
            <w:szCs w:val="24"/>
            <w:u w:val="none"/>
          </w:rPr>
          <w:t>http://www.homeoffice.gov.uk/rds/pdfs04/hors291.pdf</w:t>
        </w:r>
      </w:hyperlink>
    </w:p>
    <w:p w:rsidR="00ED06A4" w:rsidRPr="00C24501" w:rsidRDefault="00ED06A4" w:rsidP="00ED06A4">
      <w:pPr>
        <w:spacing w:after="0" w:line="480" w:lineRule="auto"/>
        <w:ind w:left="720" w:hanging="720"/>
      </w:pPr>
      <w:r>
        <w:t xml:space="preserve">Haney, C. (2001). </w:t>
      </w:r>
      <w:proofErr w:type="gramStart"/>
      <w:r>
        <w:rPr>
          <w:i/>
        </w:rPr>
        <w:t>The psychological impact of incarceration</w:t>
      </w:r>
      <w:r>
        <w:t>.</w:t>
      </w:r>
      <w:proofErr w:type="gramEnd"/>
      <w:r>
        <w:t xml:space="preserve"> </w:t>
      </w:r>
      <w:proofErr w:type="gramStart"/>
      <w:r>
        <w:t xml:space="preserve">Retrieved from </w:t>
      </w:r>
      <w:hyperlink r:id="rId15" w:anchor="IV" w:history="1">
        <w:r w:rsidRPr="00FE5070">
          <w:rPr>
            <w:rStyle w:val="Hyperlink"/>
            <w:color w:val="auto"/>
            <w:u w:val="none"/>
          </w:rPr>
          <w:t>http://aspe.hhs.</w:t>
        </w:r>
        <w:proofErr w:type="gramEnd"/>
        <w:r w:rsidRPr="00FE5070">
          <w:rPr>
            <w:rStyle w:val="Hyperlink"/>
            <w:color w:val="auto"/>
            <w:u w:val="none"/>
          </w:rPr>
          <w:t xml:space="preserve"> </w:t>
        </w:r>
        <w:proofErr w:type="spellStart"/>
        <w:r w:rsidRPr="00FE5070">
          <w:rPr>
            <w:rStyle w:val="Hyperlink"/>
            <w:color w:val="auto"/>
            <w:u w:val="none"/>
          </w:rPr>
          <w:t>gov</w:t>
        </w:r>
        <w:proofErr w:type="spellEnd"/>
        <w:r w:rsidRPr="00FE5070">
          <w:rPr>
            <w:rStyle w:val="Hyperlink"/>
            <w:color w:val="auto"/>
            <w:u w:val="none"/>
          </w:rPr>
          <w:t>/</w:t>
        </w:r>
        <w:proofErr w:type="spellStart"/>
        <w:r w:rsidRPr="00FE5070">
          <w:rPr>
            <w:rStyle w:val="Hyperlink"/>
            <w:color w:val="auto"/>
            <w:u w:val="none"/>
          </w:rPr>
          <w:t>hsp</w:t>
        </w:r>
        <w:proofErr w:type="spellEnd"/>
        <w:r w:rsidRPr="00FE5070">
          <w:rPr>
            <w:rStyle w:val="Hyperlink"/>
            <w:color w:val="auto"/>
            <w:u w:val="none"/>
          </w:rPr>
          <w:t>/prison2home02/</w:t>
        </w:r>
        <w:proofErr w:type="spellStart"/>
        <w:r w:rsidRPr="00FE5070">
          <w:rPr>
            <w:rStyle w:val="Hyperlink"/>
            <w:color w:val="auto"/>
            <w:u w:val="none"/>
          </w:rPr>
          <w:t>Haney.htm#IV</w:t>
        </w:r>
        <w:proofErr w:type="spellEnd"/>
      </w:hyperlink>
      <w:r w:rsidRPr="00C24501">
        <w:t xml:space="preserve"> </w:t>
      </w:r>
    </w:p>
    <w:p w:rsidR="00ED06A4" w:rsidRDefault="00ED06A4" w:rsidP="00ED06A4">
      <w:pPr>
        <w:pStyle w:val="BodyText"/>
        <w:spacing w:after="0" w:line="480" w:lineRule="auto"/>
        <w:ind w:left="720" w:hanging="720"/>
        <w:rPr>
          <w:iCs/>
        </w:rPr>
      </w:pPr>
      <w:proofErr w:type="gramStart"/>
      <w:r>
        <w:rPr>
          <w:iCs/>
        </w:rPr>
        <w:t xml:space="preserve">Hawley, W. D., &amp; </w:t>
      </w:r>
      <w:proofErr w:type="spellStart"/>
      <w:r>
        <w:rPr>
          <w:iCs/>
        </w:rPr>
        <w:t>Valli</w:t>
      </w:r>
      <w:proofErr w:type="spellEnd"/>
      <w:r>
        <w:rPr>
          <w:iCs/>
        </w:rPr>
        <w:t>, L. (2000).</w:t>
      </w:r>
      <w:proofErr w:type="gramEnd"/>
      <w:r>
        <w:rPr>
          <w:iCs/>
        </w:rPr>
        <w:t xml:space="preserve"> </w:t>
      </w:r>
      <w:proofErr w:type="gramStart"/>
      <w:r>
        <w:rPr>
          <w:iCs/>
        </w:rPr>
        <w:t>Learner-centered professional development.</w:t>
      </w:r>
      <w:proofErr w:type="gramEnd"/>
      <w:r>
        <w:rPr>
          <w:iCs/>
        </w:rPr>
        <w:t xml:space="preserve"> </w:t>
      </w:r>
      <w:r>
        <w:rPr>
          <w:i/>
        </w:rPr>
        <w:t>Phi Delta Kappa International, 27</w:t>
      </w:r>
      <w:r>
        <w:rPr>
          <w:iCs/>
        </w:rPr>
        <w:t>, 1-7.</w:t>
      </w:r>
    </w:p>
    <w:p w:rsidR="00ED06A4" w:rsidRDefault="00ED06A4" w:rsidP="00ED06A4">
      <w:pPr>
        <w:spacing w:after="0" w:line="480" w:lineRule="auto"/>
        <w:ind w:left="720" w:hanging="720"/>
      </w:pPr>
      <w:proofErr w:type="gramStart"/>
      <w:r>
        <w:t>Heidegger, M. (1962).</w:t>
      </w:r>
      <w:proofErr w:type="gramEnd"/>
      <w:r>
        <w:t xml:space="preserve"> </w:t>
      </w:r>
      <w:r>
        <w:rPr>
          <w:i/>
          <w:iCs/>
        </w:rPr>
        <w:t>Being and time</w:t>
      </w:r>
      <w:r>
        <w:t xml:space="preserve">. </w:t>
      </w:r>
      <w:proofErr w:type="gramStart"/>
      <w:r>
        <w:t xml:space="preserve">(J. </w:t>
      </w:r>
      <w:proofErr w:type="spellStart"/>
      <w:r>
        <w:t>Macquarrie</w:t>
      </w:r>
      <w:proofErr w:type="spellEnd"/>
      <w:r>
        <w:t>, &amp; E. Robinson, Trans.).</w:t>
      </w:r>
      <w:proofErr w:type="gramEnd"/>
      <w:r>
        <w:t xml:space="preserve"> New York, NY: </w:t>
      </w:r>
      <w:proofErr w:type="spellStart"/>
      <w:r>
        <w:t>HarperPerennial</w:t>
      </w:r>
      <w:proofErr w:type="spellEnd"/>
      <w:r>
        <w:t>. (Original work published 1927)</w:t>
      </w:r>
    </w:p>
    <w:p w:rsidR="00ED06A4" w:rsidRDefault="00ED06A4" w:rsidP="00ED06A4">
      <w:pPr>
        <w:spacing w:after="0" w:line="480" w:lineRule="auto"/>
        <w:ind w:left="720" w:hanging="720"/>
      </w:pPr>
      <w:proofErr w:type="spellStart"/>
      <w:r>
        <w:t>Hendley</w:t>
      </w:r>
      <w:proofErr w:type="spellEnd"/>
      <w:r>
        <w:t xml:space="preserve">, B. (1978). Martin Buber on the teacher/student relationship: A critical appraisal. </w:t>
      </w:r>
      <w:r w:rsidRPr="007B6FFD">
        <w:rPr>
          <w:i/>
        </w:rPr>
        <w:t>Journal of Philosophy of Education, 12</w:t>
      </w:r>
      <w:r>
        <w:t>, 141-148.</w:t>
      </w:r>
    </w:p>
    <w:p w:rsidR="00ED06A4" w:rsidRDefault="00ED06A4" w:rsidP="00ED06A4">
      <w:pPr>
        <w:spacing w:after="0" w:line="480" w:lineRule="auto"/>
        <w:ind w:left="720" w:hanging="720"/>
      </w:pPr>
      <w:r>
        <w:t xml:space="preserve">Henley, W. H. (2000). </w:t>
      </w:r>
      <w:proofErr w:type="gramStart"/>
      <w:r>
        <w:rPr>
          <w:i/>
        </w:rPr>
        <w:t>A qualitative study of factors affecting the persistence of African American students</w:t>
      </w:r>
      <w:r>
        <w:t>.</w:t>
      </w:r>
      <w:proofErr w:type="gramEnd"/>
      <w:r>
        <w:t xml:space="preserve"> Chicago, IL: University of Illinois-Chicago. </w:t>
      </w:r>
    </w:p>
    <w:p w:rsidR="00ED06A4" w:rsidRDefault="00ED06A4" w:rsidP="00ED06A4">
      <w:pPr>
        <w:spacing w:after="0" w:line="480" w:lineRule="auto"/>
        <w:ind w:left="720" w:hanging="720"/>
      </w:pPr>
      <w:r>
        <w:t xml:space="preserve">Heredia, J. L. (2007). How to work the cognitive process in prison: </w:t>
      </w:r>
      <w:proofErr w:type="spellStart"/>
      <w:r>
        <w:t>Ruven</w:t>
      </w:r>
      <w:proofErr w:type="spellEnd"/>
      <w:r>
        <w:t xml:space="preserve"> </w:t>
      </w:r>
      <w:proofErr w:type="spellStart"/>
      <w:r>
        <w:t>Feuerstein’s</w:t>
      </w:r>
      <w:proofErr w:type="spellEnd"/>
      <w:r>
        <w:t xml:space="preserve"> instrumental </w:t>
      </w:r>
      <w:proofErr w:type="spellStart"/>
      <w:r>
        <w:t>programme</w:t>
      </w:r>
      <w:proofErr w:type="spellEnd"/>
      <w:r>
        <w:t xml:space="preserve">. Paper presented at the meeting of the European Prison Education Association, Research Forum, </w:t>
      </w:r>
      <w:proofErr w:type="gramStart"/>
      <w:r>
        <w:t>Dublin</w:t>
      </w:r>
      <w:proofErr w:type="gramEnd"/>
      <w:r>
        <w:t>, Ireland.</w:t>
      </w:r>
    </w:p>
    <w:p w:rsidR="00ED06A4" w:rsidRDefault="00ED06A4" w:rsidP="00ED06A4">
      <w:pPr>
        <w:pStyle w:val="BodyText"/>
        <w:spacing w:after="0" w:line="480" w:lineRule="auto"/>
        <w:ind w:left="720" w:hanging="720"/>
        <w:rPr>
          <w:iCs/>
        </w:rPr>
      </w:pPr>
      <w:proofErr w:type="spellStart"/>
      <w:r>
        <w:rPr>
          <w:iCs/>
        </w:rPr>
        <w:t>Hiebert</w:t>
      </w:r>
      <w:proofErr w:type="spellEnd"/>
      <w:r>
        <w:rPr>
          <w:iCs/>
        </w:rPr>
        <w:t xml:space="preserve">, J. (1999). </w:t>
      </w:r>
      <w:proofErr w:type="gramStart"/>
      <w:r>
        <w:rPr>
          <w:iCs/>
        </w:rPr>
        <w:t>Relationships between research and the NCTM standards.</w:t>
      </w:r>
      <w:proofErr w:type="gramEnd"/>
      <w:r>
        <w:rPr>
          <w:iCs/>
        </w:rPr>
        <w:t xml:space="preserve"> </w:t>
      </w:r>
      <w:r>
        <w:rPr>
          <w:i/>
        </w:rPr>
        <w:t>Journal of Research in Mathematics Education, 30</w:t>
      </w:r>
      <w:r>
        <w:rPr>
          <w:iCs/>
        </w:rPr>
        <w:t xml:space="preserve">(1), 3-19. </w:t>
      </w:r>
      <w:proofErr w:type="spellStart"/>
      <w:proofErr w:type="gramStart"/>
      <w:r>
        <w:rPr>
          <w:iCs/>
        </w:rPr>
        <w:t>doi</w:t>
      </w:r>
      <w:proofErr w:type="spellEnd"/>
      <w:proofErr w:type="gramEnd"/>
      <w:r>
        <w:rPr>
          <w:iCs/>
        </w:rPr>
        <w:t>: 10.1177/0741713604263053</w:t>
      </w:r>
    </w:p>
    <w:p w:rsidR="00ED06A4" w:rsidRDefault="00ED06A4" w:rsidP="00ED06A4">
      <w:pPr>
        <w:pStyle w:val="BodyText"/>
        <w:spacing w:after="0" w:line="480" w:lineRule="auto"/>
        <w:ind w:left="720" w:hanging="720"/>
        <w:rPr>
          <w:iCs/>
        </w:rPr>
      </w:pPr>
      <w:proofErr w:type="spellStart"/>
      <w:r>
        <w:t>Hollin</w:t>
      </w:r>
      <w:proofErr w:type="spellEnd"/>
      <w:r>
        <w:t xml:space="preserve">, C. R. (1999). Treatment programs for offenders meta-analysis, “What Works,” and beyond. </w:t>
      </w:r>
      <w:r>
        <w:rPr>
          <w:i/>
          <w:iCs/>
        </w:rPr>
        <w:t>International Journal of Law and Psychiatry, 22</w:t>
      </w:r>
      <w:r>
        <w:t>(3-4), 361-372.</w:t>
      </w:r>
    </w:p>
    <w:p w:rsidR="00ED06A4" w:rsidRDefault="00ED06A4" w:rsidP="00ED06A4">
      <w:pPr>
        <w:spacing w:after="0" w:line="480" w:lineRule="auto"/>
        <w:ind w:left="720" w:hanging="720"/>
      </w:pPr>
      <w:proofErr w:type="spellStart"/>
      <w:r>
        <w:t>Houle</w:t>
      </w:r>
      <w:proofErr w:type="spellEnd"/>
      <w:r>
        <w:t xml:space="preserve">, C. O. (1972). </w:t>
      </w:r>
      <w:proofErr w:type="gramStart"/>
      <w:r>
        <w:rPr>
          <w:i/>
          <w:iCs/>
        </w:rPr>
        <w:t>The design of education</w:t>
      </w:r>
      <w:r>
        <w:t>.</w:t>
      </w:r>
      <w:proofErr w:type="gramEnd"/>
      <w:r>
        <w:t xml:space="preserve"> San Francisco, CA: </w:t>
      </w:r>
      <w:proofErr w:type="spellStart"/>
      <w:r>
        <w:t>Josey</w:t>
      </w:r>
      <w:proofErr w:type="spellEnd"/>
      <w:r>
        <w:t>-Bass.</w:t>
      </w:r>
    </w:p>
    <w:p w:rsidR="00ED06A4" w:rsidRDefault="00ED06A4" w:rsidP="00ED06A4">
      <w:pPr>
        <w:spacing w:after="0" w:line="480" w:lineRule="auto"/>
        <w:ind w:left="720" w:hanging="720"/>
      </w:pPr>
      <w:r>
        <w:t xml:space="preserve">Hubbard, D. J., &amp; </w:t>
      </w:r>
      <w:proofErr w:type="spellStart"/>
      <w:r>
        <w:t>Latessa</w:t>
      </w:r>
      <w:proofErr w:type="spellEnd"/>
      <w:r>
        <w:t xml:space="preserve">, E. J. (2004). </w:t>
      </w:r>
      <w:r>
        <w:rPr>
          <w:i/>
          <w:iCs/>
        </w:rPr>
        <w:t xml:space="preserve">Evaluation of cognitive-behavioral programs for offenders: A look at outcome and </w:t>
      </w:r>
      <w:proofErr w:type="spellStart"/>
      <w:r>
        <w:rPr>
          <w:i/>
          <w:iCs/>
        </w:rPr>
        <w:t>responsivity</w:t>
      </w:r>
      <w:proofErr w:type="spellEnd"/>
      <w:r>
        <w:rPr>
          <w:i/>
          <w:iCs/>
        </w:rPr>
        <w:t xml:space="preserve"> in five treatment programs</w:t>
      </w:r>
      <w:r>
        <w:t>. Retrieved from http://www.uc.edu/criminal</w:t>
      </w:r>
    </w:p>
    <w:p w:rsidR="00ED06A4" w:rsidRDefault="00ED06A4" w:rsidP="00ED06A4">
      <w:pPr>
        <w:spacing w:after="0" w:line="480" w:lineRule="auto"/>
        <w:ind w:left="720" w:hanging="720"/>
        <w:rPr>
          <w:szCs w:val="24"/>
        </w:rPr>
      </w:pPr>
      <w:r>
        <w:rPr>
          <w:szCs w:val="24"/>
        </w:rPr>
        <w:lastRenderedPageBreak/>
        <w:t xml:space="preserve">Husserl, E. (2001). </w:t>
      </w:r>
      <w:proofErr w:type="gramStart"/>
      <w:r>
        <w:rPr>
          <w:i/>
          <w:iCs/>
          <w:szCs w:val="24"/>
        </w:rPr>
        <w:t>Logical Investigations vol. 1</w:t>
      </w:r>
      <w:r>
        <w:rPr>
          <w:szCs w:val="24"/>
        </w:rPr>
        <w:t>.</w:t>
      </w:r>
      <w:proofErr w:type="gramEnd"/>
      <w:r>
        <w:rPr>
          <w:szCs w:val="24"/>
        </w:rPr>
        <w:t xml:space="preserve"> (J. N. Findlay, Trans.) London, UK: </w:t>
      </w:r>
      <w:proofErr w:type="spellStart"/>
      <w:r>
        <w:rPr>
          <w:szCs w:val="24"/>
        </w:rPr>
        <w:t>Routledge</w:t>
      </w:r>
      <w:proofErr w:type="spellEnd"/>
      <w:r>
        <w:rPr>
          <w:szCs w:val="24"/>
        </w:rPr>
        <w:t>. (Original work published 1900)</w:t>
      </w:r>
    </w:p>
    <w:p w:rsidR="00ED06A4" w:rsidRDefault="00ED06A4" w:rsidP="00ED06A4">
      <w:pPr>
        <w:pStyle w:val="BodyText"/>
        <w:spacing w:after="0" w:line="480" w:lineRule="auto"/>
        <w:ind w:left="720" w:hanging="720"/>
        <w:rPr>
          <w:iCs/>
        </w:rPr>
      </w:pPr>
      <w:proofErr w:type="spellStart"/>
      <w:proofErr w:type="gramStart"/>
      <w:r>
        <w:rPr>
          <w:iCs/>
        </w:rPr>
        <w:t>Ingvarson</w:t>
      </w:r>
      <w:proofErr w:type="spellEnd"/>
      <w:r>
        <w:rPr>
          <w:iCs/>
        </w:rPr>
        <w:t xml:space="preserve">, L., </w:t>
      </w:r>
      <w:proofErr w:type="spellStart"/>
      <w:r>
        <w:rPr>
          <w:iCs/>
        </w:rPr>
        <w:t>Meiers</w:t>
      </w:r>
      <w:proofErr w:type="spellEnd"/>
      <w:r>
        <w:rPr>
          <w:iCs/>
        </w:rPr>
        <w:t>, M., &amp; Beavis, A. (2005).</w:t>
      </w:r>
      <w:proofErr w:type="gramEnd"/>
      <w:r>
        <w:rPr>
          <w:iCs/>
        </w:rPr>
        <w:t xml:space="preserve"> Factors affecting the impact of professional development programs on teachers’ knowledge, practice, student outcomes &amp; efficacy. </w:t>
      </w:r>
      <w:r>
        <w:rPr>
          <w:i/>
        </w:rPr>
        <w:t>Education Policy Analysis Archives, 13</w:t>
      </w:r>
      <w:r>
        <w:rPr>
          <w:iCs/>
        </w:rPr>
        <w:t>(10), 1-28.</w:t>
      </w:r>
    </w:p>
    <w:p w:rsidR="00ED06A4" w:rsidRDefault="00ED06A4" w:rsidP="00ED06A4">
      <w:pPr>
        <w:spacing w:after="0" w:line="480" w:lineRule="auto"/>
        <w:ind w:left="720" w:hanging="720"/>
      </w:pPr>
      <w:proofErr w:type="gramStart"/>
      <w:r>
        <w:t>Jensen, E. L., &amp; Reed, G. E. (2007).</w:t>
      </w:r>
      <w:proofErr w:type="gramEnd"/>
      <w:r>
        <w:t xml:space="preserve"> Adult correctional education studies: An update on current status based on recent studies. </w:t>
      </w:r>
      <w:r>
        <w:rPr>
          <w:i/>
        </w:rPr>
        <w:t>Journal of Offender Rehabilitation, 44</w:t>
      </w:r>
      <w:r>
        <w:t>(1), 81-98.</w:t>
      </w:r>
    </w:p>
    <w:p w:rsidR="00ED06A4" w:rsidRDefault="00ED06A4" w:rsidP="00ED06A4">
      <w:pPr>
        <w:pStyle w:val="BodyText"/>
        <w:spacing w:after="0" w:line="480" w:lineRule="auto"/>
        <w:ind w:left="720" w:hanging="720"/>
        <w:rPr>
          <w:iCs/>
        </w:rPr>
      </w:pPr>
      <w:proofErr w:type="spellStart"/>
      <w:r>
        <w:rPr>
          <w:iCs/>
        </w:rPr>
        <w:t>Jeris</w:t>
      </w:r>
      <w:proofErr w:type="spellEnd"/>
      <w:r>
        <w:rPr>
          <w:iCs/>
        </w:rPr>
        <w:t xml:space="preserve">, L. H. (2010). </w:t>
      </w:r>
      <w:proofErr w:type="gramStart"/>
      <w:r>
        <w:rPr>
          <w:iCs/>
        </w:rPr>
        <w:t>Continuing professional education.</w:t>
      </w:r>
      <w:proofErr w:type="gramEnd"/>
      <w:r>
        <w:rPr>
          <w:iCs/>
        </w:rPr>
        <w:t xml:space="preserve"> In C. E. </w:t>
      </w:r>
      <w:proofErr w:type="spellStart"/>
      <w:r>
        <w:rPr>
          <w:iCs/>
        </w:rPr>
        <w:t>Kasworm</w:t>
      </w:r>
      <w:proofErr w:type="spellEnd"/>
      <w:r>
        <w:rPr>
          <w:iCs/>
        </w:rPr>
        <w:t xml:space="preserve">, A. D. Rose, &amp; J. M. Ross-Gordon (Eds.), </w:t>
      </w:r>
      <w:r>
        <w:rPr>
          <w:i/>
        </w:rPr>
        <w:t>Handbook of adult and continuing education</w:t>
      </w:r>
      <w:r>
        <w:rPr>
          <w:iCs/>
        </w:rPr>
        <w:t xml:space="preserve"> (pp. 275-283). Thousand Oaks, CA: Sage Publications.</w:t>
      </w:r>
    </w:p>
    <w:p w:rsidR="00ED06A4" w:rsidRDefault="00ED06A4" w:rsidP="00ED06A4">
      <w:pPr>
        <w:spacing w:after="0" w:line="480" w:lineRule="auto"/>
        <w:ind w:left="720" w:hanging="720"/>
      </w:pPr>
      <w:r>
        <w:t xml:space="preserve">Johnson, M. E. (1998). </w:t>
      </w:r>
      <w:proofErr w:type="gramStart"/>
      <w:r>
        <w:t>A qualitative study of GED graduates’ perspectives on early school and adult education experience.</w:t>
      </w:r>
      <w:proofErr w:type="gramEnd"/>
      <w:r>
        <w:t xml:space="preserve"> (Doctoral Thesis) </w:t>
      </w:r>
      <w:proofErr w:type="gramStart"/>
      <w:r>
        <w:t>University of Georgia.</w:t>
      </w:r>
      <w:proofErr w:type="gramEnd"/>
    </w:p>
    <w:p w:rsidR="00ED06A4" w:rsidRDefault="00ED06A4" w:rsidP="00ED06A4">
      <w:pPr>
        <w:spacing w:after="0" w:line="480" w:lineRule="auto"/>
        <w:ind w:left="720" w:hanging="720"/>
      </w:pPr>
      <w:r>
        <w:t>Jose-</w:t>
      </w:r>
      <w:proofErr w:type="spellStart"/>
      <w:r>
        <w:t>Kampfner</w:t>
      </w:r>
      <w:proofErr w:type="spellEnd"/>
      <w:r>
        <w:t xml:space="preserve">, C. (1990). </w:t>
      </w:r>
      <w:proofErr w:type="gramStart"/>
      <w:r>
        <w:t>Coming to terms with existential death: An analysis of women’s adaptation to life in prison.</w:t>
      </w:r>
      <w:proofErr w:type="gramEnd"/>
      <w:r>
        <w:t xml:space="preserve"> </w:t>
      </w:r>
      <w:r>
        <w:rPr>
          <w:i/>
        </w:rPr>
        <w:t>Social Justice, 17</w:t>
      </w:r>
      <w:r>
        <w:t>(2), 110-125.</w:t>
      </w:r>
    </w:p>
    <w:p w:rsidR="00ED06A4" w:rsidRDefault="00ED06A4" w:rsidP="00ED06A4">
      <w:pPr>
        <w:spacing w:after="0" w:line="480" w:lineRule="auto"/>
        <w:ind w:left="720" w:hanging="720"/>
        <w:rPr>
          <w:szCs w:val="24"/>
        </w:rPr>
      </w:pPr>
      <w:r>
        <w:rPr>
          <w:szCs w:val="24"/>
        </w:rPr>
        <w:t xml:space="preserve">Jung, C. G. (1968). </w:t>
      </w:r>
      <w:proofErr w:type="gramStart"/>
      <w:r>
        <w:rPr>
          <w:szCs w:val="24"/>
        </w:rPr>
        <w:t>The concept of the collective unconscious.</w:t>
      </w:r>
      <w:proofErr w:type="gramEnd"/>
      <w:r>
        <w:rPr>
          <w:szCs w:val="24"/>
        </w:rPr>
        <w:t xml:space="preserve"> (R. F. C. Hull, Trans.). In H. Read, M. Fordham, G. Adler, &amp; W. </w:t>
      </w:r>
      <w:proofErr w:type="spellStart"/>
      <w:r>
        <w:rPr>
          <w:szCs w:val="24"/>
        </w:rPr>
        <w:t>McQuire</w:t>
      </w:r>
      <w:proofErr w:type="spellEnd"/>
      <w:r>
        <w:rPr>
          <w:szCs w:val="24"/>
        </w:rPr>
        <w:t xml:space="preserve"> (Eds.), </w:t>
      </w:r>
      <w:r>
        <w:rPr>
          <w:i/>
          <w:iCs/>
          <w:szCs w:val="24"/>
        </w:rPr>
        <w:t>The collected works of C. G. Jung (2</w:t>
      </w:r>
      <w:r>
        <w:rPr>
          <w:i/>
          <w:iCs/>
          <w:szCs w:val="24"/>
          <w:vertAlign w:val="superscript"/>
        </w:rPr>
        <w:t>nd</w:t>
      </w:r>
      <w:r>
        <w:rPr>
          <w:i/>
          <w:iCs/>
          <w:szCs w:val="24"/>
        </w:rPr>
        <w:t xml:space="preserve"> ed.)</w:t>
      </w:r>
      <w:r>
        <w:rPr>
          <w:szCs w:val="24"/>
        </w:rPr>
        <w:t>, Bollinger Series XX, Vol. 9, Part 1 (pp. 42-53). Princeton, NJ: Princeton University Press. (Original work published 1936)</w:t>
      </w:r>
    </w:p>
    <w:p w:rsidR="00ED06A4" w:rsidRDefault="00ED06A4" w:rsidP="00ED06A4">
      <w:pPr>
        <w:spacing w:after="0" w:line="480" w:lineRule="auto"/>
        <w:ind w:left="720" w:hanging="720"/>
        <w:rPr>
          <w:szCs w:val="24"/>
        </w:rPr>
      </w:pPr>
      <w:r>
        <w:rPr>
          <w:szCs w:val="24"/>
        </w:rPr>
        <w:t xml:space="preserve">Jung, C. G. (1972). </w:t>
      </w:r>
      <w:proofErr w:type="spellStart"/>
      <w:r>
        <w:rPr>
          <w:i/>
          <w:iCs/>
          <w:szCs w:val="24"/>
        </w:rPr>
        <w:t>Aion</w:t>
      </w:r>
      <w:proofErr w:type="spellEnd"/>
      <w:r>
        <w:rPr>
          <w:i/>
          <w:iCs/>
          <w:szCs w:val="24"/>
        </w:rPr>
        <w:t>: Phenomenology of the self.</w:t>
      </w:r>
      <w:r>
        <w:rPr>
          <w:szCs w:val="24"/>
        </w:rPr>
        <w:t xml:space="preserve"> (R. F. C. Hull, Trans.). In J. Campbell (Ed.), </w:t>
      </w:r>
      <w:proofErr w:type="gramStart"/>
      <w:r>
        <w:rPr>
          <w:i/>
          <w:iCs/>
          <w:szCs w:val="24"/>
        </w:rPr>
        <w:t>The</w:t>
      </w:r>
      <w:proofErr w:type="gramEnd"/>
      <w:r>
        <w:rPr>
          <w:i/>
          <w:iCs/>
          <w:szCs w:val="24"/>
        </w:rPr>
        <w:t xml:space="preserve"> portable Jung</w:t>
      </w:r>
      <w:r>
        <w:rPr>
          <w:szCs w:val="24"/>
        </w:rPr>
        <w:t xml:space="preserve"> (pp. 139-162). New York, NY: Penguin Books. (Original work published 1951.)</w:t>
      </w:r>
    </w:p>
    <w:p w:rsidR="00ED06A4" w:rsidRPr="00C24501" w:rsidRDefault="00ED06A4" w:rsidP="00ED06A4">
      <w:pPr>
        <w:spacing w:after="0" w:line="480" w:lineRule="auto"/>
        <w:ind w:left="720" w:hanging="720"/>
      </w:pPr>
      <w:r>
        <w:lastRenderedPageBreak/>
        <w:t xml:space="preserve">Kennedy, S. M. (2000). </w:t>
      </w:r>
      <w:r>
        <w:rPr>
          <w:i/>
          <w:iCs/>
        </w:rPr>
        <w:t xml:space="preserve">Treatment </w:t>
      </w:r>
      <w:proofErr w:type="spellStart"/>
      <w:r>
        <w:rPr>
          <w:i/>
          <w:iCs/>
        </w:rPr>
        <w:t>responsivity</w:t>
      </w:r>
      <w:proofErr w:type="spellEnd"/>
      <w:r>
        <w:rPr>
          <w:i/>
          <w:iCs/>
        </w:rPr>
        <w:t>: Reducing recidivism by enhancing treatment effectiveness</w:t>
      </w:r>
      <w:r>
        <w:t xml:space="preserve">. Retrieved from </w:t>
      </w:r>
      <w:hyperlink r:id="rId16" w:history="1">
        <w:r w:rsidRPr="00FE5070">
          <w:rPr>
            <w:rStyle w:val="Hyperlink"/>
            <w:color w:val="auto"/>
            <w:u w:val="none"/>
          </w:rPr>
          <w:t>http://epe.lac-bac.gc.ca/100/200/301/csc-scc/ compendium_2000-e/text/</w:t>
        </w:r>
        <w:proofErr w:type="spellStart"/>
        <w:r w:rsidRPr="00FE5070">
          <w:rPr>
            <w:rStyle w:val="Hyperlink"/>
            <w:color w:val="auto"/>
            <w:u w:val="none"/>
          </w:rPr>
          <w:t>rsrch</w:t>
        </w:r>
        <w:proofErr w:type="spellEnd"/>
        <w:r w:rsidRPr="00FE5070">
          <w:rPr>
            <w:rStyle w:val="Hyperlink"/>
            <w:color w:val="auto"/>
            <w:u w:val="none"/>
          </w:rPr>
          <w:t>/compendium/2000/chap_5_e.shtml</w:t>
        </w:r>
      </w:hyperlink>
    </w:p>
    <w:p w:rsidR="00ED06A4" w:rsidRPr="00C24501" w:rsidRDefault="00ED06A4" w:rsidP="00ED06A4">
      <w:pPr>
        <w:pStyle w:val="BodyText"/>
        <w:spacing w:after="0" w:line="480" w:lineRule="auto"/>
        <w:ind w:left="720" w:hanging="720"/>
        <w:rPr>
          <w:iCs/>
        </w:rPr>
      </w:pPr>
      <w:proofErr w:type="spellStart"/>
      <w:proofErr w:type="gramStart"/>
      <w:r>
        <w:rPr>
          <w:iCs/>
        </w:rPr>
        <w:t>Kerka</w:t>
      </w:r>
      <w:proofErr w:type="spellEnd"/>
      <w:r>
        <w:rPr>
          <w:iCs/>
        </w:rPr>
        <w:t>, S. (2003).</w:t>
      </w:r>
      <w:proofErr w:type="gramEnd"/>
      <w:r>
        <w:rPr>
          <w:iCs/>
        </w:rPr>
        <w:t xml:space="preserve"> Does adult educator professional development make a difference? </w:t>
      </w:r>
      <w:r>
        <w:rPr>
          <w:i/>
        </w:rPr>
        <w:t>ERIC Myths and Realities, 28</w:t>
      </w:r>
      <w:r>
        <w:rPr>
          <w:iCs/>
        </w:rPr>
        <w:t xml:space="preserve">, 1-2. Retrieved from </w:t>
      </w:r>
      <w:hyperlink r:id="rId17" w:history="1">
        <w:r w:rsidRPr="00FE5070">
          <w:rPr>
            <w:rStyle w:val="Hyperlink"/>
            <w:color w:val="auto"/>
            <w:u w:val="none"/>
          </w:rPr>
          <w:t>http://74.125.155.132/scholar? q=cache:is6wOjfiTgoJ:scholar.google.com/+kerka+professional+development&amp;hl=en&amp;as_sdt=8000000000000</w:t>
        </w:r>
      </w:hyperlink>
      <w:r w:rsidRPr="00C24501">
        <w:rPr>
          <w:iCs/>
        </w:rPr>
        <w:t xml:space="preserve"> </w:t>
      </w:r>
    </w:p>
    <w:p w:rsidR="00ED06A4" w:rsidRDefault="00ED06A4" w:rsidP="00ED06A4">
      <w:pPr>
        <w:pStyle w:val="BodyText"/>
        <w:spacing w:after="0" w:line="480" w:lineRule="auto"/>
        <w:ind w:left="720" w:hanging="720"/>
        <w:rPr>
          <w:iCs/>
        </w:rPr>
      </w:pPr>
      <w:r>
        <w:rPr>
          <w:iCs/>
        </w:rPr>
        <w:t xml:space="preserve">King, K. P. (2002). </w:t>
      </w:r>
      <w:proofErr w:type="gramStart"/>
      <w:r>
        <w:rPr>
          <w:iCs/>
        </w:rPr>
        <w:t>Educational technology professional development as transformative learning opportunities.</w:t>
      </w:r>
      <w:proofErr w:type="gramEnd"/>
      <w:r>
        <w:rPr>
          <w:iCs/>
        </w:rPr>
        <w:t xml:space="preserve"> </w:t>
      </w:r>
      <w:r>
        <w:rPr>
          <w:i/>
        </w:rPr>
        <w:t>Computers &amp; Education, 39</w:t>
      </w:r>
      <w:r>
        <w:rPr>
          <w:iCs/>
        </w:rPr>
        <w:t>(3), 283-297.</w:t>
      </w:r>
    </w:p>
    <w:p w:rsidR="00ED06A4" w:rsidRDefault="00ED06A4" w:rsidP="00ED06A4">
      <w:pPr>
        <w:spacing w:after="0" w:line="480" w:lineRule="auto"/>
        <w:ind w:left="720" w:hanging="720"/>
      </w:pPr>
      <w:proofErr w:type="spellStart"/>
      <w:proofErr w:type="gramStart"/>
      <w:r>
        <w:t>Klag</w:t>
      </w:r>
      <w:proofErr w:type="spellEnd"/>
      <w:r>
        <w:t>, S., O’Callaghan, F., &amp; Creed, P. (2005).</w:t>
      </w:r>
      <w:proofErr w:type="gramEnd"/>
      <w:r>
        <w:t xml:space="preserve"> The use of legal coercion in the treatment of substance abuse: An overview and critical analysis of thirty years of research. </w:t>
      </w:r>
      <w:r>
        <w:rPr>
          <w:i/>
        </w:rPr>
        <w:t>Substance Use &amp; Misuse, 40</w:t>
      </w:r>
      <w:r>
        <w:t>, 1777-1795.</w:t>
      </w:r>
    </w:p>
    <w:p w:rsidR="00ED06A4" w:rsidRDefault="00ED06A4" w:rsidP="00ED06A4">
      <w:pPr>
        <w:spacing w:after="0" w:line="480" w:lineRule="auto"/>
        <w:ind w:left="720" w:hanging="720"/>
      </w:pPr>
      <w:r>
        <w:t xml:space="preserve">Knowles, M. S. (1973). </w:t>
      </w:r>
      <w:r>
        <w:rPr>
          <w:i/>
          <w:iCs/>
        </w:rPr>
        <w:t>The adult learner: A neglected species</w:t>
      </w:r>
      <w:r>
        <w:t>. Houston, TX: Gulf Publishing.</w:t>
      </w:r>
    </w:p>
    <w:p w:rsidR="00ED06A4" w:rsidRDefault="00ED06A4" w:rsidP="00ED06A4">
      <w:pPr>
        <w:spacing w:after="0" w:line="480" w:lineRule="auto"/>
        <w:ind w:left="720" w:hanging="720"/>
      </w:pPr>
      <w:r>
        <w:t xml:space="preserve">Knowles, M. S. (1980). </w:t>
      </w:r>
      <w:r>
        <w:rPr>
          <w:i/>
        </w:rPr>
        <w:t xml:space="preserve">The modern practice of adult education: From pedagogy to </w:t>
      </w:r>
      <w:proofErr w:type="spellStart"/>
      <w:r>
        <w:rPr>
          <w:i/>
        </w:rPr>
        <w:t>andragogy</w:t>
      </w:r>
      <w:proofErr w:type="spellEnd"/>
      <w:r>
        <w:t>. Englewood Cliffs, NJ: Cambridge.</w:t>
      </w:r>
    </w:p>
    <w:p w:rsidR="00ED06A4" w:rsidRDefault="00ED06A4" w:rsidP="00ED06A4">
      <w:pPr>
        <w:spacing w:after="0" w:line="480" w:lineRule="auto"/>
        <w:ind w:left="720" w:hanging="720"/>
      </w:pPr>
      <w:proofErr w:type="gramStart"/>
      <w:r>
        <w:t>Knowles, M. S., Holton, E. F., &amp; Swanson, R. A. (2005).</w:t>
      </w:r>
      <w:proofErr w:type="gramEnd"/>
      <w:r>
        <w:t xml:space="preserve"> </w:t>
      </w:r>
      <w:r>
        <w:rPr>
          <w:i/>
        </w:rPr>
        <w:t>The adult learner: The definitive classic in adult education and human resource development</w:t>
      </w:r>
      <w:r>
        <w:t>. New York: Elsevier.</w:t>
      </w:r>
    </w:p>
    <w:p w:rsidR="00ED06A4" w:rsidRDefault="00ED06A4" w:rsidP="00ED06A4">
      <w:pPr>
        <w:spacing w:after="0" w:line="480" w:lineRule="auto"/>
        <w:ind w:left="720" w:hanging="720"/>
        <w:rPr>
          <w:szCs w:val="24"/>
        </w:rPr>
      </w:pPr>
      <w:proofErr w:type="spellStart"/>
      <w:r>
        <w:rPr>
          <w:szCs w:val="24"/>
        </w:rPr>
        <w:t>Korab-Karpowicz</w:t>
      </w:r>
      <w:proofErr w:type="spellEnd"/>
      <w:r>
        <w:rPr>
          <w:szCs w:val="24"/>
        </w:rPr>
        <w:t xml:space="preserve">, W. J. (2009, December 21). Martin Heidegger. </w:t>
      </w:r>
      <w:proofErr w:type="gramStart"/>
      <w:r>
        <w:rPr>
          <w:i/>
          <w:szCs w:val="24"/>
        </w:rPr>
        <w:t>Internet encyclopedia of philosophy</w:t>
      </w:r>
      <w:r>
        <w:rPr>
          <w:szCs w:val="24"/>
        </w:rPr>
        <w:t>.</w:t>
      </w:r>
      <w:proofErr w:type="gramEnd"/>
      <w:r>
        <w:rPr>
          <w:szCs w:val="24"/>
        </w:rPr>
        <w:t xml:space="preserve"> Retrieved from</w:t>
      </w:r>
      <w:r w:rsidRPr="00C24501">
        <w:rPr>
          <w:szCs w:val="24"/>
        </w:rPr>
        <w:t xml:space="preserve"> </w:t>
      </w:r>
      <w:hyperlink r:id="rId18" w:history="1">
        <w:r w:rsidRPr="00FE5070">
          <w:rPr>
            <w:rStyle w:val="Hyperlink"/>
            <w:color w:val="auto"/>
            <w:szCs w:val="24"/>
            <w:u w:val="none"/>
          </w:rPr>
          <w:t>http://www.iep.utm.edu/heidegge/</w:t>
        </w:r>
      </w:hyperlink>
    </w:p>
    <w:p w:rsidR="00ED06A4" w:rsidRDefault="00ED06A4" w:rsidP="00ED06A4">
      <w:pPr>
        <w:spacing w:after="0" w:line="480" w:lineRule="auto"/>
        <w:ind w:left="720" w:hanging="720"/>
      </w:pPr>
      <w:proofErr w:type="spellStart"/>
      <w:r>
        <w:t>Kratcoski</w:t>
      </w:r>
      <w:proofErr w:type="spellEnd"/>
      <w:r>
        <w:t xml:space="preserve">, P. C. (1982). Volunteers in corrections: Do they make a meaningful contribution? </w:t>
      </w:r>
      <w:r>
        <w:rPr>
          <w:i/>
        </w:rPr>
        <w:t>Federal Probation, 46</w:t>
      </w:r>
      <w:r>
        <w:t>(2), 30-35.</w:t>
      </w:r>
    </w:p>
    <w:p w:rsidR="00ED06A4" w:rsidRDefault="00ED06A4" w:rsidP="00ED06A4">
      <w:pPr>
        <w:spacing w:after="0" w:line="480" w:lineRule="auto"/>
        <w:ind w:left="720" w:hanging="720"/>
      </w:pPr>
      <w:r>
        <w:t xml:space="preserve">Kuhn, T. S. (1970). </w:t>
      </w:r>
      <w:proofErr w:type="gramStart"/>
      <w:r>
        <w:rPr>
          <w:i/>
          <w:iCs/>
        </w:rPr>
        <w:t>The structure of scientific revolutions</w:t>
      </w:r>
      <w:r>
        <w:t>.</w:t>
      </w:r>
      <w:proofErr w:type="gramEnd"/>
      <w:r>
        <w:t xml:space="preserve"> Chicago, IL: University of Chicago Press.</w:t>
      </w:r>
    </w:p>
    <w:p w:rsidR="00ED06A4" w:rsidRDefault="00ED06A4" w:rsidP="00ED06A4">
      <w:pPr>
        <w:spacing w:after="0" w:line="480" w:lineRule="auto"/>
        <w:ind w:left="720" w:hanging="720"/>
      </w:pPr>
      <w:proofErr w:type="gramStart"/>
      <w:r>
        <w:lastRenderedPageBreak/>
        <w:t xml:space="preserve">Kurtz, R. R., &amp; </w:t>
      </w:r>
      <w:proofErr w:type="spellStart"/>
      <w:r>
        <w:t>Grummon</w:t>
      </w:r>
      <w:proofErr w:type="spellEnd"/>
      <w:r>
        <w:t>, D. L. (1972).</w:t>
      </w:r>
      <w:proofErr w:type="gramEnd"/>
      <w:r>
        <w:t xml:space="preserve"> Different approaches to the measurement of therapist empathy and their relationship to therapy outcomes. </w:t>
      </w:r>
      <w:r>
        <w:rPr>
          <w:i/>
        </w:rPr>
        <w:t>Journal of Consulting and Clinical Psychology, 39</w:t>
      </w:r>
      <w:r>
        <w:t>(1), 106-115.</w:t>
      </w:r>
    </w:p>
    <w:p w:rsidR="00ED06A4" w:rsidRPr="00C24501" w:rsidRDefault="00ED06A4" w:rsidP="00ED06A4">
      <w:pPr>
        <w:pStyle w:val="BodyText"/>
        <w:spacing w:after="0" w:line="480" w:lineRule="auto"/>
        <w:ind w:left="720" w:hanging="720"/>
        <w:rPr>
          <w:iCs/>
        </w:rPr>
      </w:pPr>
      <w:proofErr w:type="spellStart"/>
      <w:proofErr w:type="gramStart"/>
      <w:r>
        <w:rPr>
          <w:iCs/>
        </w:rPr>
        <w:t>Kutner</w:t>
      </w:r>
      <w:proofErr w:type="spellEnd"/>
      <w:r>
        <w:rPr>
          <w:iCs/>
        </w:rPr>
        <w:t xml:space="preserve">, M., Sherman, R., </w:t>
      </w:r>
      <w:proofErr w:type="spellStart"/>
      <w:r>
        <w:rPr>
          <w:iCs/>
        </w:rPr>
        <w:t>Tibbetts</w:t>
      </w:r>
      <w:proofErr w:type="spellEnd"/>
      <w:r>
        <w:rPr>
          <w:iCs/>
        </w:rPr>
        <w:t xml:space="preserve">, J., &amp; </w:t>
      </w:r>
      <w:proofErr w:type="spellStart"/>
      <w:r>
        <w:rPr>
          <w:iCs/>
        </w:rPr>
        <w:t>Condelli</w:t>
      </w:r>
      <w:proofErr w:type="spellEnd"/>
      <w:r>
        <w:rPr>
          <w:iCs/>
        </w:rPr>
        <w:t>, L. (1997).</w:t>
      </w:r>
      <w:proofErr w:type="gramEnd"/>
      <w:r>
        <w:rPr>
          <w:iCs/>
        </w:rPr>
        <w:t xml:space="preserve"> </w:t>
      </w:r>
      <w:proofErr w:type="gramStart"/>
      <w:r>
        <w:rPr>
          <w:i/>
          <w:iCs/>
        </w:rPr>
        <w:t>Evaluating professional development: A framework for adult education</w:t>
      </w:r>
      <w:r>
        <w:rPr>
          <w:iCs/>
        </w:rPr>
        <w:t>.</w:t>
      </w:r>
      <w:proofErr w:type="gramEnd"/>
      <w:r>
        <w:rPr>
          <w:iCs/>
        </w:rPr>
        <w:t xml:space="preserve"> Retrieved from </w:t>
      </w:r>
      <w:hyperlink r:id="rId19" w:history="1">
        <w:r w:rsidRPr="00FE5070">
          <w:rPr>
            <w:rStyle w:val="Hyperlink"/>
            <w:iCs/>
            <w:color w:val="auto"/>
            <w:u w:val="none"/>
          </w:rPr>
          <w:t>http://www.calpro-online.org/pubs/evalmon.pdf</w:t>
        </w:r>
      </w:hyperlink>
      <w:r w:rsidRPr="00C24501">
        <w:rPr>
          <w:iCs/>
        </w:rPr>
        <w:t xml:space="preserve"> </w:t>
      </w:r>
    </w:p>
    <w:p w:rsidR="00ED06A4" w:rsidRDefault="00ED06A4" w:rsidP="00ED06A4">
      <w:pPr>
        <w:pStyle w:val="BodyText"/>
        <w:spacing w:after="0" w:line="480" w:lineRule="auto"/>
        <w:ind w:left="720" w:hanging="720"/>
        <w:rPr>
          <w:iCs/>
        </w:rPr>
      </w:pPr>
      <w:proofErr w:type="spellStart"/>
      <w:r>
        <w:rPr>
          <w:iCs/>
        </w:rPr>
        <w:t>Kwakman</w:t>
      </w:r>
      <w:proofErr w:type="spellEnd"/>
      <w:r>
        <w:rPr>
          <w:iCs/>
        </w:rPr>
        <w:t xml:space="preserve">, K. (2003). </w:t>
      </w:r>
      <w:proofErr w:type="gramStart"/>
      <w:r>
        <w:rPr>
          <w:iCs/>
        </w:rPr>
        <w:t>Factors affecting teachers’ participation in professional learning activities.</w:t>
      </w:r>
      <w:proofErr w:type="gramEnd"/>
      <w:r>
        <w:rPr>
          <w:iCs/>
        </w:rPr>
        <w:t xml:space="preserve"> </w:t>
      </w:r>
      <w:r>
        <w:rPr>
          <w:i/>
        </w:rPr>
        <w:t>Teaching and Teacher Education, 19</w:t>
      </w:r>
      <w:r>
        <w:rPr>
          <w:iCs/>
        </w:rPr>
        <w:t xml:space="preserve">(1), 149-170. </w:t>
      </w:r>
    </w:p>
    <w:p w:rsidR="00ED06A4" w:rsidRDefault="00ED06A4" w:rsidP="00ED06A4">
      <w:pPr>
        <w:pStyle w:val="BodyText"/>
        <w:spacing w:after="0" w:line="480" w:lineRule="auto"/>
        <w:ind w:left="720" w:hanging="720"/>
        <w:rPr>
          <w:rFonts w:eastAsia="Times New Roman"/>
          <w:szCs w:val="24"/>
        </w:rPr>
      </w:pPr>
      <w:proofErr w:type="spellStart"/>
      <w:proofErr w:type="gramStart"/>
      <w:r>
        <w:rPr>
          <w:rFonts w:eastAsia="Times New Roman"/>
          <w:szCs w:val="24"/>
        </w:rPr>
        <w:t>Landenberger</w:t>
      </w:r>
      <w:proofErr w:type="spellEnd"/>
      <w:r>
        <w:rPr>
          <w:rFonts w:eastAsia="Times New Roman"/>
          <w:szCs w:val="24"/>
        </w:rPr>
        <w:t xml:space="preserve">, N. A., &amp; </w:t>
      </w:r>
      <w:proofErr w:type="spellStart"/>
      <w:r>
        <w:rPr>
          <w:rFonts w:eastAsia="Times New Roman"/>
          <w:szCs w:val="24"/>
        </w:rPr>
        <w:t>Lipsey</w:t>
      </w:r>
      <w:proofErr w:type="spellEnd"/>
      <w:r>
        <w:rPr>
          <w:rFonts w:eastAsia="Times New Roman"/>
          <w:szCs w:val="24"/>
        </w:rPr>
        <w:t>, M. W. (2005).</w:t>
      </w:r>
      <w:proofErr w:type="gramEnd"/>
      <w:r>
        <w:rPr>
          <w:rFonts w:eastAsia="Times New Roman"/>
          <w:szCs w:val="24"/>
        </w:rPr>
        <w:t xml:space="preserve"> The positive effects of cognitive-behavioral programs for offenders: A meta-analysis of factors associated with effective treatment. </w:t>
      </w:r>
      <w:r>
        <w:rPr>
          <w:rFonts w:eastAsia="Times New Roman"/>
          <w:i/>
          <w:iCs/>
          <w:szCs w:val="24"/>
        </w:rPr>
        <w:t>Journal of Experimental Criminology, 1</w:t>
      </w:r>
      <w:r>
        <w:rPr>
          <w:rFonts w:eastAsia="Times New Roman"/>
          <w:szCs w:val="24"/>
        </w:rPr>
        <w:t>(4), 451-476.</w:t>
      </w:r>
    </w:p>
    <w:p w:rsidR="00ED06A4" w:rsidRDefault="00ED06A4" w:rsidP="00ED06A4">
      <w:pPr>
        <w:pStyle w:val="BodyText"/>
        <w:spacing w:after="0" w:line="480" w:lineRule="auto"/>
        <w:ind w:left="720" w:hanging="720"/>
        <w:rPr>
          <w:iCs/>
        </w:rPr>
      </w:pPr>
      <w:proofErr w:type="spellStart"/>
      <w:proofErr w:type="gramStart"/>
      <w:r>
        <w:rPr>
          <w:rFonts w:eastAsia="Times New Roman"/>
          <w:szCs w:val="24"/>
        </w:rPr>
        <w:t>Latessa</w:t>
      </w:r>
      <w:proofErr w:type="spellEnd"/>
      <w:r>
        <w:rPr>
          <w:rFonts w:eastAsia="Times New Roman"/>
          <w:szCs w:val="24"/>
        </w:rPr>
        <w:t xml:space="preserve">, E. J., Cullen, F. T., &amp; </w:t>
      </w:r>
      <w:proofErr w:type="spellStart"/>
      <w:r>
        <w:rPr>
          <w:rFonts w:eastAsia="Times New Roman"/>
          <w:szCs w:val="24"/>
        </w:rPr>
        <w:t>Gendreau</w:t>
      </w:r>
      <w:proofErr w:type="spellEnd"/>
      <w:r>
        <w:rPr>
          <w:rFonts w:eastAsia="Times New Roman"/>
          <w:szCs w:val="24"/>
        </w:rPr>
        <w:t>, P. (2002).</w:t>
      </w:r>
      <w:proofErr w:type="gramEnd"/>
      <w:r>
        <w:rPr>
          <w:rFonts w:eastAsia="Times New Roman"/>
          <w:szCs w:val="24"/>
        </w:rPr>
        <w:t xml:space="preserve"> Beyond correctional quackery: Professionalism and the possibility of effective treatment. </w:t>
      </w:r>
      <w:r>
        <w:rPr>
          <w:rFonts w:eastAsia="Times New Roman"/>
          <w:i/>
          <w:iCs/>
          <w:szCs w:val="24"/>
        </w:rPr>
        <w:t>Probation, 66</w:t>
      </w:r>
      <w:r>
        <w:rPr>
          <w:rFonts w:eastAsia="Times New Roman"/>
          <w:szCs w:val="24"/>
        </w:rPr>
        <w:t>(2), 43-49.</w:t>
      </w:r>
    </w:p>
    <w:p w:rsidR="00ED06A4" w:rsidRDefault="00ED06A4" w:rsidP="00ED06A4">
      <w:pPr>
        <w:spacing w:after="0" w:line="480" w:lineRule="auto"/>
        <w:ind w:left="720" w:hanging="720"/>
        <w:rPr>
          <w:szCs w:val="24"/>
        </w:rPr>
      </w:pPr>
      <w:proofErr w:type="gramStart"/>
      <w:r>
        <w:rPr>
          <w:szCs w:val="24"/>
        </w:rPr>
        <w:t>Laughlin, T. (1982).</w:t>
      </w:r>
      <w:proofErr w:type="gramEnd"/>
      <w:r>
        <w:rPr>
          <w:szCs w:val="24"/>
        </w:rPr>
        <w:t xml:space="preserve"> </w:t>
      </w:r>
      <w:r>
        <w:rPr>
          <w:i/>
          <w:iCs/>
          <w:szCs w:val="24"/>
        </w:rPr>
        <w:t>Jungian psychology: Jungian theory and therapy (Vol. 2)</w:t>
      </w:r>
      <w:r>
        <w:rPr>
          <w:szCs w:val="24"/>
        </w:rPr>
        <w:t xml:space="preserve">. Los Angeles, CA: </w:t>
      </w:r>
      <w:proofErr w:type="spellStart"/>
      <w:r>
        <w:rPr>
          <w:szCs w:val="24"/>
        </w:rPr>
        <w:t>Panarion</w:t>
      </w:r>
      <w:proofErr w:type="spellEnd"/>
      <w:r>
        <w:rPr>
          <w:szCs w:val="24"/>
        </w:rPr>
        <w:t xml:space="preserve"> Press.</w:t>
      </w:r>
    </w:p>
    <w:p w:rsidR="00ED06A4" w:rsidRPr="00C24501" w:rsidRDefault="00ED06A4" w:rsidP="00ED06A4">
      <w:pPr>
        <w:spacing w:after="0" w:line="480" w:lineRule="auto"/>
        <w:ind w:left="720" w:hanging="720"/>
        <w:rPr>
          <w:szCs w:val="24"/>
        </w:rPr>
      </w:pPr>
      <w:r>
        <w:rPr>
          <w:szCs w:val="24"/>
        </w:rPr>
        <w:t xml:space="preserve">Laverty, S. M. (2003). Hermeneutic phenomenology and phenomenology: A comparison of historical and methodological considerations. </w:t>
      </w:r>
      <w:proofErr w:type="gramStart"/>
      <w:r>
        <w:rPr>
          <w:i/>
          <w:szCs w:val="24"/>
        </w:rPr>
        <w:t>International Journal of Qualitative Methods</w:t>
      </w:r>
      <w:r>
        <w:rPr>
          <w:szCs w:val="24"/>
        </w:rPr>
        <w:t>, 2(3).</w:t>
      </w:r>
      <w:proofErr w:type="gramEnd"/>
      <w:r>
        <w:rPr>
          <w:szCs w:val="24"/>
        </w:rPr>
        <w:t xml:space="preserve"> Retrieved from </w:t>
      </w:r>
      <w:hyperlink r:id="rId20" w:history="1">
        <w:r w:rsidRPr="00FE5070">
          <w:rPr>
            <w:rStyle w:val="Hyperlink"/>
            <w:color w:val="auto"/>
            <w:szCs w:val="24"/>
            <w:u w:val="none"/>
          </w:rPr>
          <w:t>http://www.ualberta.ca/~iiqm/backissues/ 2_3final/</w:t>
        </w:r>
        <w:proofErr w:type="spellStart"/>
        <w:r w:rsidRPr="00FE5070">
          <w:rPr>
            <w:rStyle w:val="Hyperlink"/>
            <w:color w:val="auto"/>
            <w:szCs w:val="24"/>
            <w:u w:val="none"/>
          </w:rPr>
          <w:t>pdf</w:t>
        </w:r>
        <w:proofErr w:type="spellEnd"/>
        <w:r w:rsidRPr="00FE5070">
          <w:rPr>
            <w:rStyle w:val="Hyperlink"/>
            <w:color w:val="auto"/>
            <w:szCs w:val="24"/>
            <w:u w:val="none"/>
          </w:rPr>
          <w:t>/laverty.pdf</w:t>
        </w:r>
      </w:hyperlink>
      <w:r w:rsidRPr="00C24501">
        <w:rPr>
          <w:szCs w:val="24"/>
        </w:rPr>
        <w:t xml:space="preserve"> </w:t>
      </w:r>
    </w:p>
    <w:p w:rsidR="00ED06A4" w:rsidRDefault="00ED06A4" w:rsidP="00ED06A4">
      <w:pPr>
        <w:spacing w:after="0" w:line="480" w:lineRule="auto"/>
        <w:ind w:left="720" w:hanging="720"/>
      </w:pPr>
      <w:proofErr w:type="gramStart"/>
      <w:r>
        <w:t xml:space="preserve">Leary, D., </w:t>
      </w:r>
      <w:proofErr w:type="spellStart"/>
      <w:r>
        <w:t>Minichiello</w:t>
      </w:r>
      <w:proofErr w:type="spellEnd"/>
      <w:r>
        <w:t xml:space="preserve">, V., &amp; </w:t>
      </w:r>
      <w:proofErr w:type="spellStart"/>
      <w:r>
        <w:t>Kottler</w:t>
      </w:r>
      <w:proofErr w:type="spellEnd"/>
      <w:r>
        <w:t>, J. A. (2010).</w:t>
      </w:r>
      <w:proofErr w:type="gramEnd"/>
      <w:r>
        <w:t xml:space="preserve"> </w:t>
      </w:r>
      <w:proofErr w:type="gramStart"/>
      <w:r>
        <w:t>Radical reflexivity in qualitative research.</w:t>
      </w:r>
      <w:proofErr w:type="gramEnd"/>
      <w:r>
        <w:t xml:space="preserve"> In V. </w:t>
      </w:r>
      <w:proofErr w:type="spellStart"/>
      <w:r>
        <w:t>Minichiello</w:t>
      </w:r>
      <w:proofErr w:type="spellEnd"/>
      <w:r>
        <w:t xml:space="preserve">, &amp; J. A. </w:t>
      </w:r>
      <w:proofErr w:type="spellStart"/>
      <w:r>
        <w:t>Kottler</w:t>
      </w:r>
      <w:proofErr w:type="spellEnd"/>
      <w:r>
        <w:t xml:space="preserve"> (Eds.), </w:t>
      </w:r>
      <w:r>
        <w:rPr>
          <w:i/>
          <w:iCs/>
        </w:rPr>
        <w:t>Qualitative journeys: Student and mentor experiences with research</w:t>
      </w:r>
      <w:r>
        <w:t>, (pp. 49-69). Thousand Oaks, CA: Sage Publications.</w:t>
      </w:r>
    </w:p>
    <w:p w:rsidR="00ED06A4" w:rsidRDefault="00ED06A4" w:rsidP="00ED06A4">
      <w:pPr>
        <w:spacing w:after="0" w:line="480" w:lineRule="auto"/>
        <w:ind w:left="720" w:hanging="720"/>
      </w:pPr>
      <w:proofErr w:type="spellStart"/>
      <w:r>
        <w:lastRenderedPageBreak/>
        <w:t>Letiche</w:t>
      </w:r>
      <w:proofErr w:type="spellEnd"/>
      <w:r>
        <w:t xml:space="preserve">, H. (2009). </w:t>
      </w:r>
      <w:proofErr w:type="gramStart"/>
      <w:r>
        <w:t>Bodily chiasms.</w:t>
      </w:r>
      <w:proofErr w:type="gramEnd"/>
      <w:r>
        <w:t xml:space="preserve"> </w:t>
      </w:r>
      <w:r>
        <w:rPr>
          <w:i/>
        </w:rPr>
        <w:t>Sociological Review</w:t>
      </w:r>
      <w:r>
        <w:t xml:space="preserve">, </w:t>
      </w:r>
      <w:r>
        <w:rPr>
          <w:i/>
        </w:rPr>
        <w:t>56</w:t>
      </w:r>
      <w:r>
        <w:t xml:space="preserve">(2), 63-83. </w:t>
      </w:r>
      <w:proofErr w:type="spellStart"/>
      <w:proofErr w:type="gramStart"/>
      <w:r>
        <w:t>doi</w:t>
      </w:r>
      <w:proofErr w:type="spellEnd"/>
      <w:proofErr w:type="gramEnd"/>
      <w:r>
        <w:t>: 10.1111/j.1467-954x.2009.00816.x</w:t>
      </w:r>
    </w:p>
    <w:p w:rsidR="00ED06A4" w:rsidRDefault="00ED06A4" w:rsidP="00ED06A4">
      <w:pPr>
        <w:spacing w:after="0" w:line="480" w:lineRule="auto"/>
        <w:ind w:left="720" w:hanging="720"/>
      </w:pPr>
      <w:proofErr w:type="spellStart"/>
      <w:r>
        <w:t>LeVasseur</w:t>
      </w:r>
      <w:proofErr w:type="spellEnd"/>
      <w:r>
        <w:t xml:space="preserve">, J. J. (2003). </w:t>
      </w:r>
      <w:proofErr w:type="gramStart"/>
      <w:r>
        <w:t>The problem of bracketing in phenomenology.</w:t>
      </w:r>
      <w:proofErr w:type="gramEnd"/>
      <w:r>
        <w:t xml:space="preserve"> </w:t>
      </w:r>
      <w:r>
        <w:rPr>
          <w:i/>
          <w:iCs/>
        </w:rPr>
        <w:t>Qualitative Health Research, 13</w:t>
      </w:r>
      <w:r>
        <w:t xml:space="preserve">(3), 408-420. </w:t>
      </w:r>
      <w:proofErr w:type="spellStart"/>
      <w:proofErr w:type="gramStart"/>
      <w:r>
        <w:t>doi</w:t>
      </w:r>
      <w:proofErr w:type="spellEnd"/>
      <w:proofErr w:type="gramEnd"/>
      <w:r>
        <w:t>: 10.1177/1049732302250337</w:t>
      </w:r>
    </w:p>
    <w:p w:rsidR="00ED06A4" w:rsidRDefault="00ED06A4" w:rsidP="00ED06A4">
      <w:pPr>
        <w:spacing w:after="0" w:line="480" w:lineRule="auto"/>
        <w:ind w:left="720" w:hanging="720"/>
      </w:pPr>
      <w:r>
        <w:t xml:space="preserve">Lieberman, C. (1985). The existentialist “school” of thought: Existentialism and education. </w:t>
      </w:r>
      <w:r>
        <w:rPr>
          <w:i/>
          <w:iCs/>
        </w:rPr>
        <w:t>The Clearing House, 58</w:t>
      </w:r>
      <w:r>
        <w:t>(7), 322-326.</w:t>
      </w:r>
    </w:p>
    <w:p w:rsidR="00ED06A4" w:rsidRDefault="00ED06A4" w:rsidP="00ED06A4">
      <w:pPr>
        <w:spacing w:after="0" w:line="480" w:lineRule="auto"/>
        <w:ind w:left="720" w:hanging="720"/>
      </w:pPr>
      <w:r>
        <w:t xml:space="preserve">Lindeman, E. C. (1926). </w:t>
      </w:r>
      <w:proofErr w:type="spellStart"/>
      <w:r>
        <w:t>Andragogik</w:t>
      </w:r>
      <w:proofErr w:type="spellEnd"/>
      <w:r>
        <w:t xml:space="preserve">: The method of teaching adults. </w:t>
      </w:r>
      <w:proofErr w:type="gramStart"/>
      <w:r>
        <w:rPr>
          <w:i/>
        </w:rPr>
        <w:t>Workers’ Education, 4</w:t>
      </w:r>
      <w:r>
        <w:t>, 38.</w:t>
      </w:r>
      <w:proofErr w:type="gramEnd"/>
      <w:r>
        <w:t xml:space="preserve"> </w:t>
      </w:r>
    </w:p>
    <w:p w:rsidR="00ED06A4" w:rsidRDefault="00ED06A4" w:rsidP="00ED06A4">
      <w:pPr>
        <w:spacing w:after="0" w:line="480" w:lineRule="auto"/>
        <w:ind w:left="720" w:hanging="720"/>
      </w:pPr>
      <w:proofErr w:type="spellStart"/>
      <w:proofErr w:type="gramStart"/>
      <w:r>
        <w:t>Longshore</w:t>
      </w:r>
      <w:proofErr w:type="spellEnd"/>
      <w:r>
        <w:t xml:space="preserve">, D., Prendergast, M., &amp; </w:t>
      </w:r>
      <w:proofErr w:type="spellStart"/>
      <w:r>
        <w:t>Farabee</w:t>
      </w:r>
      <w:proofErr w:type="spellEnd"/>
      <w:r>
        <w:t>, D. (2004).</w:t>
      </w:r>
      <w:proofErr w:type="gramEnd"/>
      <w:r>
        <w:t xml:space="preserve"> </w:t>
      </w:r>
      <w:proofErr w:type="gramStart"/>
      <w:r>
        <w:t>Coerced treatment for drug using criminal offenders.</w:t>
      </w:r>
      <w:proofErr w:type="gramEnd"/>
      <w:r>
        <w:t xml:space="preserve"> In P. </w:t>
      </w:r>
      <w:proofErr w:type="gramStart"/>
      <w:r>
        <w:t>Bean,</w:t>
      </w:r>
      <w:proofErr w:type="gramEnd"/>
      <w:r>
        <w:t xml:space="preserve"> &amp; T. </w:t>
      </w:r>
      <w:proofErr w:type="spellStart"/>
      <w:r>
        <w:t>Nemitz</w:t>
      </w:r>
      <w:proofErr w:type="spellEnd"/>
      <w:r>
        <w:t xml:space="preserve"> (Eds.), </w:t>
      </w:r>
      <w:r>
        <w:rPr>
          <w:i/>
        </w:rPr>
        <w:t>Drug treatment: What works?</w:t>
      </w:r>
      <w:r>
        <w:t xml:space="preserve"> (pp. 110-122). London: </w:t>
      </w:r>
      <w:proofErr w:type="spellStart"/>
      <w:r>
        <w:t>Routledge</w:t>
      </w:r>
      <w:proofErr w:type="spellEnd"/>
      <w:r>
        <w:t>.</w:t>
      </w:r>
    </w:p>
    <w:p w:rsidR="00ED06A4" w:rsidRDefault="00ED06A4" w:rsidP="00ED06A4">
      <w:pPr>
        <w:pStyle w:val="BodyTextIndent2"/>
        <w:spacing w:line="480" w:lineRule="auto"/>
      </w:pPr>
      <w:proofErr w:type="gramStart"/>
      <w:r>
        <w:t>Lopez, K. A., &amp; Willis, D. G. (2004).</w:t>
      </w:r>
      <w:proofErr w:type="gramEnd"/>
      <w:r>
        <w:t xml:space="preserve"> Descriptive versus interpretive phenomenology: Their contributions to nursing knowledge. </w:t>
      </w:r>
      <w:r>
        <w:rPr>
          <w:i/>
          <w:iCs/>
        </w:rPr>
        <w:t>Qualitative Health Research, 14</w:t>
      </w:r>
      <w:r>
        <w:t xml:space="preserve">(5), 726-735. </w:t>
      </w:r>
      <w:proofErr w:type="spellStart"/>
      <w:proofErr w:type="gramStart"/>
      <w:r>
        <w:t>doi</w:t>
      </w:r>
      <w:proofErr w:type="spellEnd"/>
      <w:proofErr w:type="gramEnd"/>
      <w:r>
        <w:t>: 10.1177/1049732304263638</w:t>
      </w:r>
    </w:p>
    <w:p w:rsidR="00ED06A4" w:rsidRDefault="00ED06A4" w:rsidP="00ED06A4">
      <w:pPr>
        <w:pStyle w:val="BodyTextIndent2"/>
        <w:spacing w:line="480" w:lineRule="auto"/>
      </w:pPr>
      <w:proofErr w:type="spellStart"/>
      <w:r>
        <w:t>Luborsky</w:t>
      </w:r>
      <w:proofErr w:type="spellEnd"/>
      <w:r>
        <w:t xml:space="preserve">, L., Graff, H., </w:t>
      </w:r>
      <w:proofErr w:type="spellStart"/>
      <w:r>
        <w:t>Pulver</w:t>
      </w:r>
      <w:proofErr w:type="spellEnd"/>
      <w:r>
        <w:t xml:space="preserve">, S., &amp; Curtis, H. (1973). </w:t>
      </w:r>
      <w:proofErr w:type="gramStart"/>
      <w:r>
        <w:t>A clinical-</w:t>
      </w:r>
      <w:proofErr w:type="spellStart"/>
      <w:r>
        <w:t>quantitive</w:t>
      </w:r>
      <w:proofErr w:type="spellEnd"/>
      <w:r>
        <w:t xml:space="preserve"> examination of consensus on the concept of transference.</w:t>
      </w:r>
      <w:proofErr w:type="gramEnd"/>
      <w:r>
        <w:t xml:space="preserve"> </w:t>
      </w:r>
      <w:r>
        <w:rPr>
          <w:i/>
        </w:rPr>
        <w:t>Archives of General Psychiatry, 29</w:t>
      </w:r>
      <w:r>
        <w:t>, 69-75.</w:t>
      </w:r>
    </w:p>
    <w:p w:rsidR="00ED06A4" w:rsidRDefault="00ED06A4" w:rsidP="00ED06A4">
      <w:pPr>
        <w:pStyle w:val="BodyTextIndent2"/>
        <w:spacing w:line="480" w:lineRule="auto"/>
      </w:pPr>
      <w:proofErr w:type="spellStart"/>
      <w:proofErr w:type="gramStart"/>
      <w:r>
        <w:t>Luft</w:t>
      </w:r>
      <w:proofErr w:type="spellEnd"/>
      <w:r>
        <w:t>, J., &amp; Ingham, H. (1955).</w:t>
      </w:r>
      <w:proofErr w:type="gramEnd"/>
      <w:r>
        <w:t xml:space="preserve"> The </w:t>
      </w:r>
      <w:proofErr w:type="spellStart"/>
      <w:r>
        <w:t>Johari</w:t>
      </w:r>
      <w:proofErr w:type="spellEnd"/>
      <w:r>
        <w:t xml:space="preserve"> window: A graphic model of awareness in interpersonal relations. Retrieved from </w:t>
      </w:r>
      <w:hyperlink r:id="rId21" w:history="1">
        <w:r w:rsidRPr="00FE5070">
          <w:rPr>
            <w:rStyle w:val="Hyperlink"/>
            <w:color w:val="auto"/>
            <w:u w:val="none"/>
          </w:rPr>
          <w:t>http://www.library.wisc.edu/edvrc/docs/ public/</w:t>
        </w:r>
        <w:proofErr w:type="spellStart"/>
        <w:r w:rsidRPr="00FE5070">
          <w:rPr>
            <w:rStyle w:val="Hyperlink"/>
            <w:color w:val="auto"/>
            <w:u w:val="none"/>
          </w:rPr>
          <w:t>pdfs</w:t>
        </w:r>
        <w:proofErr w:type="spellEnd"/>
        <w:r w:rsidRPr="00FE5070">
          <w:rPr>
            <w:rStyle w:val="Hyperlink"/>
            <w:color w:val="auto"/>
            <w:u w:val="none"/>
          </w:rPr>
          <w:t>/</w:t>
        </w:r>
        <w:proofErr w:type="spellStart"/>
        <w:r w:rsidRPr="00FE5070">
          <w:rPr>
            <w:rStyle w:val="Hyperlink"/>
            <w:color w:val="auto"/>
            <w:u w:val="none"/>
          </w:rPr>
          <w:t>LIReadings</w:t>
        </w:r>
        <w:proofErr w:type="spellEnd"/>
        <w:r w:rsidRPr="00FE5070">
          <w:rPr>
            <w:rStyle w:val="Hyperlink"/>
            <w:color w:val="auto"/>
            <w:u w:val="none"/>
          </w:rPr>
          <w:t>/JohariWindow.pdf</w:t>
        </w:r>
      </w:hyperlink>
      <w:r w:rsidRPr="00C24501">
        <w:t xml:space="preserve"> </w:t>
      </w:r>
    </w:p>
    <w:p w:rsidR="00ED06A4" w:rsidRDefault="00ED06A4" w:rsidP="00ED06A4">
      <w:pPr>
        <w:spacing w:after="0" w:line="480" w:lineRule="auto"/>
        <w:ind w:left="720" w:hanging="720"/>
        <w:rPr>
          <w:iCs/>
        </w:rPr>
      </w:pPr>
      <w:proofErr w:type="gramStart"/>
      <w:r>
        <w:rPr>
          <w:iCs/>
        </w:rPr>
        <w:t xml:space="preserve">Lytle, S. L., </w:t>
      </w:r>
      <w:proofErr w:type="spellStart"/>
      <w:r>
        <w:rPr>
          <w:iCs/>
        </w:rPr>
        <w:t>Belzer</w:t>
      </w:r>
      <w:proofErr w:type="spellEnd"/>
      <w:r>
        <w:rPr>
          <w:iCs/>
        </w:rPr>
        <w:t xml:space="preserve">, A., &amp; </w:t>
      </w:r>
      <w:proofErr w:type="spellStart"/>
      <w:r>
        <w:rPr>
          <w:iCs/>
        </w:rPr>
        <w:t>Reumann</w:t>
      </w:r>
      <w:proofErr w:type="spellEnd"/>
      <w:r>
        <w:rPr>
          <w:iCs/>
        </w:rPr>
        <w:t>, R. (1996).</w:t>
      </w:r>
      <w:proofErr w:type="gramEnd"/>
      <w:r>
        <w:rPr>
          <w:iCs/>
        </w:rPr>
        <w:t xml:space="preserve"> </w:t>
      </w:r>
      <w:r>
        <w:rPr>
          <w:i/>
        </w:rPr>
        <w:t>Invitations to inquiry: rethinking staff development in adult literacy education</w:t>
      </w:r>
      <w:r>
        <w:rPr>
          <w:iCs/>
        </w:rPr>
        <w:t xml:space="preserve"> (Technical Report TR92-2). </w:t>
      </w:r>
      <w:proofErr w:type="spellStart"/>
      <w:r>
        <w:rPr>
          <w:iCs/>
        </w:rPr>
        <w:t>Philadelphia</w:t>
      </w:r>
      <w:proofErr w:type="gramStart"/>
      <w:r>
        <w:rPr>
          <w:iCs/>
        </w:rPr>
        <w:t>,PA</w:t>
      </w:r>
      <w:proofErr w:type="spellEnd"/>
      <w:proofErr w:type="gramEnd"/>
      <w:r>
        <w:rPr>
          <w:iCs/>
        </w:rPr>
        <w:t>: National Center on Adult Literacy.</w:t>
      </w:r>
    </w:p>
    <w:p w:rsidR="00ED06A4" w:rsidRDefault="00ED06A4" w:rsidP="00ED06A4">
      <w:pPr>
        <w:spacing w:after="0" w:line="480" w:lineRule="auto"/>
        <w:ind w:left="720" w:hanging="720"/>
      </w:pPr>
      <w:proofErr w:type="spellStart"/>
      <w:proofErr w:type="gramStart"/>
      <w:r>
        <w:t>MacKenzie</w:t>
      </w:r>
      <w:proofErr w:type="spellEnd"/>
      <w:r>
        <w:t>, D. L. (2000).</w:t>
      </w:r>
      <w:proofErr w:type="gramEnd"/>
      <w:r>
        <w:t xml:space="preserve"> Evidence-based corrections: Identifying what works. </w:t>
      </w:r>
      <w:r>
        <w:rPr>
          <w:i/>
          <w:iCs/>
        </w:rPr>
        <w:t>Crime &amp; Delinquency, 46</w:t>
      </w:r>
      <w:r>
        <w:t>(4), 457-471.</w:t>
      </w:r>
    </w:p>
    <w:p w:rsidR="00ED06A4" w:rsidRDefault="00ED06A4" w:rsidP="00ED06A4">
      <w:pPr>
        <w:spacing w:after="0" w:line="480" w:lineRule="auto"/>
        <w:ind w:left="720" w:hanging="720"/>
      </w:pPr>
      <w:proofErr w:type="spellStart"/>
      <w:r>
        <w:lastRenderedPageBreak/>
        <w:t>Mageehon</w:t>
      </w:r>
      <w:proofErr w:type="spellEnd"/>
      <w:r>
        <w:t xml:space="preserve">, A. (2006). What makes a “good” teacher “good”: Women in transition from prison to community </w:t>
      </w:r>
      <w:proofErr w:type="gramStart"/>
      <w:r>
        <w:t>reflect.</w:t>
      </w:r>
      <w:proofErr w:type="gramEnd"/>
      <w:r>
        <w:t xml:space="preserve"> </w:t>
      </w:r>
      <w:r>
        <w:rPr>
          <w:i/>
        </w:rPr>
        <w:t>Journal of Correctional Education, 57</w:t>
      </w:r>
      <w:r>
        <w:t xml:space="preserve">(2), 145-157. </w:t>
      </w:r>
    </w:p>
    <w:p w:rsidR="00ED06A4" w:rsidRDefault="00ED06A4" w:rsidP="00ED06A4">
      <w:pPr>
        <w:spacing w:after="0" w:line="480" w:lineRule="auto"/>
        <w:ind w:left="720" w:hanging="720"/>
      </w:pPr>
      <w:proofErr w:type="spellStart"/>
      <w:r>
        <w:t>Mageehon</w:t>
      </w:r>
      <w:proofErr w:type="spellEnd"/>
      <w:r>
        <w:t xml:space="preserve">, A. (2003). Incarcerated women’s’ educational experiences. </w:t>
      </w:r>
      <w:r>
        <w:rPr>
          <w:i/>
        </w:rPr>
        <w:t>Journal of Correctional Education, 54</w:t>
      </w:r>
      <w:r>
        <w:t xml:space="preserve">(4), 191-199. </w:t>
      </w:r>
    </w:p>
    <w:p w:rsidR="00ED06A4" w:rsidRDefault="00ED06A4" w:rsidP="00ED06A4">
      <w:pPr>
        <w:spacing w:after="0" w:line="480" w:lineRule="auto"/>
        <w:ind w:left="720" w:hanging="720"/>
      </w:pPr>
      <w:proofErr w:type="spellStart"/>
      <w:proofErr w:type="gramStart"/>
      <w:r>
        <w:t>Mandracchia</w:t>
      </w:r>
      <w:proofErr w:type="spellEnd"/>
      <w:r>
        <w:t xml:space="preserve">, J. T., Morgan, R. D., </w:t>
      </w:r>
      <w:proofErr w:type="spellStart"/>
      <w:r>
        <w:t>Garos</w:t>
      </w:r>
      <w:proofErr w:type="spellEnd"/>
      <w:r>
        <w:t>, S., &amp; Garland, J. T. (2007).</w:t>
      </w:r>
      <w:proofErr w:type="gramEnd"/>
      <w:r>
        <w:t xml:space="preserve"> </w:t>
      </w:r>
      <w:proofErr w:type="gramStart"/>
      <w:r>
        <w:t>Inmate thinking patterns.</w:t>
      </w:r>
      <w:proofErr w:type="gramEnd"/>
      <w:r>
        <w:t xml:space="preserve"> </w:t>
      </w:r>
      <w:r>
        <w:rPr>
          <w:i/>
        </w:rPr>
        <w:t>Criminal Justice and Behavior, 34</w:t>
      </w:r>
      <w:r>
        <w:t xml:space="preserve">(8), 1029-1043. </w:t>
      </w:r>
      <w:proofErr w:type="spellStart"/>
      <w:proofErr w:type="gramStart"/>
      <w:r>
        <w:t>doi</w:t>
      </w:r>
      <w:proofErr w:type="spellEnd"/>
      <w:proofErr w:type="gramEnd"/>
      <w:r>
        <w:t>: 10.1177/0093854807301788</w:t>
      </w:r>
    </w:p>
    <w:p w:rsidR="00ED06A4" w:rsidRDefault="00ED06A4" w:rsidP="00ED06A4">
      <w:pPr>
        <w:pStyle w:val="BodyTextIndent2"/>
        <w:spacing w:line="480" w:lineRule="auto"/>
      </w:pPr>
      <w:proofErr w:type="gramStart"/>
      <w:r>
        <w:t>McConnell-Henry, T., Chapman, Y., &amp; Francis, K. (2009a).</w:t>
      </w:r>
      <w:proofErr w:type="gramEnd"/>
      <w:r>
        <w:t xml:space="preserve"> Husserl and Heidegger: Exploring the disparity. </w:t>
      </w:r>
      <w:r>
        <w:rPr>
          <w:i/>
          <w:iCs/>
        </w:rPr>
        <w:t>International Journal of Nursing Practice, 15</w:t>
      </w:r>
      <w:r>
        <w:t xml:space="preserve">, 7-15. </w:t>
      </w:r>
      <w:proofErr w:type="spellStart"/>
      <w:proofErr w:type="gramStart"/>
      <w:r>
        <w:t>doi</w:t>
      </w:r>
      <w:proofErr w:type="spellEnd"/>
      <w:proofErr w:type="gramEnd"/>
      <w:r>
        <w:t>: 10.111/j.1440-172X.2008.01724.x</w:t>
      </w:r>
    </w:p>
    <w:p w:rsidR="00ED06A4" w:rsidRPr="00C24501" w:rsidRDefault="00ED06A4" w:rsidP="00ED06A4">
      <w:pPr>
        <w:pStyle w:val="BodyTextIndent2"/>
        <w:spacing w:line="480" w:lineRule="auto"/>
      </w:pPr>
      <w:proofErr w:type="gramStart"/>
      <w:r>
        <w:t>McConnell-Henry, T., Chapman, Y., &amp; Francis, K. (2009b).</w:t>
      </w:r>
      <w:proofErr w:type="gramEnd"/>
      <w:r>
        <w:t xml:space="preserve"> </w:t>
      </w:r>
      <w:proofErr w:type="gramStart"/>
      <w:r>
        <w:t xml:space="preserve">Unpacking </w:t>
      </w:r>
      <w:proofErr w:type="spellStart"/>
      <w:r>
        <w:t>Heideggerian</w:t>
      </w:r>
      <w:proofErr w:type="spellEnd"/>
      <w:r>
        <w:t xml:space="preserve"> phenomenology.</w:t>
      </w:r>
      <w:proofErr w:type="gramEnd"/>
      <w:r>
        <w:t xml:space="preserve"> </w:t>
      </w:r>
      <w:proofErr w:type="gramStart"/>
      <w:r>
        <w:rPr>
          <w:i/>
          <w:iCs/>
        </w:rPr>
        <w:t>Southern Online Journal of Nursing Research</w:t>
      </w:r>
      <w:r>
        <w:t>.</w:t>
      </w:r>
      <w:proofErr w:type="gramEnd"/>
      <w:r>
        <w:t xml:space="preserve"> Retrieved from </w:t>
      </w:r>
      <w:hyperlink r:id="rId22" w:history="1">
        <w:r w:rsidRPr="00FE5070">
          <w:rPr>
            <w:rStyle w:val="Hyperlink"/>
            <w:color w:val="auto"/>
            <w:u w:val="none"/>
          </w:rPr>
          <w:t>http://snrs.org/publications/SOJNR_articles2/Vol09Num01Art03.html</w:t>
        </w:r>
      </w:hyperlink>
      <w:r w:rsidRPr="00FE5070">
        <w:t xml:space="preserve"> </w:t>
      </w:r>
    </w:p>
    <w:p w:rsidR="00ED06A4" w:rsidRDefault="00ED06A4" w:rsidP="00ED06A4">
      <w:pPr>
        <w:pStyle w:val="BodyTextIndent2"/>
        <w:spacing w:line="480" w:lineRule="auto"/>
      </w:pPr>
      <w:r>
        <w:t xml:space="preserve">McKenzie, L. (1977). </w:t>
      </w:r>
      <w:proofErr w:type="gramStart"/>
      <w:r>
        <w:t xml:space="preserve">The issue of </w:t>
      </w:r>
      <w:proofErr w:type="spellStart"/>
      <w:r>
        <w:t>andragogy</w:t>
      </w:r>
      <w:proofErr w:type="spellEnd"/>
      <w:r>
        <w:t>.</w:t>
      </w:r>
      <w:proofErr w:type="gramEnd"/>
      <w:r>
        <w:t xml:space="preserve"> </w:t>
      </w:r>
      <w:r>
        <w:rPr>
          <w:i/>
          <w:iCs/>
        </w:rPr>
        <w:t>Adult Education, 27</w:t>
      </w:r>
      <w:r>
        <w:t xml:space="preserve">(4), 225-229. </w:t>
      </w:r>
    </w:p>
    <w:p w:rsidR="00ED06A4" w:rsidRDefault="00ED06A4" w:rsidP="00ED06A4">
      <w:pPr>
        <w:spacing w:after="0" w:line="480" w:lineRule="auto"/>
        <w:ind w:left="720" w:hanging="720"/>
      </w:pPr>
      <w:proofErr w:type="spellStart"/>
      <w:r>
        <w:t>Mearnes</w:t>
      </w:r>
      <w:proofErr w:type="spellEnd"/>
      <w:r>
        <w:t xml:space="preserve">, R. M. (1997). </w:t>
      </w:r>
      <w:proofErr w:type="gramStart"/>
      <w:r>
        <w:t>Action research and retaining literacy volunteers in a corrections center.</w:t>
      </w:r>
      <w:proofErr w:type="gramEnd"/>
      <w:r>
        <w:t xml:space="preserve"> </w:t>
      </w:r>
      <w:r>
        <w:rPr>
          <w:i/>
        </w:rPr>
        <w:t>New Directions in Adult and Continuing Education, 73</w:t>
      </w:r>
      <w:r>
        <w:t>, 49-52.</w:t>
      </w:r>
    </w:p>
    <w:p w:rsidR="00ED06A4" w:rsidRDefault="00ED06A4" w:rsidP="00ED06A4">
      <w:pPr>
        <w:spacing w:after="0" w:line="480" w:lineRule="auto"/>
        <w:ind w:left="720" w:hanging="720"/>
      </w:pPr>
      <w:proofErr w:type="gramStart"/>
      <w:r>
        <w:rPr>
          <w:szCs w:val="24"/>
        </w:rPr>
        <w:t xml:space="preserve">Meier, P. S., Barrowclough, C., &amp; </w:t>
      </w:r>
      <w:proofErr w:type="spellStart"/>
      <w:r>
        <w:rPr>
          <w:szCs w:val="24"/>
        </w:rPr>
        <w:t>Donmall</w:t>
      </w:r>
      <w:proofErr w:type="spellEnd"/>
      <w:r>
        <w:rPr>
          <w:szCs w:val="24"/>
        </w:rPr>
        <w:t>, M. C. (2005).</w:t>
      </w:r>
      <w:proofErr w:type="gramEnd"/>
      <w:r>
        <w:rPr>
          <w:szCs w:val="24"/>
        </w:rPr>
        <w:t xml:space="preserve"> The role of the therapeutic alliance in the treatment of substance misuse: A critical review of the literature. </w:t>
      </w:r>
      <w:r>
        <w:rPr>
          <w:i/>
          <w:szCs w:val="24"/>
        </w:rPr>
        <w:t>Addiction, 100</w:t>
      </w:r>
      <w:r>
        <w:rPr>
          <w:szCs w:val="24"/>
        </w:rPr>
        <w:t>(3), 304-316.</w:t>
      </w:r>
    </w:p>
    <w:p w:rsidR="00ED06A4" w:rsidRPr="0053474D" w:rsidRDefault="00ED06A4" w:rsidP="00ED06A4">
      <w:pPr>
        <w:spacing w:after="0" w:line="480" w:lineRule="auto"/>
        <w:ind w:left="720" w:hanging="720"/>
      </w:pPr>
      <w:proofErr w:type="spellStart"/>
      <w:proofErr w:type="gramStart"/>
      <w:r>
        <w:t>Merleau</w:t>
      </w:r>
      <w:proofErr w:type="spellEnd"/>
      <w:r>
        <w:t>-</w:t>
      </w:r>
      <w:proofErr w:type="spellStart"/>
      <w:r>
        <w:t>Ponty</w:t>
      </w:r>
      <w:proofErr w:type="spellEnd"/>
      <w:r>
        <w:t>, M. (1964a).</w:t>
      </w:r>
      <w:proofErr w:type="gramEnd"/>
      <w:r>
        <w:t xml:space="preserve"> </w:t>
      </w:r>
      <w:proofErr w:type="gramStart"/>
      <w:r>
        <w:t>Eye and mind.</w:t>
      </w:r>
      <w:proofErr w:type="gramEnd"/>
      <w:r>
        <w:t xml:space="preserve"> Retrieved </w:t>
      </w:r>
      <w:r w:rsidRPr="0053474D">
        <w:t xml:space="preserve">from </w:t>
      </w:r>
      <w:hyperlink r:id="rId23" w:history="1">
        <w:r w:rsidRPr="00FE5070">
          <w:rPr>
            <w:rStyle w:val="Hyperlink"/>
            <w:color w:val="auto"/>
            <w:u w:val="none"/>
          </w:rPr>
          <w:t xml:space="preserve">http://www.biolinguagem.com/ </w:t>
        </w:r>
        <w:proofErr w:type="spellStart"/>
        <w:r w:rsidRPr="00FE5070">
          <w:rPr>
            <w:rStyle w:val="Hyperlink"/>
            <w:color w:val="auto"/>
            <w:u w:val="none"/>
          </w:rPr>
          <w:t>biolinguagem_antropologia</w:t>
        </w:r>
        <w:proofErr w:type="spellEnd"/>
        <w:r w:rsidRPr="00FE5070">
          <w:rPr>
            <w:rStyle w:val="Hyperlink"/>
            <w:color w:val="auto"/>
            <w:u w:val="none"/>
          </w:rPr>
          <w:t>/merleauponty_1964_eyeandmind.pdf</w:t>
        </w:r>
      </w:hyperlink>
    </w:p>
    <w:p w:rsidR="00ED06A4" w:rsidRDefault="00ED06A4" w:rsidP="00ED06A4">
      <w:pPr>
        <w:spacing w:after="0" w:line="480" w:lineRule="auto"/>
        <w:ind w:left="720" w:hanging="720"/>
      </w:pPr>
      <w:proofErr w:type="spellStart"/>
      <w:proofErr w:type="gramStart"/>
      <w:r>
        <w:t>Merleau</w:t>
      </w:r>
      <w:proofErr w:type="spellEnd"/>
      <w:r>
        <w:t>-</w:t>
      </w:r>
      <w:proofErr w:type="spellStart"/>
      <w:r>
        <w:t>Ponty</w:t>
      </w:r>
      <w:proofErr w:type="spellEnd"/>
      <w:r>
        <w:t>, M. (1964b).</w:t>
      </w:r>
      <w:proofErr w:type="gramEnd"/>
      <w:r>
        <w:t xml:space="preserve"> </w:t>
      </w:r>
      <w:r w:rsidRPr="00532BBA">
        <w:rPr>
          <w:i/>
        </w:rPr>
        <w:t>Sense and non-sense</w:t>
      </w:r>
      <w:r>
        <w:t xml:space="preserve"> (H. Dreyfus, &amp; P. Dreyfus, Trans.). Evanston, IL: Northwestern University Press.</w:t>
      </w:r>
    </w:p>
    <w:p w:rsidR="00ED06A4" w:rsidRDefault="00ED06A4" w:rsidP="00ED06A4">
      <w:pPr>
        <w:spacing w:after="0" w:line="480" w:lineRule="auto"/>
        <w:ind w:left="720" w:hanging="720"/>
      </w:pPr>
      <w:proofErr w:type="spellStart"/>
      <w:proofErr w:type="gramStart"/>
      <w:r>
        <w:lastRenderedPageBreak/>
        <w:t>Merleau</w:t>
      </w:r>
      <w:proofErr w:type="spellEnd"/>
      <w:r>
        <w:t>-</w:t>
      </w:r>
      <w:proofErr w:type="spellStart"/>
      <w:r>
        <w:t>Ponty</w:t>
      </w:r>
      <w:proofErr w:type="spellEnd"/>
      <w:r>
        <w:t>, M. (2002).</w:t>
      </w:r>
      <w:proofErr w:type="gramEnd"/>
      <w:r>
        <w:t xml:space="preserve"> </w:t>
      </w:r>
      <w:proofErr w:type="gramStart"/>
      <w:r>
        <w:rPr>
          <w:i/>
          <w:iCs/>
        </w:rPr>
        <w:t>Phenomenology of perception</w:t>
      </w:r>
      <w:r>
        <w:t xml:space="preserve"> (C. Smith, Trans.).</w:t>
      </w:r>
      <w:proofErr w:type="gramEnd"/>
      <w:r>
        <w:t xml:space="preserve"> New York, NY: </w:t>
      </w:r>
      <w:proofErr w:type="spellStart"/>
      <w:r>
        <w:t>Routledge</w:t>
      </w:r>
      <w:proofErr w:type="spellEnd"/>
      <w:r>
        <w:t>. (Original work published 1945.)</w:t>
      </w:r>
    </w:p>
    <w:p w:rsidR="00ED06A4" w:rsidRDefault="00ED06A4" w:rsidP="00ED06A4">
      <w:pPr>
        <w:spacing w:after="0" w:line="480" w:lineRule="auto"/>
        <w:ind w:left="720" w:hanging="720"/>
      </w:pPr>
      <w:proofErr w:type="spellStart"/>
      <w:proofErr w:type="gramStart"/>
      <w:r>
        <w:t>Merleau</w:t>
      </w:r>
      <w:proofErr w:type="spellEnd"/>
      <w:r>
        <w:t>-</w:t>
      </w:r>
      <w:proofErr w:type="spellStart"/>
      <w:r>
        <w:t>Ponty</w:t>
      </w:r>
      <w:proofErr w:type="spellEnd"/>
      <w:r>
        <w:t>, M. (2003).</w:t>
      </w:r>
      <w:proofErr w:type="gramEnd"/>
      <w:r>
        <w:t xml:space="preserve"> </w:t>
      </w:r>
      <w:r>
        <w:rPr>
          <w:i/>
        </w:rPr>
        <w:t>Nature: Course notes from the College de France</w:t>
      </w:r>
      <w:r>
        <w:t xml:space="preserve"> (R. </w:t>
      </w:r>
      <w:proofErr w:type="spellStart"/>
      <w:r>
        <w:t>Vallier</w:t>
      </w:r>
      <w:proofErr w:type="spellEnd"/>
      <w:r>
        <w:t>, Trans.). Evanston, IL: Northwestern University Press.</w:t>
      </w:r>
    </w:p>
    <w:p w:rsidR="00ED06A4" w:rsidRDefault="00ED06A4" w:rsidP="00ED06A4">
      <w:pPr>
        <w:spacing w:after="0" w:line="480" w:lineRule="auto"/>
        <w:ind w:left="720" w:hanging="720"/>
      </w:pPr>
      <w:proofErr w:type="spellStart"/>
      <w:proofErr w:type="gramStart"/>
      <w:r>
        <w:t>Merleau</w:t>
      </w:r>
      <w:proofErr w:type="spellEnd"/>
      <w:r>
        <w:t>-</w:t>
      </w:r>
      <w:proofErr w:type="spellStart"/>
      <w:r>
        <w:t>Ponty</w:t>
      </w:r>
      <w:proofErr w:type="spellEnd"/>
      <w:r>
        <w:t xml:space="preserve">, M., &amp; </w:t>
      </w:r>
      <w:proofErr w:type="spellStart"/>
      <w:r>
        <w:t>Lefort</w:t>
      </w:r>
      <w:proofErr w:type="spellEnd"/>
      <w:r>
        <w:t>, C. (Eds.).</w:t>
      </w:r>
      <w:proofErr w:type="gramEnd"/>
      <w:r>
        <w:t xml:space="preserve"> (1968). </w:t>
      </w:r>
      <w:proofErr w:type="gramStart"/>
      <w:r>
        <w:rPr>
          <w:i/>
          <w:iCs/>
        </w:rPr>
        <w:t>The</w:t>
      </w:r>
      <w:proofErr w:type="gramEnd"/>
      <w:r>
        <w:rPr>
          <w:i/>
          <w:iCs/>
        </w:rPr>
        <w:t xml:space="preserve"> visible and the invisible: followed by working notes</w:t>
      </w:r>
      <w:r>
        <w:t xml:space="preserve"> (A. </w:t>
      </w:r>
      <w:proofErr w:type="spellStart"/>
      <w:r>
        <w:t>Lingis</w:t>
      </w:r>
      <w:proofErr w:type="spellEnd"/>
      <w:r>
        <w:t>, Trans.). Evanston, IL: Northwestern University Press.</w:t>
      </w:r>
    </w:p>
    <w:p w:rsidR="00ED06A4" w:rsidRDefault="00ED06A4" w:rsidP="00ED06A4">
      <w:pPr>
        <w:spacing w:after="0" w:line="480" w:lineRule="auto"/>
        <w:ind w:left="720" w:hanging="720"/>
      </w:pPr>
      <w:r>
        <w:t xml:space="preserve">Merriam, S. B. (2001). </w:t>
      </w:r>
      <w:proofErr w:type="spellStart"/>
      <w:r>
        <w:t>Andragogy</w:t>
      </w:r>
      <w:proofErr w:type="spellEnd"/>
      <w:r>
        <w:t xml:space="preserve"> and self-directed learning: Pillars of adult learning theory. </w:t>
      </w:r>
    </w:p>
    <w:p w:rsidR="00ED06A4" w:rsidRPr="00C24501" w:rsidRDefault="00ED06A4" w:rsidP="00ED06A4">
      <w:pPr>
        <w:spacing w:after="0" w:line="480" w:lineRule="auto"/>
        <w:ind w:firstLine="720"/>
      </w:pPr>
      <w:r>
        <w:t xml:space="preserve"> Retrieved from </w:t>
      </w:r>
      <w:hyperlink r:id="rId24" w:history="1">
        <w:r w:rsidRPr="00FE5070">
          <w:rPr>
            <w:rStyle w:val="Hyperlink"/>
            <w:color w:val="auto"/>
            <w:u w:val="none"/>
          </w:rPr>
          <w:t>http://www.fsu.edu/~elps/ae/download/ade5385/Merriam.pdf</w:t>
        </w:r>
      </w:hyperlink>
    </w:p>
    <w:p w:rsidR="00ED06A4" w:rsidRDefault="00ED06A4" w:rsidP="00ED06A4">
      <w:pPr>
        <w:pStyle w:val="BodyTextIndent2"/>
        <w:spacing w:line="480" w:lineRule="auto"/>
      </w:pPr>
      <w:r>
        <w:t xml:space="preserve">Merriam, S. B., Johnson-Bailey, J., Lee, M. Y., </w:t>
      </w:r>
      <w:proofErr w:type="spellStart"/>
      <w:r>
        <w:t>Kee</w:t>
      </w:r>
      <w:proofErr w:type="spellEnd"/>
      <w:r>
        <w:t xml:space="preserve">, Y., </w:t>
      </w:r>
      <w:proofErr w:type="spellStart"/>
      <w:r>
        <w:t>Ntseane</w:t>
      </w:r>
      <w:proofErr w:type="spellEnd"/>
      <w:r>
        <w:t xml:space="preserve">, G., &amp; </w:t>
      </w:r>
      <w:proofErr w:type="spellStart"/>
      <w:r>
        <w:t>Muhamad</w:t>
      </w:r>
      <w:proofErr w:type="spellEnd"/>
      <w:r>
        <w:t xml:space="preserve">, M. (2001). Power and </w:t>
      </w:r>
      <w:proofErr w:type="spellStart"/>
      <w:r>
        <w:t>positionality</w:t>
      </w:r>
      <w:proofErr w:type="spellEnd"/>
      <w:r>
        <w:t xml:space="preserve">: Negotiating insider/outsider status within and across cultures. </w:t>
      </w:r>
      <w:r>
        <w:rPr>
          <w:i/>
          <w:iCs/>
        </w:rPr>
        <w:t>International Journal of Lifelong Education, 20</w:t>
      </w:r>
      <w:r>
        <w:t xml:space="preserve">(5), 405-416. </w:t>
      </w:r>
      <w:proofErr w:type="spellStart"/>
      <w:proofErr w:type="gramStart"/>
      <w:r>
        <w:t>doi</w:t>
      </w:r>
      <w:proofErr w:type="spellEnd"/>
      <w:proofErr w:type="gramEnd"/>
      <w:r>
        <w:t>: 10.1080/02601370120490</w:t>
      </w:r>
    </w:p>
    <w:p w:rsidR="00ED06A4" w:rsidRDefault="00ED06A4" w:rsidP="00ED06A4">
      <w:pPr>
        <w:spacing w:after="0" w:line="480" w:lineRule="auto"/>
        <w:ind w:left="720" w:hanging="720"/>
      </w:pPr>
      <w:proofErr w:type="spellStart"/>
      <w:r>
        <w:t>Mezirow</w:t>
      </w:r>
      <w:proofErr w:type="spellEnd"/>
      <w:r>
        <w:t xml:space="preserve">, J. (1990). In J. </w:t>
      </w:r>
      <w:proofErr w:type="spellStart"/>
      <w:r>
        <w:t>Mezirow</w:t>
      </w:r>
      <w:proofErr w:type="spellEnd"/>
      <w:r>
        <w:t xml:space="preserve"> &amp; Associates (Eds.), </w:t>
      </w:r>
      <w:r>
        <w:rPr>
          <w:i/>
          <w:iCs/>
        </w:rPr>
        <w:t xml:space="preserve">Fostering critical reflection in adulthood: A guide to transformative and </w:t>
      </w:r>
      <w:proofErr w:type="spellStart"/>
      <w:r>
        <w:rPr>
          <w:i/>
          <w:iCs/>
        </w:rPr>
        <w:t>emancipatory</w:t>
      </w:r>
      <w:proofErr w:type="spellEnd"/>
      <w:r>
        <w:rPr>
          <w:i/>
          <w:iCs/>
        </w:rPr>
        <w:t xml:space="preserve"> learning</w:t>
      </w:r>
      <w:r>
        <w:t xml:space="preserve"> (pp. 1-20). San Francisco, CA: </w:t>
      </w:r>
      <w:proofErr w:type="spellStart"/>
      <w:r>
        <w:t>Josey</w:t>
      </w:r>
      <w:proofErr w:type="spellEnd"/>
      <w:r>
        <w:t>-Bass.</w:t>
      </w:r>
    </w:p>
    <w:p w:rsidR="00ED06A4" w:rsidRDefault="00ED06A4" w:rsidP="00ED06A4">
      <w:pPr>
        <w:spacing w:after="0" w:line="480" w:lineRule="auto"/>
        <w:ind w:left="720" w:hanging="720"/>
      </w:pPr>
      <w:r>
        <w:t xml:space="preserve">Millay, E. (1912). </w:t>
      </w:r>
      <w:proofErr w:type="gramStart"/>
      <w:r>
        <w:t>Renascence.</w:t>
      </w:r>
      <w:proofErr w:type="gramEnd"/>
      <w:r>
        <w:t xml:space="preserve"> Retrieved from http://www3.bartleby.com/131/1.html</w:t>
      </w:r>
    </w:p>
    <w:p w:rsidR="00ED06A4" w:rsidRDefault="00ED06A4" w:rsidP="00ED06A4">
      <w:pPr>
        <w:spacing w:after="0" w:line="480" w:lineRule="auto"/>
        <w:ind w:left="720" w:hanging="720"/>
      </w:pPr>
      <w:proofErr w:type="spellStart"/>
      <w:proofErr w:type="gramStart"/>
      <w:r>
        <w:t>Minichiello</w:t>
      </w:r>
      <w:proofErr w:type="spellEnd"/>
      <w:r>
        <w:t xml:space="preserve">, V., &amp; </w:t>
      </w:r>
      <w:proofErr w:type="spellStart"/>
      <w:r>
        <w:t>Kottler</w:t>
      </w:r>
      <w:proofErr w:type="spellEnd"/>
      <w:r>
        <w:t>, J. A. (Eds.) (2010).</w:t>
      </w:r>
      <w:proofErr w:type="gramEnd"/>
      <w:r>
        <w:t xml:space="preserve"> </w:t>
      </w:r>
      <w:r>
        <w:rPr>
          <w:i/>
          <w:iCs/>
        </w:rPr>
        <w:t>Qualitative journeys: Student and mentor experiences with research</w:t>
      </w:r>
      <w:r>
        <w:t>. Thousand Oaks, CA: Sage.</w:t>
      </w:r>
    </w:p>
    <w:p w:rsidR="00ED06A4" w:rsidRDefault="00ED06A4" w:rsidP="00ED06A4">
      <w:pPr>
        <w:spacing w:after="0" w:line="480" w:lineRule="auto"/>
        <w:ind w:left="720" w:hanging="720"/>
      </w:pPr>
      <w:proofErr w:type="gramStart"/>
      <w:r>
        <w:t>Moeller, M., Day, S. L., &amp; Rivera, B. D. (2004).</w:t>
      </w:r>
      <w:proofErr w:type="gramEnd"/>
      <w:r>
        <w:t xml:space="preserve"> How is education perceived on the inside</w:t>
      </w:r>
      <w:proofErr w:type="gramStart"/>
      <w:r>
        <w:t>?:</w:t>
      </w:r>
      <w:proofErr w:type="gramEnd"/>
      <w:r>
        <w:t xml:space="preserve"> A preliminary study of adult males in a correctional setting. </w:t>
      </w:r>
      <w:r>
        <w:rPr>
          <w:i/>
        </w:rPr>
        <w:t>Journal of Correctional Education, 55</w:t>
      </w:r>
      <w:r>
        <w:t>(1), 40-59.</w:t>
      </w:r>
    </w:p>
    <w:p w:rsidR="00ED06A4" w:rsidRDefault="00ED06A4" w:rsidP="00ED06A4">
      <w:pPr>
        <w:spacing w:after="0" w:line="480" w:lineRule="auto"/>
        <w:ind w:left="720" w:hanging="720"/>
      </w:pPr>
      <w:proofErr w:type="spellStart"/>
      <w:proofErr w:type="gramStart"/>
      <w:r>
        <w:t>Montross</w:t>
      </w:r>
      <w:proofErr w:type="spellEnd"/>
      <w:r>
        <w:t xml:space="preserve">, K. J., &amp; </w:t>
      </w:r>
      <w:proofErr w:type="spellStart"/>
      <w:r>
        <w:t>Montross</w:t>
      </w:r>
      <w:proofErr w:type="spellEnd"/>
      <w:r>
        <w:t>, J. F. (1997).</w:t>
      </w:r>
      <w:proofErr w:type="gramEnd"/>
      <w:r>
        <w:t xml:space="preserve"> Characteristics of adult incarcerated students: Effects on instruction. </w:t>
      </w:r>
      <w:r>
        <w:rPr>
          <w:i/>
        </w:rPr>
        <w:t>Journal of Correctional Education, 48</w:t>
      </w:r>
      <w:r>
        <w:t>(4), 179-186.</w:t>
      </w:r>
    </w:p>
    <w:p w:rsidR="00ED06A4" w:rsidRDefault="00ED06A4" w:rsidP="00ED06A4">
      <w:pPr>
        <w:spacing w:after="0" w:line="480" w:lineRule="auto"/>
        <w:ind w:left="720" w:hanging="720"/>
      </w:pPr>
      <w:r>
        <w:lastRenderedPageBreak/>
        <w:t xml:space="preserve">Morgan, J. G. (2004). </w:t>
      </w:r>
      <w:proofErr w:type="gramStart"/>
      <w:r>
        <w:rPr>
          <w:i/>
        </w:rPr>
        <w:t>Teaching Tennessee adults.</w:t>
      </w:r>
      <w:proofErr w:type="gramEnd"/>
      <w:r>
        <w:rPr>
          <w:i/>
        </w:rPr>
        <w:t xml:space="preserve"> </w:t>
      </w:r>
      <w:proofErr w:type="gramStart"/>
      <w:r>
        <w:t>Office of Education Accountability.</w:t>
      </w:r>
      <w:proofErr w:type="gramEnd"/>
      <w:r>
        <w:t xml:space="preserve"> Retrieved </w:t>
      </w:r>
      <w:r w:rsidRPr="00C24501">
        <w:t xml:space="preserve">from </w:t>
      </w:r>
      <w:hyperlink r:id="rId25" w:history="1">
        <w:r w:rsidRPr="00FE5070">
          <w:rPr>
            <w:rStyle w:val="Hyperlink"/>
            <w:color w:val="auto"/>
            <w:u w:val="none"/>
          </w:rPr>
          <w:t xml:space="preserve">http://www.comptroller1.state.tn.us/OREA/PublicationDetails.aspx? </w:t>
        </w:r>
        <w:proofErr w:type="spellStart"/>
        <w:r w:rsidRPr="00FE5070">
          <w:rPr>
            <w:rStyle w:val="Hyperlink"/>
            <w:color w:val="auto"/>
            <w:u w:val="none"/>
          </w:rPr>
          <w:t>ReportKey</w:t>
        </w:r>
        <w:proofErr w:type="spellEnd"/>
        <w:r w:rsidRPr="00FE5070">
          <w:rPr>
            <w:rStyle w:val="Hyperlink"/>
            <w:color w:val="auto"/>
            <w:u w:val="none"/>
          </w:rPr>
          <w:t>=131165da-2ade-485a-b342-bd2c83061496</w:t>
        </w:r>
      </w:hyperlink>
    </w:p>
    <w:p w:rsidR="00ED06A4" w:rsidRDefault="00ED06A4" w:rsidP="00ED06A4">
      <w:pPr>
        <w:spacing w:after="0" w:line="480" w:lineRule="auto"/>
        <w:ind w:left="720" w:hanging="720"/>
      </w:pPr>
      <w:r>
        <w:t xml:space="preserve">Morrison, H. B. (1985). Caring teacher-pupil relationship: feminist or phenomenological. </w:t>
      </w:r>
      <w:r>
        <w:rPr>
          <w:iCs/>
        </w:rPr>
        <w:t xml:space="preserve">East Lansing, MI: National Center for Research on Teacher Learning. </w:t>
      </w:r>
      <w:proofErr w:type="gramStart"/>
      <w:r>
        <w:rPr>
          <w:iCs/>
        </w:rPr>
        <w:t>(ERIC Document Reproduction Service No.</w:t>
      </w:r>
      <w:proofErr w:type="gramEnd"/>
      <w:r>
        <w:rPr>
          <w:iCs/>
        </w:rPr>
        <w:t xml:space="preserve"> ED390860)</w:t>
      </w:r>
    </w:p>
    <w:p w:rsidR="00ED06A4" w:rsidRDefault="00ED06A4" w:rsidP="00ED06A4">
      <w:pPr>
        <w:spacing w:after="0" w:line="480" w:lineRule="auto"/>
        <w:ind w:left="720" w:hanging="720"/>
      </w:pPr>
      <w:proofErr w:type="spellStart"/>
      <w:r>
        <w:t>Muth</w:t>
      </w:r>
      <w:proofErr w:type="spellEnd"/>
      <w:r>
        <w:t xml:space="preserve">, B. (2008). Radical conversations: Part one-social-constructivist methods in the ABE classroom. </w:t>
      </w:r>
      <w:r>
        <w:rPr>
          <w:i/>
        </w:rPr>
        <w:t>Journal of Correctional Education, 59</w:t>
      </w:r>
      <w:r>
        <w:t>(3), 261-281.</w:t>
      </w:r>
    </w:p>
    <w:p w:rsidR="00ED06A4" w:rsidRDefault="00ED06A4" w:rsidP="00ED06A4">
      <w:pPr>
        <w:spacing w:after="0" w:line="480" w:lineRule="auto"/>
        <w:ind w:left="720" w:hanging="720"/>
      </w:pPr>
      <w:proofErr w:type="spellStart"/>
      <w:proofErr w:type="gramStart"/>
      <w:r>
        <w:t>Muth</w:t>
      </w:r>
      <w:proofErr w:type="spellEnd"/>
      <w:r>
        <w:t>, B., &amp; Kiser, M. (2008).</w:t>
      </w:r>
      <w:proofErr w:type="gramEnd"/>
      <w:r>
        <w:t xml:space="preserve"> Radical conversations: Part tow-cultivating social-constructivist methods in ABE classrooms. </w:t>
      </w:r>
      <w:r>
        <w:rPr>
          <w:i/>
        </w:rPr>
        <w:t>Journal of Correctional Education, 59</w:t>
      </w:r>
      <w:r>
        <w:t xml:space="preserve">(4), 349-364. </w:t>
      </w:r>
    </w:p>
    <w:p w:rsidR="00ED06A4" w:rsidRDefault="00ED06A4" w:rsidP="00ED06A4">
      <w:pPr>
        <w:spacing w:after="0" w:line="480" w:lineRule="auto"/>
        <w:ind w:left="720" w:hanging="720"/>
      </w:pPr>
      <w:proofErr w:type="spellStart"/>
      <w:r>
        <w:t>Niblett</w:t>
      </w:r>
      <w:proofErr w:type="spellEnd"/>
      <w:r>
        <w:t xml:space="preserve">, W. R. (1954). </w:t>
      </w:r>
      <w:proofErr w:type="gramStart"/>
      <w:r>
        <w:t>On existentialism and education.</w:t>
      </w:r>
      <w:proofErr w:type="gramEnd"/>
      <w:r>
        <w:t xml:space="preserve"> </w:t>
      </w:r>
      <w:r>
        <w:rPr>
          <w:i/>
          <w:iCs/>
        </w:rPr>
        <w:t>British Journal of Educational Studies, 2</w:t>
      </w:r>
      <w:r>
        <w:t>(2), 101-111.</w:t>
      </w:r>
    </w:p>
    <w:p w:rsidR="00ED06A4" w:rsidRDefault="00ED06A4" w:rsidP="00ED06A4">
      <w:pPr>
        <w:spacing w:after="0" w:line="480" w:lineRule="auto"/>
        <w:ind w:left="720" w:hanging="720"/>
      </w:pPr>
      <w:proofErr w:type="spellStart"/>
      <w:r>
        <w:t>Nutall</w:t>
      </w:r>
      <w:proofErr w:type="spellEnd"/>
      <w:r>
        <w:t xml:space="preserve">, J. (2003). </w:t>
      </w:r>
      <w:proofErr w:type="gramStart"/>
      <w:r>
        <w:rPr>
          <w:i/>
        </w:rPr>
        <w:t>The effect of earning a GED on recidivism rates</w:t>
      </w:r>
      <w:r>
        <w:t>.</w:t>
      </w:r>
      <w:proofErr w:type="gramEnd"/>
      <w:r>
        <w:t xml:space="preserve"> Retrieved from </w:t>
      </w:r>
      <w:hyperlink r:id="rId26" w:history="1">
        <w:r w:rsidRPr="00FE5070">
          <w:rPr>
            <w:rStyle w:val="Hyperlink"/>
            <w:color w:val="auto"/>
            <w:u w:val="none"/>
          </w:rPr>
          <w:t>http://www.essentialed.org/files/research/The_Effect_of_Earning_a_GED_on_Recidivisim_Rates.pdf</w:t>
        </w:r>
      </w:hyperlink>
      <w:r>
        <w:t xml:space="preserve"> </w:t>
      </w:r>
    </w:p>
    <w:p w:rsidR="00ED06A4" w:rsidRDefault="00ED06A4" w:rsidP="00ED06A4">
      <w:pPr>
        <w:spacing w:after="0" w:line="480" w:lineRule="auto"/>
        <w:ind w:left="720" w:hanging="720"/>
      </w:pPr>
      <w:proofErr w:type="spellStart"/>
      <w:proofErr w:type="gramStart"/>
      <w:r>
        <w:t>Oreshkina</w:t>
      </w:r>
      <w:proofErr w:type="spellEnd"/>
      <w:r>
        <w:t>, M., &amp; Greenberg, K. H. (2010).</w:t>
      </w:r>
      <w:proofErr w:type="gramEnd"/>
      <w:r>
        <w:t xml:space="preserve"> Teacher-student relationships: The meaning of teachers’ experience working with underachieving students. </w:t>
      </w:r>
      <w:r w:rsidRPr="001D04FF">
        <w:rPr>
          <w:i/>
        </w:rPr>
        <w:t>Journal of Pedagogy, 1</w:t>
      </w:r>
      <w:r>
        <w:t>(2), 52-66.</w:t>
      </w:r>
    </w:p>
    <w:p w:rsidR="00ED06A4" w:rsidRDefault="00ED06A4" w:rsidP="00ED06A4">
      <w:pPr>
        <w:spacing w:after="0" w:line="480" w:lineRule="auto"/>
        <w:ind w:left="720" w:hanging="720"/>
      </w:pPr>
      <w:proofErr w:type="gramStart"/>
      <w:r>
        <w:t xml:space="preserve">Parsons, M., &amp; </w:t>
      </w:r>
      <w:proofErr w:type="spellStart"/>
      <w:r>
        <w:t>Langenbach</w:t>
      </w:r>
      <w:proofErr w:type="spellEnd"/>
      <w:r>
        <w:t>, M. (1993).</w:t>
      </w:r>
      <w:proofErr w:type="gramEnd"/>
      <w:r>
        <w:t xml:space="preserve"> The reasons inmates indicate they participate in prison education programs: Another look at </w:t>
      </w:r>
      <w:proofErr w:type="spellStart"/>
      <w:r>
        <w:t>Boshler’s</w:t>
      </w:r>
      <w:proofErr w:type="spellEnd"/>
      <w:r>
        <w:t xml:space="preserve"> PEPS. </w:t>
      </w:r>
      <w:r>
        <w:rPr>
          <w:i/>
        </w:rPr>
        <w:t>Journal of Correctional Education, 44</w:t>
      </w:r>
      <w:r>
        <w:t>(1), 38-41.</w:t>
      </w:r>
    </w:p>
    <w:p w:rsidR="00ED06A4" w:rsidRDefault="00ED06A4" w:rsidP="00ED06A4">
      <w:pPr>
        <w:pStyle w:val="BodyText"/>
        <w:spacing w:after="0" w:line="480" w:lineRule="auto"/>
        <w:ind w:left="720" w:hanging="720"/>
        <w:rPr>
          <w:iCs/>
        </w:rPr>
      </w:pPr>
      <w:proofErr w:type="spellStart"/>
      <w:proofErr w:type="gramStart"/>
      <w:r>
        <w:rPr>
          <w:iCs/>
        </w:rPr>
        <w:lastRenderedPageBreak/>
        <w:t>Penuel</w:t>
      </w:r>
      <w:proofErr w:type="spellEnd"/>
      <w:r>
        <w:rPr>
          <w:iCs/>
        </w:rPr>
        <w:t>, W. R., Fishman, B. A., Yamaguchi, R., &amp; Gallagher, L. P. (2007).</w:t>
      </w:r>
      <w:proofErr w:type="gramEnd"/>
      <w:r>
        <w:rPr>
          <w:iCs/>
        </w:rPr>
        <w:t xml:space="preserve"> What makes professional development effective? </w:t>
      </w:r>
      <w:proofErr w:type="gramStart"/>
      <w:r>
        <w:rPr>
          <w:iCs/>
        </w:rPr>
        <w:t>Strategies that foster curriculum implementation.</w:t>
      </w:r>
      <w:proofErr w:type="gramEnd"/>
      <w:r>
        <w:rPr>
          <w:iCs/>
        </w:rPr>
        <w:t xml:space="preserve"> </w:t>
      </w:r>
      <w:r>
        <w:rPr>
          <w:i/>
        </w:rPr>
        <w:t>American Educational Research Journal, 44</w:t>
      </w:r>
      <w:r>
        <w:rPr>
          <w:iCs/>
        </w:rPr>
        <w:t>(4), 921-958.</w:t>
      </w:r>
    </w:p>
    <w:p w:rsidR="00ED06A4" w:rsidRDefault="00ED06A4" w:rsidP="00ED06A4">
      <w:pPr>
        <w:pStyle w:val="BodyText"/>
        <w:spacing w:after="0" w:line="480" w:lineRule="auto"/>
        <w:ind w:left="720" w:hanging="720"/>
        <w:rPr>
          <w:iCs/>
        </w:rPr>
      </w:pPr>
      <w:proofErr w:type="gramStart"/>
      <w:r>
        <w:t>Pearson, F. S., Lipton, D. S., Cleland, C. M., &amp; Yee, D. s. (2002).</w:t>
      </w:r>
      <w:proofErr w:type="gramEnd"/>
      <w:r>
        <w:t xml:space="preserve"> </w:t>
      </w:r>
      <w:proofErr w:type="gramStart"/>
      <w:r>
        <w:t>The effects of behavioral/cognitive behavioral programs on recidivism.</w:t>
      </w:r>
      <w:proofErr w:type="gramEnd"/>
      <w:r>
        <w:t xml:space="preserve"> </w:t>
      </w:r>
      <w:r>
        <w:rPr>
          <w:i/>
          <w:iCs/>
        </w:rPr>
        <w:t>Crime &amp; Delinquency, 48</w:t>
      </w:r>
      <w:r>
        <w:t>(3), 476-496.</w:t>
      </w:r>
    </w:p>
    <w:p w:rsidR="00ED06A4" w:rsidRDefault="00ED06A4" w:rsidP="00ED06A4">
      <w:pPr>
        <w:spacing w:after="0" w:line="480" w:lineRule="auto"/>
        <w:ind w:left="720" w:hanging="720"/>
      </w:pPr>
      <w:proofErr w:type="gramStart"/>
      <w:r>
        <w:t>Phillips, D. C. (1995).</w:t>
      </w:r>
      <w:proofErr w:type="gramEnd"/>
      <w:r>
        <w:t xml:space="preserve"> The good, the bad, and the ugly: The many faces of constructivism. </w:t>
      </w:r>
      <w:r>
        <w:rPr>
          <w:i/>
        </w:rPr>
        <w:t>American Educational Research Association, 24</w:t>
      </w:r>
      <w:r>
        <w:t>(7), 5-12.</w:t>
      </w:r>
    </w:p>
    <w:p w:rsidR="00ED06A4" w:rsidRDefault="00ED06A4" w:rsidP="00ED06A4">
      <w:pPr>
        <w:spacing w:after="0" w:line="480" w:lineRule="auto"/>
        <w:ind w:left="720" w:hanging="720"/>
      </w:pPr>
      <w:proofErr w:type="gramStart"/>
      <w:r>
        <w:t xml:space="preserve">Piper, W. E., </w:t>
      </w:r>
      <w:proofErr w:type="spellStart"/>
      <w:r>
        <w:t>Azim</w:t>
      </w:r>
      <w:proofErr w:type="spellEnd"/>
      <w:r>
        <w:t>, H. F. A., Joyce, A. S., &amp; McCallum, M. (1991).</w:t>
      </w:r>
      <w:proofErr w:type="gramEnd"/>
      <w:r>
        <w:t xml:space="preserve"> </w:t>
      </w:r>
      <w:proofErr w:type="gramStart"/>
      <w:r>
        <w:t>Transference interpretations, therapeutic alliance, and outcome in short-term individual psychotherapy.</w:t>
      </w:r>
      <w:proofErr w:type="gramEnd"/>
      <w:r>
        <w:t xml:space="preserve"> </w:t>
      </w:r>
      <w:r>
        <w:rPr>
          <w:i/>
        </w:rPr>
        <w:t>Archives of General Psychiatry, 48</w:t>
      </w:r>
      <w:r>
        <w:t>, 946-953.</w:t>
      </w:r>
    </w:p>
    <w:p w:rsidR="00ED06A4" w:rsidRDefault="00ED06A4" w:rsidP="00ED06A4">
      <w:pPr>
        <w:spacing w:after="0" w:line="480" w:lineRule="auto"/>
        <w:ind w:left="720" w:hanging="720"/>
        <w:rPr>
          <w:szCs w:val="24"/>
        </w:rPr>
      </w:pPr>
      <w:proofErr w:type="spellStart"/>
      <w:proofErr w:type="gramStart"/>
      <w:r>
        <w:t>Polkinghorne</w:t>
      </w:r>
      <w:proofErr w:type="spellEnd"/>
      <w:r>
        <w:t>, D. E. (1989).</w:t>
      </w:r>
      <w:proofErr w:type="gramEnd"/>
      <w:r>
        <w:t xml:space="preserve"> </w:t>
      </w:r>
      <w:proofErr w:type="gramStart"/>
      <w:r>
        <w:t>Phenomenological research methods.</w:t>
      </w:r>
      <w:proofErr w:type="gramEnd"/>
      <w:r>
        <w:t xml:space="preserve"> </w:t>
      </w:r>
      <w:r>
        <w:rPr>
          <w:szCs w:val="24"/>
        </w:rPr>
        <w:t xml:space="preserve">In R. S. Valle, &amp; S. </w:t>
      </w:r>
      <w:proofErr w:type="spellStart"/>
      <w:r>
        <w:rPr>
          <w:szCs w:val="24"/>
        </w:rPr>
        <w:t>Halling</w:t>
      </w:r>
      <w:proofErr w:type="spellEnd"/>
      <w:r>
        <w:rPr>
          <w:szCs w:val="24"/>
        </w:rPr>
        <w:t xml:space="preserve"> (Eds.), </w:t>
      </w:r>
      <w:r>
        <w:rPr>
          <w:i/>
          <w:iCs/>
          <w:szCs w:val="24"/>
        </w:rPr>
        <w:t>Existential-phenomenological perspectives in psychology: Exploring the breadth of human experience</w:t>
      </w:r>
      <w:r>
        <w:rPr>
          <w:szCs w:val="24"/>
        </w:rPr>
        <w:t xml:space="preserve"> (pp. 41-60). New York, NY: Plenum Press. </w:t>
      </w:r>
    </w:p>
    <w:p w:rsidR="00ED06A4" w:rsidRDefault="00ED06A4" w:rsidP="00ED06A4">
      <w:pPr>
        <w:pStyle w:val="BodyText"/>
        <w:spacing w:after="0" w:line="480" w:lineRule="auto"/>
        <w:ind w:left="720" w:hanging="720"/>
        <w:rPr>
          <w:iCs/>
        </w:rPr>
      </w:pPr>
      <w:proofErr w:type="gramStart"/>
      <w:r>
        <w:rPr>
          <w:iCs/>
        </w:rPr>
        <w:t xml:space="preserve">Porter, A. C., </w:t>
      </w:r>
      <w:proofErr w:type="spellStart"/>
      <w:r>
        <w:rPr>
          <w:iCs/>
        </w:rPr>
        <w:t>Garet</w:t>
      </w:r>
      <w:proofErr w:type="spellEnd"/>
      <w:r>
        <w:rPr>
          <w:iCs/>
        </w:rPr>
        <w:t xml:space="preserve">, M. S., </w:t>
      </w:r>
      <w:proofErr w:type="spellStart"/>
      <w:r>
        <w:rPr>
          <w:iCs/>
        </w:rPr>
        <w:t>Desimones</w:t>
      </w:r>
      <w:proofErr w:type="spellEnd"/>
      <w:r>
        <w:rPr>
          <w:iCs/>
        </w:rPr>
        <w:t xml:space="preserve">, L., Yoon, K. S., &amp; </w:t>
      </w:r>
      <w:proofErr w:type="spellStart"/>
      <w:r>
        <w:rPr>
          <w:iCs/>
        </w:rPr>
        <w:t>Birman</w:t>
      </w:r>
      <w:proofErr w:type="spellEnd"/>
      <w:r>
        <w:rPr>
          <w:iCs/>
        </w:rPr>
        <w:t>, B. F. (2000).</w:t>
      </w:r>
      <w:proofErr w:type="gramEnd"/>
      <w:r>
        <w:rPr>
          <w:iCs/>
        </w:rPr>
        <w:t xml:space="preserve"> </w:t>
      </w:r>
      <w:r>
        <w:rPr>
          <w:i/>
        </w:rPr>
        <w:t xml:space="preserve">Does professional development change teaching practice? </w:t>
      </w:r>
      <w:proofErr w:type="gramStart"/>
      <w:r>
        <w:rPr>
          <w:i/>
        </w:rPr>
        <w:t>Results from a three-year study</w:t>
      </w:r>
      <w:r>
        <w:rPr>
          <w:iCs/>
        </w:rPr>
        <w:t>.</w:t>
      </w:r>
      <w:proofErr w:type="gramEnd"/>
      <w:r>
        <w:rPr>
          <w:iCs/>
        </w:rPr>
        <w:t xml:space="preserve"> Washington, DC: U. S. Department of Education.</w:t>
      </w:r>
    </w:p>
    <w:p w:rsidR="00ED06A4" w:rsidRDefault="00ED06A4" w:rsidP="00ED06A4">
      <w:pPr>
        <w:spacing w:after="0" w:line="480" w:lineRule="auto"/>
        <w:ind w:left="720" w:hanging="720"/>
      </w:pPr>
      <w:proofErr w:type="spellStart"/>
      <w:r>
        <w:t>Reischmann</w:t>
      </w:r>
      <w:proofErr w:type="spellEnd"/>
      <w:r>
        <w:t xml:space="preserve">, J. (2004, September 9). </w:t>
      </w:r>
      <w:proofErr w:type="spellStart"/>
      <w:r>
        <w:rPr>
          <w:i/>
          <w:iCs/>
        </w:rPr>
        <w:t>Andragogy</w:t>
      </w:r>
      <w:proofErr w:type="spellEnd"/>
      <w:r>
        <w:rPr>
          <w:i/>
          <w:iCs/>
        </w:rPr>
        <w:t>: History, meaning, context, function</w:t>
      </w:r>
      <w:r>
        <w:t>. Retrieved from</w:t>
      </w:r>
      <w:r w:rsidRPr="00C24501">
        <w:t xml:space="preserve"> </w:t>
      </w:r>
      <w:hyperlink r:id="rId27" w:history="1">
        <w:r w:rsidRPr="00FE5070">
          <w:rPr>
            <w:rStyle w:val="Hyperlink"/>
            <w:color w:val="auto"/>
            <w:u w:val="none"/>
          </w:rPr>
          <w:t>http://www.andragogy.net</w:t>
        </w:r>
      </w:hyperlink>
    </w:p>
    <w:p w:rsidR="00ED06A4" w:rsidRDefault="00ED06A4" w:rsidP="00ED06A4">
      <w:pPr>
        <w:spacing w:after="0" w:line="480" w:lineRule="auto"/>
        <w:ind w:left="720" w:hanging="720"/>
      </w:pPr>
      <w:proofErr w:type="spellStart"/>
      <w:r>
        <w:t>Ricoeur</w:t>
      </w:r>
      <w:proofErr w:type="spellEnd"/>
      <w:r>
        <w:t xml:space="preserve">, P. (1967). </w:t>
      </w:r>
      <w:r>
        <w:rPr>
          <w:i/>
        </w:rPr>
        <w:t>Husserl: An analysis of his phenomenology</w:t>
      </w:r>
      <w:r>
        <w:t>. Evanston, IL: Northwestern University Press.</w:t>
      </w:r>
    </w:p>
    <w:p w:rsidR="00ED06A4" w:rsidRDefault="00ED06A4" w:rsidP="00ED06A4">
      <w:pPr>
        <w:spacing w:after="0" w:line="480" w:lineRule="auto"/>
        <w:ind w:left="720" w:hanging="720"/>
      </w:pPr>
      <w:proofErr w:type="gramStart"/>
      <w:r>
        <w:lastRenderedPageBreak/>
        <w:t>Robertson, D. L. (1999).</w:t>
      </w:r>
      <w:proofErr w:type="gramEnd"/>
      <w:r>
        <w:t xml:space="preserve"> Unconscious displacements in college teacher and student relationships: Conceptualizing, identifying, and managing transference. </w:t>
      </w:r>
      <w:r w:rsidRPr="000F7673">
        <w:rPr>
          <w:i/>
        </w:rPr>
        <w:t>Innovative Higher Education, 23</w:t>
      </w:r>
      <w:r>
        <w:t>(3), 151-169.</w:t>
      </w:r>
    </w:p>
    <w:p w:rsidR="00ED06A4" w:rsidRDefault="00ED06A4" w:rsidP="00ED06A4">
      <w:pPr>
        <w:spacing w:after="0" w:line="480" w:lineRule="auto"/>
        <w:ind w:left="720" w:hanging="720"/>
      </w:pPr>
      <w:proofErr w:type="spellStart"/>
      <w:r>
        <w:t>Rockhill</w:t>
      </w:r>
      <w:proofErr w:type="spellEnd"/>
      <w:r>
        <w:t xml:space="preserve">, K. (1982). </w:t>
      </w:r>
      <w:proofErr w:type="gramStart"/>
      <w:r>
        <w:t>Researching participation in adult education: The potential of the qualitative perspective.</w:t>
      </w:r>
      <w:proofErr w:type="gramEnd"/>
      <w:r>
        <w:t xml:space="preserve"> </w:t>
      </w:r>
      <w:r>
        <w:rPr>
          <w:i/>
          <w:iCs/>
        </w:rPr>
        <w:t>Adult Education, 33</w:t>
      </w:r>
      <w:r>
        <w:t>(1), 3-19.</w:t>
      </w:r>
    </w:p>
    <w:p w:rsidR="00ED06A4" w:rsidRDefault="00ED06A4" w:rsidP="00ED06A4">
      <w:pPr>
        <w:spacing w:after="0" w:line="480" w:lineRule="auto"/>
        <w:ind w:left="720" w:hanging="720"/>
      </w:pPr>
      <w:proofErr w:type="gramStart"/>
      <w:r>
        <w:t>Rose</w:t>
      </w:r>
      <w:proofErr w:type="gramEnd"/>
      <w:r>
        <w:t xml:space="preserve">, C. (2004). </w:t>
      </w:r>
      <w:proofErr w:type="spellStart"/>
      <w:r>
        <w:t>Womens</w:t>
      </w:r>
      <w:proofErr w:type="spellEnd"/>
      <w:r>
        <w:t xml:space="preserve">’ participation in prison education: What we know and what we don’t know. </w:t>
      </w:r>
      <w:r>
        <w:rPr>
          <w:i/>
        </w:rPr>
        <w:t>Journal of Correctional Education, 55</w:t>
      </w:r>
      <w:r>
        <w:t>(1), 78-100.</w:t>
      </w:r>
    </w:p>
    <w:p w:rsidR="00ED06A4" w:rsidRPr="0053474D" w:rsidRDefault="00ED06A4" w:rsidP="00ED06A4">
      <w:pPr>
        <w:spacing w:after="0" w:line="480" w:lineRule="auto"/>
        <w:ind w:left="720" w:hanging="720"/>
      </w:pPr>
      <w:proofErr w:type="spellStart"/>
      <w:proofErr w:type="gramStart"/>
      <w:r>
        <w:t>Rottman</w:t>
      </w:r>
      <w:proofErr w:type="spellEnd"/>
      <w:r>
        <w:t>, D., &amp; Casey, P. (1999).</w:t>
      </w:r>
      <w:proofErr w:type="gramEnd"/>
      <w:r>
        <w:t xml:space="preserve"> </w:t>
      </w:r>
      <w:proofErr w:type="gramStart"/>
      <w:r>
        <w:rPr>
          <w:i/>
        </w:rPr>
        <w:t>Therapeutic jurisprudence and the emergence of the problem-solving courts</w:t>
      </w:r>
      <w:r>
        <w:t>.</w:t>
      </w:r>
      <w:proofErr w:type="gramEnd"/>
      <w:r>
        <w:t xml:space="preserve"> Retrieved from </w:t>
      </w:r>
      <w:hyperlink r:id="rId28" w:history="1">
        <w:r w:rsidRPr="00FE5070">
          <w:rPr>
            <w:rStyle w:val="Hyperlink"/>
            <w:color w:val="auto"/>
            <w:u w:val="none"/>
          </w:rPr>
          <w:t>http://www.floridatac.org/files/documents/ Res_ProSol_TJProbSolvCrtNIJPub.pdf</w:t>
        </w:r>
      </w:hyperlink>
      <w:r w:rsidRPr="0053474D">
        <w:t xml:space="preserve"> </w:t>
      </w:r>
    </w:p>
    <w:p w:rsidR="00ED06A4" w:rsidRDefault="00ED06A4" w:rsidP="00ED06A4">
      <w:pPr>
        <w:spacing w:after="0" w:line="480" w:lineRule="auto"/>
        <w:ind w:left="720" w:hanging="720"/>
      </w:pPr>
      <w:r>
        <w:t xml:space="preserve">Roy, S. (2004). Factors related to success and recidivism in a day reporting center. </w:t>
      </w:r>
      <w:proofErr w:type="gramStart"/>
      <w:r>
        <w:t>Criminal Justice Studies.</w:t>
      </w:r>
      <w:proofErr w:type="gramEnd"/>
      <w:r>
        <w:t xml:space="preserve"> </w:t>
      </w:r>
      <w:r>
        <w:rPr>
          <w:i/>
        </w:rPr>
        <w:t>Justice Professional, 17</w:t>
      </w:r>
      <w:r>
        <w:t>(1), 3-17.</w:t>
      </w:r>
    </w:p>
    <w:p w:rsidR="00ED06A4" w:rsidRPr="0053474D" w:rsidRDefault="00ED06A4" w:rsidP="00ED06A4">
      <w:pPr>
        <w:pStyle w:val="BodyTextIndent"/>
        <w:spacing w:after="0" w:line="480" w:lineRule="auto"/>
        <w:ind w:left="720" w:hanging="720"/>
        <w:rPr>
          <w:szCs w:val="24"/>
        </w:rPr>
      </w:pPr>
      <w:proofErr w:type="spellStart"/>
      <w:r>
        <w:t>Rumi</w:t>
      </w:r>
      <w:proofErr w:type="spellEnd"/>
      <w:r>
        <w:t>,</w:t>
      </w:r>
      <w:r w:rsidRPr="0053474D">
        <w:t xml:space="preserve"> J. (</w:t>
      </w:r>
      <w:proofErr w:type="spellStart"/>
      <w:r w:rsidRPr="0053474D">
        <w:t>n.d</w:t>
      </w:r>
      <w:proofErr w:type="spellEnd"/>
      <w:r w:rsidRPr="0053474D">
        <w:t xml:space="preserve">.) I went to the beloved’s door. Retrieved from </w:t>
      </w:r>
      <w:hyperlink r:id="rId29" w:history="1">
        <w:r w:rsidRPr="00FE5070">
          <w:rPr>
            <w:rStyle w:val="Hyperlink"/>
            <w:rFonts w:eastAsia="Calibri"/>
            <w:color w:val="auto"/>
            <w:szCs w:val="24"/>
            <w:u w:val="none"/>
          </w:rPr>
          <w:t>http://www.indranet.com/potpourri/ poetry/</w:t>
        </w:r>
        <w:proofErr w:type="spellStart"/>
        <w:r w:rsidRPr="00FE5070">
          <w:rPr>
            <w:rStyle w:val="Hyperlink"/>
            <w:rFonts w:eastAsia="Calibri"/>
            <w:color w:val="auto"/>
            <w:szCs w:val="24"/>
            <w:u w:val="none"/>
          </w:rPr>
          <w:t>rumi</w:t>
        </w:r>
        <w:proofErr w:type="spellEnd"/>
        <w:r w:rsidRPr="00FE5070">
          <w:rPr>
            <w:rStyle w:val="Hyperlink"/>
            <w:rFonts w:eastAsia="Calibri"/>
            <w:color w:val="auto"/>
            <w:szCs w:val="24"/>
            <w:u w:val="none"/>
          </w:rPr>
          <w:t>/rumi5.html</w:t>
        </w:r>
      </w:hyperlink>
    </w:p>
    <w:p w:rsidR="00ED06A4" w:rsidRDefault="00ED06A4" w:rsidP="00ED06A4">
      <w:pPr>
        <w:spacing w:after="0" w:line="480" w:lineRule="auto"/>
        <w:ind w:left="720" w:hanging="720"/>
      </w:pPr>
      <w:proofErr w:type="spellStart"/>
      <w:proofErr w:type="gramStart"/>
      <w:r>
        <w:t>Seddon</w:t>
      </w:r>
      <w:proofErr w:type="spellEnd"/>
      <w:r>
        <w:t>, T. (2007).</w:t>
      </w:r>
      <w:proofErr w:type="gramEnd"/>
      <w:r>
        <w:t xml:space="preserve"> Coerced drug treatment in the criminal justice system: Conceptual, ethical and criminological issues. </w:t>
      </w:r>
      <w:r>
        <w:rPr>
          <w:i/>
        </w:rPr>
        <w:t>Criminology and Criminal Justice, 7</w:t>
      </w:r>
      <w:r>
        <w:t>(3), 269-286.</w:t>
      </w:r>
    </w:p>
    <w:p w:rsidR="00ED06A4" w:rsidRDefault="00ED06A4" w:rsidP="00ED06A4">
      <w:pPr>
        <w:spacing w:after="0" w:line="480" w:lineRule="auto"/>
        <w:ind w:left="720" w:hanging="720"/>
      </w:pPr>
      <w:proofErr w:type="spellStart"/>
      <w:r>
        <w:t>Segall</w:t>
      </w:r>
      <w:proofErr w:type="spellEnd"/>
      <w:r>
        <w:t xml:space="preserve">, R. G. (1989). Thick descriptions: A tool for designing ethnographic interactive videodiscs. </w:t>
      </w:r>
      <w:r>
        <w:rPr>
          <w:i/>
        </w:rPr>
        <w:t>ACM SIGCHI Bulletin, 21</w:t>
      </w:r>
      <w:r>
        <w:t>(2), 118-122.</w:t>
      </w:r>
    </w:p>
    <w:p w:rsidR="00ED06A4" w:rsidRDefault="00ED06A4" w:rsidP="00ED06A4">
      <w:pPr>
        <w:spacing w:after="0" w:line="480" w:lineRule="auto"/>
        <w:ind w:left="720" w:hanging="720"/>
      </w:pPr>
      <w:r>
        <w:t xml:space="preserve">Schlesinger, R. (2005). Better myself: Motivation for African-Americans to participate in correctional education. </w:t>
      </w:r>
      <w:r>
        <w:rPr>
          <w:i/>
        </w:rPr>
        <w:t>Journal of Correctional Education, 56</w:t>
      </w:r>
      <w:r>
        <w:t>(3), 228-251.</w:t>
      </w:r>
    </w:p>
    <w:p w:rsidR="00ED06A4" w:rsidRDefault="00ED06A4" w:rsidP="00ED06A4">
      <w:pPr>
        <w:spacing w:after="0" w:line="480" w:lineRule="auto"/>
        <w:ind w:left="720" w:hanging="720"/>
      </w:pPr>
      <w:proofErr w:type="spellStart"/>
      <w:proofErr w:type="gramStart"/>
      <w:r>
        <w:t>Shayer</w:t>
      </w:r>
      <w:proofErr w:type="spellEnd"/>
      <w:r>
        <w:t>, M. (2003).</w:t>
      </w:r>
      <w:proofErr w:type="gramEnd"/>
      <w:r>
        <w:t xml:space="preserve"> Not just Piaget; not just </w:t>
      </w:r>
      <w:proofErr w:type="spellStart"/>
      <w:r>
        <w:t>Vygotsky</w:t>
      </w:r>
      <w:proofErr w:type="spellEnd"/>
      <w:r>
        <w:t xml:space="preserve">, and certainly not </w:t>
      </w:r>
      <w:proofErr w:type="spellStart"/>
      <w:r>
        <w:t>Vygotsky</w:t>
      </w:r>
      <w:proofErr w:type="spellEnd"/>
      <w:r>
        <w:t xml:space="preserve"> as alternative to Piaget. </w:t>
      </w:r>
      <w:r>
        <w:rPr>
          <w:i/>
        </w:rPr>
        <w:t>Learning and Instruction, 13</w:t>
      </w:r>
      <w:r>
        <w:t>(1), 465-485.</w:t>
      </w:r>
    </w:p>
    <w:p w:rsidR="00ED06A4" w:rsidRDefault="00ED06A4" w:rsidP="00ED06A4">
      <w:pPr>
        <w:spacing w:after="0" w:line="480" w:lineRule="auto"/>
        <w:ind w:left="720" w:hanging="720"/>
      </w:pPr>
      <w:r>
        <w:lastRenderedPageBreak/>
        <w:t xml:space="preserve">Sherman, L. W., </w:t>
      </w:r>
      <w:proofErr w:type="spellStart"/>
      <w:r>
        <w:t>Gottfredson</w:t>
      </w:r>
      <w:proofErr w:type="spellEnd"/>
      <w:r>
        <w:t xml:space="preserve">, D., </w:t>
      </w:r>
      <w:proofErr w:type="spellStart"/>
      <w:r>
        <w:t>MacKenzie</w:t>
      </w:r>
      <w:proofErr w:type="spellEnd"/>
      <w:r>
        <w:t xml:space="preserve">, D., Eck, J., Reuter, P., &amp; </w:t>
      </w:r>
      <w:proofErr w:type="spellStart"/>
      <w:r>
        <w:t>Bushway</w:t>
      </w:r>
      <w:proofErr w:type="spellEnd"/>
      <w:r>
        <w:t xml:space="preserve">, S. (1998). </w:t>
      </w:r>
      <w:proofErr w:type="gramStart"/>
      <w:r>
        <w:rPr>
          <w:i/>
          <w:iCs/>
        </w:rPr>
        <w:t>Preventing crime: What works, what doesn’t, what’s promising</w:t>
      </w:r>
      <w:r>
        <w:t>.</w:t>
      </w:r>
      <w:proofErr w:type="gramEnd"/>
      <w:r>
        <w:t xml:space="preserve"> Retrieved from http://www.acro.com.au/Reports/Sherman%20Preventing%20Crime.pdf</w:t>
      </w:r>
    </w:p>
    <w:p w:rsidR="00ED06A4" w:rsidRDefault="00ED06A4" w:rsidP="00ED06A4">
      <w:pPr>
        <w:spacing w:after="0" w:line="480" w:lineRule="auto"/>
        <w:ind w:left="720" w:hanging="720"/>
      </w:pPr>
      <w:proofErr w:type="spellStart"/>
      <w:r>
        <w:t>Shivy</w:t>
      </w:r>
      <w:proofErr w:type="spellEnd"/>
      <w:r>
        <w:t xml:space="preserve">, V. A., Wu, J. J., Moon, A. E., Mann, S. C. Holland, J. G., &amp; </w:t>
      </w:r>
      <w:proofErr w:type="spellStart"/>
      <w:r>
        <w:t>Eacho</w:t>
      </w:r>
      <w:proofErr w:type="spellEnd"/>
      <w:r>
        <w:t xml:space="preserve">, C. (2007). </w:t>
      </w:r>
      <w:proofErr w:type="gramStart"/>
      <w:r>
        <w:t>Ex-offenders reentering the workforce.</w:t>
      </w:r>
      <w:proofErr w:type="gramEnd"/>
      <w:r>
        <w:t xml:space="preserve"> </w:t>
      </w:r>
      <w:proofErr w:type="gramStart"/>
      <w:r>
        <w:rPr>
          <w:i/>
        </w:rPr>
        <w:t>Journal of Counseling Psychology, 54</w:t>
      </w:r>
      <w:r>
        <w:t>(4), 466-473.</w:t>
      </w:r>
      <w:proofErr w:type="gramEnd"/>
    </w:p>
    <w:p w:rsidR="00ED06A4" w:rsidRDefault="00ED06A4" w:rsidP="00ED06A4">
      <w:pPr>
        <w:pStyle w:val="BodyText"/>
        <w:spacing w:after="0" w:line="480" w:lineRule="auto"/>
        <w:ind w:left="720" w:hanging="720"/>
        <w:rPr>
          <w:iCs/>
          <w:szCs w:val="12"/>
        </w:rPr>
      </w:pPr>
      <w:proofErr w:type="gramStart"/>
      <w:r>
        <w:rPr>
          <w:iCs/>
        </w:rPr>
        <w:t>Smith, C., &amp; Gillespie, M. (2007).</w:t>
      </w:r>
      <w:proofErr w:type="gramEnd"/>
      <w:r>
        <w:rPr>
          <w:iCs/>
        </w:rPr>
        <w:t xml:space="preserve"> Research on professional development and teacher change: Implications for adult basic education. </w:t>
      </w:r>
      <w:r>
        <w:rPr>
          <w:iCs/>
          <w:szCs w:val="12"/>
        </w:rPr>
        <w:t xml:space="preserve">In J. Comings, B. Garner, &amp; C. Smith (Eds.), </w:t>
      </w:r>
      <w:r>
        <w:rPr>
          <w:i/>
          <w:szCs w:val="12"/>
        </w:rPr>
        <w:t>Annual review of adult learning and literacy: Vol. 7</w:t>
      </w:r>
      <w:r>
        <w:rPr>
          <w:iCs/>
          <w:szCs w:val="12"/>
        </w:rPr>
        <w:t xml:space="preserve"> (pp. 295–244). Hills-dale, NJ: Lawrence Erlbaum Associates.</w:t>
      </w:r>
    </w:p>
    <w:p w:rsidR="00ED06A4" w:rsidRDefault="00ED06A4" w:rsidP="00ED06A4">
      <w:pPr>
        <w:spacing w:after="0" w:line="480" w:lineRule="auto"/>
        <w:ind w:left="720" w:hanging="720"/>
      </w:pPr>
      <w:r>
        <w:t xml:space="preserve">Smith, J. (2005). </w:t>
      </w:r>
      <w:proofErr w:type="spellStart"/>
      <w:proofErr w:type="gramStart"/>
      <w:r>
        <w:t>Merleau</w:t>
      </w:r>
      <w:proofErr w:type="spellEnd"/>
      <w:r>
        <w:t>-</w:t>
      </w:r>
      <w:proofErr w:type="spellStart"/>
      <w:r>
        <w:t>Ponty</w:t>
      </w:r>
      <w:proofErr w:type="spellEnd"/>
      <w:r>
        <w:t xml:space="preserve"> and the phenomenological reduction.</w:t>
      </w:r>
      <w:proofErr w:type="gramEnd"/>
      <w:r>
        <w:t xml:space="preserve"> </w:t>
      </w:r>
      <w:proofErr w:type="spellStart"/>
      <w:r>
        <w:t>Inquirey</w:t>
      </w:r>
      <w:proofErr w:type="spellEnd"/>
      <w:r>
        <w:t xml:space="preserve">, 48(6), 553-571. </w:t>
      </w:r>
      <w:proofErr w:type="spellStart"/>
      <w:proofErr w:type="gramStart"/>
      <w:r>
        <w:t>doi</w:t>
      </w:r>
      <w:proofErr w:type="spellEnd"/>
      <w:proofErr w:type="gramEnd"/>
      <w:r>
        <w:t>: 10.1080/00201740500321227</w:t>
      </w:r>
    </w:p>
    <w:p w:rsidR="00ED06A4" w:rsidRDefault="00ED06A4" w:rsidP="00ED06A4">
      <w:pPr>
        <w:spacing w:after="0" w:line="480" w:lineRule="auto"/>
        <w:ind w:left="720" w:hanging="720"/>
      </w:pPr>
      <w:r>
        <w:t xml:space="preserve">Solomon, R. C. (1972). Introduction: What is </w:t>
      </w:r>
      <w:proofErr w:type="gramStart"/>
      <w:r>
        <w:t>phenomenology.</w:t>
      </w:r>
      <w:proofErr w:type="gramEnd"/>
      <w:r>
        <w:t xml:space="preserve"> </w:t>
      </w:r>
      <w:proofErr w:type="gramStart"/>
      <w:r>
        <w:t xml:space="preserve">In R. C. Solomon (Ed.), </w:t>
      </w:r>
      <w:r>
        <w:rPr>
          <w:i/>
          <w:iCs/>
        </w:rPr>
        <w:t>Phenomenology and existentialism</w:t>
      </w:r>
      <w:r>
        <w:t>.</w:t>
      </w:r>
      <w:proofErr w:type="gramEnd"/>
      <w:r>
        <w:t xml:space="preserve"> Lanham, MD: </w:t>
      </w:r>
      <w:proofErr w:type="spellStart"/>
      <w:r>
        <w:t>Rowman</w:t>
      </w:r>
      <w:proofErr w:type="spellEnd"/>
      <w:r>
        <w:t xml:space="preserve"> &amp; Littlefield Publishers. </w:t>
      </w:r>
    </w:p>
    <w:p w:rsidR="00ED06A4" w:rsidRDefault="00ED06A4" w:rsidP="00ED06A4">
      <w:pPr>
        <w:spacing w:after="0" w:line="480" w:lineRule="auto"/>
        <w:ind w:left="720" w:hanging="720"/>
      </w:pPr>
      <w:r>
        <w:t xml:space="preserve">Speck, M. (1998). Best practices in professional development for sustained educational change. </w:t>
      </w:r>
      <w:r>
        <w:rPr>
          <w:i/>
        </w:rPr>
        <w:t>ERS Spectrum, 14</w:t>
      </w:r>
      <w:r>
        <w:t>(2), 33-41.</w:t>
      </w:r>
    </w:p>
    <w:p w:rsidR="00ED06A4" w:rsidRDefault="00ED06A4" w:rsidP="00ED06A4">
      <w:pPr>
        <w:spacing w:after="0" w:line="480" w:lineRule="auto"/>
        <w:ind w:left="720" w:hanging="720"/>
      </w:pPr>
      <w:proofErr w:type="spellStart"/>
      <w:r>
        <w:t>Spiegelberg</w:t>
      </w:r>
      <w:proofErr w:type="spellEnd"/>
      <w:r>
        <w:t xml:space="preserve">, H. (1960). </w:t>
      </w:r>
      <w:proofErr w:type="gramStart"/>
      <w:r>
        <w:t>Husserl’s phenomenology and existentialism.</w:t>
      </w:r>
      <w:proofErr w:type="gramEnd"/>
      <w:r>
        <w:t xml:space="preserve"> </w:t>
      </w:r>
      <w:r>
        <w:rPr>
          <w:i/>
          <w:iCs/>
        </w:rPr>
        <w:t>The Journal of Philosophy, 57</w:t>
      </w:r>
      <w:r>
        <w:t>(2), 62-74.</w:t>
      </w:r>
    </w:p>
    <w:p w:rsidR="00ED06A4" w:rsidRDefault="00ED06A4" w:rsidP="00ED06A4">
      <w:pPr>
        <w:spacing w:after="0" w:line="480" w:lineRule="auto"/>
        <w:ind w:left="720" w:hanging="720"/>
      </w:pPr>
      <w:proofErr w:type="spellStart"/>
      <w:r>
        <w:t>Spiegelberg</w:t>
      </w:r>
      <w:proofErr w:type="spellEnd"/>
      <w:r>
        <w:t xml:space="preserve">, H. (1972). </w:t>
      </w:r>
      <w:r>
        <w:rPr>
          <w:i/>
          <w:iCs/>
        </w:rPr>
        <w:t>Phenomenology in psychology and psychiatry: An historical introduction</w:t>
      </w:r>
      <w:r>
        <w:t>. Evanston, IL: Northwestern University Press.</w:t>
      </w:r>
    </w:p>
    <w:p w:rsidR="00ED06A4" w:rsidRDefault="00ED06A4" w:rsidP="00ED06A4">
      <w:pPr>
        <w:spacing w:after="0" w:line="480" w:lineRule="auto"/>
        <w:ind w:left="720" w:hanging="720"/>
      </w:pPr>
      <w:r>
        <w:t xml:space="preserve">Spielberg, H. (1975). </w:t>
      </w:r>
      <w:proofErr w:type="gramStart"/>
      <w:r>
        <w:rPr>
          <w:i/>
          <w:iCs/>
        </w:rPr>
        <w:t>Doing phenomenology: Essays on and in phenomenology</w:t>
      </w:r>
      <w:r>
        <w:t>.</w:t>
      </w:r>
      <w:proofErr w:type="gramEnd"/>
      <w:r>
        <w:t xml:space="preserve"> The Hague: </w:t>
      </w:r>
      <w:proofErr w:type="spellStart"/>
      <w:r>
        <w:t>Martinus</w:t>
      </w:r>
      <w:proofErr w:type="spellEnd"/>
      <w:r>
        <w:t xml:space="preserve"> </w:t>
      </w:r>
      <w:proofErr w:type="spellStart"/>
      <w:r>
        <w:t>Nijhoff</w:t>
      </w:r>
      <w:proofErr w:type="spellEnd"/>
      <w:r>
        <w:t>.</w:t>
      </w:r>
    </w:p>
    <w:p w:rsidR="00ED06A4" w:rsidRDefault="00ED06A4" w:rsidP="00ED06A4">
      <w:pPr>
        <w:spacing w:after="0" w:line="480" w:lineRule="auto"/>
        <w:ind w:left="720" w:hanging="720"/>
      </w:pPr>
      <w:proofErr w:type="spellStart"/>
      <w:r>
        <w:t>Stanage</w:t>
      </w:r>
      <w:proofErr w:type="spellEnd"/>
      <w:r>
        <w:t xml:space="preserve">, S. M. (1987). </w:t>
      </w:r>
      <w:r>
        <w:rPr>
          <w:i/>
          <w:iCs/>
        </w:rPr>
        <w:t>Adult education and phenomenological research: New directions for theory, practice, and research</w:t>
      </w:r>
      <w:r>
        <w:t>. Malabar, FL: Robert E. Krieger Publishing Company.</w:t>
      </w:r>
    </w:p>
    <w:p w:rsidR="00ED06A4" w:rsidRDefault="00ED06A4" w:rsidP="00ED06A4">
      <w:pPr>
        <w:spacing w:after="0" w:line="480" w:lineRule="auto"/>
        <w:ind w:left="720" w:hanging="720"/>
      </w:pPr>
      <w:proofErr w:type="gramStart"/>
      <w:r>
        <w:lastRenderedPageBreak/>
        <w:t>State of Tennessee Board of Probation and Parole.</w:t>
      </w:r>
      <w:proofErr w:type="gramEnd"/>
      <w:r>
        <w:t xml:space="preserve"> (2010). </w:t>
      </w:r>
      <w:r>
        <w:rPr>
          <w:i/>
        </w:rPr>
        <w:t>Annual report: 2009-2010</w:t>
      </w:r>
      <w:r>
        <w:t>. Retrieved from http://www.tn.gov/bopp/Docs/ANNUAL%20REPORT%202009-2010.PDF</w:t>
      </w:r>
    </w:p>
    <w:p w:rsidR="00ED06A4" w:rsidRDefault="00ED06A4" w:rsidP="00ED06A4">
      <w:pPr>
        <w:spacing w:after="0" w:line="480" w:lineRule="auto"/>
        <w:ind w:left="720" w:hanging="720"/>
      </w:pPr>
      <w:r>
        <w:rPr>
          <w:iCs/>
        </w:rPr>
        <w:t xml:space="preserve">St. Clair, R. (2004). </w:t>
      </w:r>
      <w:proofErr w:type="gramStart"/>
      <w:r>
        <w:rPr>
          <w:iCs/>
        </w:rPr>
        <w:t>A beautiful friendship?</w:t>
      </w:r>
      <w:proofErr w:type="gramEnd"/>
      <w:r>
        <w:rPr>
          <w:iCs/>
        </w:rPr>
        <w:t xml:space="preserve"> </w:t>
      </w:r>
      <w:proofErr w:type="gramStart"/>
      <w:r>
        <w:rPr>
          <w:iCs/>
        </w:rPr>
        <w:t>The relationship of research to practice in adult education.</w:t>
      </w:r>
      <w:proofErr w:type="gramEnd"/>
      <w:r>
        <w:rPr>
          <w:iCs/>
        </w:rPr>
        <w:t xml:space="preserve"> </w:t>
      </w:r>
      <w:r>
        <w:rPr>
          <w:i/>
        </w:rPr>
        <w:t>Adult Education Quarterly, 54</w:t>
      </w:r>
      <w:r>
        <w:rPr>
          <w:iCs/>
        </w:rPr>
        <w:t>(3), 224-241.</w:t>
      </w:r>
    </w:p>
    <w:p w:rsidR="00ED06A4" w:rsidRDefault="00ED06A4" w:rsidP="00ED06A4">
      <w:pPr>
        <w:pStyle w:val="BodyText"/>
        <w:spacing w:after="0" w:line="480" w:lineRule="auto"/>
        <w:ind w:left="720" w:hanging="720"/>
        <w:rPr>
          <w:iCs/>
        </w:rPr>
      </w:pPr>
      <w:proofErr w:type="gramStart"/>
      <w:r>
        <w:rPr>
          <w:iCs/>
        </w:rPr>
        <w:t xml:space="preserve">St. John, E. P., </w:t>
      </w:r>
      <w:proofErr w:type="spellStart"/>
      <w:r>
        <w:rPr>
          <w:iCs/>
        </w:rPr>
        <w:t>Bardzell</w:t>
      </w:r>
      <w:proofErr w:type="spellEnd"/>
      <w:r>
        <w:rPr>
          <w:iCs/>
        </w:rPr>
        <w:t xml:space="preserve">, J. S., Michael, R., Hall, G., </w:t>
      </w:r>
      <w:proofErr w:type="spellStart"/>
      <w:r>
        <w:rPr>
          <w:iCs/>
        </w:rPr>
        <w:t>Manoil</w:t>
      </w:r>
      <w:proofErr w:type="spellEnd"/>
      <w:r>
        <w:rPr>
          <w:iCs/>
        </w:rPr>
        <w:t>, K., Asker, E., &amp; Clements, M. (1998).</w:t>
      </w:r>
      <w:proofErr w:type="gramEnd"/>
      <w:r>
        <w:rPr>
          <w:iCs/>
        </w:rPr>
        <w:t xml:space="preserve"> </w:t>
      </w:r>
      <w:r>
        <w:rPr>
          <w:i/>
        </w:rPr>
        <w:t xml:space="preserve">Indiana’s early literacy </w:t>
      </w:r>
      <w:proofErr w:type="gramStart"/>
      <w:r>
        <w:rPr>
          <w:i/>
        </w:rPr>
        <w:t>intervention grant</w:t>
      </w:r>
      <w:proofErr w:type="gramEnd"/>
      <w:r>
        <w:rPr>
          <w:i/>
        </w:rPr>
        <w:t xml:space="preserve"> program implementation study</w:t>
      </w:r>
      <w:r>
        <w:rPr>
          <w:iCs/>
        </w:rPr>
        <w:t>. Bloomington, IN: Indiana Education Policy Center.</w:t>
      </w:r>
    </w:p>
    <w:p w:rsidR="00ED06A4" w:rsidRDefault="00ED06A4" w:rsidP="00ED06A4">
      <w:pPr>
        <w:pStyle w:val="BodyText"/>
        <w:spacing w:after="0" w:line="480" w:lineRule="auto"/>
        <w:ind w:left="720" w:hanging="720"/>
        <w:rPr>
          <w:iCs/>
        </w:rPr>
      </w:pPr>
      <w:proofErr w:type="gramStart"/>
      <w:r>
        <w:rPr>
          <w:iCs/>
        </w:rPr>
        <w:t>St. John, E. P., &amp; Ward, J. G. (1999).</w:t>
      </w:r>
      <w:proofErr w:type="gramEnd"/>
      <w:r>
        <w:rPr>
          <w:iCs/>
        </w:rPr>
        <w:t xml:space="preserve"> </w:t>
      </w:r>
      <w:r>
        <w:rPr>
          <w:i/>
        </w:rPr>
        <w:t>State policy on professional development: Rethinking the linkages to student outcomes</w:t>
      </w:r>
      <w:r>
        <w:rPr>
          <w:iCs/>
        </w:rPr>
        <w:t>. Oak Brook, IL: National Central Regional Education Laboratory.</w:t>
      </w:r>
    </w:p>
    <w:p w:rsidR="00ED06A4" w:rsidRDefault="00ED06A4" w:rsidP="00ED06A4">
      <w:pPr>
        <w:spacing w:after="0" w:line="480" w:lineRule="auto"/>
        <w:ind w:left="720" w:hanging="720"/>
      </w:pPr>
      <w:r>
        <w:t xml:space="preserve">Sykes, G. M. (2007). </w:t>
      </w:r>
      <w:r>
        <w:rPr>
          <w:i/>
        </w:rPr>
        <w:t>The society of captives: A study of a maximum security prison</w:t>
      </w:r>
      <w:r>
        <w:t>. Princeton, NJ: Princeton University Press.</w:t>
      </w:r>
    </w:p>
    <w:p w:rsidR="00ED06A4" w:rsidRDefault="00ED06A4" w:rsidP="00ED06A4">
      <w:pPr>
        <w:pStyle w:val="BodyText"/>
        <w:spacing w:after="0" w:line="480" w:lineRule="auto"/>
        <w:ind w:left="720" w:hanging="720"/>
        <w:rPr>
          <w:iCs/>
        </w:rPr>
      </w:pPr>
      <w:proofErr w:type="spellStart"/>
      <w:r>
        <w:rPr>
          <w:iCs/>
        </w:rPr>
        <w:t>Terehoff</w:t>
      </w:r>
      <w:proofErr w:type="spellEnd"/>
      <w:r>
        <w:rPr>
          <w:iCs/>
        </w:rPr>
        <w:t xml:space="preserve">, I. I. (2002). </w:t>
      </w:r>
      <w:proofErr w:type="gramStart"/>
      <w:r>
        <w:rPr>
          <w:iCs/>
        </w:rPr>
        <w:t>Elements of adult learning in teacher professional development.</w:t>
      </w:r>
      <w:proofErr w:type="gramEnd"/>
      <w:r>
        <w:rPr>
          <w:iCs/>
        </w:rPr>
        <w:t xml:space="preserve"> </w:t>
      </w:r>
      <w:r>
        <w:rPr>
          <w:i/>
        </w:rPr>
        <w:t>NASSP Bulletin, 86</w:t>
      </w:r>
      <w:r>
        <w:rPr>
          <w:iCs/>
        </w:rPr>
        <w:t>(632), 65-77.</w:t>
      </w:r>
    </w:p>
    <w:p w:rsidR="00ED06A4" w:rsidRDefault="00ED06A4" w:rsidP="00ED06A4">
      <w:pPr>
        <w:pStyle w:val="BodyText"/>
        <w:spacing w:after="0" w:line="480" w:lineRule="auto"/>
        <w:ind w:left="720" w:hanging="720"/>
        <w:rPr>
          <w:iCs/>
        </w:rPr>
      </w:pPr>
      <w:r>
        <w:rPr>
          <w:iCs/>
        </w:rPr>
        <w:t xml:space="preserve">Thomas, S. P. (2005). Through the lens of </w:t>
      </w:r>
      <w:proofErr w:type="spellStart"/>
      <w:r>
        <w:rPr>
          <w:iCs/>
        </w:rPr>
        <w:t>Merleau</w:t>
      </w:r>
      <w:proofErr w:type="spellEnd"/>
      <w:r>
        <w:rPr>
          <w:iCs/>
        </w:rPr>
        <w:t>-</w:t>
      </w:r>
      <w:proofErr w:type="spellStart"/>
      <w:r>
        <w:rPr>
          <w:iCs/>
        </w:rPr>
        <w:t>Ponty</w:t>
      </w:r>
      <w:proofErr w:type="spellEnd"/>
      <w:r>
        <w:rPr>
          <w:iCs/>
        </w:rPr>
        <w:t xml:space="preserve">: Advancing the phenomenological approach to nursing research. </w:t>
      </w:r>
      <w:proofErr w:type="gramStart"/>
      <w:r>
        <w:rPr>
          <w:i/>
          <w:iCs/>
        </w:rPr>
        <w:t>Nursing Philosophy, 6</w:t>
      </w:r>
      <w:r>
        <w:rPr>
          <w:iCs/>
        </w:rPr>
        <w:t>, 63-76.</w:t>
      </w:r>
      <w:proofErr w:type="gramEnd"/>
      <w:r>
        <w:rPr>
          <w:iCs/>
        </w:rPr>
        <w:t xml:space="preserve"> </w:t>
      </w:r>
    </w:p>
    <w:p w:rsidR="00ED06A4" w:rsidRDefault="00ED06A4" w:rsidP="00ED06A4">
      <w:pPr>
        <w:spacing w:after="0" w:line="480" w:lineRule="auto"/>
        <w:ind w:left="720" w:hanging="720"/>
      </w:pPr>
      <w:proofErr w:type="gramStart"/>
      <w:r>
        <w:t xml:space="preserve">Thomas, S. P., &amp; </w:t>
      </w:r>
      <w:proofErr w:type="spellStart"/>
      <w:r>
        <w:t>Pollio</w:t>
      </w:r>
      <w:proofErr w:type="spellEnd"/>
      <w:r>
        <w:t>, H. R. (2002).</w:t>
      </w:r>
      <w:proofErr w:type="gramEnd"/>
      <w:r>
        <w:t xml:space="preserve"> </w:t>
      </w:r>
      <w:proofErr w:type="gramStart"/>
      <w:r>
        <w:rPr>
          <w:i/>
        </w:rPr>
        <w:t>Listening to patients: A phenomenological approach to nursing research and practice</w:t>
      </w:r>
      <w:r>
        <w:t>.</w:t>
      </w:r>
      <w:proofErr w:type="gramEnd"/>
      <w:r>
        <w:t xml:space="preserve"> New York: Springer.</w:t>
      </w:r>
    </w:p>
    <w:p w:rsidR="00ED06A4" w:rsidRDefault="00ED06A4" w:rsidP="00ED06A4">
      <w:pPr>
        <w:spacing w:after="0" w:line="480" w:lineRule="auto"/>
        <w:ind w:left="720" w:hanging="720"/>
      </w:pPr>
      <w:proofErr w:type="spellStart"/>
      <w:r>
        <w:t>Todres</w:t>
      </w:r>
      <w:proofErr w:type="spellEnd"/>
      <w:r>
        <w:t xml:space="preserve">, L., &amp; Wheeler, S. (2001). </w:t>
      </w:r>
      <w:proofErr w:type="gramStart"/>
      <w:r>
        <w:t xml:space="preserve">The </w:t>
      </w:r>
      <w:proofErr w:type="spellStart"/>
      <w:r>
        <w:t>complementarity</w:t>
      </w:r>
      <w:proofErr w:type="spellEnd"/>
      <w:r>
        <w:t xml:space="preserve"> of phenomenology, hermeneutics and existentialism as a philosophical perspective for nursing research.</w:t>
      </w:r>
      <w:proofErr w:type="gramEnd"/>
      <w:r>
        <w:t xml:space="preserve"> </w:t>
      </w:r>
      <w:r>
        <w:rPr>
          <w:i/>
          <w:iCs/>
        </w:rPr>
        <w:t>International Journal of Nursing Studies, 38</w:t>
      </w:r>
      <w:r>
        <w:t>, 1-8.</w:t>
      </w:r>
    </w:p>
    <w:p w:rsidR="00ED06A4" w:rsidRDefault="00ED06A4" w:rsidP="00ED06A4">
      <w:pPr>
        <w:spacing w:after="0" w:line="480" w:lineRule="auto"/>
        <w:ind w:left="720" w:hanging="720"/>
      </w:pPr>
      <w:proofErr w:type="gramStart"/>
      <w:r>
        <w:rPr>
          <w:iCs/>
        </w:rPr>
        <w:lastRenderedPageBreak/>
        <w:t>Tolbert, M. (2001).</w:t>
      </w:r>
      <w:proofErr w:type="gramEnd"/>
      <w:r>
        <w:rPr>
          <w:iCs/>
        </w:rPr>
        <w:t xml:space="preserve"> Professional development for adult education instructors: State policy update. East Lansing, MI: National Center for Research on Teacher Learning. </w:t>
      </w:r>
      <w:proofErr w:type="gramStart"/>
      <w:r>
        <w:rPr>
          <w:iCs/>
        </w:rPr>
        <w:t>(ERIC Document Reproduction Service No.</w:t>
      </w:r>
      <w:proofErr w:type="gramEnd"/>
      <w:r>
        <w:rPr>
          <w:iCs/>
        </w:rPr>
        <w:t xml:space="preserve"> ED465079)</w:t>
      </w:r>
    </w:p>
    <w:p w:rsidR="00ED06A4" w:rsidRDefault="00ED06A4" w:rsidP="00ED06A4">
      <w:pPr>
        <w:spacing w:after="0" w:line="480" w:lineRule="auto"/>
        <w:ind w:left="720" w:hanging="720"/>
      </w:pPr>
      <w:proofErr w:type="gramStart"/>
      <w:r>
        <w:rPr>
          <w:iCs/>
        </w:rPr>
        <w:t>Tolbert, M. (2002).</w:t>
      </w:r>
      <w:proofErr w:type="gramEnd"/>
      <w:r>
        <w:rPr>
          <w:iCs/>
        </w:rPr>
        <w:t xml:space="preserve"> </w:t>
      </w:r>
      <w:r>
        <w:rPr>
          <w:i/>
        </w:rPr>
        <w:t>State correctional education programs: State policy update</w:t>
      </w:r>
      <w:r>
        <w:rPr>
          <w:iCs/>
        </w:rPr>
        <w:t xml:space="preserve">. East Lansing, MI: National Center for Research on Teacher Learning. </w:t>
      </w:r>
      <w:proofErr w:type="gramStart"/>
      <w:r>
        <w:rPr>
          <w:iCs/>
        </w:rPr>
        <w:t>(ERIC Document Reproduction Service No.</w:t>
      </w:r>
      <w:proofErr w:type="gramEnd"/>
      <w:r>
        <w:rPr>
          <w:iCs/>
        </w:rPr>
        <w:t xml:space="preserve"> ED464230)</w:t>
      </w:r>
    </w:p>
    <w:p w:rsidR="00ED06A4" w:rsidRDefault="00ED06A4" w:rsidP="00ED06A4">
      <w:pPr>
        <w:pStyle w:val="BodyText"/>
        <w:spacing w:after="0" w:line="480" w:lineRule="auto"/>
        <w:ind w:left="720" w:hanging="720"/>
        <w:rPr>
          <w:iCs/>
        </w:rPr>
      </w:pPr>
      <w:proofErr w:type="gramStart"/>
      <w:r>
        <w:rPr>
          <w:iCs/>
        </w:rPr>
        <w:t>Trotter, Y. D. (2006).</w:t>
      </w:r>
      <w:proofErr w:type="gramEnd"/>
      <w:r>
        <w:rPr>
          <w:iCs/>
        </w:rPr>
        <w:t xml:space="preserve"> Adult learning theories: Impacting professional development programs. </w:t>
      </w:r>
      <w:r>
        <w:rPr>
          <w:i/>
        </w:rPr>
        <w:t>Phi Delta Kappa Bulletin, 72</w:t>
      </w:r>
      <w:r>
        <w:rPr>
          <w:iCs/>
        </w:rPr>
        <w:t>(2), 8-13.</w:t>
      </w:r>
    </w:p>
    <w:p w:rsidR="00ED06A4" w:rsidRDefault="00ED06A4" w:rsidP="00ED06A4">
      <w:pPr>
        <w:pStyle w:val="BodyText"/>
        <w:spacing w:after="0" w:line="480" w:lineRule="auto"/>
        <w:ind w:left="720" w:hanging="720"/>
        <w:rPr>
          <w:iCs/>
        </w:rPr>
      </w:pPr>
      <w:proofErr w:type="spellStart"/>
      <w:proofErr w:type="gramStart"/>
      <w:r>
        <w:rPr>
          <w:rFonts w:eastAsia="Times New Roman"/>
          <w:szCs w:val="24"/>
        </w:rPr>
        <w:t>Truthought</w:t>
      </w:r>
      <w:proofErr w:type="spellEnd"/>
      <w:r>
        <w:rPr>
          <w:rFonts w:eastAsia="Times New Roman"/>
          <w:szCs w:val="24"/>
        </w:rPr>
        <w:t>.</w:t>
      </w:r>
      <w:proofErr w:type="gramEnd"/>
      <w:r>
        <w:rPr>
          <w:rFonts w:eastAsia="Times New Roman"/>
          <w:szCs w:val="24"/>
        </w:rPr>
        <w:t xml:space="preserve"> </w:t>
      </w:r>
      <w:proofErr w:type="gramStart"/>
      <w:r>
        <w:rPr>
          <w:rFonts w:eastAsia="Times New Roman"/>
          <w:szCs w:val="24"/>
        </w:rPr>
        <w:t>(</w:t>
      </w:r>
      <w:proofErr w:type="spellStart"/>
      <w:r>
        <w:rPr>
          <w:rFonts w:eastAsia="Times New Roman"/>
          <w:szCs w:val="24"/>
        </w:rPr>
        <w:t>n.d</w:t>
      </w:r>
      <w:proofErr w:type="spellEnd"/>
      <w:r>
        <w:rPr>
          <w:rFonts w:eastAsia="Times New Roman"/>
          <w:szCs w:val="24"/>
        </w:rPr>
        <w:t>.).</w:t>
      </w:r>
      <w:proofErr w:type="gramEnd"/>
      <w:r>
        <w:rPr>
          <w:rFonts w:eastAsia="Times New Roman"/>
          <w:szCs w:val="24"/>
        </w:rPr>
        <w:t xml:space="preserve"> </w:t>
      </w:r>
      <w:r>
        <w:rPr>
          <w:rFonts w:eastAsia="Times New Roman"/>
          <w:i/>
          <w:iCs/>
          <w:szCs w:val="24"/>
        </w:rPr>
        <w:t>An overview of research findings regarding treatment effectiveness: “What Works and What Doesn’t Work.”</w:t>
      </w:r>
      <w:r>
        <w:rPr>
          <w:rFonts w:eastAsia="Times New Roman"/>
          <w:szCs w:val="24"/>
        </w:rPr>
        <w:t xml:space="preserve"> </w:t>
      </w:r>
      <w:proofErr w:type="gramStart"/>
      <w:r>
        <w:rPr>
          <w:rFonts w:eastAsia="Times New Roman"/>
          <w:szCs w:val="24"/>
        </w:rPr>
        <w:t>Unpublished manuscript.</w:t>
      </w:r>
      <w:proofErr w:type="gramEnd"/>
      <w:r>
        <w:rPr>
          <w:rFonts w:eastAsia="Times New Roman"/>
          <w:szCs w:val="24"/>
        </w:rPr>
        <w:t> </w:t>
      </w:r>
    </w:p>
    <w:p w:rsidR="00ED06A4" w:rsidRDefault="00ED06A4" w:rsidP="00ED06A4">
      <w:pPr>
        <w:pStyle w:val="BodyText"/>
        <w:spacing w:after="0" w:line="480" w:lineRule="auto"/>
        <w:ind w:left="720" w:hanging="720"/>
        <w:rPr>
          <w:iCs/>
        </w:rPr>
      </w:pPr>
      <w:proofErr w:type="gramStart"/>
      <w:r>
        <w:rPr>
          <w:iCs/>
        </w:rPr>
        <w:t xml:space="preserve">United States Department of Education, Office of Vocational and Adult </w:t>
      </w:r>
      <w:r w:rsidRPr="002D2203">
        <w:rPr>
          <w:iCs/>
        </w:rPr>
        <w:t>Education.</w:t>
      </w:r>
      <w:proofErr w:type="gramEnd"/>
      <w:r w:rsidRPr="002D2203">
        <w:rPr>
          <w:iCs/>
        </w:rPr>
        <w:t xml:space="preserve"> </w:t>
      </w:r>
      <w:proofErr w:type="gramStart"/>
      <w:r w:rsidRPr="002D2203">
        <w:rPr>
          <w:iCs/>
        </w:rPr>
        <w:t>(2011). Professional development.</w:t>
      </w:r>
      <w:proofErr w:type="gramEnd"/>
      <w:r w:rsidRPr="002D2203">
        <w:rPr>
          <w:iCs/>
        </w:rPr>
        <w:t xml:space="preserve"> Retrieved from </w:t>
      </w:r>
      <w:hyperlink r:id="rId30" w:history="1">
        <w:r w:rsidRPr="00FE5070">
          <w:rPr>
            <w:rStyle w:val="Hyperlink"/>
            <w:iCs/>
            <w:color w:val="auto"/>
            <w:u w:val="none"/>
          </w:rPr>
          <w:t>http://www2.ed.gov/about/offices/list/</w:t>
        </w:r>
      </w:hyperlink>
      <w:r>
        <w:rPr>
          <w:iCs/>
        </w:rPr>
        <w:t xml:space="preserve"> </w:t>
      </w:r>
      <w:proofErr w:type="spellStart"/>
      <w:r>
        <w:rPr>
          <w:iCs/>
        </w:rPr>
        <w:t>ovae</w:t>
      </w:r>
      <w:proofErr w:type="spellEnd"/>
      <w:r>
        <w:rPr>
          <w:iCs/>
        </w:rPr>
        <w:t>/pi/</w:t>
      </w:r>
      <w:proofErr w:type="spellStart"/>
      <w:r>
        <w:rPr>
          <w:iCs/>
        </w:rPr>
        <w:t>AdultEd</w:t>
      </w:r>
      <w:proofErr w:type="spellEnd"/>
      <w:r>
        <w:rPr>
          <w:iCs/>
        </w:rPr>
        <w:t>/aeprofdev.html</w:t>
      </w:r>
    </w:p>
    <w:p w:rsidR="00ED06A4" w:rsidRDefault="00ED06A4" w:rsidP="00ED06A4">
      <w:pPr>
        <w:spacing w:after="0" w:line="480" w:lineRule="auto"/>
        <w:ind w:left="720" w:hanging="720"/>
        <w:rPr>
          <w:szCs w:val="24"/>
        </w:rPr>
      </w:pPr>
      <w:r>
        <w:rPr>
          <w:szCs w:val="24"/>
        </w:rPr>
        <w:t xml:space="preserve">Valle, R. S., King, M., &amp; </w:t>
      </w:r>
      <w:proofErr w:type="spellStart"/>
      <w:r>
        <w:rPr>
          <w:szCs w:val="24"/>
        </w:rPr>
        <w:t>Halling</w:t>
      </w:r>
      <w:proofErr w:type="spellEnd"/>
      <w:r>
        <w:rPr>
          <w:szCs w:val="24"/>
        </w:rPr>
        <w:t xml:space="preserve">, S. (1989). An introduction to existential-phenomenological thought in psychology. In R. S. Valle, &amp; S. </w:t>
      </w:r>
      <w:proofErr w:type="spellStart"/>
      <w:r>
        <w:rPr>
          <w:szCs w:val="24"/>
        </w:rPr>
        <w:t>Halling</w:t>
      </w:r>
      <w:proofErr w:type="spellEnd"/>
      <w:r>
        <w:rPr>
          <w:szCs w:val="24"/>
        </w:rPr>
        <w:t xml:space="preserve"> (Eds.), </w:t>
      </w:r>
      <w:r>
        <w:rPr>
          <w:i/>
          <w:iCs/>
          <w:szCs w:val="24"/>
        </w:rPr>
        <w:t>Existential-phenomenological perspectives in psychology: Exploring the breadth of human experience</w:t>
      </w:r>
      <w:r>
        <w:rPr>
          <w:szCs w:val="24"/>
        </w:rPr>
        <w:t xml:space="preserve"> (pp. 3-16). New York, NY: Plenum Press. </w:t>
      </w:r>
    </w:p>
    <w:p w:rsidR="00ED06A4" w:rsidRDefault="00ED06A4" w:rsidP="00ED06A4">
      <w:pPr>
        <w:spacing w:after="0" w:line="480" w:lineRule="auto"/>
        <w:ind w:left="720" w:hanging="720"/>
        <w:rPr>
          <w:szCs w:val="24"/>
        </w:rPr>
      </w:pPr>
      <w:proofErr w:type="gramStart"/>
      <w:r>
        <w:rPr>
          <w:szCs w:val="24"/>
        </w:rPr>
        <w:t xml:space="preserve">Van </w:t>
      </w:r>
      <w:proofErr w:type="spellStart"/>
      <w:r>
        <w:rPr>
          <w:szCs w:val="24"/>
        </w:rPr>
        <w:t>Manen</w:t>
      </w:r>
      <w:proofErr w:type="spellEnd"/>
      <w:r>
        <w:rPr>
          <w:szCs w:val="24"/>
        </w:rPr>
        <w:t>, M. (1978-1979).</w:t>
      </w:r>
      <w:proofErr w:type="gramEnd"/>
      <w:r>
        <w:rPr>
          <w:szCs w:val="24"/>
        </w:rPr>
        <w:t xml:space="preserve"> An experiment in educational theorizing: The Utrecht School. </w:t>
      </w:r>
      <w:r>
        <w:rPr>
          <w:i/>
          <w:iCs/>
          <w:szCs w:val="24"/>
        </w:rPr>
        <w:t>Interchange, 10</w:t>
      </w:r>
      <w:r>
        <w:rPr>
          <w:szCs w:val="24"/>
        </w:rPr>
        <w:t>(1), 48-66.</w:t>
      </w:r>
    </w:p>
    <w:p w:rsidR="00ED06A4" w:rsidRDefault="00ED06A4" w:rsidP="00ED06A4">
      <w:pPr>
        <w:spacing w:after="0" w:line="480" w:lineRule="auto"/>
        <w:ind w:left="720" w:hanging="720"/>
        <w:rPr>
          <w:szCs w:val="24"/>
        </w:rPr>
      </w:pPr>
      <w:proofErr w:type="gramStart"/>
      <w:r>
        <w:rPr>
          <w:szCs w:val="24"/>
        </w:rPr>
        <w:t xml:space="preserve">Van </w:t>
      </w:r>
      <w:proofErr w:type="spellStart"/>
      <w:r>
        <w:rPr>
          <w:szCs w:val="24"/>
        </w:rPr>
        <w:t>Manen</w:t>
      </w:r>
      <w:proofErr w:type="spellEnd"/>
      <w:r>
        <w:rPr>
          <w:szCs w:val="24"/>
        </w:rPr>
        <w:t>, M. (1979).</w:t>
      </w:r>
      <w:proofErr w:type="gramEnd"/>
      <w:r>
        <w:rPr>
          <w:szCs w:val="24"/>
        </w:rPr>
        <w:t xml:space="preserve"> </w:t>
      </w:r>
      <w:proofErr w:type="gramStart"/>
      <w:r>
        <w:rPr>
          <w:szCs w:val="24"/>
        </w:rPr>
        <w:t>The phenomenology of pedagogic observation.</w:t>
      </w:r>
      <w:proofErr w:type="gramEnd"/>
      <w:r>
        <w:rPr>
          <w:szCs w:val="24"/>
        </w:rPr>
        <w:t xml:space="preserve"> </w:t>
      </w:r>
      <w:proofErr w:type="gramStart"/>
      <w:r>
        <w:rPr>
          <w:i/>
          <w:iCs/>
          <w:szCs w:val="24"/>
        </w:rPr>
        <w:t xml:space="preserve">Canadian Journal of Education/Revue </w:t>
      </w:r>
      <w:proofErr w:type="spellStart"/>
      <w:r>
        <w:rPr>
          <w:i/>
          <w:iCs/>
          <w:szCs w:val="24"/>
        </w:rPr>
        <w:t>canadienne</w:t>
      </w:r>
      <w:proofErr w:type="spellEnd"/>
      <w:r>
        <w:rPr>
          <w:i/>
          <w:iCs/>
          <w:szCs w:val="24"/>
        </w:rPr>
        <w:t xml:space="preserve"> de </w:t>
      </w:r>
      <w:proofErr w:type="spellStart"/>
      <w:r>
        <w:rPr>
          <w:i/>
          <w:iCs/>
          <w:szCs w:val="24"/>
        </w:rPr>
        <w:t>l’éducation</w:t>
      </w:r>
      <w:proofErr w:type="spellEnd"/>
      <w:r>
        <w:rPr>
          <w:i/>
          <w:iCs/>
          <w:szCs w:val="24"/>
        </w:rPr>
        <w:t>, 4</w:t>
      </w:r>
      <w:r>
        <w:rPr>
          <w:szCs w:val="24"/>
        </w:rPr>
        <w:t>(1), pp. 5-16.</w:t>
      </w:r>
      <w:proofErr w:type="gramEnd"/>
    </w:p>
    <w:p w:rsidR="00ED06A4" w:rsidRDefault="00ED06A4" w:rsidP="00ED06A4">
      <w:pPr>
        <w:spacing w:after="0" w:line="480" w:lineRule="auto"/>
      </w:pPr>
      <w:proofErr w:type="gramStart"/>
      <w:r>
        <w:t xml:space="preserve">Van </w:t>
      </w:r>
      <w:proofErr w:type="spellStart"/>
      <w:r>
        <w:t>Manen</w:t>
      </w:r>
      <w:proofErr w:type="spellEnd"/>
      <w:r>
        <w:t>, M. (2007).</w:t>
      </w:r>
      <w:proofErr w:type="gramEnd"/>
      <w:r>
        <w:t xml:space="preserve"> </w:t>
      </w:r>
      <w:proofErr w:type="gramStart"/>
      <w:r>
        <w:t>Phenomenology of practice.</w:t>
      </w:r>
      <w:proofErr w:type="gramEnd"/>
      <w:r>
        <w:t xml:space="preserve"> </w:t>
      </w:r>
      <w:r>
        <w:rPr>
          <w:i/>
          <w:iCs/>
        </w:rPr>
        <w:t>Phenomenology &amp; Practice, 1</w:t>
      </w:r>
      <w:r>
        <w:t>(1), 11-30.</w:t>
      </w:r>
    </w:p>
    <w:p w:rsidR="00ED06A4" w:rsidRDefault="00ED06A4" w:rsidP="00ED06A4">
      <w:pPr>
        <w:spacing w:after="0" w:line="480" w:lineRule="auto"/>
        <w:ind w:left="720" w:hanging="720"/>
      </w:pPr>
      <w:proofErr w:type="spellStart"/>
      <w:proofErr w:type="gramStart"/>
      <w:r>
        <w:rPr>
          <w:rFonts w:eastAsia="Times New Roman"/>
          <w:szCs w:val="24"/>
        </w:rPr>
        <w:lastRenderedPageBreak/>
        <w:t>Vennard</w:t>
      </w:r>
      <w:proofErr w:type="spellEnd"/>
      <w:r>
        <w:rPr>
          <w:rFonts w:eastAsia="Times New Roman"/>
          <w:szCs w:val="24"/>
        </w:rPr>
        <w:t xml:space="preserve">, J., </w:t>
      </w:r>
      <w:proofErr w:type="spellStart"/>
      <w:r>
        <w:rPr>
          <w:rFonts w:eastAsia="Times New Roman"/>
          <w:szCs w:val="24"/>
        </w:rPr>
        <w:t>Sugg</w:t>
      </w:r>
      <w:proofErr w:type="spellEnd"/>
      <w:r>
        <w:rPr>
          <w:rFonts w:eastAsia="Times New Roman"/>
          <w:szCs w:val="24"/>
        </w:rPr>
        <w:t xml:space="preserve">, D., &amp; </w:t>
      </w:r>
      <w:proofErr w:type="spellStart"/>
      <w:r>
        <w:rPr>
          <w:rFonts w:eastAsia="Times New Roman"/>
          <w:szCs w:val="24"/>
        </w:rPr>
        <w:t>Hedderman</w:t>
      </w:r>
      <w:proofErr w:type="spellEnd"/>
      <w:r>
        <w:rPr>
          <w:rFonts w:eastAsia="Times New Roman"/>
          <w:szCs w:val="24"/>
        </w:rPr>
        <w:t>, C. (1997).</w:t>
      </w:r>
      <w:proofErr w:type="gramEnd"/>
      <w:r>
        <w:rPr>
          <w:rFonts w:eastAsia="Times New Roman"/>
          <w:szCs w:val="24"/>
        </w:rPr>
        <w:t xml:space="preserve"> </w:t>
      </w:r>
      <w:r>
        <w:rPr>
          <w:rFonts w:eastAsia="Times New Roman"/>
          <w:i/>
          <w:iCs/>
          <w:szCs w:val="24"/>
        </w:rPr>
        <w:t xml:space="preserve">Changing offenders’ attitudes and </w:t>
      </w:r>
      <w:proofErr w:type="spellStart"/>
      <w:r>
        <w:rPr>
          <w:rFonts w:eastAsia="Times New Roman"/>
          <w:i/>
          <w:iCs/>
          <w:szCs w:val="24"/>
        </w:rPr>
        <w:t>behaviour</w:t>
      </w:r>
      <w:proofErr w:type="spellEnd"/>
      <w:r>
        <w:rPr>
          <w:rFonts w:eastAsia="Times New Roman"/>
          <w:i/>
          <w:iCs/>
          <w:szCs w:val="24"/>
        </w:rPr>
        <w:t xml:space="preserve">: What works? </w:t>
      </w:r>
      <w:r>
        <w:rPr>
          <w:rFonts w:eastAsia="Times New Roman"/>
          <w:szCs w:val="24"/>
        </w:rPr>
        <w:t>Home Office Research Study No 171, HMSO, London.</w:t>
      </w:r>
    </w:p>
    <w:p w:rsidR="00ED06A4" w:rsidRDefault="00ED06A4" w:rsidP="00ED06A4">
      <w:pPr>
        <w:spacing w:after="0" w:line="480" w:lineRule="auto"/>
        <w:ind w:left="720" w:hanging="720"/>
        <w:rPr>
          <w:szCs w:val="24"/>
        </w:rPr>
      </w:pPr>
      <w:proofErr w:type="spellStart"/>
      <w:proofErr w:type="gramStart"/>
      <w:r>
        <w:rPr>
          <w:szCs w:val="24"/>
        </w:rPr>
        <w:t>Visher</w:t>
      </w:r>
      <w:proofErr w:type="spellEnd"/>
      <w:r>
        <w:rPr>
          <w:szCs w:val="24"/>
        </w:rPr>
        <w:t>, C. A., &amp; Travis, J. (2003).</w:t>
      </w:r>
      <w:proofErr w:type="gramEnd"/>
      <w:r>
        <w:rPr>
          <w:szCs w:val="24"/>
        </w:rPr>
        <w:t xml:space="preserve"> Transitions from prison to community: Understanding individual pathways. </w:t>
      </w:r>
      <w:r>
        <w:rPr>
          <w:i/>
          <w:szCs w:val="24"/>
        </w:rPr>
        <w:t>Annual Review of Sociology, 29</w:t>
      </w:r>
      <w:r>
        <w:rPr>
          <w:szCs w:val="24"/>
        </w:rPr>
        <w:t>, 89-113.</w:t>
      </w:r>
    </w:p>
    <w:p w:rsidR="00ED06A4" w:rsidRDefault="00ED06A4" w:rsidP="00ED06A4">
      <w:pPr>
        <w:spacing w:after="0" w:line="480" w:lineRule="auto"/>
        <w:ind w:left="720" w:hanging="720"/>
        <w:rPr>
          <w:szCs w:val="24"/>
        </w:rPr>
      </w:pPr>
      <w:proofErr w:type="gramStart"/>
      <w:r>
        <w:rPr>
          <w:szCs w:val="24"/>
        </w:rPr>
        <w:t xml:space="preserve">Von </w:t>
      </w:r>
      <w:proofErr w:type="spellStart"/>
      <w:r>
        <w:rPr>
          <w:szCs w:val="24"/>
        </w:rPr>
        <w:t>Eschenbach</w:t>
      </w:r>
      <w:proofErr w:type="spellEnd"/>
      <w:r>
        <w:rPr>
          <w:szCs w:val="24"/>
        </w:rPr>
        <w:t>, W. (1980).</w:t>
      </w:r>
      <w:proofErr w:type="gramEnd"/>
      <w:r>
        <w:rPr>
          <w:szCs w:val="24"/>
        </w:rPr>
        <w:t xml:space="preserve"> </w:t>
      </w:r>
      <w:proofErr w:type="spellStart"/>
      <w:proofErr w:type="gramStart"/>
      <w:r>
        <w:rPr>
          <w:i/>
          <w:szCs w:val="24"/>
        </w:rPr>
        <w:t>Parzival</w:t>
      </w:r>
      <w:proofErr w:type="spellEnd"/>
      <w:r>
        <w:rPr>
          <w:szCs w:val="24"/>
        </w:rPr>
        <w:t>.</w:t>
      </w:r>
      <w:proofErr w:type="gramEnd"/>
      <w:r>
        <w:rPr>
          <w:szCs w:val="24"/>
        </w:rPr>
        <w:t xml:space="preserve"> (A. T. </w:t>
      </w:r>
      <w:proofErr w:type="spellStart"/>
      <w:r>
        <w:rPr>
          <w:szCs w:val="24"/>
        </w:rPr>
        <w:t>Hatto</w:t>
      </w:r>
      <w:proofErr w:type="spellEnd"/>
      <w:r>
        <w:rPr>
          <w:szCs w:val="24"/>
        </w:rPr>
        <w:t xml:space="preserve">, Trans.). New York, NY: Penguin Books. (Original work published c. 1210) </w:t>
      </w:r>
    </w:p>
    <w:p w:rsidR="00ED06A4" w:rsidRDefault="00ED06A4" w:rsidP="00ED06A4">
      <w:pPr>
        <w:spacing w:after="0" w:line="480" w:lineRule="auto"/>
        <w:ind w:left="720" w:hanging="720"/>
        <w:rPr>
          <w:szCs w:val="24"/>
        </w:rPr>
      </w:pPr>
      <w:proofErr w:type="gramStart"/>
      <w:r>
        <w:rPr>
          <w:szCs w:val="24"/>
        </w:rPr>
        <w:t xml:space="preserve">Von </w:t>
      </w:r>
      <w:proofErr w:type="spellStart"/>
      <w:r>
        <w:rPr>
          <w:szCs w:val="24"/>
        </w:rPr>
        <w:t>Eschenbach</w:t>
      </w:r>
      <w:proofErr w:type="spellEnd"/>
      <w:r>
        <w:rPr>
          <w:szCs w:val="24"/>
        </w:rPr>
        <w:t>, W. (1961).</w:t>
      </w:r>
      <w:proofErr w:type="gramEnd"/>
      <w:r>
        <w:rPr>
          <w:szCs w:val="24"/>
        </w:rPr>
        <w:t xml:space="preserve"> </w:t>
      </w:r>
      <w:proofErr w:type="spellStart"/>
      <w:proofErr w:type="gramStart"/>
      <w:r>
        <w:rPr>
          <w:i/>
          <w:szCs w:val="24"/>
        </w:rPr>
        <w:t>Parzival</w:t>
      </w:r>
      <w:proofErr w:type="spellEnd"/>
      <w:r>
        <w:rPr>
          <w:szCs w:val="24"/>
        </w:rPr>
        <w:t>.</w:t>
      </w:r>
      <w:proofErr w:type="gramEnd"/>
      <w:r>
        <w:rPr>
          <w:szCs w:val="24"/>
        </w:rPr>
        <w:t xml:space="preserve"> </w:t>
      </w:r>
      <w:proofErr w:type="gramStart"/>
      <w:r>
        <w:rPr>
          <w:szCs w:val="24"/>
        </w:rPr>
        <w:t>(H. M. Mustard, &amp; C. E. Passage, Trans.).</w:t>
      </w:r>
      <w:proofErr w:type="gramEnd"/>
      <w:r>
        <w:rPr>
          <w:szCs w:val="24"/>
        </w:rPr>
        <w:t xml:space="preserve"> New York, NY: Vintage. (Original work published c. 1210)</w:t>
      </w:r>
    </w:p>
    <w:p w:rsidR="00ED06A4" w:rsidRDefault="00ED06A4" w:rsidP="00ED06A4">
      <w:pPr>
        <w:spacing w:after="0" w:line="480" w:lineRule="auto"/>
        <w:ind w:left="720" w:hanging="720"/>
        <w:rPr>
          <w:szCs w:val="24"/>
        </w:rPr>
      </w:pPr>
      <w:r>
        <w:rPr>
          <w:szCs w:val="24"/>
        </w:rPr>
        <w:t xml:space="preserve">Von </w:t>
      </w:r>
      <w:proofErr w:type="spellStart"/>
      <w:r>
        <w:rPr>
          <w:szCs w:val="24"/>
        </w:rPr>
        <w:t>Glasersfeld</w:t>
      </w:r>
      <w:proofErr w:type="spellEnd"/>
      <w:r>
        <w:rPr>
          <w:szCs w:val="24"/>
        </w:rPr>
        <w:t xml:space="preserve">, E. (1995). </w:t>
      </w:r>
      <w:r>
        <w:rPr>
          <w:i/>
          <w:szCs w:val="24"/>
        </w:rPr>
        <w:t>Radical constructivism: A way of knowing and learning</w:t>
      </w:r>
      <w:r>
        <w:rPr>
          <w:szCs w:val="24"/>
        </w:rPr>
        <w:t xml:space="preserve">. New York, NY: </w:t>
      </w:r>
      <w:proofErr w:type="spellStart"/>
      <w:r>
        <w:rPr>
          <w:szCs w:val="24"/>
        </w:rPr>
        <w:t>Routledge</w:t>
      </w:r>
      <w:proofErr w:type="spellEnd"/>
      <w:r>
        <w:rPr>
          <w:szCs w:val="24"/>
        </w:rPr>
        <w:t xml:space="preserve"> </w:t>
      </w:r>
      <w:proofErr w:type="spellStart"/>
      <w:r>
        <w:rPr>
          <w:szCs w:val="24"/>
        </w:rPr>
        <w:t>Falmer</w:t>
      </w:r>
      <w:proofErr w:type="spellEnd"/>
      <w:r>
        <w:rPr>
          <w:szCs w:val="24"/>
        </w:rPr>
        <w:t>.</w:t>
      </w:r>
    </w:p>
    <w:p w:rsidR="00ED06A4" w:rsidRDefault="00ED06A4" w:rsidP="00ED06A4">
      <w:pPr>
        <w:spacing w:after="0" w:line="480" w:lineRule="auto"/>
        <w:ind w:left="720" w:hanging="720"/>
        <w:rPr>
          <w:szCs w:val="24"/>
        </w:rPr>
      </w:pPr>
      <w:r>
        <w:rPr>
          <w:szCs w:val="24"/>
        </w:rPr>
        <w:t xml:space="preserve">Von </w:t>
      </w:r>
      <w:proofErr w:type="spellStart"/>
      <w:r>
        <w:rPr>
          <w:szCs w:val="24"/>
        </w:rPr>
        <w:t>Glasersfeld</w:t>
      </w:r>
      <w:proofErr w:type="spellEnd"/>
      <w:r>
        <w:rPr>
          <w:szCs w:val="24"/>
        </w:rPr>
        <w:t xml:space="preserve">, E. (1989). </w:t>
      </w:r>
      <w:proofErr w:type="gramStart"/>
      <w:r>
        <w:rPr>
          <w:szCs w:val="24"/>
        </w:rPr>
        <w:t>Constructivism in education.</w:t>
      </w:r>
      <w:proofErr w:type="gramEnd"/>
      <w:r>
        <w:rPr>
          <w:szCs w:val="24"/>
        </w:rPr>
        <w:t xml:space="preserve"> </w:t>
      </w:r>
      <w:proofErr w:type="gramStart"/>
      <w:r>
        <w:rPr>
          <w:szCs w:val="24"/>
        </w:rPr>
        <w:t xml:space="preserve">In T. </w:t>
      </w:r>
      <w:proofErr w:type="spellStart"/>
      <w:r>
        <w:rPr>
          <w:szCs w:val="24"/>
        </w:rPr>
        <w:t>Husen</w:t>
      </w:r>
      <w:proofErr w:type="spellEnd"/>
      <w:r>
        <w:rPr>
          <w:szCs w:val="24"/>
        </w:rPr>
        <w:t xml:space="preserve">, &amp; T. N. </w:t>
      </w:r>
      <w:proofErr w:type="spellStart"/>
      <w:r>
        <w:rPr>
          <w:szCs w:val="24"/>
        </w:rPr>
        <w:t>Postlethwaite</w:t>
      </w:r>
      <w:proofErr w:type="spellEnd"/>
      <w:r>
        <w:rPr>
          <w:szCs w:val="24"/>
        </w:rPr>
        <w:t xml:space="preserve"> (Eds.).</w:t>
      </w:r>
      <w:proofErr w:type="gramEnd"/>
      <w:r>
        <w:rPr>
          <w:szCs w:val="24"/>
        </w:rPr>
        <w:t xml:space="preserve"> </w:t>
      </w:r>
      <w:r>
        <w:rPr>
          <w:i/>
          <w:szCs w:val="24"/>
        </w:rPr>
        <w:t>The international encyclopedia of education, supplement vol. 1</w:t>
      </w:r>
      <w:r>
        <w:rPr>
          <w:szCs w:val="24"/>
        </w:rPr>
        <w:t xml:space="preserve"> (pp. 162-163). New York, NY: </w:t>
      </w:r>
      <w:proofErr w:type="spellStart"/>
      <w:r>
        <w:rPr>
          <w:szCs w:val="24"/>
        </w:rPr>
        <w:t>Pergamon</w:t>
      </w:r>
      <w:proofErr w:type="spellEnd"/>
      <w:r>
        <w:rPr>
          <w:szCs w:val="24"/>
        </w:rPr>
        <w:t xml:space="preserve"> Press.</w:t>
      </w:r>
    </w:p>
    <w:p w:rsidR="00ED06A4" w:rsidRDefault="00ED06A4" w:rsidP="00ED06A4">
      <w:pPr>
        <w:spacing w:after="0" w:line="480" w:lineRule="auto"/>
        <w:ind w:left="720" w:hanging="720"/>
        <w:rPr>
          <w:szCs w:val="24"/>
        </w:rPr>
      </w:pPr>
      <w:r>
        <w:rPr>
          <w:szCs w:val="24"/>
        </w:rPr>
        <w:t xml:space="preserve">Walker, C. (1995). Karl Jaspers and Edmund Husserl IV: Phenomenology as empathic understanding. </w:t>
      </w:r>
      <w:r>
        <w:rPr>
          <w:i/>
          <w:szCs w:val="24"/>
        </w:rPr>
        <w:t>Philosophy, Psychiatry, and Psychology, 2</w:t>
      </w:r>
      <w:r>
        <w:rPr>
          <w:szCs w:val="24"/>
        </w:rPr>
        <w:t>(3), 247-266.</w:t>
      </w:r>
    </w:p>
    <w:p w:rsidR="00ED06A4" w:rsidRDefault="00ED06A4" w:rsidP="00ED06A4">
      <w:pPr>
        <w:spacing w:after="0" w:line="480" w:lineRule="auto"/>
        <w:ind w:left="720" w:hanging="720"/>
      </w:pPr>
      <w:proofErr w:type="gramStart"/>
      <w:r>
        <w:t>Walters, D. A. (2008).</w:t>
      </w:r>
      <w:proofErr w:type="gramEnd"/>
      <w:r>
        <w:t xml:space="preserve"> </w:t>
      </w:r>
      <w:proofErr w:type="gramStart"/>
      <w:r>
        <w:t>Existential being as transformative learning.</w:t>
      </w:r>
      <w:proofErr w:type="gramEnd"/>
      <w:r>
        <w:t xml:space="preserve"> </w:t>
      </w:r>
      <w:r>
        <w:rPr>
          <w:i/>
          <w:iCs/>
        </w:rPr>
        <w:t>Pastoral Care in Education, 26</w:t>
      </w:r>
      <w:r>
        <w:t>(2), 111-118.</w:t>
      </w:r>
    </w:p>
    <w:p w:rsidR="00ED06A4" w:rsidRDefault="00ED06A4" w:rsidP="00ED06A4">
      <w:pPr>
        <w:spacing w:after="0" w:line="480" w:lineRule="auto"/>
        <w:ind w:left="720" w:hanging="720"/>
      </w:pPr>
      <w:r>
        <w:t xml:space="preserve">Walters, G. D. (1990). </w:t>
      </w:r>
      <w:r>
        <w:rPr>
          <w:i/>
          <w:iCs/>
        </w:rPr>
        <w:t>The criminal lifestyle: Patterns of serious criminal conduct</w:t>
      </w:r>
      <w:r>
        <w:t>. Newbury Park, CA: Sage.</w:t>
      </w:r>
    </w:p>
    <w:p w:rsidR="00ED06A4" w:rsidRDefault="00ED06A4" w:rsidP="00ED06A4">
      <w:pPr>
        <w:pStyle w:val="BodyText"/>
        <w:spacing w:after="0" w:line="480" w:lineRule="auto"/>
        <w:ind w:left="720" w:hanging="720"/>
        <w:rPr>
          <w:iCs/>
        </w:rPr>
      </w:pPr>
      <w:proofErr w:type="gramStart"/>
      <w:r>
        <w:rPr>
          <w:iCs/>
        </w:rPr>
        <w:t xml:space="preserve">Wayne, A. J., Yoon, K. S., Zhu, P., </w:t>
      </w:r>
      <w:proofErr w:type="spellStart"/>
      <w:r>
        <w:rPr>
          <w:iCs/>
        </w:rPr>
        <w:t>Cronen</w:t>
      </w:r>
      <w:proofErr w:type="spellEnd"/>
      <w:r>
        <w:rPr>
          <w:iCs/>
        </w:rPr>
        <w:t xml:space="preserve">, S., &amp; </w:t>
      </w:r>
      <w:proofErr w:type="spellStart"/>
      <w:r>
        <w:rPr>
          <w:iCs/>
        </w:rPr>
        <w:t>Garet</w:t>
      </w:r>
      <w:proofErr w:type="spellEnd"/>
      <w:r>
        <w:rPr>
          <w:iCs/>
        </w:rPr>
        <w:t>, M. S. (2008).</w:t>
      </w:r>
      <w:proofErr w:type="gramEnd"/>
      <w:r>
        <w:rPr>
          <w:iCs/>
        </w:rPr>
        <w:t xml:space="preserve"> </w:t>
      </w:r>
      <w:proofErr w:type="gramStart"/>
      <w:r>
        <w:rPr>
          <w:iCs/>
        </w:rPr>
        <w:t xml:space="preserve">Experimenting with teacher professional development: </w:t>
      </w:r>
      <w:r>
        <w:rPr>
          <w:i/>
          <w:iCs/>
        </w:rPr>
        <w:t>Motives and methods.</w:t>
      </w:r>
      <w:proofErr w:type="gramEnd"/>
      <w:r>
        <w:rPr>
          <w:i/>
          <w:iCs/>
        </w:rPr>
        <w:t xml:space="preserve"> Educational Researcher, 37</w:t>
      </w:r>
      <w:r>
        <w:rPr>
          <w:iCs/>
        </w:rPr>
        <w:t xml:space="preserve">(8), 469-479. </w:t>
      </w:r>
      <w:proofErr w:type="spellStart"/>
      <w:proofErr w:type="gramStart"/>
      <w:r>
        <w:rPr>
          <w:iCs/>
        </w:rPr>
        <w:t>doi</w:t>
      </w:r>
      <w:proofErr w:type="spellEnd"/>
      <w:proofErr w:type="gramEnd"/>
      <w:r>
        <w:rPr>
          <w:iCs/>
        </w:rPr>
        <w:t>: 10.3102/0013189X08327154</w:t>
      </w:r>
    </w:p>
    <w:p w:rsidR="00ED06A4" w:rsidRDefault="00ED06A4" w:rsidP="00ED06A4">
      <w:pPr>
        <w:pStyle w:val="BodyText"/>
        <w:spacing w:after="0" w:line="480" w:lineRule="auto"/>
        <w:ind w:left="720" w:hanging="720"/>
        <w:rPr>
          <w:iCs/>
        </w:rPr>
      </w:pPr>
      <w:r>
        <w:rPr>
          <w:iCs/>
        </w:rPr>
        <w:lastRenderedPageBreak/>
        <w:t xml:space="preserve">Webster-Wright, A. (2009). </w:t>
      </w:r>
      <w:proofErr w:type="gramStart"/>
      <w:r>
        <w:rPr>
          <w:iCs/>
        </w:rPr>
        <w:t>Reframing professional development through understanding authentic professional learning.</w:t>
      </w:r>
      <w:proofErr w:type="gramEnd"/>
      <w:r>
        <w:rPr>
          <w:iCs/>
        </w:rPr>
        <w:t xml:space="preserve"> </w:t>
      </w:r>
      <w:r>
        <w:rPr>
          <w:i/>
          <w:iCs/>
        </w:rPr>
        <w:t>Review of Educational Research, 79</w:t>
      </w:r>
      <w:r>
        <w:rPr>
          <w:iCs/>
        </w:rPr>
        <w:t>(2), 702-739.</w:t>
      </w:r>
    </w:p>
    <w:p w:rsidR="00ED06A4" w:rsidRDefault="00ED06A4" w:rsidP="00ED06A4">
      <w:pPr>
        <w:spacing w:after="0" w:line="480" w:lineRule="auto"/>
        <w:ind w:left="720" w:hanging="720"/>
      </w:pPr>
      <w:proofErr w:type="spellStart"/>
      <w:proofErr w:type="gramStart"/>
      <w:r>
        <w:t>Westphal</w:t>
      </w:r>
      <w:proofErr w:type="spellEnd"/>
      <w:r>
        <w:t>, M. (1997).</w:t>
      </w:r>
      <w:proofErr w:type="gramEnd"/>
      <w:r>
        <w:t xml:space="preserve"> </w:t>
      </w:r>
      <w:proofErr w:type="gramStart"/>
      <w:r>
        <w:t>Phenomenology and existentialism.</w:t>
      </w:r>
      <w:proofErr w:type="gramEnd"/>
      <w:r>
        <w:t xml:space="preserve"> In P. L. Quinn, &amp; C. Taliaferro (Eds.), </w:t>
      </w:r>
      <w:proofErr w:type="gramStart"/>
      <w:r>
        <w:rPr>
          <w:i/>
        </w:rPr>
        <w:t>A</w:t>
      </w:r>
      <w:proofErr w:type="gramEnd"/>
      <w:r>
        <w:rPr>
          <w:i/>
        </w:rPr>
        <w:t xml:space="preserve"> companion to philosophy of religion</w:t>
      </w:r>
      <w:r>
        <w:t xml:space="preserve"> (pp. 143-149). Malden, MA: Blackwell Publishing.</w:t>
      </w:r>
    </w:p>
    <w:p w:rsidR="00ED06A4" w:rsidRDefault="00ED06A4" w:rsidP="00ED06A4">
      <w:pPr>
        <w:spacing w:after="0" w:line="480" w:lineRule="auto"/>
        <w:ind w:left="720" w:hanging="720"/>
      </w:pPr>
      <w:r>
        <w:t xml:space="preserve">Wexler, D. B., &amp; </w:t>
      </w:r>
      <w:proofErr w:type="spellStart"/>
      <w:r>
        <w:t>Winick</w:t>
      </w:r>
      <w:proofErr w:type="spellEnd"/>
      <w:r>
        <w:t xml:space="preserve">, B. J. (Eds.) (1996). </w:t>
      </w:r>
      <w:proofErr w:type="gramStart"/>
      <w:r>
        <w:rPr>
          <w:i/>
        </w:rPr>
        <w:t>Law in a therapeutic key</w:t>
      </w:r>
      <w:r>
        <w:t>.</w:t>
      </w:r>
      <w:proofErr w:type="gramEnd"/>
      <w:r>
        <w:t xml:space="preserve"> Durham, N. C.: Carolina Academic Press.</w:t>
      </w:r>
    </w:p>
    <w:p w:rsidR="00ED06A4" w:rsidRDefault="00ED06A4" w:rsidP="00ED06A4">
      <w:pPr>
        <w:spacing w:after="0" w:line="480" w:lineRule="auto"/>
        <w:ind w:left="720" w:hanging="720"/>
      </w:pPr>
      <w:proofErr w:type="gramStart"/>
      <w:r>
        <w:t xml:space="preserve">Wild, T. C., Newton-Taylor, B., &amp; </w:t>
      </w:r>
      <w:proofErr w:type="spellStart"/>
      <w:r>
        <w:t>Alletto</w:t>
      </w:r>
      <w:proofErr w:type="spellEnd"/>
      <w:r>
        <w:t>, R. (1998).</w:t>
      </w:r>
      <w:proofErr w:type="gramEnd"/>
      <w:r>
        <w:t xml:space="preserve"> Perceived coercion among clients entering substance abuse treatment: Structural and psychological determinants. </w:t>
      </w:r>
      <w:r>
        <w:rPr>
          <w:i/>
        </w:rPr>
        <w:t>Addictive Behaviors, 23</w:t>
      </w:r>
      <w:r>
        <w:t>(1), 81-95.</w:t>
      </w:r>
    </w:p>
    <w:p w:rsidR="00ED06A4" w:rsidRDefault="00ED06A4" w:rsidP="00ED06A4">
      <w:pPr>
        <w:spacing w:after="0" w:line="480" w:lineRule="auto"/>
        <w:ind w:left="720" w:hanging="720"/>
      </w:pPr>
      <w:r>
        <w:t xml:space="preserve">Willis, P. (1999). Looking for what it’s really like: Phenomenology in reflective practice. </w:t>
      </w:r>
      <w:r>
        <w:rPr>
          <w:i/>
          <w:iCs/>
        </w:rPr>
        <w:t>Studies in Continuing Education, 21</w:t>
      </w:r>
      <w:r>
        <w:t>(1), 91-112.</w:t>
      </w:r>
    </w:p>
    <w:p w:rsidR="00ED06A4" w:rsidRDefault="00ED06A4" w:rsidP="00ED06A4">
      <w:pPr>
        <w:spacing w:after="0" w:line="480" w:lineRule="auto"/>
        <w:ind w:left="720" w:hanging="720"/>
      </w:pPr>
      <w:r>
        <w:t xml:space="preserve">Willis, P. (2001). </w:t>
      </w:r>
      <w:proofErr w:type="gramStart"/>
      <w:r>
        <w:t>The ‘things themselves’ in phenomenology.</w:t>
      </w:r>
      <w:proofErr w:type="gramEnd"/>
      <w:r>
        <w:t xml:space="preserve"> </w:t>
      </w:r>
      <w:proofErr w:type="gramStart"/>
      <w:r>
        <w:rPr>
          <w:i/>
          <w:iCs/>
        </w:rPr>
        <w:t>Indo-Pacific Journal of Phenomenology, 1</w:t>
      </w:r>
      <w:r>
        <w:t>(1).</w:t>
      </w:r>
      <w:proofErr w:type="gramEnd"/>
      <w:r>
        <w:t xml:space="preserve"> Retrieved from</w:t>
      </w:r>
      <w:r w:rsidRPr="00C24501">
        <w:t xml:space="preserve"> </w:t>
      </w:r>
      <w:hyperlink r:id="rId31" w:history="1">
        <w:r w:rsidRPr="00FE5070">
          <w:rPr>
            <w:rStyle w:val="Hyperlink"/>
            <w:color w:val="auto"/>
            <w:u w:val="none"/>
          </w:rPr>
          <w:t>http://www.ipjp.org</w:t>
        </w:r>
      </w:hyperlink>
    </w:p>
    <w:p w:rsidR="00ED06A4" w:rsidRDefault="00ED06A4" w:rsidP="00ED06A4">
      <w:pPr>
        <w:spacing w:after="0" w:line="480" w:lineRule="auto"/>
        <w:ind w:left="720" w:hanging="720"/>
      </w:pPr>
      <w:proofErr w:type="gramStart"/>
      <w:r>
        <w:t>Willis, P., &amp; Neville, B. (Eds.).</w:t>
      </w:r>
      <w:proofErr w:type="gramEnd"/>
      <w:r>
        <w:t xml:space="preserve"> </w:t>
      </w:r>
      <w:proofErr w:type="gramStart"/>
      <w:r>
        <w:t xml:space="preserve">(1996). </w:t>
      </w:r>
      <w:r>
        <w:rPr>
          <w:i/>
          <w:iCs/>
        </w:rPr>
        <w:t>Qualitative research practice in adult education</w:t>
      </w:r>
      <w:r>
        <w:t>.</w:t>
      </w:r>
      <w:proofErr w:type="gramEnd"/>
      <w:r>
        <w:t xml:space="preserve"> Ringwood Victoria, Australia: David Lovell Publishing.</w:t>
      </w:r>
    </w:p>
    <w:p w:rsidR="00ED06A4" w:rsidRDefault="00ED06A4" w:rsidP="00ED06A4">
      <w:pPr>
        <w:spacing w:after="0" w:line="480" w:lineRule="auto"/>
        <w:ind w:left="720" w:hanging="720"/>
      </w:pPr>
      <w:r>
        <w:t xml:space="preserve">Wilson, D. B., </w:t>
      </w:r>
      <w:proofErr w:type="spellStart"/>
      <w:r>
        <w:t>Bouffard</w:t>
      </w:r>
      <w:proofErr w:type="spellEnd"/>
      <w:r>
        <w:t xml:space="preserve">, L. A., &amp; </w:t>
      </w:r>
      <w:proofErr w:type="spellStart"/>
      <w:r>
        <w:t>Mckenzie</w:t>
      </w:r>
      <w:proofErr w:type="spellEnd"/>
      <w:r>
        <w:t xml:space="preserve">, D. L. (2005). </w:t>
      </w:r>
      <w:proofErr w:type="gramStart"/>
      <w:r>
        <w:t>A quantitative review of structured, group-oriented, cognitive-behavioral programs for offenders.</w:t>
      </w:r>
      <w:proofErr w:type="gramEnd"/>
      <w:r>
        <w:t xml:space="preserve"> </w:t>
      </w:r>
      <w:r>
        <w:rPr>
          <w:i/>
        </w:rPr>
        <w:t>Criminal Justice and Behavior, 32</w:t>
      </w:r>
      <w:r>
        <w:t xml:space="preserve">(2), 172-204. </w:t>
      </w:r>
      <w:proofErr w:type="spellStart"/>
      <w:proofErr w:type="gramStart"/>
      <w:r>
        <w:t>doi</w:t>
      </w:r>
      <w:proofErr w:type="spellEnd"/>
      <w:proofErr w:type="gramEnd"/>
      <w:r>
        <w:t>: 10.1177/0093854804272889</w:t>
      </w:r>
    </w:p>
    <w:p w:rsidR="00ED06A4" w:rsidRDefault="00ED06A4" w:rsidP="00ED06A4">
      <w:pPr>
        <w:spacing w:after="0" w:line="480" w:lineRule="auto"/>
        <w:ind w:left="720" w:hanging="720"/>
      </w:pPr>
      <w:proofErr w:type="gramStart"/>
      <w:r>
        <w:t xml:space="preserve">Witt, P. L., </w:t>
      </w:r>
      <w:proofErr w:type="spellStart"/>
      <w:r>
        <w:t>Wheeless</w:t>
      </w:r>
      <w:proofErr w:type="spellEnd"/>
      <w:r>
        <w:t>, L. R., &amp; Allen, M. (2004).</w:t>
      </w:r>
      <w:proofErr w:type="gramEnd"/>
      <w:r>
        <w:t xml:space="preserve"> </w:t>
      </w:r>
      <w:proofErr w:type="gramStart"/>
      <w:r>
        <w:t>A meta-analytical review of the relationship between teacher immediacy and student learning.</w:t>
      </w:r>
      <w:proofErr w:type="gramEnd"/>
      <w:r>
        <w:t xml:space="preserve"> </w:t>
      </w:r>
      <w:r>
        <w:rPr>
          <w:i/>
        </w:rPr>
        <w:t>Communication Monographs, 71</w:t>
      </w:r>
      <w:r>
        <w:t xml:space="preserve">(2), 184-207. </w:t>
      </w:r>
      <w:proofErr w:type="spellStart"/>
      <w:proofErr w:type="gramStart"/>
      <w:r>
        <w:t>doi</w:t>
      </w:r>
      <w:proofErr w:type="spellEnd"/>
      <w:proofErr w:type="gramEnd"/>
      <w:r>
        <w:t>: 10.1080/036452042000228054</w:t>
      </w:r>
    </w:p>
    <w:p w:rsidR="00ED06A4" w:rsidRDefault="00ED06A4" w:rsidP="00ED06A4">
      <w:pPr>
        <w:spacing w:after="0" w:line="480" w:lineRule="auto"/>
        <w:ind w:left="720" w:hanging="720"/>
      </w:pPr>
      <w:r>
        <w:lastRenderedPageBreak/>
        <w:t xml:space="preserve">Wood, P. B., Gove, W. R., Wilson, J. a., &amp; Cochran, J. K. (1997). Nonsocial reinforcement and habitual criminal conduct: An extension of learning theory. </w:t>
      </w:r>
      <w:r>
        <w:rPr>
          <w:i/>
          <w:iCs/>
        </w:rPr>
        <w:t>Criminology, 35</w:t>
      </w:r>
      <w:r>
        <w:t>(2), 335-365.</w:t>
      </w:r>
    </w:p>
    <w:p w:rsidR="00ED06A4" w:rsidRDefault="00ED06A4" w:rsidP="00ED06A4">
      <w:pPr>
        <w:spacing w:after="0" w:line="480" w:lineRule="auto"/>
        <w:ind w:left="720" w:hanging="720"/>
      </w:pPr>
      <w:r>
        <w:t xml:space="preserve">Wright, R. (2005). </w:t>
      </w:r>
      <w:proofErr w:type="gramStart"/>
      <w:r>
        <w:t>Going to teach in prisons: Culture shock.</w:t>
      </w:r>
      <w:proofErr w:type="gramEnd"/>
      <w:r>
        <w:t xml:space="preserve"> </w:t>
      </w:r>
      <w:r>
        <w:rPr>
          <w:i/>
          <w:iCs/>
        </w:rPr>
        <w:t>Journal of Correctional Education, 56</w:t>
      </w:r>
      <w:r>
        <w:t>(1), 19-38.</w:t>
      </w:r>
    </w:p>
    <w:p w:rsidR="00ED06A4" w:rsidRDefault="00ED06A4" w:rsidP="00ED06A4">
      <w:pPr>
        <w:spacing w:after="0" w:line="480" w:lineRule="auto"/>
        <w:ind w:left="720" w:hanging="720"/>
      </w:pPr>
      <w:r>
        <w:t xml:space="preserve">Wright, R. (2004). Care as the “heart” of prison teaching. </w:t>
      </w:r>
      <w:r>
        <w:rPr>
          <w:i/>
        </w:rPr>
        <w:t>Journal of Correctional Education, 55</w:t>
      </w:r>
      <w:r>
        <w:t>(3), 191-209.</w:t>
      </w:r>
    </w:p>
    <w:p w:rsidR="00ED06A4" w:rsidRDefault="00ED06A4" w:rsidP="00ED06A4">
      <w:pPr>
        <w:spacing w:after="0" w:line="480" w:lineRule="auto"/>
        <w:ind w:left="720" w:hanging="720"/>
      </w:pPr>
      <w:proofErr w:type="gramStart"/>
      <w:r>
        <w:t>Wright, S. P., Horn, S. P., &amp; Sanders, W. L. (1997).</w:t>
      </w:r>
      <w:proofErr w:type="gramEnd"/>
      <w:r>
        <w:t xml:space="preserve"> Teacher and classroom context effects on student achievement: Implications for teacher evaluation. </w:t>
      </w:r>
      <w:r>
        <w:rPr>
          <w:i/>
          <w:iCs/>
        </w:rPr>
        <w:t>Journal of Personnel Evaluation, 11</w:t>
      </w:r>
      <w:r>
        <w:t>, 57-67.</w:t>
      </w:r>
    </w:p>
    <w:p w:rsidR="00ED06A4" w:rsidRDefault="00ED06A4" w:rsidP="00ED06A4">
      <w:pPr>
        <w:spacing w:after="0" w:line="480" w:lineRule="auto"/>
        <w:ind w:left="720" w:hanging="720"/>
      </w:pPr>
      <w:proofErr w:type="spellStart"/>
      <w:proofErr w:type="gramStart"/>
      <w:r>
        <w:t>Yochelson</w:t>
      </w:r>
      <w:proofErr w:type="spellEnd"/>
      <w:r>
        <w:t xml:space="preserve">, S., &amp; </w:t>
      </w:r>
      <w:proofErr w:type="spellStart"/>
      <w:r>
        <w:t>Samenow</w:t>
      </w:r>
      <w:proofErr w:type="spellEnd"/>
      <w:r>
        <w:t>, S. E. (1976).</w:t>
      </w:r>
      <w:proofErr w:type="gramEnd"/>
      <w:r>
        <w:t xml:space="preserve"> </w:t>
      </w:r>
      <w:proofErr w:type="gramStart"/>
      <w:r>
        <w:rPr>
          <w:i/>
        </w:rPr>
        <w:t>The criminal personality</w:t>
      </w:r>
      <w:r>
        <w:t xml:space="preserve"> (3 vols.).</w:t>
      </w:r>
      <w:proofErr w:type="gramEnd"/>
      <w:r>
        <w:t xml:space="preserve"> Northvale, NJ: Jason Aronson.</w:t>
      </w:r>
    </w:p>
    <w:p w:rsidR="00ED06A4" w:rsidRDefault="00ED06A4" w:rsidP="00ED06A4">
      <w:pPr>
        <w:pStyle w:val="BodyText"/>
        <w:spacing w:after="0" w:line="480" w:lineRule="auto"/>
        <w:ind w:left="720" w:hanging="720"/>
        <w:rPr>
          <w:iCs/>
        </w:rPr>
      </w:pPr>
      <w:proofErr w:type="gramStart"/>
      <w:r>
        <w:rPr>
          <w:iCs/>
        </w:rPr>
        <w:t xml:space="preserve">Yoon, K. S., Duncan, T., Lee, S. W. Y., </w:t>
      </w:r>
      <w:proofErr w:type="spellStart"/>
      <w:r>
        <w:rPr>
          <w:iCs/>
        </w:rPr>
        <w:t>Scarloss</w:t>
      </w:r>
      <w:proofErr w:type="spellEnd"/>
      <w:r>
        <w:rPr>
          <w:iCs/>
        </w:rPr>
        <w:t>, B., &amp; Shapley, K. (2007).</w:t>
      </w:r>
      <w:proofErr w:type="gramEnd"/>
      <w:r>
        <w:rPr>
          <w:iCs/>
        </w:rPr>
        <w:t xml:space="preserve"> </w:t>
      </w:r>
      <w:r>
        <w:rPr>
          <w:i/>
        </w:rPr>
        <w:t>Reviewing the evidence on how teacher professional development affects student achievement</w:t>
      </w:r>
      <w:r>
        <w:rPr>
          <w:iCs/>
        </w:rPr>
        <w:t xml:space="preserve"> (Issues &amp; Answers Report, REL 2007-No. 033). Washington, D. C.: U. S. Department of Education.</w:t>
      </w:r>
    </w:p>
    <w:p w:rsidR="00ED06A4" w:rsidRDefault="00ED06A4" w:rsidP="00ED06A4">
      <w:pPr>
        <w:spacing w:after="0" w:line="480" w:lineRule="auto"/>
        <w:ind w:left="720" w:hanging="720"/>
      </w:pPr>
      <w:proofErr w:type="spellStart"/>
      <w:proofErr w:type="gramStart"/>
      <w:r>
        <w:t>Yorks</w:t>
      </w:r>
      <w:proofErr w:type="spellEnd"/>
      <w:r>
        <w:t xml:space="preserve">, L., &amp; </w:t>
      </w:r>
      <w:proofErr w:type="spellStart"/>
      <w:r>
        <w:t>Kasl</w:t>
      </w:r>
      <w:proofErr w:type="spellEnd"/>
      <w:r>
        <w:t>, E. (2002).</w:t>
      </w:r>
      <w:proofErr w:type="gramEnd"/>
      <w:r>
        <w:t xml:space="preserve"> Toward a theory and practice for whole-person learning: </w:t>
      </w:r>
      <w:proofErr w:type="spellStart"/>
      <w:r>
        <w:t>Reconceptualizing</w:t>
      </w:r>
      <w:proofErr w:type="spellEnd"/>
      <w:r>
        <w:t xml:space="preserve"> experience and the role of affect. </w:t>
      </w:r>
      <w:r>
        <w:rPr>
          <w:i/>
          <w:iCs/>
        </w:rPr>
        <w:t>Adult Education Quarterly, 52</w:t>
      </w:r>
      <w:r>
        <w:t>(3), 176-192.</w:t>
      </w:r>
    </w:p>
    <w:p w:rsidR="00ED06A4" w:rsidRDefault="00ED06A4" w:rsidP="00ED06A4">
      <w:pPr>
        <w:spacing w:after="0" w:line="480" w:lineRule="auto"/>
        <w:ind w:left="720" w:hanging="720"/>
      </w:pPr>
      <w:proofErr w:type="spellStart"/>
      <w:r>
        <w:t>Zgoba</w:t>
      </w:r>
      <w:proofErr w:type="spellEnd"/>
      <w:r>
        <w:t xml:space="preserve">, K. M., </w:t>
      </w:r>
      <w:proofErr w:type="spellStart"/>
      <w:r>
        <w:t>Haugebrook</w:t>
      </w:r>
      <w:proofErr w:type="spellEnd"/>
      <w:r>
        <w:t xml:space="preserve">, S., &amp; Jenkins, K. (2008). </w:t>
      </w:r>
      <w:proofErr w:type="gramStart"/>
      <w:r>
        <w:t>The influence of GED obtainment on inmate release outcome.</w:t>
      </w:r>
      <w:proofErr w:type="gramEnd"/>
      <w:r>
        <w:t xml:space="preserve"> </w:t>
      </w:r>
      <w:r>
        <w:rPr>
          <w:i/>
        </w:rPr>
        <w:t>Criminal Justice and Behavior, 35</w:t>
      </w:r>
      <w:r>
        <w:t>(3), 375-387.</w:t>
      </w:r>
    </w:p>
    <w:p w:rsidR="00ED06A4" w:rsidRDefault="00ED06A4" w:rsidP="00ED06A4">
      <w:pPr>
        <w:spacing w:after="0"/>
        <w:ind w:firstLine="720"/>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pStyle w:val="Heading1"/>
      </w:pPr>
      <w:r>
        <w:br w:type="page"/>
      </w:r>
      <w:bookmarkStart w:id="24" w:name="_Toc309015924"/>
      <w:r>
        <w:lastRenderedPageBreak/>
        <w:t>Appendix 1: Tables</w:t>
      </w:r>
      <w:bookmarkEnd w:id="24"/>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Pr="00393F83" w:rsidRDefault="00ED06A4" w:rsidP="00ED06A4">
      <w:pPr>
        <w:spacing w:after="0" w:line="240" w:lineRule="auto"/>
        <w:ind w:left="720" w:hanging="720"/>
      </w:pPr>
      <w:r>
        <w:lastRenderedPageBreak/>
        <w:t xml:space="preserve">Table 1: </w:t>
      </w:r>
      <w:r w:rsidRPr="00FE5070">
        <w:t>General Participant Data</w:t>
      </w:r>
    </w:p>
    <w:p w:rsidR="00ED06A4" w:rsidRDefault="00ED06A4" w:rsidP="00ED06A4">
      <w:pPr>
        <w:spacing w:after="0" w:line="240" w:lineRule="auto"/>
        <w:ind w:left="720" w:hanging="720"/>
      </w:pPr>
    </w:p>
    <w:p w:rsidR="00ED06A4" w:rsidRDefault="00ED06A4" w:rsidP="00ED06A4">
      <w:pPr>
        <w:spacing w:after="0"/>
        <w:ind w:left="720" w:hanging="720"/>
        <w:jc w:val="center"/>
      </w:pPr>
    </w:p>
    <w:tbl>
      <w:tblPr>
        <w:tblpPr w:leftFromText="180" w:rightFromText="180" w:vertAnchor="page" w:horzAnchor="margin" w:tblpY="2656"/>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4"/>
        <w:gridCol w:w="501"/>
        <w:gridCol w:w="531"/>
        <w:gridCol w:w="516"/>
        <w:gridCol w:w="897"/>
        <w:gridCol w:w="671"/>
        <w:gridCol w:w="625"/>
        <w:gridCol w:w="1137"/>
        <w:gridCol w:w="1720"/>
        <w:gridCol w:w="1154"/>
      </w:tblGrid>
      <w:tr w:rsidR="00ED06A4" w:rsidTr="00F87D60">
        <w:trPr>
          <w:trHeight w:val="648"/>
        </w:trPr>
        <w:tc>
          <w:tcPr>
            <w:tcW w:w="1464" w:type="dxa"/>
            <w:vAlign w:val="center"/>
          </w:tcPr>
          <w:p w:rsidR="00ED06A4" w:rsidRDefault="00ED06A4" w:rsidP="00F87D60">
            <w:pPr>
              <w:spacing w:after="0" w:line="240" w:lineRule="auto"/>
              <w:jc w:val="center"/>
              <w:rPr>
                <w:rFonts w:eastAsia="Times New Roman"/>
              </w:rPr>
            </w:pPr>
            <w:r>
              <w:rPr>
                <w:rFonts w:eastAsia="Times New Roman"/>
              </w:rPr>
              <w:t>Participant</w:t>
            </w:r>
          </w:p>
        </w:tc>
        <w:tc>
          <w:tcPr>
            <w:tcW w:w="501" w:type="dxa"/>
            <w:vAlign w:val="center"/>
          </w:tcPr>
          <w:p w:rsidR="00ED06A4" w:rsidRDefault="00ED06A4" w:rsidP="00F87D60">
            <w:pPr>
              <w:spacing w:after="0" w:line="240" w:lineRule="auto"/>
              <w:jc w:val="center"/>
              <w:rPr>
                <w:rFonts w:eastAsia="Times New Roman"/>
              </w:rPr>
            </w:pPr>
            <w:r>
              <w:rPr>
                <w:rFonts w:eastAsia="Times New Roman"/>
              </w:rPr>
              <w:t>A</w:t>
            </w:r>
          </w:p>
        </w:tc>
        <w:tc>
          <w:tcPr>
            <w:tcW w:w="531" w:type="dxa"/>
            <w:vAlign w:val="center"/>
          </w:tcPr>
          <w:p w:rsidR="00ED06A4" w:rsidRDefault="00ED06A4" w:rsidP="00F87D60">
            <w:pPr>
              <w:spacing w:after="0" w:line="240" w:lineRule="auto"/>
              <w:jc w:val="center"/>
              <w:rPr>
                <w:rFonts w:eastAsia="Times New Roman"/>
              </w:rPr>
            </w:pPr>
            <w:r>
              <w:rPr>
                <w:rFonts w:eastAsia="Times New Roman"/>
              </w:rPr>
              <w:t>B</w:t>
            </w:r>
          </w:p>
        </w:tc>
        <w:tc>
          <w:tcPr>
            <w:tcW w:w="516" w:type="dxa"/>
            <w:vAlign w:val="center"/>
          </w:tcPr>
          <w:p w:rsidR="00ED06A4" w:rsidRDefault="00ED06A4" w:rsidP="00F87D60">
            <w:pPr>
              <w:spacing w:after="0" w:line="240" w:lineRule="auto"/>
              <w:jc w:val="center"/>
              <w:rPr>
                <w:rFonts w:eastAsia="Times New Roman"/>
              </w:rPr>
            </w:pPr>
            <w:r>
              <w:rPr>
                <w:rFonts w:eastAsia="Times New Roman"/>
              </w:rPr>
              <w:t>C</w:t>
            </w:r>
          </w:p>
        </w:tc>
        <w:tc>
          <w:tcPr>
            <w:tcW w:w="897" w:type="dxa"/>
            <w:vAlign w:val="center"/>
          </w:tcPr>
          <w:p w:rsidR="00ED06A4" w:rsidRDefault="00ED06A4" w:rsidP="00F87D60">
            <w:pPr>
              <w:spacing w:after="0" w:line="240" w:lineRule="auto"/>
              <w:jc w:val="center"/>
              <w:rPr>
                <w:rFonts w:eastAsia="Times New Roman"/>
              </w:rPr>
            </w:pPr>
            <w:r>
              <w:rPr>
                <w:rFonts w:eastAsia="Times New Roman"/>
              </w:rPr>
              <w:t>D</w:t>
            </w:r>
          </w:p>
        </w:tc>
        <w:tc>
          <w:tcPr>
            <w:tcW w:w="671" w:type="dxa"/>
            <w:vAlign w:val="center"/>
          </w:tcPr>
          <w:p w:rsidR="00ED06A4" w:rsidRDefault="00ED06A4" w:rsidP="00F87D60">
            <w:pPr>
              <w:spacing w:after="0" w:line="240" w:lineRule="auto"/>
              <w:jc w:val="center"/>
              <w:rPr>
                <w:rFonts w:eastAsia="Times New Roman"/>
              </w:rPr>
            </w:pPr>
            <w:r>
              <w:rPr>
                <w:rFonts w:eastAsia="Times New Roman"/>
              </w:rPr>
              <w:t>E</w:t>
            </w:r>
          </w:p>
        </w:tc>
        <w:tc>
          <w:tcPr>
            <w:tcW w:w="625" w:type="dxa"/>
            <w:vAlign w:val="center"/>
          </w:tcPr>
          <w:p w:rsidR="00ED06A4" w:rsidRDefault="00ED06A4" w:rsidP="00F87D60">
            <w:pPr>
              <w:spacing w:after="0" w:line="240" w:lineRule="auto"/>
              <w:jc w:val="center"/>
              <w:rPr>
                <w:rFonts w:eastAsia="Times New Roman"/>
              </w:rPr>
            </w:pPr>
            <w:r>
              <w:rPr>
                <w:rFonts w:eastAsia="Times New Roman"/>
              </w:rPr>
              <w:t>F</w:t>
            </w:r>
          </w:p>
        </w:tc>
        <w:tc>
          <w:tcPr>
            <w:tcW w:w="1137" w:type="dxa"/>
            <w:vAlign w:val="center"/>
          </w:tcPr>
          <w:p w:rsidR="00ED06A4" w:rsidRDefault="00ED06A4" w:rsidP="00F87D60">
            <w:pPr>
              <w:spacing w:after="0" w:line="240" w:lineRule="auto"/>
              <w:jc w:val="center"/>
              <w:rPr>
                <w:rFonts w:eastAsia="Times New Roman"/>
              </w:rPr>
            </w:pPr>
            <w:r>
              <w:rPr>
                <w:rFonts w:eastAsia="Times New Roman"/>
              </w:rPr>
              <w:t>G</w:t>
            </w:r>
          </w:p>
        </w:tc>
        <w:tc>
          <w:tcPr>
            <w:tcW w:w="1720" w:type="dxa"/>
            <w:vAlign w:val="center"/>
          </w:tcPr>
          <w:p w:rsidR="00ED06A4" w:rsidRDefault="00ED06A4" w:rsidP="00F87D60">
            <w:pPr>
              <w:spacing w:after="0" w:line="240" w:lineRule="auto"/>
              <w:jc w:val="center"/>
              <w:rPr>
                <w:rFonts w:eastAsia="Times New Roman"/>
              </w:rPr>
            </w:pPr>
            <w:r>
              <w:rPr>
                <w:rFonts w:eastAsia="Times New Roman"/>
              </w:rPr>
              <w:t>H</w:t>
            </w:r>
          </w:p>
        </w:tc>
        <w:tc>
          <w:tcPr>
            <w:tcW w:w="1154" w:type="dxa"/>
            <w:vAlign w:val="center"/>
          </w:tcPr>
          <w:p w:rsidR="00ED06A4" w:rsidRDefault="00ED06A4" w:rsidP="00F87D60">
            <w:pPr>
              <w:spacing w:after="0" w:line="240" w:lineRule="auto"/>
              <w:jc w:val="center"/>
              <w:rPr>
                <w:rFonts w:eastAsia="Times New Roman"/>
              </w:rPr>
            </w:pPr>
            <w:r>
              <w:rPr>
                <w:rFonts w:eastAsia="Times New Roman"/>
              </w:rPr>
              <w:t>I</w:t>
            </w:r>
          </w:p>
        </w:tc>
      </w:tr>
      <w:tr w:rsidR="00ED06A4" w:rsidTr="00F87D60">
        <w:trPr>
          <w:trHeight w:val="648"/>
        </w:trPr>
        <w:tc>
          <w:tcPr>
            <w:tcW w:w="1464" w:type="dxa"/>
            <w:vAlign w:val="center"/>
          </w:tcPr>
          <w:p w:rsidR="00ED06A4" w:rsidRDefault="00ED06A4" w:rsidP="00F87D60">
            <w:pPr>
              <w:spacing w:after="0" w:line="240" w:lineRule="auto"/>
              <w:jc w:val="center"/>
              <w:rPr>
                <w:rFonts w:eastAsia="Times New Roman"/>
              </w:rPr>
            </w:pPr>
            <w:r>
              <w:rPr>
                <w:rFonts w:eastAsia="Times New Roman"/>
              </w:rPr>
              <w:t>Adam</w:t>
            </w:r>
          </w:p>
        </w:tc>
        <w:tc>
          <w:tcPr>
            <w:tcW w:w="501" w:type="dxa"/>
            <w:vAlign w:val="center"/>
          </w:tcPr>
          <w:p w:rsidR="00ED06A4" w:rsidRDefault="00ED06A4" w:rsidP="00F87D60">
            <w:pPr>
              <w:spacing w:after="0" w:line="240" w:lineRule="auto"/>
              <w:jc w:val="center"/>
              <w:rPr>
                <w:rFonts w:eastAsia="Times New Roman"/>
              </w:rPr>
            </w:pPr>
            <w:r>
              <w:rPr>
                <w:rFonts w:eastAsia="Times New Roman"/>
              </w:rPr>
              <w:t>M</w:t>
            </w:r>
          </w:p>
        </w:tc>
        <w:tc>
          <w:tcPr>
            <w:tcW w:w="531" w:type="dxa"/>
            <w:vAlign w:val="center"/>
          </w:tcPr>
          <w:p w:rsidR="00ED06A4" w:rsidRDefault="00ED06A4" w:rsidP="00F87D60">
            <w:pPr>
              <w:spacing w:after="0" w:line="240" w:lineRule="auto"/>
              <w:jc w:val="center"/>
              <w:rPr>
                <w:rFonts w:eastAsia="Times New Roman"/>
              </w:rPr>
            </w:pPr>
            <w:r>
              <w:rPr>
                <w:rFonts w:eastAsia="Times New Roman"/>
              </w:rPr>
              <w:t>47</w:t>
            </w:r>
          </w:p>
        </w:tc>
        <w:tc>
          <w:tcPr>
            <w:tcW w:w="516" w:type="dxa"/>
            <w:vAlign w:val="center"/>
          </w:tcPr>
          <w:p w:rsidR="00ED06A4" w:rsidRDefault="00ED06A4" w:rsidP="00F87D60">
            <w:pPr>
              <w:spacing w:after="0" w:line="240" w:lineRule="auto"/>
              <w:jc w:val="center"/>
              <w:rPr>
                <w:rFonts w:eastAsia="Times New Roman"/>
              </w:rPr>
            </w:pPr>
            <w:r>
              <w:rPr>
                <w:rFonts w:eastAsia="Times New Roman"/>
              </w:rPr>
              <w:t>W</w:t>
            </w:r>
          </w:p>
        </w:tc>
        <w:tc>
          <w:tcPr>
            <w:tcW w:w="897" w:type="dxa"/>
            <w:vAlign w:val="center"/>
          </w:tcPr>
          <w:p w:rsidR="00ED06A4" w:rsidRDefault="00ED06A4" w:rsidP="00F87D60">
            <w:pPr>
              <w:spacing w:after="0" w:line="240" w:lineRule="auto"/>
              <w:jc w:val="center"/>
              <w:rPr>
                <w:rFonts w:eastAsia="Times New Roman"/>
              </w:rPr>
            </w:pPr>
            <w:r>
              <w:rPr>
                <w:rFonts w:eastAsia="Times New Roman"/>
              </w:rPr>
              <w:t>GED,</w:t>
            </w:r>
          </w:p>
          <w:p w:rsidR="00ED06A4" w:rsidRDefault="00ED06A4" w:rsidP="00F87D60">
            <w:pPr>
              <w:spacing w:after="0" w:line="240" w:lineRule="auto"/>
              <w:jc w:val="center"/>
              <w:rPr>
                <w:rFonts w:eastAsia="Times New Roman"/>
              </w:rPr>
            </w:pPr>
            <w:r>
              <w:rPr>
                <w:rFonts w:eastAsia="Times New Roman"/>
              </w:rPr>
              <w:t>ABE</w:t>
            </w:r>
          </w:p>
        </w:tc>
        <w:tc>
          <w:tcPr>
            <w:tcW w:w="671" w:type="dxa"/>
            <w:vAlign w:val="center"/>
          </w:tcPr>
          <w:p w:rsidR="00ED06A4" w:rsidRDefault="00ED06A4" w:rsidP="00F87D60">
            <w:pPr>
              <w:spacing w:after="0" w:line="240" w:lineRule="auto"/>
              <w:jc w:val="center"/>
              <w:rPr>
                <w:rFonts w:eastAsia="Times New Roman"/>
              </w:rPr>
            </w:pPr>
            <w:r>
              <w:rPr>
                <w:rFonts w:eastAsia="Times New Roman"/>
              </w:rPr>
              <w:t>4.5,</w:t>
            </w:r>
          </w:p>
          <w:p w:rsidR="00ED06A4" w:rsidRDefault="00ED06A4" w:rsidP="00F87D60">
            <w:pPr>
              <w:spacing w:after="0" w:line="240" w:lineRule="auto"/>
              <w:jc w:val="center"/>
              <w:rPr>
                <w:rFonts w:eastAsia="Times New Roman"/>
              </w:rPr>
            </w:pPr>
            <w:r>
              <w:rPr>
                <w:rFonts w:eastAsia="Times New Roman"/>
              </w:rPr>
              <w:t>4.5</w:t>
            </w:r>
          </w:p>
        </w:tc>
        <w:tc>
          <w:tcPr>
            <w:tcW w:w="625" w:type="dxa"/>
            <w:vAlign w:val="center"/>
          </w:tcPr>
          <w:p w:rsidR="00ED06A4" w:rsidRDefault="00ED06A4" w:rsidP="00F87D60">
            <w:pPr>
              <w:spacing w:after="0" w:line="240" w:lineRule="auto"/>
              <w:jc w:val="center"/>
              <w:rPr>
                <w:rFonts w:eastAsia="Times New Roman"/>
              </w:rPr>
            </w:pPr>
            <w:r>
              <w:rPr>
                <w:rFonts w:eastAsia="Times New Roman"/>
              </w:rPr>
              <w:t>1</w:t>
            </w:r>
          </w:p>
        </w:tc>
        <w:tc>
          <w:tcPr>
            <w:tcW w:w="1137" w:type="dxa"/>
            <w:vAlign w:val="center"/>
          </w:tcPr>
          <w:p w:rsidR="00ED06A4" w:rsidRDefault="00ED06A4" w:rsidP="00F87D60">
            <w:pPr>
              <w:spacing w:after="0" w:line="240" w:lineRule="auto"/>
              <w:jc w:val="center"/>
              <w:rPr>
                <w:rFonts w:eastAsia="Times New Roman"/>
              </w:rPr>
            </w:pPr>
            <w:r>
              <w:rPr>
                <w:rFonts w:eastAsia="Times New Roman"/>
              </w:rPr>
              <w:t>N</w:t>
            </w:r>
          </w:p>
        </w:tc>
        <w:tc>
          <w:tcPr>
            <w:tcW w:w="1720" w:type="dxa"/>
            <w:vAlign w:val="center"/>
          </w:tcPr>
          <w:p w:rsidR="00ED06A4" w:rsidRDefault="00ED06A4" w:rsidP="00F87D60">
            <w:pPr>
              <w:spacing w:after="0" w:line="240" w:lineRule="auto"/>
              <w:jc w:val="center"/>
              <w:rPr>
                <w:rFonts w:eastAsia="Times New Roman"/>
              </w:rPr>
            </w:pPr>
            <w:r>
              <w:rPr>
                <w:rFonts w:eastAsia="Times New Roman"/>
              </w:rPr>
              <w:t>n/a</w:t>
            </w:r>
          </w:p>
        </w:tc>
        <w:tc>
          <w:tcPr>
            <w:tcW w:w="1154" w:type="dxa"/>
            <w:vAlign w:val="center"/>
          </w:tcPr>
          <w:p w:rsidR="00ED06A4" w:rsidRDefault="00ED06A4" w:rsidP="00F87D60">
            <w:pPr>
              <w:spacing w:after="0" w:line="240" w:lineRule="auto"/>
              <w:jc w:val="center"/>
              <w:rPr>
                <w:rFonts w:eastAsia="Times New Roman"/>
              </w:rPr>
            </w:pPr>
            <w:r>
              <w:rPr>
                <w:rFonts w:eastAsia="Times New Roman"/>
              </w:rPr>
              <w:t>40, for position</w:t>
            </w:r>
          </w:p>
        </w:tc>
      </w:tr>
      <w:tr w:rsidR="00ED06A4" w:rsidTr="00F87D60">
        <w:trPr>
          <w:trHeight w:val="648"/>
        </w:trPr>
        <w:tc>
          <w:tcPr>
            <w:tcW w:w="1464" w:type="dxa"/>
            <w:vAlign w:val="center"/>
          </w:tcPr>
          <w:p w:rsidR="00ED06A4" w:rsidRDefault="00ED06A4" w:rsidP="00F87D60">
            <w:pPr>
              <w:spacing w:after="0" w:line="240" w:lineRule="auto"/>
              <w:jc w:val="center"/>
              <w:rPr>
                <w:rFonts w:eastAsia="Times New Roman"/>
              </w:rPr>
            </w:pPr>
            <w:r>
              <w:rPr>
                <w:rFonts w:eastAsia="Times New Roman"/>
              </w:rPr>
              <w:t>Blizzard</w:t>
            </w:r>
          </w:p>
        </w:tc>
        <w:tc>
          <w:tcPr>
            <w:tcW w:w="501" w:type="dxa"/>
            <w:vAlign w:val="center"/>
          </w:tcPr>
          <w:p w:rsidR="00ED06A4" w:rsidRDefault="00ED06A4" w:rsidP="00F87D60">
            <w:pPr>
              <w:spacing w:after="0" w:line="240" w:lineRule="auto"/>
              <w:jc w:val="center"/>
              <w:rPr>
                <w:rFonts w:eastAsia="Times New Roman"/>
              </w:rPr>
            </w:pPr>
            <w:r>
              <w:rPr>
                <w:rFonts w:eastAsia="Times New Roman"/>
              </w:rPr>
              <w:t>F</w:t>
            </w:r>
          </w:p>
        </w:tc>
        <w:tc>
          <w:tcPr>
            <w:tcW w:w="531" w:type="dxa"/>
            <w:vAlign w:val="center"/>
          </w:tcPr>
          <w:p w:rsidR="00ED06A4" w:rsidRDefault="00ED06A4" w:rsidP="00F87D60">
            <w:pPr>
              <w:spacing w:after="0" w:line="240" w:lineRule="auto"/>
              <w:jc w:val="center"/>
              <w:rPr>
                <w:rFonts w:eastAsia="Times New Roman"/>
              </w:rPr>
            </w:pPr>
            <w:r>
              <w:rPr>
                <w:rFonts w:eastAsia="Times New Roman"/>
              </w:rPr>
              <w:t>53</w:t>
            </w:r>
          </w:p>
        </w:tc>
        <w:tc>
          <w:tcPr>
            <w:tcW w:w="516" w:type="dxa"/>
            <w:vAlign w:val="center"/>
          </w:tcPr>
          <w:p w:rsidR="00ED06A4" w:rsidRDefault="00ED06A4" w:rsidP="00F87D60">
            <w:pPr>
              <w:spacing w:after="0" w:line="240" w:lineRule="auto"/>
              <w:jc w:val="center"/>
              <w:rPr>
                <w:rFonts w:eastAsia="Times New Roman"/>
              </w:rPr>
            </w:pPr>
            <w:r>
              <w:rPr>
                <w:rFonts w:eastAsia="Times New Roman"/>
              </w:rPr>
              <w:t>W</w:t>
            </w:r>
          </w:p>
        </w:tc>
        <w:tc>
          <w:tcPr>
            <w:tcW w:w="897" w:type="dxa"/>
            <w:vAlign w:val="center"/>
          </w:tcPr>
          <w:p w:rsidR="00ED06A4" w:rsidRDefault="00ED06A4" w:rsidP="00F87D60">
            <w:pPr>
              <w:spacing w:after="0" w:line="240" w:lineRule="auto"/>
              <w:jc w:val="center"/>
              <w:rPr>
                <w:rFonts w:eastAsia="Times New Roman"/>
              </w:rPr>
            </w:pPr>
            <w:r>
              <w:rPr>
                <w:rFonts w:eastAsia="Times New Roman"/>
              </w:rPr>
              <w:t>GED</w:t>
            </w:r>
          </w:p>
        </w:tc>
        <w:tc>
          <w:tcPr>
            <w:tcW w:w="671" w:type="dxa"/>
            <w:vAlign w:val="center"/>
          </w:tcPr>
          <w:p w:rsidR="00ED06A4" w:rsidRDefault="00ED06A4" w:rsidP="00F87D60">
            <w:pPr>
              <w:spacing w:after="0" w:line="240" w:lineRule="auto"/>
              <w:jc w:val="center"/>
              <w:rPr>
                <w:rFonts w:eastAsia="Times New Roman"/>
              </w:rPr>
            </w:pPr>
            <w:r>
              <w:rPr>
                <w:rFonts w:eastAsia="Times New Roman"/>
              </w:rPr>
              <w:t>1</w:t>
            </w:r>
          </w:p>
        </w:tc>
        <w:tc>
          <w:tcPr>
            <w:tcW w:w="625" w:type="dxa"/>
            <w:vAlign w:val="center"/>
          </w:tcPr>
          <w:p w:rsidR="00ED06A4" w:rsidRDefault="00ED06A4" w:rsidP="00F87D60">
            <w:pPr>
              <w:spacing w:after="0" w:line="240" w:lineRule="auto"/>
              <w:jc w:val="center"/>
              <w:rPr>
                <w:rFonts w:eastAsia="Times New Roman"/>
              </w:rPr>
            </w:pPr>
            <w:r>
              <w:rPr>
                <w:rFonts w:eastAsia="Times New Roman"/>
              </w:rPr>
              <w:t>8</w:t>
            </w:r>
          </w:p>
        </w:tc>
        <w:tc>
          <w:tcPr>
            <w:tcW w:w="1137" w:type="dxa"/>
            <w:vAlign w:val="center"/>
          </w:tcPr>
          <w:p w:rsidR="00ED06A4" w:rsidRDefault="00ED06A4" w:rsidP="00F87D60">
            <w:pPr>
              <w:spacing w:after="0" w:line="240" w:lineRule="auto"/>
              <w:jc w:val="center"/>
              <w:rPr>
                <w:rFonts w:eastAsia="Times New Roman"/>
              </w:rPr>
            </w:pPr>
            <w:r>
              <w:rPr>
                <w:rFonts w:eastAsia="Times New Roman"/>
              </w:rPr>
              <w:t>Y</w:t>
            </w:r>
          </w:p>
        </w:tc>
        <w:tc>
          <w:tcPr>
            <w:tcW w:w="1720" w:type="dxa"/>
            <w:vAlign w:val="center"/>
          </w:tcPr>
          <w:p w:rsidR="00ED06A4" w:rsidRDefault="00ED06A4" w:rsidP="00F87D60">
            <w:pPr>
              <w:spacing w:after="0" w:line="240" w:lineRule="auto"/>
              <w:jc w:val="center"/>
              <w:rPr>
                <w:rFonts w:eastAsia="Times New Roman"/>
              </w:rPr>
            </w:pPr>
            <w:r>
              <w:rPr>
                <w:rFonts w:eastAsia="Times New Roman"/>
              </w:rPr>
              <w:t>Math, History,</w:t>
            </w:r>
          </w:p>
          <w:p w:rsidR="00ED06A4" w:rsidRDefault="00ED06A4" w:rsidP="00F87D60">
            <w:pPr>
              <w:spacing w:after="0" w:line="240" w:lineRule="auto"/>
              <w:jc w:val="center"/>
              <w:rPr>
                <w:rFonts w:eastAsia="Times New Roman"/>
              </w:rPr>
            </w:pPr>
            <w:r>
              <w:rPr>
                <w:rFonts w:eastAsia="Times New Roman"/>
              </w:rPr>
              <w:t>Government,</w:t>
            </w:r>
          </w:p>
          <w:p w:rsidR="00ED06A4" w:rsidRDefault="00ED06A4" w:rsidP="00F87D60">
            <w:pPr>
              <w:spacing w:after="0" w:line="240" w:lineRule="auto"/>
              <w:jc w:val="center"/>
              <w:rPr>
                <w:rFonts w:eastAsia="Times New Roman"/>
              </w:rPr>
            </w:pPr>
            <w:r>
              <w:rPr>
                <w:rFonts w:eastAsia="Times New Roman"/>
              </w:rPr>
              <w:t>Economics</w:t>
            </w:r>
          </w:p>
        </w:tc>
        <w:tc>
          <w:tcPr>
            <w:tcW w:w="1154" w:type="dxa"/>
            <w:vAlign w:val="center"/>
          </w:tcPr>
          <w:p w:rsidR="00ED06A4" w:rsidRDefault="00ED06A4" w:rsidP="00F87D60">
            <w:pPr>
              <w:spacing w:after="0" w:line="240" w:lineRule="auto"/>
              <w:jc w:val="center"/>
              <w:rPr>
                <w:rFonts w:eastAsia="Times New Roman"/>
              </w:rPr>
            </w:pPr>
            <w:r>
              <w:rPr>
                <w:rFonts w:eastAsia="Times New Roman"/>
              </w:rPr>
              <w:t>n/a</w:t>
            </w:r>
          </w:p>
        </w:tc>
      </w:tr>
      <w:tr w:rsidR="00ED06A4" w:rsidTr="00F87D60">
        <w:trPr>
          <w:trHeight w:val="648"/>
        </w:trPr>
        <w:tc>
          <w:tcPr>
            <w:tcW w:w="1464" w:type="dxa"/>
            <w:vAlign w:val="center"/>
          </w:tcPr>
          <w:p w:rsidR="00ED06A4" w:rsidRDefault="00ED06A4" w:rsidP="00F87D60">
            <w:pPr>
              <w:spacing w:after="0" w:line="240" w:lineRule="auto"/>
              <w:jc w:val="center"/>
              <w:rPr>
                <w:rFonts w:eastAsia="Times New Roman"/>
              </w:rPr>
            </w:pPr>
            <w:r>
              <w:rPr>
                <w:rFonts w:eastAsia="Times New Roman"/>
              </w:rPr>
              <w:t>Carla</w:t>
            </w:r>
          </w:p>
        </w:tc>
        <w:tc>
          <w:tcPr>
            <w:tcW w:w="501" w:type="dxa"/>
            <w:vAlign w:val="center"/>
          </w:tcPr>
          <w:p w:rsidR="00ED06A4" w:rsidRDefault="00ED06A4" w:rsidP="00F87D60">
            <w:pPr>
              <w:spacing w:after="0" w:line="240" w:lineRule="auto"/>
              <w:jc w:val="center"/>
              <w:rPr>
                <w:rFonts w:eastAsia="Times New Roman"/>
              </w:rPr>
            </w:pPr>
            <w:r>
              <w:rPr>
                <w:rFonts w:eastAsia="Times New Roman"/>
              </w:rPr>
              <w:t>F</w:t>
            </w:r>
          </w:p>
        </w:tc>
        <w:tc>
          <w:tcPr>
            <w:tcW w:w="531" w:type="dxa"/>
            <w:vAlign w:val="center"/>
          </w:tcPr>
          <w:p w:rsidR="00ED06A4" w:rsidRDefault="00ED06A4" w:rsidP="00F87D60">
            <w:pPr>
              <w:spacing w:after="0" w:line="240" w:lineRule="auto"/>
              <w:jc w:val="center"/>
              <w:rPr>
                <w:rFonts w:eastAsia="Times New Roman"/>
              </w:rPr>
            </w:pPr>
            <w:r>
              <w:rPr>
                <w:rFonts w:eastAsia="Times New Roman"/>
              </w:rPr>
              <w:t>48</w:t>
            </w:r>
          </w:p>
        </w:tc>
        <w:tc>
          <w:tcPr>
            <w:tcW w:w="516" w:type="dxa"/>
            <w:vAlign w:val="center"/>
          </w:tcPr>
          <w:p w:rsidR="00ED06A4" w:rsidRDefault="00ED06A4" w:rsidP="00F87D60">
            <w:pPr>
              <w:spacing w:after="0" w:line="240" w:lineRule="auto"/>
              <w:jc w:val="center"/>
              <w:rPr>
                <w:rFonts w:eastAsia="Times New Roman"/>
              </w:rPr>
            </w:pPr>
            <w:r>
              <w:rPr>
                <w:rFonts w:eastAsia="Times New Roman"/>
              </w:rPr>
              <w:t>W</w:t>
            </w:r>
          </w:p>
        </w:tc>
        <w:tc>
          <w:tcPr>
            <w:tcW w:w="897" w:type="dxa"/>
            <w:vAlign w:val="center"/>
          </w:tcPr>
          <w:p w:rsidR="00ED06A4" w:rsidRDefault="00ED06A4" w:rsidP="00F87D60">
            <w:pPr>
              <w:spacing w:after="0" w:line="240" w:lineRule="auto"/>
              <w:jc w:val="center"/>
              <w:rPr>
                <w:rFonts w:eastAsia="Times New Roman"/>
              </w:rPr>
            </w:pPr>
            <w:r>
              <w:rPr>
                <w:rFonts w:eastAsia="Times New Roman"/>
              </w:rPr>
              <w:t>GED,</w:t>
            </w:r>
          </w:p>
          <w:p w:rsidR="00ED06A4" w:rsidRDefault="00ED06A4" w:rsidP="00F87D60">
            <w:pPr>
              <w:spacing w:after="0" w:line="240" w:lineRule="auto"/>
              <w:jc w:val="center"/>
              <w:rPr>
                <w:rFonts w:eastAsia="Times New Roman"/>
              </w:rPr>
            </w:pPr>
            <w:r>
              <w:rPr>
                <w:rFonts w:eastAsia="Times New Roman"/>
              </w:rPr>
              <w:t>ABE</w:t>
            </w:r>
          </w:p>
        </w:tc>
        <w:tc>
          <w:tcPr>
            <w:tcW w:w="671" w:type="dxa"/>
            <w:vAlign w:val="center"/>
          </w:tcPr>
          <w:p w:rsidR="00ED06A4" w:rsidRDefault="00ED06A4" w:rsidP="00F87D60">
            <w:pPr>
              <w:spacing w:after="0" w:line="240" w:lineRule="auto"/>
              <w:jc w:val="center"/>
              <w:rPr>
                <w:rFonts w:eastAsia="Times New Roman"/>
              </w:rPr>
            </w:pPr>
            <w:r>
              <w:rPr>
                <w:rFonts w:eastAsia="Times New Roman"/>
              </w:rPr>
              <w:t>18,</w:t>
            </w:r>
          </w:p>
          <w:p w:rsidR="00ED06A4" w:rsidRDefault="00ED06A4" w:rsidP="00F87D60">
            <w:pPr>
              <w:spacing w:after="0" w:line="240" w:lineRule="auto"/>
              <w:jc w:val="center"/>
              <w:rPr>
                <w:rFonts w:eastAsia="Times New Roman"/>
              </w:rPr>
            </w:pPr>
            <w:r>
              <w:rPr>
                <w:rFonts w:eastAsia="Times New Roman"/>
              </w:rPr>
              <w:t>23</w:t>
            </w:r>
          </w:p>
        </w:tc>
        <w:tc>
          <w:tcPr>
            <w:tcW w:w="625" w:type="dxa"/>
            <w:vAlign w:val="center"/>
          </w:tcPr>
          <w:p w:rsidR="00ED06A4" w:rsidRDefault="00ED06A4" w:rsidP="00F87D60">
            <w:pPr>
              <w:spacing w:after="0" w:line="240" w:lineRule="auto"/>
              <w:jc w:val="center"/>
              <w:rPr>
                <w:rFonts w:eastAsia="Times New Roman"/>
              </w:rPr>
            </w:pPr>
            <w:r>
              <w:rPr>
                <w:rFonts w:eastAsia="Times New Roman"/>
              </w:rPr>
              <w:t>8</w:t>
            </w:r>
          </w:p>
        </w:tc>
        <w:tc>
          <w:tcPr>
            <w:tcW w:w="1137" w:type="dxa"/>
            <w:vAlign w:val="center"/>
          </w:tcPr>
          <w:p w:rsidR="00ED06A4" w:rsidRDefault="00ED06A4" w:rsidP="00F87D60">
            <w:pPr>
              <w:spacing w:after="0" w:line="240" w:lineRule="auto"/>
              <w:jc w:val="center"/>
              <w:rPr>
                <w:rFonts w:eastAsia="Times New Roman"/>
              </w:rPr>
            </w:pPr>
            <w:r>
              <w:rPr>
                <w:rFonts w:eastAsia="Times New Roman"/>
              </w:rPr>
              <w:t>Y,</w:t>
            </w:r>
          </w:p>
          <w:p w:rsidR="00ED06A4" w:rsidRDefault="00ED06A4" w:rsidP="00F87D60">
            <w:pPr>
              <w:spacing w:after="0" w:line="240" w:lineRule="auto"/>
              <w:jc w:val="center"/>
              <w:rPr>
                <w:rFonts w:eastAsia="Times New Roman"/>
              </w:rPr>
            </w:pPr>
            <w:r>
              <w:rPr>
                <w:rFonts w:eastAsia="Times New Roman"/>
              </w:rPr>
              <w:t>Expired</w:t>
            </w:r>
          </w:p>
        </w:tc>
        <w:tc>
          <w:tcPr>
            <w:tcW w:w="1720" w:type="dxa"/>
            <w:vAlign w:val="center"/>
          </w:tcPr>
          <w:p w:rsidR="00ED06A4" w:rsidRDefault="00ED06A4" w:rsidP="00F87D60">
            <w:pPr>
              <w:spacing w:after="0" w:line="240" w:lineRule="auto"/>
              <w:jc w:val="center"/>
              <w:rPr>
                <w:rFonts w:eastAsia="Times New Roman"/>
              </w:rPr>
            </w:pPr>
            <w:r>
              <w:rPr>
                <w:rFonts w:eastAsia="Times New Roman"/>
              </w:rPr>
              <w:t>Elementary Education,</w:t>
            </w:r>
          </w:p>
          <w:p w:rsidR="00ED06A4" w:rsidRDefault="00ED06A4" w:rsidP="00F87D60">
            <w:pPr>
              <w:spacing w:after="0" w:line="240" w:lineRule="auto"/>
              <w:jc w:val="center"/>
              <w:rPr>
                <w:rFonts w:eastAsia="Times New Roman"/>
              </w:rPr>
            </w:pPr>
            <w:r>
              <w:rPr>
                <w:rFonts w:eastAsia="Times New Roman"/>
              </w:rPr>
              <w:t>K-6</w:t>
            </w:r>
          </w:p>
        </w:tc>
        <w:tc>
          <w:tcPr>
            <w:tcW w:w="1154" w:type="dxa"/>
            <w:vAlign w:val="center"/>
          </w:tcPr>
          <w:p w:rsidR="00ED06A4" w:rsidRDefault="00ED06A4" w:rsidP="00F87D60">
            <w:pPr>
              <w:spacing w:after="0" w:line="240" w:lineRule="auto"/>
              <w:jc w:val="center"/>
              <w:rPr>
                <w:rFonts w:eastAsia="Times New Roman"/>
              </w:rPr>
            </w:pPr>
            <w:r>
              <w:rPr>
                <w:rFonts w:eastAsia="Times New Roman"/>
              </w:rPr>
              <w:t>40, for position</w:t>
            </w:r>
          </w:p>
        </w:tc>
      </w:tr>
      <w:tr w:rsidR="00ED06A4" w:rsidTr="00F87D60">
        <w:trPr>
          <w:trHeight w:val="648"/>
        </w:trPr>
        <w:tc>
          <w:tcPr>
            <w:tcW w:w="1464" w:type="dxa"/>
            <w:vAlign w:val="center"/>
          </w:tcPr>
          <w:p w:rsidR="00ED06A4" w:rsidRDefault="00ED06A4" w:rsidP="00F87D60">
            <w:pPr>
              <w:spacing w:after="0" w:line="240" w:lineRule="auto"/>
              <w:jc w:val="center"/>
              <w:rPr>
                <w:rFonts w:eastAsia="Times New Roman"/>
              </w:rPr>
            </w:pPr>
            <w:r>
              <w:rPr>
                <w:rFonts w:eastAsia="Times New Roman"/>
              </w:rPr>
              <w:t>Debbie</w:t>
            </w:r>
          </w:p>
        </w:tc>
        <w:tc>
          <w:tcPr>
            <w:tcW w:w="501" w:type="dxa"/>
            <w:vAlign w:val="center"/>
          </w:tcPr>
          <w:p w:rsidR="00ED06A4" w:rsidRDefault="00ED06A4" w:rsidP="00F87D60">
            <w:pPr>
              <w:spacing w:after="0" w:line="240" w:lineRule="auto"/>
              <w:jc w:val="center"/>
              <w:rPr>
                <w:rFonts w:eastAsia="Times New Roman"/>
              </w:rPr>
            </w:pPr>
            <w:r>
              <w:rPr>
                <w:rFonts w:eastAsia="Times New Roman"/>
              </w:rPr>
              <w:t>F</w:t>
            </w:r>
          </w:p>
        </w:tc>
        <w:tc>
          <w:tcPr>
            <w:tcW w:w="531" w:type="dxa"/>
            <w:vAlign w:val="center"/>
          </w:tcPr>
          <w:p w:rsidR="00ED06A4" w:rsidRDefault="00ED06A4" w:rsidP="00F87D60">
            <w:pPr>
              <w:spacing w:after="0" w:line="240" w:lineRule="auto"/>
              <w:jc w:val="center"/>
              <w:rPr>
                <w:rFonts w:eastAsia="Times New Roman"/>
              </w:rPr>
            </w:pPr>
            <w:r>
              <w:rPr>
                <w:rFonts w:eastAsia="Times New Roman"/>
              </w:rPr>
              <w:t>63</w:t>
            </w:r>
          </w:p>
        </w:tc>
        <w:tc>
          <w:tcPr>
            <w:tcW w:w="516" w:type="dxa"/>
            <w:vAlign w:val="center"/>
          </w:tcPr>
          <w:p w:rsidR="00ED06A4" w:rsidRDefault="00ED06A4" w:rsidP="00F87D60">
            <w:pPr>
              <w:spacing w:after="0" w:line="240" w:lineRule="auto"/>
              <w:jc w:val="center"/>
              <w:rPr>
                <w:rFonts w:eastAsia="Times New Roman"/>
              </w:rPr>
            </w:pPr>
            <w:r>
              <w:rPr>
                <w:rFonts w:eastAsia="Times New Roman"/>
              </w:rPr>
              <w:t>W</w:t>
            </w:r>
          </w:p>
        </w:tc>
        <w:tc>
          <w:tcPr>
            <w:tcW w:w="897" w:type="dxa"/>
            <w:vAlign w:val="center"/>
          </w:tcPr>
          <w:p w:rsidR="00ED06A4" w:rsidRDefault="00ED06A4" w:rsidP="00F87D60">
            <w:pPr>
              <w:spacing w:after="0" w:line="240" w:lineRule="auto"/>
              <w:jc w:val="center"/>
              <w:rPr>
                <w:rFonts w:eastAsia="Times New Roman"/>
              </w:rPr>
            </w:pPr>
            <w:r>
              <w:rPr>
                <w:rFonts w:eastAsia="Times New Roman"/>
              </w:rPr>
              <w:t>GED,</w:t>
            </w:r>
          </w:p>
          <w:p w:rsidR="00ED06A4" w:rsidRDefault="00ED06A4" w:rsidP="00F87D60">
            <w:pPr>
              <w:spacing w:after="0" w:line="240" w:lineRule="auto"/>
              <w:jc w:val="center"/>
              <w:rPr>
                <w:rFonts w:eastAsia="Times New Roman"/>
              </w:rPr>
            </w:pPr>
            <w:r>
              <w:rPr>
                <w:rFonts w:eastAsia="Times New Roman"/>
              </w:rPr>
              <w:t>ABE</w:t>
            </w:r>
          </w:p>
        </w:tc>
        <w:tc>
          <w:tcPr>
            <w:tcW w:w="671" w:type="dxa"/>
            <w:vAlign w:val="center"/>
          </w:tcPr>
          <w:p w:rsidR="00ED06A4" w:rsidRDefault="00ED06A4" w:rsidP="00F87D60">
            <w:pPr>
              <w:spacing w:after="0" w:line="240" w:lineRule="auto"/>
              <w:jc w:val="center"/>
              <w:rPr>
                <w:rFonts w:eastAsia="Times New Roman"/>
              </w:rPr>
            </w:pPr>
            <w:r>
              <w:rPr>
                <w:rFonts w:eastAsia="Times New Roman"/>
              </w:rPr>
              <w:t>10,</w:t>
            </w:r>
          </w:p>
          <w:p w:rsidR="00ED06A4" w:rsidRDefault="00ED06A4" w:rsidP="00F87D60">
            <w:pPr>
              <w:spacing w:after="0" w:line="240" w:lineRule="auto"/>
              <w:jc w:val="center"/>
              <w:rPr>
                <w:rFonts w:eastAsia="Times New Roman"/>
              </w:rPr>
            </w:pPr>
            <w:r>
              <w:rPr>
                <w:rFonts w:eastAsia="Times New Roman"/>
              </w:rPr>
              <w:t>10</w:t>
            </w:r>
          </w:p>
        </w:tc>
        <w:tc>
          <w:tcPr>
            <w:tcW w:w="625" w:type="dxa"/>
            <w:vAlign w:val="center"/>
          </w:tcPr>
          <w:p w:rsidR="00ED06A4" w:rsidRDefault="00ED06A4" w:rsidP="00F87D60">
            <w:pPr>
              <w:spacing w:after="0" w:line="240" w:lineRule="auto"/>
              <w:jc w:val="center"/>
              <w:rPr>
                <w:rFonts w:eastAsia="Times New Roman"/>
              </w:rPr>
            </w:pPr>
            <w:r>
              <w:rPr>
                <w:rFonts w:eastAsia="Times New Roman"/>
              </w:rPr>
              <w:t>10</w:t>
            </w:r>
          </w:p>
        </w:tc>
        <w:tc>
          <w:tcPr>
            <w:tcW w:w="1137" w:type="dxa"/>
            <w:vAlign w:val="center"/>
          </w:tcPr>
          <w:p w:rsidR="00ED06A4" w:rsidRDefault="00ED06A4" w:rsidP="00F87D60">
            <w:pPr>
              <w:spacing w:after="0" w:line="240" w:lineRule="auto"/>
              <w:jc w:val="center"/>
              <w:rPr>
                <w:rFonts w:eastAsia="Times New Roman"/>
              </w:rPr>
            </w:pPr>
            <w:r>
              <w:rPr>
                <w:rFonts w:eastAsia="Times New Roman"/>
              </w:rPr>
              <w:t>Y,</w:t>
            </w:r>
          </w:p>
          <w:p w:rsidR="00ED06A4" w:rsidRDefault="00ED06A4" w:rsidP="00F87D60">
            <w:pPr>
              <w:spacing w:after="0" w:line="240" w:lineRule="auto"/>
              <w:jc w:val="center"/>
              <w:rPr>
                <w:rFonts w:eastAsia="Times New Roman"/>
              </w:rPr>
            </w:pPr>
            <w:r>
              <w:rPr>
                <w:rFonts w:eastAsia="Times New Roman"/>
              </w:rPr>
              <w:t xml:space="preserve">Expired </w:t>
            </w:r>
          </w:p>
        </w:tc>
        <w:tc>
          <w:tcPr>
            <w:tcW w:w="1720" w:type="dxa"/>
            <w:vAlign w:val="center"/>
          </w:tcPr>
          <w:p w:rsidR="00ED06A4" w:rsidRDefault="00ED06A4" w:rsidP="00F87D60">
            <w:pPr>
              <w:spacing w:after="0" w:line="240" w:lineRule="auto"/>
              <w:jc w:val="center"/>
              <w:rPr>
                <w:rFonts w:eastAsia="Times New Roman"/>
              </w:rPr>
            </w:pPr>
            <w:r>
              <w:rPr>
                <w:rFonts w:eastAsia="Times New Roman"/>
              </w:rPr>
              <w:t>Psychology,</w:t>
            </w:r>
          </w:p>
          <w:p w:rsidR="00ED06A4" w:rsidRDefault="00ED06A4" w:rsidP="00F87D60">
            <w:pPr>
              <w:spacing w:after="0" w:line="240" w:lineRule="auto"/>
              <w:jc w:val="center"/>
              <w:rPr>
                <w:rFonts w:eastAsia="Times New Roman"/>
              </w:rPr>
            </w:pPr>
            <w:r>
              <w:rPr>
                <w:rFonts w:eastAsia="Times New Roman"/>
              </w:rPr>
              <w:t>Sociology</w:t>
            </w:r>
          </w:p>
        </w:tc>
        <w:tc>
          <w:tcPr>
            <w:tcW w:w="1154" w:type="dxa"/>
            <w:vAlign w:val="center"/>
          </w:tcPr>
          <w:p w:rsidR="00ED06A4" w:rsidRDefault="00ED06A4" w:rsidP="00F87D60">
            <w:pPr>
              <w:spacing w:after="0" w:line="240" w:lineRule="auto"/>
              <w:jc w:val="center"/>
              <w:rPr>
                <w:rFonts w:eastAsia="Times New Roman"/>
              </w:rPr>
            </w:pPr>
            <w:r>
              <w:rPr>
                <w:rFonts w:eastAsia="Times New Roman"/>
              </w:rPr>
              <w:t>40, for position</w:t>
            </w:r>
          </w:p>
        </w:tc>
      </w:tr>
      <w:tr w:rsidR="00ED06A4" w:rsidTr="00F87D60">
        <w:trPr>
          <w:trHeight w:val="648"/>
        </w:trPr>
        <w:tc>
          <w:tcPr>
            <w:tcW w:w="1464" w:type="dxa"/>
            <w:vAlign w:val="center"/>
          </w:tcPr>
          <w:p w:rsidR="00ED06A4" w:rsidRDefault="00ED06A4" w:rsidP="00F87D60">
            <w:pPr>
              <w:spacing w:after="0" w:line="240" w:lineRule="auto"/>
              <w:jc w:val="center"/>
              <w:rPr>
                <w:rFonts w:eastAsia="Times New Roman"/>
              </w:rPr>
            </w:pPr>
            <w:r>
              <w:rPr>
                <w:rFonts w:eastAsia="Times New Roman"/>
              </w:rPr>
              <w:t>Elaine</w:t>
            </w:r>
          </w:p>
        </w:tc>
        <w:tc>
          <w:tcPr>
            <w:tcW w:w="501" w:type="dxa"/>
            <w:vAlign w:val="center"/>
          </w:tcPr>
          <w:p w:rsidR="00ED06A4" w:rsidRDefault="00ED06A4" w:rsidP="00F87D60">
            <w:pPr>
              <w:spacing w:after="0" w:line="240" w:lineRule="auto"/>
              <w:jc w:val="center"/>
              <w:rPr>
                <w:rFonts w:eastAsia="Times New Roman"/>
              </w:rPr>
            </w:pPr>
            <w:r>
              <w:rPr>
                <w:rFonts w:eastAsia="Times New Roman"/>
              </w:rPr>
              <w:t>F</w:t>
            </w:r>
          </w:p>
        </w:tc>
        <w:tc>
          <w:tcPr>
            <w:tcW w:w="531" w:type="dxa"/>
            <w:vAlign w:val="center"/>
          </w:tcPr>
          <w:p w:rsidR="00ED06A4" w:rsidRDefault="00ED06A4" w:rsidP="00F87D60">
            <w:pPr>
              <w:spacing w:after="0" w:line="240" w:lineRule="auto"/>
              <w:jc w:val="center"/>
              <w:rPr>
                <w:rFonts w:eastAsia="Times New Roman"/>
              </w:rPr>
            </w:pPr>
            <w:r>
              <w:rPr>
                <w:rFonts w:eastAsia="Times New Roman"/>
              </w:rPr>
              <w:t>51</w:t>
            </w:r>
          </w:p>
        </w:tc>
        <w:tc>
          <w:tcPr>
            <w:tcW w:w="516" w:type="dxa"/>
            <w:vAlign w:val="center"/>
          </w:tcPr>
          <w:p w:rsidR="00ED06A4" w:rsidRDefault="00ED06A4" w:rsidP="00F87D60">
            <w:pPr>
              <w:spacing w:after="0" w:line="240" w:lineRule="auto"/>
              <w:jc w:val="center"/>
              <w:rPr>
                <w:rFonts w:eastAsia="Times New Roman"/>
              </w:rPr>
            </w:pPr>
            <w:r>
              <w:rPr>
                <w:rFonts w:eastAsia="Times New Roman"/>
              </w:rPr>
              <w:t>W</w:t>
            </w:r>
          </w:p>
        </w:tc>
        <w:tc>
          <w:tcPr>
            <w:tcW w:w="897" w:type="dxa"/>
            <w:vAlign w:val="center"/>
          </w:tcPr>
          <w:p w:rsidR="00ED06A4" w:rsidRDefault="00ED06A4" w:rsidP="00F87D60">
            <w:pPr>
              <w:spacing w:after="0" w:line="240" w:lineRule="auto"/>
              <w:jc w:val="center"/>
              <w:rPr>
                <w:rFonts w:eastAsia="Times New Roman"/>
              </w:rPr>
            </w:pPr>
            <w:r>
              <w:rPr>
                <w:rFonts w:eastAsia="Times New Roman"/>
              </w:rPr>
              <w:t>GED,</w:t>
            </w:r>
          </w:p>
          <w:p w:rsidR="00ED06A4" w:rsidRDefault="00ED06A4" w:rsidP="00F87D60">
            <w:pPr>
              <w:spacing w:after="0" w:line="240" w:lineRule="auto"/>
              <w:jc w:val="center"/>
              <w:rPr>
                <w:rFonts w:eastAsia="Times New Roman"/>
              </w:rPr>
            </w:pPr>
            <w:r>
              <w:rPr>
                <w:rFonts w:eastAsia="Times New Roman"/>
              </w:rPr>
              <w:t>ABE</w:t>
            </w:r>
          </w:p>
        </w:tc>
        <w:tc>
          <w:tcPr>
            <w:tcW w:w="671" w:type="dxa"/>
            <w:vAlign w:val="center"/>
          </w:tcPr>
          <w:p w:rsidR="00ED06A4" w:rsidRDefault="00ED06A4" w:rsidP="00F87D60">
            <w:pPr>
              <w:spacing w:after="0" w:line="240" w:lineRule="auto"/>
              <w:jc w:val="center"/>
              <w:rPr>
                <w:rFonts w:eastAsia="Times New Roman"/>
              </w:rPr>
            </w:pPr>
            <w:r>
              <w:rPr>
                <w:rFonts w:eastAsia="Times New Roman"/>
              </w:rPr>
              <w:t>4,</w:t>
            </w:r>
          </w:p>
          <w:p w:rsidR="00ED06A4" w:rsidRDefault="00ED06A4" w:rsidP="00F87D60">
            <w:pPr>
              <w:spacing w:after="0" w:line="240" w:lineRule="auto"/>
              <w:jc w:val="center"/>
              <w:rPr>
                <w:rFonts w:eastAsia="Times New Roman"/>
              </w:rPr>
            </w:pPr>
            <w:r>
              <w:rPr>
                <w:rFonts w:eastAsia="Times New Roman"/>
              </w:rPr>
              <w:t>4</w:t>
            </w:r>
          </w:p>
        </w:tc>
        <w:tc>
          <w:tcPr>
            <w:tcW w:w="625" w:type="dxa"/>
            <w:vAlign w:val="center"/>
          </w:tcPr>
          <w:p w:rsidR="00ED06A4" w:rsidRDefault="00ED06A4" w:rsidP="00F87D60">
            <w:pPr>
              <w:spacing w:after="0" w:line="240" w:lineRule="auto"/>
              <w:jc w:val="center"/>
              <w:rPr>
                <w:rFonts w:eastAsia="Times New Roman"/>
              </w:rPr>
            </w:pPr>
            <w:r>
              <w:rPr>
                <w:rFonts w:eastAsia="Times New Roman"/>
              </w:rPr>
              <w:t>8-15</w:t>
            </w:r>
          </w:p>
        </w:tc>
        <w:tc>
          <w:tcPr>
            <w:tcW w:w="1137" w:type="dxa"/>
            <w:vAlign w:val="center"/>
          </w:tcPr>
          <w:p w:rsidR="00ED06A4" w:rsidRDefault="00ED06A4" w:rsidP="00F87D60">
            <w:pPr>
              <w:spacing w:after="0" w:line="240" w:lineRule="auto"/>
              <w:jc w:val="center"/>
              <w:rPr>
                <w:rFonts w:eastAsia="Times New Roman"/>
              </w:rPr>
            </w:pPr>
            <w:r>
              <w:rPr>
                <w:rFonts w:eastAsia="Times New Roman"/>
              </w:rPr>
              <w:t>Y</w:t>
            </w:r>
          </w:p>
        </w:tc>
        <w:tc>
          <w:tcPr>
            <w:tcW w:w="1720" w:type="dxa"/>
            <w:vAlign w:val="center"/>
          </w:tcPr>
          <w:p w:rsidR="00ED06A4" w:rsidRDefault="00ED06A4" w:rsidP="00F87D60">
            <w:pPr>
              <w:spacing w:after="0" w:line="240" w:lineRule="auto"/>
              <w:jc w:val="center"/>
              <w:rPr>
                <w:rFonts w:eastAsia="Times New Roman"/>
              </w:rPr>
            </w:pPr>
            <w:r>
              <w:rPr>
                <w:rFonts w:eastAsia="Times New Roman"/>
              </w:rPr>
              <w:t>Math</w:t>
            </w:r>
          </w:p>
        </w:tc>
        <w:tc>
          <w:tcPr>
            <w:tcW w:w="1154" w:type="dxa"/>
            <w:vAlign w:val="center"/>
          </w:tcPr>
          <w:p w:rsidR="00ED06A4" w:rsidRDefault="00ED06A4" w:rsidP="00F87D60">
            <w:pPr>
              <w:spacing w:after="0" w:line="240" w:lineRule="auto"/>
              <w:jc w:val="center"/>
              <w:rPr>
                <w:rFonts w:eastAsia="Times New Roman"/>
              </w:rPr>
            </w:pPr>
            <w:r>
              <w:rPr>
                <w:rFonts w:eastAsia="Times New Roman"/>
              </w:rPr>
              <w:t>40</w:t>
            </w:r>
          </w:p>
        </w:tc>
      </w:tr>
      <w:tr w:rsidR="00ED06A4" w:rsidTr="00F87D60">
        <w:trPr>
          <w:trHeight w:val="648"/>
        </w:trPr>
        <w:tc>
          <w:tcPr>
            <w:tcW w:w="1464" w:type="dxa"/>
            <w:vAlign w:val="center"/>
          </w:tcPr>
          <w:p w:rsidR="00ED06A4" w:rsidRDefault="00ED06A4" w:rsidP="00F87D60">
            <w:pPr>
              <w:spacing w:after="0" w:line="240" w:lineRule="auto"/>
              <w:jc w:val="center"/>
              <w:rPr>
                <w:rFonts w:eastAsia="Times New Roman"/>
              </w:rPr>
            </w:pPr>
            <w:r>
              <w:rPr>
                <w:rFonts w:eastAsia="Times New Roman"/>
              </w:rPr>
              <w:t>Flo</w:t>
            </w:r>
          </w:p>
        </w:tc>
        <w:tc>
          <w:tcPr>
            <w:tcW w:w="501" w:type="dxa"/>
            <w:vAlign w:val="center"/>
          </w:tcPr>
          <w:p w:rsidR="00ED06A4" w:rsidRDefault="00ED06A4" w:rsidP="00F87D60">
            <w:pPr>
              <w:spacing w:after="0" w:line="240" w:lineRule="auto"/>
              <w:jc w:val="center"/>
              <w:rPr>
                <w:rFonts w:eastAsia="Times New Roman"/>
              </w:rPr>
            </w:pPr>
            <w:r>
              <w:rPr>
                <w:rFonts w:eastAsia="Times New Roman"/>
              </w:rPr>
              <w:t>F</w:t>
            </w:r>
          </w:p>
        </w:tc>
        <w:tc>
          <w:tcPr>
            <w:tcW w:w="531" w:type="dxa"/>
            <w:vAlign w:val="center"/>
          </w:tcPr>
          <w:p w:rsidR="00ED06A4" w:rsidRDefault="00ED06A4" w:rsidP="00F87D60">
            <w:pPr>
              <w:spacing w:after="0" w:line="240" w:lineRule="auto"/>
              <w:jc w:val="center"/>
              <w:rPr>
                <w:rFonts w:eastAsia="Times New Roman"/>
              </w:rPr>
            </w:pPr>
            <w:r>
              <w:rPr>
                <w:rFonts w:eastAsia="Times New Roman"/>
              </w:rPr>
              <w:t>51</w:t>
            </w:r>
          </w:p>
        </w:tc>
        <w:tc>
          <w:tcPr>
            <w:tcW w:w="516" w:type="dxa"/>
            <w:vAlign w:val="center"/>
          </w:tcPr>
          <w:p w:rsidR="00ED06A4" w:rsidRDefault="00ED06A4" w:rsidP="00F87D60">
            <w:pPr>
              <w:spacing w:after="0" w:line="240" w:lineRule="auto"/>
              <w:jc w:val="center"/>
              <w:rPr>
                <w:rFonts w:eastAsia="Times New Roman"/>
              </w:rPr>
            </w:pPr>
            <w:r>
              <w:rPr>
                <w:rFonts w:eastAsia="Times New Roman"/>
              </w:rPr>
              <w:t>W</w:t>
            </w:r>
          </w:p>
        </w:tc>
        <w:tc>
          <w:tcPr>
            <w:tcW w:w="897" w:type="dxa"/>
            <w:vAlign w:val="center"/>
          </w:tcPr>
          <w:p w:rsidR="00ED06A4" w:rsidRDefault="00ED06A4" w:rsidP="00F87D60">
            <w:pPr>
              <w:spacing w:after="0" w:line="240" w:lineRule="auto"/>
              <w:jc w:val="center"/>
              <w:rPr>
                <w:rFonts w:eastAsia="Times New Roman"/>
              </w:rPr>
            </w:pPr>
            <w:r>
              <w:rPr>
                <w:rFonts w:eastAsia="Times New Roman"/>
              </w:rPr>
              <w:t>GED,</w:t>
            </w:r>
          </w:p>
          <w:p w:rsidR="00ED06A4" w:rsidRDefault="00ED06A4" w:rsidP="00F87D60">
            <w:pPr>
              <w:spacing w:after="0" w:line="240" w:lineRule="auto"/>
              <w:jc w:val="center"/>
              <w:rPr>
                <w:rFonts w:eastAsia="Times New Roman"/>
              </w:rPr>
            </w:pPr>
            <w:r>
              <w:rPr>
                <w:rFonts w:eastAsia="Times New Roman"/>
              </w:rPr>
              <w:t>ABE</w:t>
            </w:r>
          </w:p>
        </w:tc>
        <w:tc>
          <w:tcPr>
            <w:tcW w:w="671" w:type="dxa"/>
            <w:vAlign w:val="center"/>
          </w:tcPr>
          <w:p w:rsidR="00ED06A4" w:rsidRDefault="00ED06A4" w:rsidP="00F87D60">
            <w:pPr>
              <w:spacing w:after="0" w:line="240" w:lineRule="auto"/>
              <w:jc w:val="center"/>
              <w:rPr>
                <w:rFonts w:eastAsia="Times New Roman"/>
              </w:rPr>
            </w:pPr>
            <w:r>
              <w:rPr>
                <w:rFonts w:eastAsia="Times New Roman"/>
              </w:rPr>
              <w:t>30,</w:t>
            </w:r>
          </w:p>
          <w:p w:rsidR="00ED06A4" w:rsidRDefault="00ED06A4" w:rsidP="00F87D60">
            <w:pPr>
              <w:spacing w:after="0" w:line="240" w:lineRule="auto"/>
              <w:jc w:val="center"/>
              <w:rPr>
                <w:rFonts w:eastAsia="Times New Roman"/>
              </w:rPr>
            </w:pPr>
            <w:r>
              <w:rPr>
                <w:rFonts w:eastAsia="Times New Roman"/>
              </w:rPr>
              <w:t>30</w:t>
            </w:r>
          </w:p>
        </w:tc>
        <w:tc>
          <w:tcPr>
            <w:tcW w:w="625" w:type="dxa"/>
            <w:vAlign w:val="center"/>
          </w:tcPr>
          <w:p w:rsidR="00ED06A4" w:rsidRDefault="00ED06A4" w:rsidP="00F87D60">
            <w:pPr>
              <w:spacing w:after="0" w:line="240" w:lineRule="auto"/>
              <w:jc w:val="center"/>
              <w:rPr>
                <w:rFonts w:eastAsia="Times New Roman"/>
              </w:rPr>
            </w:pPr>
            <w:r>
              <w:rPr>
                <w:rFonts w:eastAsia="Times New Roman"/>
              </w:rPr>
              <w:t>10-12</w:t>
            </w:r>
          </w:p>
        </w:tc>
        <w:tc>
          <w:tcPr>
            <w:tcW w:w="1137" w:type="dxa"/>
            <w:vAlign w:val="center"/>
          </w:tcPr>
          <w:p w:rsidR="00ED06A4" w:rsidRDefault="00ED06A4" w:rsidP="00F87D60">
            <w:pPr>
              <w:spacing w:after="0" w:line="240" w:lineRule="auto"/>
              <w:jc w:val="center"/>
              <w:rPr>
                <w:rFonts w:eastAsia="Times New Roman"/>
              </w:rPr>
            </w:pPr>
            <w:r>
              <w:rPr>
                <w:rFonts w:eastAsia="Times New Roman"/>
              </w:rPr>
              <w:t>Y</w:t>
            </w:r>
          </w:p>
        </w:tc>
        <w:tc>
          <w:tcPr>
            <w:tcW w:w="1720" w:type="dxa"/>
            <w:vAlign w:val="center"/>
          </w:tcPr>
          <w:p w:rsidR="00ED06A4" w:rsidRDefault="00ED06A4" w:rsidP="00F87D60">
            <w:pPr>
              <w:spacing w:after="0" w:line="240" w:lineRule="auto"/>
              <w:jc w:val="center"/>
              <w:rPr>
                <w:rFonts w:eastAsia="Times New Roman"/>
              </w:rPr>
            </w:pPr>
            <w:r>
              <w:rPr>
                <w:rFonts w:eastAsia="Times New Roman"/>
              </w:rPr>
              <w:t>Elementary Education</w:t>
            </w:r>
          </w:p>
        </w:tc>
        <w:tc>
          <w:tcPr>
            <w:tcW w:w="1154" w:type="dxa"/>
            <w:vAlign w:val="center"/>
          </w:tcPr>
          <w:p w:rsidR="00ED06A4" w:rsidRDefault="00ED06A4" w:rsidP="00F87D60">
            <w:pPr>
              <w:spacing w:after="0" w:line="240" w:lineRule="auto"/>
              <w:jc w:val="center"/>
              <w:rPr>
                <w:rFonts w:eastAsia="Times New Roman"/>
              </w:rPr>
            </w:pPr>
            <w:r>
              <w:rPr>
                <w:rFonts w:eastAsia="Times New Roman"/>
              </w:rPr>
              <w:t>12</w:t>
            </w:r>
          </w:p>
        </w:tc>
      </w:tr>
      <w:tr w:rsidR="00ED06A4" w:rsidTr="00F87D60">
        <w:trPr>
          <w:trHeight w:val="210"/>
        </w:trPr>
        <w:tc>
          <w:tcPr>
            <w:tcW w:w="1464" w:type="dxa"/>
            <w:vAlign w:val="center"/>
          </w:tcPr>
          <w:p w:rsidR="00ED06A4" w:rsidRDefault="00ED06A4" w:rsidP="00F87D60">
            <w:pPr>
              <w:spacing w:after="0" w:line="240" w:lineRule="auto"/>
              <w:jc w:val="center"/>
              <w:rPr>
                <w:rFonts w:eastAsia="Times New Roman"/>
              </w:rPr>
            </w:pPr>
            <w:proofErr w:type="spellStart"/>
            <w:r>
              <w:rPr>
                <w:rFonts w:eastAsia="Times New Roman"/>
              </w:rPr>
              <w:t>Gomer</w:t>
            </w:r>
            <w:proofErr w:type="spellEnd"/>
          </w:p>
        </w:tc>
        <w:tc>
          <w:tcPr>
            <w:tcW w:w="501" w:type="dxa"/>
            <w:vAlign w:val="center"/>
          </w:tcPr>
          <w:p w:rsidR="00ED06A4" w:rsidRDefault="00ED06A4" w:rsidP="00F87D60">
            <w:pPr>
              <w:spacing w:after="0" w:line="240" w:lineRule="auto"/>
              <w:jc w:val="center"/>
              <w:rPr>
                <w:rFonts w:eastAsia="Times New Roman"/>
              </w:rPr>
            </w:pPr>
            <w:r>
              <w:rPr>
                <w:rFonts w:eastAsia="Times New Roman"/>
              </w:rPr>
              <w:t>M</w:t>
            </w:r>
          </w:p>
        </w:tc>
        <w:tc>
          <w:tcPr>
            <w:tcW w:w="531" w:type="dxa"/>
            <w:vAlign w:val="center"/>
          </w:tcPr>
          <w:p w:rsidR="00ED06A4" w:rsidRDefault="00ED06A4" w:rsidP="00F87D60">
            <w:pPr>
              <w:spacing w:after="0" w:line="240" w:lineRule="auto"/>
              <w:jc w:val="center"/>
              <w:rPr>
                <w:rFonts w:eastAsia="Times New Roman"/>
              </w:rPr>
            </w:pPr>
            <w:r>
              <w:rPr>
                <w:rFonts w:eastAsia="Times New Roman"/>
              </w:rPr>
              <w:t>59</w:t>
            </w:r>
          </w:p>
        </w:tc>
        <w:tc>
          <w:tcPr>
            <w:tcW w:w="516" w:type="dxa"/>
            <w:vAlign w:val="center"/>
          </w:tcPr>
          <w:p w:rsidR="00ED06A4" w:rsidRDefault="00ED06A4" w:rsidP="00F87D60">
            <w:pPr>
              <w:spacing w:after="0" w:line="240" w:lineRule="auto"/>
              <w:jc w:val="center"/>
              <w:rPr>
                <w:rFonts w:eastAsia="Times New Roman"/>
              </w:rPr>
            </w:pPr>
            <w:r>
              <w:rPr>
                <w:rFonts w:eastAsia="Times New Roman"/>
              </w:rPr>
              <w:t>W</w:t>
            </w:r>
          </w:p>
        </w:tc>
        <w:tc>
          <w:tcPr>
            <w:tcW w:w="897" w:type="dxa"/>
            <w:vAlign w:val="center"/>
          </w:tcPr>
          <w:p w:rsidR="00ED06A4" w:rsidRDefault="00ED06A4" w:rsidP="00F87D60">
            <w:pPr>
              <w:spacing w:after="0" w:line="240" w:lineRule="auto"/>
              <w:jc w:val="center"/>
              <w:rPr>
                <w:rFonts w:eastAsia="Times New Roman"/>
              </w:rPr>
            </w:pPr>
            <w:r>
              <w:rPr>
                <w:rFonts w:eastAsia="Times New Roman"/>
              </w:rPr>
              <w:t>GED,</w:t>
            </w:r>
          </w:p>
          <w:p w:rsidR="00ED06A4" w:rsidRDefault="00ED06A4" w:rsidP="00F87D60">
            <w:pPr>
              <w:spacing w:after="0" w:line="240" w:lineRule="auto"/>
              <w:jc w:val="center"/>
              <w:rPr>
                <w:rFonts w:eastAsia="Times New Roman"/>
              </w:rPr>
            </w:pPr>
            <w:r>
              <w:rPr>
                <w:rFonts w:eastAsia="Times New Roman"/>
              </w:rPr>
              <w:t>ABE</w:t>
            </w:r>
          </w:p>
        </w:tc>
        <w:tc>
          <w:tcPr>
            <w:tcW w:w="671" w:type="dxa"/>
            <w:vAlign w:val="center"/>
          </w:tcPr>
          <w:p w:rsidR="00ED06A4" w:rsidRDefault="00ED06A4" w:rsidP="00F87D60">
            <w:pPr>
              <w:spacing w:after="0" w:line="240" w:lineRule="auto"/>
              <w:jc w:val="center"/>
              <w:rPr>
                <w:rFonts w:eastAsia="Times New Roman"/>
              </w:rPr>
            </w:pPr>
            <w:r>
              <w:rPr>
                <w:rFonts w:eastAsia="Times New Roman"/>
              </w:rPr>
              <w:t>14,</w:t>
            </w:r>
          </w:p>
          <w:p w:rsidR="00ED06A4" w:rsidRDefault="00ED06A4" w:rsidP="00F87D60">
            <w:pPr>
              <w:spacing w:after="0" w:line="240" w:lineRule="auto"/>
              <w:jc w:val="center"/>
              <w:rPr>
                <w:rFonts w:eastAsia="Times New Roman"/>
              </w:rPr>
            </w:pPr>
            <w:r>
              <w:rPr>
                <w:rFonts w:eastAsia="Times New Roman"/>
              </w:rPr>
              <w:t>14</w:t>
            </w:r>
          </w:p>
        </w:tc>
        <w:tc>
          <w:tcPr>
            <w:tcW w:w="625" w:type="dxa"/>
            <w:vAlign w:val="center"/>
          </w:tcPr>
          <w:p w:rsidR="00ED06A4" w:rsidRDefault="00ED06A4" w:rsidP="00F87D60">
            <w:pPr>
              <w:spacing w:after="0" w:line="240" w:lineRule="auto"/>
              <w:jc w:val="center"/>
              <w:rPr>
                <w:rFonts w:eastAsia="Times New Roman"/>
              </w:rPr>
            </w:pPr>
            <w:r>
              <w:rPr>
                <w:rFonts w:eastAsia="Times New Roman"/>
              </w:rPr>
              <w:t>9-14</w:t>
            </w:r>
          </w:p>
        </w:tc>
        <w:tc>
          <w:tcPr>
            <w:tcW w:w="1137" w:type="dxa"/>
            <w:vAlign w:val="center"/>
          </w:tcPr>
          <w:p w:rsidR="00ED06A4" w:rsidRDefault="00ED06A4" w:rsidP="00F87D60">
            <w:pPr>
              <w:spacing w:after="0" w:line="240" w:lineRule="auto"/>
              <w:jc w:val="center"/>
              <w:rPr>
                <w:rFonts w:eastAsia="Times New Roman"/>
              </w:rPr>
            </w:pPr>
            <w:r>
              <w:rPr>
                <w:rFonts w:eastAsia="Times New Roman"/>
              </w:rPr>
              <w:t>N, has waiver</w:t>
            </w:r>
          </w:p>
        </w:tc>
        <w:tc>
          <w:tcPr>
            <w:tcW w:w="1720" w:type="dxa"/>
            <w:vAlign w:val="center"/>
          </w:tcPr>
          <w:p w:rsidR="00ED06A4" w:rsidRDefault="00ED06A4" w:rsidP="00F87D60">
            <w:pPr>
              <w:spacing w:after="0" w:line="240" w:lineRule="auto"/>
              <w:jc w:val="center"/>
              <w:rPr>
                <w:rFonts w:eastAsia="Times New Roman"/>
              </w:rPr>
            </w:pPr>
            <w:r>
              <w:rPr>
                <w:rFonts w:eastAsia="Times New Roman"/>
              </w:rPr>
              <w:t>n/a</w:t>
            </w:r>
          </w:p>
        </w:tc>
        <w:tc>
          <w:tcPr>
            <w:tcW w:w="1154" w:type="dxa"/>
            <w:vAlign w:val="center"/>
          </w:tcPr>
          <w:p w:rsidR="00ED06A4" w:rsidRDefault="00ED06A4" w:rsidP="00F87D60">
            <w:pPr>
              <w:spacing w:after="0" w:line="240" w:lineRule="auto"/>
              <w:jc w:val="center"/>
              <w:rPr>
                <w:rFonts w:eastAsia="Times New Roman"/>
              </w:rPr>
            </w:pPr>
            <w:r>
              <w:rPr>
                <w:rFonts w:eastAsia="Times New Roman"/>
              </w:rPr>
              <w:t>12</w:t>
            </w:r>
          </w:p>
        </w:tc>
      </w:tr>
    </w:tbl>
    <w:p w:rsidR="00ED06A4" w:rsidRDefault="00ED06A4" w:rsidP="00ED06A4">
      <w:pPr>
        <w:spacing w:after="0" w:line="240" w:lineRule="auto"/>
        <w:rPr>
          <w:szCs w:val="24"/>
        </w:rPr>
      </w:pPr>
      <w:r>
        <w:rPr>
          <w:szCs w:val="24"/>
        </w:rPr>
        <w:t>A – Sex</w:t>
      </w:r>
    </w:p>
    <w:p w:rsidR="00ED06A4" w:rsidRDefault="00ED06A4" w:rsidP="00ED06A4">
      <w:pPr>
        <w:spacing w:after="0" w:line="240" w:lineRule="auto"/>
        <w:rPr>
          <w:szCs w:val="24"/>
        </w:rPr>
      </w:pPr>
      <w:r>
        <w:rPr>
          <w:szCs w:val="24"/>
        </w:rPr>
        <w:t xml:space="preserve">B – Age </w:t>
      </w:r>
    </w:p>
    <w:p w:rsidR="00ED06A4" w:rsidRDefault="00ED06A4" w:rsidP="00ED06A4">
      <w:pPr>
        <w:spacing w:after="0" w:line="240" w:lineRule="auto"/>
        <w:rPr>
          <w:szCs w:val="24"/>
        </w:rPr>
      </w:pPr>
      <w:r>
        <w:rPr>
          <w:szCs w:val="24"/>
        </w:rPr>
        <w:t xml:space="preserve">C – Ethnicity </w:t>
      </w:r>
    </w:p>
    <w:p w:rsidR="00ED06A4" w:rsidRDefault="00ED06A4" w:rsidP="00ED06A4">
      <w:pPr>
        <w:spacing w:after="0" w:line="240" w:lineRule="auto"/>
        <w:rPr>
          <w:szCs w:val="24"/>
        </w:rPr>
      </w:pPr>
      <w:r>
        <w:rPr>
          <w:szCs w:val="24"/>
        </w:rPr>
        <w:t>D – Subjects Taught</w:t>
      </w:r>
    </w:p>
    <w:p w:rsidR="00ED06A4" w:rsidRDefault="00ED06A4" w:rsidP="00ED06A4">
      <w:pPr>
        <w:spacing w:after="0" w:line="240" w:lineRule="auto"/>
        <w:rPr>
          <w:szCs w:val="24"/>
        </w:rPr>
      </w:pPr>
      <w:r>
        <w:rPr>
          <w:szCs w:val="24"/>
        </w:rPr>
        <w:t>E – Years of Teaching Experience in Each Subject</w:t>
      </w:r>
    </w:p>
    <w:p w:rsidR="00ED06A4" w:rsidRDefault="00ED06A4" w:rsidP="00ED06A4">
      <w:pPr>
        <w:spacing w:after="0" w:line="240" w:lineRule="auto"/>
        <w:rPr>
          <w:szCs w:val="24"/>
        </w:rPr>
      </w:pPr>
      <w:r>
        <w:rPr>
          <w:szCs w:val="24"/>
        </w:rPr>
        <w:t>F – Number of Students in Typical Class</w:t>
      </w:r>
    </w:p>
    <w:p w:rsidR="00ED06A4" w:rsidRDefault="00ED06A4" w:rsidP="00ED06A4">
      <w:pPr>
        <w:spacing w:after="0" w:line="240" w:lineRule="auto"/>
        <w:rPr>
          <w:szCs w:val="24"/>
        </w:rPr>
      </w:pPr>
      <w:r>
        <w:rPr>
          <w:szCs w:val="24"/>
        </w:rPr>
        <w:t>G – Teaching Certification, Y=yes, N=no</w:t>
      </w:r>
    </w:p>
    <w:p w:rsidR="00ED06A4" w:rsidRDefault="00ED06A4" w:rsidP="00ED06A4">
      <w:pPr>
        <w:spacing w:after="0" w:line="240" w:lineRule="auto"/>
        <w:rPr>
          <w:szCs w:val="24"/>
        </w:rPr>
      </w:pPr>
      <w:r>
        <w:rPr>
          <w:szCs w:val="24"/>
        </w:rPr>
        <w:t>H – Subjects Certified to Teach</w:t>
      </w:r>
    </w:p>
    <w:p w:rsidR="00ED06A4" w:rsidRDefault="00ED06A4" w:rsidP="00ED06A4">
      <w:pPr>
        <w:spacing w:after="0" w:line="240" w:lineRule="auto"/>
        <w:rPr>
          <w:szCs w:val="24"/>
        </w:rPr>
      </w:pPr>
      <w:r>
        <w:rPr>
          <w:szCs w:val="24"/>
        </w:rPr>
        <w:t>I – CEU’s required each year for Certification</w:t>
      </w:r>
    </w:p>
    <w:p w:rsidR="00ED06A4" w:rsidRPr="00393F83" w:rsidRDefault="00ED06A4" w:rsidP="00ED06A4">
      <w:pPr>
        <w:spacing w:after="0" w:line="240" w:lineRule="auto"/>
        <w:rPr>
          <w:sz w:val="22"/>
        </w:rPr>
      </w:pPr>
      <w:r>
        <w:rPr>
          <w:szCs w:val="24"/>
        </w:rPr>
        <w:br w:type="page"/>
      </w:r>
      <w:r>
        <w:rPr>
          <w:sz w:val="22"/>
        </w:rPr>
        <w:lastRenderedPageBreak/>
        <w:t xml:space="preserve">Table 2: </w:t>
      </w:r>
      <w:r w:rsidRPr="00FE5070">
        <w:rPr>
          <w:sz w:val="22"/>
        </w:rPr>
        <w:t>Previous Experience of Participants</w:t>
      </w:r>
    </w:p>
    <w:p w:rsidR="00ED06A4" w:rsidRDefault="00ED06A4" w:rsidP="00ED06A4">
      <w:pPr>
        <w:spacing w:after="0" w:line="240" w:lineRule="auto"/>
        <w:jc w:val="center"/>
        <w:rPr>
          <w:sz w:val="22"/>
        </w:rPr>
      </w:pPr>
    </w:p>
    <w:tbl>
      <w:tblPr>
        <w:tblW w:w="8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56"/>
        <w:gridCol w:w="390"/>
        <w:gridCol w:w="990"/>
        <w:gridCol w:w="909"/>
        <w:gridCol w:w="1336"/>
        <w:gridCol w:w="1336"/>
        <w:gridCol w:w="390"/>
        <w:gridCol w:w="763"/>
        <w:gridCol w:w="1469"/>
      </w:tblGrid>
      <w:tr w:rsidR="00ED06A4" w:rsidTr="00F87D60">
        <w:trPr>
          <w:trHeight w:val="868"/>
        </w:trPr>
        <w:tc>
          <w:tcPr>
            <w:tcW w:w="1256" w:type="dxa"/>
            <w:vAlign w:val="center"/>
          </w:tcPr>
          <w:p w:rsidR="00ED06A4" w:rsidRDefault="00ED06A4" w:rsidP="00F87D60">
            <w:pPr>
              <w:spacing w:after="0"/>
              <w:jc w:val="center"/>
              <w:rPr>
                <w:rFonts w:eastAsia="Times New Roman"/>
              </w:rPr>
            </w:pPr>
            <w:r>
              <w:rPr>
                <w:rFonts w:eastAsia="Times New Roman"/>
              </w:rPr>
              <w:t>Participant</w:t>
            </w:r>
          </w:p>
        </w:tc>
        <w:tc>
          <w:tcPr>
            <w:tcW w:w="893" w:type="dxa"/>
            <w:vAlign w:val="center"/>
          </w:tcPr>
          <w:p w:rsidR="00ED06A4" w:rsidRDefault="00ED06A4" w:rsidP="00F87D60">
            <w:pPr>
              <w:spacing w:after="0"/>
              <w:jc w:val="center"/>
              <w:rPr>
                <w:rFonts w:eastAsia="Times New Roman"/>
              </w:rPr>
            </w:pPr>
            <w:r>
              <w:rPr>
                <w:rFonts w:eastAsia="Times New Roman"/>
              </w:rPr>
              <w:t>A</w:t>
            </w:r>
          </w:p>
        </w:tc>
        <w:tc>
          <w:tcPr>
            <w:tcW w:w="893" w:type="dxa"/>
            <w:vAlign w:val="center"/>
          </w:tcPr>
          <w:p w:rsidR="00ED06A4" w:rsidRDefault="00ED06A4" w:rsidP="00F87D60">
            <w:pPr>
              <w:spacing w:after="0"/>
              <w:jc w:val="center"/>
              <w:rPr>
                <w:rFonts w:eastAsia="Times New Roman"/>
              </w:rPr>
            </w:pPr>
            <w:r>
              <w:rPr>
                <w:rFonts w:eastAsia="Times New Roman"/>
              </w:rPr>
              <w:t>B</w:t>
            </w:r>
          </w:p>
        </w:tc>
        <w:tc>
          <w:tcPr>
            <w:tcW w:w="893" w:type="dxa"/>
            <w:vAlign w:val="center"/>
          </w:tcPr>
          <w:p w:rsidR="00ED06A4" w:rsidRDefault="00ED06A4" w:rsidP="00F87D60">
            <w:pPr>
              <w:spacing w:after="0"/>
              <w:jc w:val="center"/>
              <w:rPr>
                <w:rFonts w:eastAsia="Times New Roman"/>
              </w:rPr>
            </w:pPr>
            <w:r>
              <w:rPr>
                <w:rFonts w:eastAsia="Times New Roman"/>
              </w:rPr>
              <w:t>C</w:t>
            </w:r>
          </w:p>
        </w:tc>
        <w:tc>
          <w:tcPr>
            <w:tcW w:w="910" w:type="dxa"/>
            <w:vAlign w:val="center"/>
          </w:tcPr>
          <w:p w:rsidR="00ED06A4" w:rsidRDefault="00ED06A4" w:rsidP="00F87D60">
            <w:pPr>
              <w:spacing w:after="0"/>
              <w:jc w:val="center"/>
              <w:rPr>
                <w:rFonts w:eastAsia="Times New Roman"/>
              </w:rPr>
            </w:pPr>
            <w:r>
              <w:rPr>
                <w:rFonts w:eastAsia="Times New Roman"/>
              </w:rPr>
              <w:t>D</w:t>
            </w:r>
          </w:p>
        </w:tc>
        <w:tc>
          <w:tcPr>
            <w:tcW w:w="910" w:type="dxa"/>
            <w:vAlign w:val="center"/>
          </w:tcPr>
          <w:p w:rsidR="00ED06A4" w:rsidRDefault="00ED06A4" w:rsidP="00F87D60">
            <w:pPr>
              <w:spacing w:after="0"/>
              <w:jc w:val="center"/>
              <w:rPr>
                <w:rFonts w:eastAsia="Times New Roman"/>
              </w:rPr>
            </w:pPr>
            <w:r>
              <w:rPr>
                <w:rFonts w:eastAsia="Times New Roman"/>
              </w:rPr>
              <w:t>E</w:t>
            </w:r>
          </w:p>
        </w:tc>
        <w:tc>
          <w:tcPr>
            <w:tcW w:w="894" w:type="dxa"/>
            <w:vAlign w:val="center"/>
          </w:tcPr>
          <w:p w:rsidR="00ED06A4" w:rsidRDefault="00ED06A4" w:rsidP="00F87D60">
            <w:pPr>
              <w:spacing w:after="0"/>
              <w:jc w:val="center"/>
              <w:rPr>
                <w:rFonts w:eastAsia="Times New Roman"/>
              </w:rPr>
            </w:pPr>
            <w:r>
              <w:rPr>
                <w:rFonts w:eastAsia="Times New Roman"/>
              </w:rPr>
              <w:t>F</w:t>
            </w:r>
          </w:p>
        </w:tc>
        <w:tc>
          <w:tcPr>
            <w:tcW w:w="914" w:type="dxa"/>
            <w:vAlign w:val="center"/>
          </w:tcPr>
          <w:p w:rsidR="00ED06A4" w:rsidRDefault="00ED06A4" w:rsidP="00F87D60">
            <w:pPr>
              <w:spacing w:after="0"/>
              <w:jc w:val="center"/>
              <w:rPr>
                <w:rFonts w:eastAsia="Times New Roman"/>
              </w:rPr>
            </w:pPr>
            <w:r>
              <w:rPr>
                <w:rFonts w:eastAsia="Times New Roman"/>
              </w:rPr>
              <w:t>G</w:t>
            </w:r>
          </w:p>
        </w:tc>
        <w:tc>
          <w:tcPr>
            <w:tcW w:w="1190" w:type="dxa"/>
            <w:vAlign w:val="center"/>
          </w:tcPr>
          <w:p w:rsidR="00ED06A4" w:rsidRDefault="00ED06A4" w:rsidP="00F87D60">
            <w:pPr>
              <w:spacing w:after="0"/>
              <w:jc w:val="center"/>
              <w:rPr>
                <w:rFonts w:eastAsia="Times New Roman"/>
              </w:rPr>
            </w:pPr>
            <w:r>
              <w:rPr>
                <w:rFonts w:eastAsia="Times New Roman"/>
              </w:rPr>
              <w:t>H</w:t>
            </w:r>
          </w:p>
        </w:tc>
      </w:tr>
      <w:tr w:rsidR="00ED06A4" w:rsidTr="00F87D60">
        <w:trPr>
          <w:trHeight w:val="868"/>
        </w:trPr>
        <w:tc>
          <w:tcPr>
            <w:tcW w:w="1256" w:type="dxa"/>
            <w:vAlign w:val="center"/>
          </w:tcPr>
          <w:p w:rsidR="00ED06A4" w:rsidRDefault="00ED06A4" w:rsidP="00F87D60">
            <w:pPr>
              <w:spacing w:after="0"/>
              <w:jc w:val="center"/>
              <w:rPr>
                <w:rFonts w:eastAsia="Times New Roman"/>
              </w:rPr>
            </w:pPr>
            <w:r>
              <w:rPr>
                <w:rFonts w:eastAsia="Times New Roman"/>
              </w:rPr>
              <w:t>Adam</w:t>
            </w:r>
          </w:p>
        </w:tc>
        <w:tc>
          <w:tcPr>
            <w:tcW w:w="893" w:type="dxa"/>
            <w:vAlign w:val="center"/>
          </w:tcPr>
          <w:p w:rsidR="00ED06A4" w:rsidRDefault="00ED06A4" w:rsidP="00F87D60">
            <w:pPr>
              <w:spacing w:after="0"/>
              <w:jc w:val="center"/>
              <w:rPr>
                <w:rFonts w:eastAsia="Times New Roman"/>
              </w:rPr>
            </w:pPr>
            <w:r>
              <w:rPr>
                <w:rFonts w:eastAsia="Times New Roman"/>
              </w:rPr>
              <w:t>N</w:t>
            </w:r>
          </w:p>
        </w:tc>
        <w:tc>
          <w:tcPr>
            <w:tcW w:w="893" w:type="dxa"/>
            <w:vAlign w:val="center"/>
          </w:tcPr>
          <w:p w:rsidR="00ED06A4" w:rsidRDefault="00ED06A4" w:rsidP="00F87D60">
            <w:pPr>
              <w:spacing w:after="0"/>
              <w:jc w:val="center"/>
              <w:rPr>
                <w:rFonts w:eastAsia="Times New Roman"/>
              </w:rPr>
            </w:pPr>
            <w:r>
              <w:rPr>
                <w:rFonts w:eastAsia="Times New Roman"/>
              </w:rPr>
              <w:t>N</w:t>
            </w:r>
          </w:p>
        </w:tc>
        <w:tc>
          <w:tcPr>
            <w:tcW w:w="893" w:type="dxa"/>
            <w:vAlign w:val="center"/>
          </w:tcPr>
          <w:p w:rsidR="00ED06A4" w:rsidRDefault="00ED06A4" w:rsidP="00F87D60">
            <w:pPr>
              <w:spacing w:after="0"/>
              <w:jc w:val="center"/>
              <w:rPr>
                <w:rFonts w:eastAsia="Times New Roman"/>
              </w:rPr>
            </w:pPr>
            <w:r>
              <w:rPr>
                <w:rFonts w:eastAsia="Times New Roman"/>
              </w:rPr>
              <w:t>N</w:t>
            </w:r>
          </w:p>
        </w:tc>
        <w:tc>
          <w:tcPr>
            <w:tcW w:w="910" w:type="dxa"/>
            <w:vAlign w:val="center"/>
          </w:tcPr>
          <w:p w:rsidR="00ED06A4" w:rsidRDefault="00ED06A4" w:rsidP="00F87D60">
            <w:pPr>
              <w:spacing w:after="0"/>
              <w:jc w:val="center"/>
              <w:rPr>
                <w:rFonts w:eastAsia="Times New Roman"/>
              </w:rPr>
            </w:pPr>
            <w:r>
              <w:rPr>
                <w:rFonts w:eastAsia="Times New Roman"/>
              </w:rPr>
              <w:t>Y, on the job</w:t>
            </w:r>
          </w:p>
        </w:tc>
        <w:tc>
          <w:tcPr>
            <w:tcW w:w="910" w:type="dxa"/>
            <w:vAlign w:val="center"/>
          </w:tcPr>
          <w:p w:rsidR="00ED06A4" w:rsidRDefault="00ED06A4" w:rsidP="00F87D60">
            <w:pPr>
              <w:spacing w:after="0"/>
              <w:jc w:val="center"/>
              <w:rPr>
                <w:rFonts w:eastAsia="Times New Roman"/>
              </w:rPr>
            </w:pPr>
            <w:r>
              <w:rPr>
                <w:rFonts w:eastAsia="Times New Roman"/>
              </w:rPr>
              <w:t>Y, on the job</w:t>
            </w:r>
          </w:p>
        </w:tc>
        <w:tc>
          <w:tcPr>
            <w:tcW w:w="894" w:type="dxa"/>
            <w:vAlign w:val="center"/>
          </w:tcPr>
          <w:p w:rsidR="00ED06A4" w:rsidRDefault="00ED06A4" w:rsidP="00F87D60">
            <w:pPr>
              <w:spacing w:after="0"/>
              <w:jc w:val="center"/>
              <w:rPr>
                <w:rFonts w:eastAsia="Times New Roman"/>
              </w:rPr>
            </w:pPr>
            <w:r>
              <w:rPr>
                <w:rFonts w:eastAsia="Times New Roman"/>
              </w:rPr>
              <w:t xml:space="preserve">N </w:t>
            </w:r>
          </w:p>
        </w:tc>
        <w:tc>
          <w:tcPr>
            <w:tcW w:w="914" w:type="dxa"/>
            <w:vAlign w:val="center"/>
          </w:tcPr>
          <w:p w:rsidR="00ED06A4" w:rsidRDefault="00ED06A4" w:rsidP="00F87D60">
            <w:pPr>
              <w:spacing w:after="0"/>
              <w:jc w:val="center"/>
              <w:rPr>
                <w:rFonts w:eastAsia="Times New Roman"/>
              </w:rPr>
            </w:pPr>
            <w:r>
              <w:rPr>
                <w:rFonts w:eastAsia="Times New Roman"/>
              </w:rPr>
              <w:t>BA</w:t>
            </w:r>
          </w:p>
        </w:tc>
        <w:tc>
          <w:tcPr>
            <w:tcW w:w="1190" w:type="dxa"/>
            <w:vAlign w:val="center"/>
          </w:tcPr>
          <w:p w:rsidR="00ED06A4" w:rsidRDefault="00ED06A4" w:rsidP="00F87D60">
            <w:pPr>
              <w:spacing w:after="0"/>
              <w:jc w:val="center"/>
              <w:rPr>
                <w:rFonts w:eastAsia="Times New Roman"/>
              </w:rPr>
            </w:pPr>
            <w:r>
              <w:rPr>
                <w:rFonts w:eastAsia="Times New Roman"/>
              </w:rPr>
              <w:t>Sociology</w:t>
            </w:r>
          </w:p>
        </w:tc>
      </w:tr>
      <w:tr w:rsidR="00ED06A4" w:rsidTr="00F87D60">
        <w:trPr>
          <w:trHeight w:val="868"/>
        </w:trPr>
        <w:tc>
          <w:tcPr>
            <w:tcW w:w="1256" w:type="dxa"/>
            <w:vAlign w:val="center"/>
          </w:tcPr>
          <w:p w:rsidR="00ED06A4" w:rsidRDefault="00ED06A4" w:rsidP="00F87D60">
            <w:pPr>
              <w:spacing w:after="0"/>
              <w:jc w:val="center"/>
              <w:rPr>
                <w:rFonts w:eastAsia="Times New Roman"/>
              </w:rPr>
            </w:pPr>
            <w:r>
              <w:rPr>
                <w:rFonts w:eastAsia="Times New Roman"/>
              </w:rPr>
              <w:t>Blizzard</w:t>
            </w:r>
          </w:p>
        </w:tc>
        <w:tc>
          <w:tcPr>
            <w:tcW w:w="893" w:type="dxa"/>
            <w:vAlign w:val="center"/>
          </w:tcPr>
          <w:p w:rsidR="00ED06A4" w:rsidRDefault="00ED06A4" w:rsidP="00F87D60">
            <w:pPr>
              <w:spacing w:after="0"/>
              <w:jc w:val="center"/>
              <w:rPr>
                <w:rFonts w:eastAsia="Times New Roman"/>
              </w:rPr>
            </w:pPr>
            <w:r>
              <w:rPr>
                <w:rFonts w:eastAsia="Times New Roman"/>
              </w:rPr>
              <w:t>N</w:t>
            </w:r>
          </w:p>
        </w:tc>
        <w:tc>
          <w:tcPr>
            <w:tcW w:w="893" w:type="dxa"/>
            <w:vAlign w:val="center"/>
          </w:tcPr>
          <w:p w:rsidR="00ED06A4" w:rsidRDefault="00ED06A4" w:rsidP="00F87D60">
            <w:pPr>
              <w:spacing w:after="0"/>
              <w:jc w:val="center"/>
              <w:rPr>
                <w:rFonts w:eastAsia="Times New Roman"/>
              </w:rPr>
            </w:pPr>
            <w:r>
              <w:rPr>
                <w:rFonts w:eastAsia="Times New Roman"/>
              </w:rPr>
              <w:t>N</w:t>
            </w:r>
          </w:p>
        </w:tc>
        <w:tc>
          <w:tcPr>
            <w:tcW w:w="893" w:type="dxa"/>
            <w:vAlign w:val="center"/>
          </w:tcPr>
          <w:p w:rsidR="00ED06A4" w:rsidRDefault="00ED06A4" w:rsidP="00F87D60">
            <w:pPr>
              <w:spacing w:after="0"/>
              <w:jc w:val="center"/>
              <w:rPr>
                <w:rFonts w:eastAsia="Times New Roman"/>
              </w:rPr>
            </w:pPr>
            <w:r>
              <w:rPr>
                <w:rFonts w:eastAsia="Times New Roman"/>
              </w:rPr>
              <w:t>Y, in college</w:t>
            </w:r>
          </w:p>
        </w:tc>
        <w:tc>
          <w:tcPr>
            <w:tcW w:w="910" w:type="dxa"/>
            <w:vAlign w:val="center"/>
          </w:tcPr>
          <w:p w:rsidR="00ED06A4" w:rsidRDefault="00ED06A4" w:rsidP="00F87D60">
            <w:pPr>
              <w:spacing w:after="0"/>
              <w:jc w:val="center"/>
              <w:rPr>
                <w:rFonts w:eastAsia="Times New Roman"/>
              </w:rPr>
            </w:pPr>
            <w:r>
              <w:rPr>
                <w:rFonts w:eastAsia="Times New Roman"/>
              </w:rPr>
              <w:t>Y, observation and mentoring</w:t>
            </w:r>
          </w:p>
        </w:tc>
        <w:tc>
          <w:tcPr>
            <w:tcW w:w="910" w:type="dxa"/>
            <w:vAlign w:val="center"/>
          </w:tcPr>
          <w:p w:rsidR="00ED06A4" w:rsidRDefault="00ED06A4" w:rsidP="00F87D60">
            <w:pPr>
              <w:spacing w:after="0"/>
              <w:jc w:val="center"/>
              <w:rPr>
                <w:rFonts w:eastAsia="Times New Roman"/>
              </w:rPr>
            </w:pPr>
            <w:r>
              <w:rPr>
                <w:rFonts w:eastAsia="Times New Roman"/>
              </w:rPr>
              <w:t>N</w:t>
            </w:r>
          </w:p>
        </w:tc>
        <w:tc>
          <w:tcPr>
            <w:tcW w:w="894" w:type="dxa"/>
            <w:vAlign w:val="center"/>
          </w:tcPr>
          <w:p w:rsidR="00ED06A4" w:rsidRDefault="00ED06A4" w:rsidP="00F87D60">
            <w:pPr>
              <w:spacing w:after="0"/>
              <w:jc w:val="center"/>
              <w:rPr>
                <w:rFonts w:eastAsia="Times New Roman"/>
              </w:rPr>
            </w:pPr>
            <w:r>
              <w:rPr>
                <w:rFonts w:eastAsia="Times New Roman"/>
              </w:rPr>
              <w:t>N</w:t>
            </w:r>
          </w:p>
        </w:tc>
        <w:tc>
          <w:tcPr>
            <w:tcW w:w="914" w:type="dxa"/>
            <w:vAlign w:val="center"/>
          </w:tcPr>
          <w:p w:rsidR="00ED06A4" w:rsidRDefault="00ED06A4" w:rsidP="00F87D60">
            <w:pPr>
              <w:spacing w:after="0"/>
              <w:jc w:val="center"/>
              <w:rPr>
                <w:rFonts w:eastAsia="Times New Roman"/>
              </w:rPr>
            </w:pPr>
            <w:r>
              <w:rPr>
                <w:rFonts w:eastAsia="Times New Roman"/>
              </w:rPr>
              <w:t>MA</w:t>
            </w:r>
          </w:p>
        </w:tc>
        <w:tc>
          <w:tcPr>
            <w:tcW w:w="1190" w:type="dxa"/>
            <w:vAlign w:val="center"/>
          </w:tcPr>
          <w:p w:rsidR="00ED06A4" w:rsidRDefault="00ED06A4" w:rsidP="00F87D60">
            <w:pPr>
              <w:spacing w:after="0"/>
              <w:jc w:val="center"/>
              <w:rPr>
                <w:rFonts w:eastAsia="Times New Roman"/>
              </w:rPr>
            </w:pPr>
            <w:r>
              <w:rPr>
                <w:rFonts w:eastAsia="Times New Roman"/>
              </w:rPr>
              <w:t>Political Science</w:t>
            </w:r>
          </w:p>
        </w:tc>
      </w:tr>
      <w:tr w:rsidR="00ED06A4" w:rsidTr="00F87D60">
        <w:trPr>
          <w:trHeight w:val="868"/>
        </w:trPr>
        <w:tc>
          <w:tcPr>
            <w:tcW w:w="1256" w:type="dxa"/>
            <w:vAlign w:val="center"/>
          </w:tcPr>
          <w:p w:rsidR="00ED06A4" w:rsidRDefault="00ED06A4" w:rsidP="00F87D60">
            <w:pPr>
              <w:spacing w:after="0"/>
              <w:jc w:val="center"/>
              <w:rPr>
                <w:rFonts w:eastAsia="Times New Roman"/>
              </w:rPr>
            </w:pPr>
            <w:r>
              <w:rPr>
                <w:rFonts w:eastAsia="Times New Roman"/>
              </w:rPr>
              <w:t>Carla</w:t>
            </w:r>
          </w:p>
        </w:tc>
        <w:tc>
          <w:tcPr>
            <w:tcW w:w="893" w:type="dxa"/>
            <w:vAlign w:val="center"/>
          </w:tcPr>
          <w:p w:rsidR="00ED06A4" w:rsidRDefault="00ED06A4" w:rsidP="00F87D60">
            <w:pPr>
              <w:spacing w:after="0"/>
              <w:jc w:val="center"/>
              <w:rPr>
                <w:rFonts w:eastAsia="Times New Roman"/>
              </w:rPr>
            </w:pPr>
            <w:r>
              <w:rPr>
                <w:rFonts w:eastAsia="Times New Roman"/>
              </w:rPr>
              <w:t>N</w:t>
            </w:r>
          </w:p>
        </w:tc>
        <w:tc>
          <w:tcPr>
            <w:tcW w:w="893" w:type="dxa"/>
            <w:vAlign w:val="center"/>
          </w:tcPr>
          <w:p w:rsidR="00ED06A4" w:rsidRDefault="00ED06A4" w:rsidP="00F87D60">
            <w:pPr>
              <w:spacing w:after="0"/>
              <w:jc w:val="center"/>
              <w:rPr>
                <w:rFonts w:eastAsia="Times New Roman"/>
              </w:rPr>
            </w:pPr>
            <w:r>
              <w:rPr>
                <w:rFonts w:eastAsia="Times New Roman"/>
              </w:rPr>
              <w:t>N</w:t>
            </w:r>
          </w:p>
        </w:tc>
        <w:tc>
          <w:tcPr>
            <w:tcW w:w="893" w:type="dxa"/>
            <w:vAlign w:val="center"/>
          </w:tcPr>
          <w:p w:rsidR="00ED06A4" w:rsidRDefault="00ED06A4" w:rsidP="00F87D60">
            <w:pPr>
              <w:spacing w:after="0"/>
              <w:jc w:val="center"/>
              <w:rPr>
                <w:rFonts w:eastAsia="Times New Roman"/>
              </w:rPr>
            </w:pPr>
            <w:r>
              <w:rPr>
                <w:rFonts w:eastAsia="Times New Roman"/>
              </w:rPr>
              <w:t>Y, in college</w:t>
            </w:r>
          </w:p>
        </w:tc>
        <w:tc>
          <w:tcPr>
            <w:tcW w:w="910" w:type="dxa"/>
            <w:vAlign w:val="center"/>
          </w:tcPr>
          <w:p w:rsidR="00ED06A4" w:rsidRDefault="00ED06A4" w:rsidP="00F87D60">
            <w:pPr>
              <w:spacing w:after="0"/>
              <w:jc w:val="center"/>
              <w:rPr>
                <w:rFonts w:eastAsia="Times New Roman"/>
              </w:rPr>
            </w:pPr>
            <w:r>
              <w:rPr>
                <w:rFonts w:eastAsia="Times New Roman"/>
              </w:rPr>
              <w:t>N</w:t>
            </w:r>
          </w:p>
        </w:tc>
        <w:tc>
          <w:tcPr>
            <w:tcW w:w="910" w:type="dxa"/>
            <w:vAlign w:val="center"/>
          </w:tcPr>
          <w:p w:rsidR="00ED06A4" w:rsidRDefault="00ED06A4" w:rsidP="00F87D60">
            <w:pPr>
              <w:spacing w:after="0"/>
              <w:jc w:val="center"/>
              <w:rPr>
                <w:rFonts w:eastAsia="Times New Roman"/>
              </w:rPr>
            </w:pPr>
            <w:r>
              <w:rPr>
                <w:rFonts w:eastAsia="Times New Roman"/>
              </w:rPr>
              <w:t>N</w:t>
            </w:r>
          </w:p>
        </w:tc>
        <w:tc>
          <w:tcPr>
            <w:tcW w:w="894" w:type="dxa"/>
            <w:vAlign w:val="center"/>
          </w:tcPr>
          <w:p w:rsidR="00ED06A4" w:rsidRDefault="00ED06A4" w:rsidP="00F87D60">
            <w:pPr>
              <w:spacing w:after="0"/>
              <w:jc w:val="center"/>
              <w:rPr>
                <w:rFonts w:eastAsia="Times New Roman"/>
              </w:rPr>
            </w:pPr>
            <w:r>
              <w:rPr>
                <w:rFonts w:eastAsia="Times New Roman"/>
              </w:rPr>
              <w:t>N</w:t>
            </w:r>
          </w:p>
        </w:tc>
        <w:tc>
          <w:tcPr>
            <w:tcW w:w="914" w:type="dxa"/>
            <w:vAlign w:val="center"/>
          </w:tcPr>
          <w:p w:rsidR="00ED06A4" w:rsidRDefault="00ED06A4" w:rsidP="00F87D60">
            <w:pPr>
              <w:spacing w:after="0"/>
              <w:jc w:val="center"/>
              <w:rPr>
                <w:rFonts w:eastAsia="Times New Roman"/>
              </w:rPr>
            </w:pPr>
            <w:r>
              <w:rPr>
                <w:rFonts w:eastAsia="Times New Roman"/>
              </w:rPr>
              <w:t>MA</w:t>
            </w:r>
          </w:p>
        </w:tc>
        <w:tc>
          <w:tcPr>
            <w:tcW w:w="1190" w:type="dxa"/>
            <w:vAlign w:val="center"/>
          </w:tcPr>
          <w:p w:rsidR="00ED06A4" w:rsidRDefault="00ED06A4" w:rsidP="00F87D60">
            <w:pPr>
              <w:spacing w:after="0"/>
              <w:jc w:val="center"/>
              <w:rPr>
                <w:rFonts w:eastAsia="Times New Roman"/>
              </w:rPr>
            </w:pPr>
            <w:r>
              <w:rPr>
                <w:rFonts w:eastAsia="Times New Roman"/>
              </w:rPr>
              <w:t>Counseling Psychology</w:t>
            </w:r>
          </w:p>
        </w:tc>
      </w:tr>
      <w:tr w:rsidR="00ED06A4" w:rsidTr="00F87D60">
        <w:trPr>
          <w:trHeight w:val="868"/>
        </w:trPr>
        <w:tc>
          <w:tcPr>
            <w:tcW w:w="1256" w:type="dxa"/>
            <w:vAlign w:val="center"/>
          </w:tcPr>
          <w:p w:rsidR="00ED06A4" w:rsidRDefault="00ED06A4" w:rsidP="00F87D60">
            <w:pPr>
              <w:spacing w:after="0"/>
              <w:jc w:val="center"/>
              <w:rPr>
                <w:rFonts w:eastAsia="Times New Roman"/>
              </w:rPr>
            </w:pPr>
            <w:r>
              <w:rPr>
                <w:rFonts w:eastAsia="Times New Roman"/>
              </w:rPr>
              <w:t>Debbie</w:t>
            </w:r>
          </w:p>
        </w:tc>
        <w:tc>
          <w:tcPr>
            <w:tcW w:w="893" w:type="dxa"/>
            <w:vAlign w:val="center"/>
          </w:tcPr>
          <w:p w:rsidR="00ED06A4" w:rsidRDefault="00ED06A4" w:rsidP="00F87D60">
            <w:pPr>
              <w:spacing w:after="0"/>
              <w:jc w:val="center"/>
              <w:rPr>
                <w:rFonts w:eastAsia="Times New Roman"/>
              </w:rPr>
            </w:pPr>
            <w:r>
              <w:rPr>
                <w:rFonts w:eastAsia="Times New Roman"/>
              </w:rPr>
              <w:t>N</w:t>
            </w:r>
          </w:p>
        </w:tc>
        <w:tc>
          <w:tcPr>
            <w:tcW w:w="893" w:type="dxa"/>
            <w:vAlign w:val="center"/>
          </w:tcPr>
          <w:p w:rsidR="00ED06A4" w:rsidRDefault="00ED06A4" w:rsidP="00F87D60">
            <w:pPr>
              <w:spacing w:after="0"/>
              <w:jc w:val="center"/>
              <w:rPr>
                <w:rFonts w:eastAsia="Times New Roman"/>
              </w:rPr>
            </w:pPr>
            <w:r>
              <w:rPr>
                <w:rFonts w:eastAsia="Times New Roman"/>
              </w:rPr>
              <w:t>Y, social work and juvenile court</w:t>
            </w:r>
          </w:p>
        </w:tc>
        <w:tc>
          <w:tcPr>
            <w:tcW w:w="893" w:type="dxa"/>
            <w:vAlign w:val="center"/>
          </w:tcPr>
          <w:p w:rsidR="00ED06A4" w:rsidRDefault="00ED06A4" w:rsidP="00F87D60">
            <w:pPr>
              <w:spacing w:after="0"/>
              <w:jc w:val="center"/>
              <w:rPr>
                <w:rFonts w:eastAsia="Times New Roman"/>
              </w:rPr>
            </w:pPr>
            <w:r>
              <w:rPr>
                <w:rFonts w:eastAsia="Times New Roman"/>
              </w:rPr>
              <w:t>N</w:t>
            </w:r>
          </w:p>
        </w:tc>
        <w:tc>
          <w:tcPr>
            <w:tcW w:w="910" w:type="dxa"/>
            <w:vAlign w:val="center"/>
          </w:tcPr>
          <w:p w:rsidR="00ED06A4" w:rsidRDefault="00ED06A4" w:rsidP="00F87D60">
            <w:pPr>
              <w:spacing w:after="0"/>
              <w:jc w:val="center"/>
              <w:rPr>
                <w:rFonts w:eastAsia="Times New Roman"/>
              </w:rPr>
            </w:pPr>
            <w:r>
              <w:rPr>
                <w:rFonts w:eastAsia="Times New Roman"/>
              </w:rPr>
              <w:t>Y, work in corrections</w:t>
            </w:r>
          </w:p>
        </w:tc>
        <w:tc>
          <w:tcPr>
            <w:tcW w:w="910" w:type="dxa"/>
            <w:vAlign w:val="center"/>
          </w:tcPr>
          <w:p w:rsidR="00ED06A4" w:rsidRDefault="00ED06A4" w:rsidP="00F87D60">
            <w:pPr>
              <w:spacing w:after="0"/>
              <w:jc w:val="center"/>
              <w:rPr>
                <w:rFonts w:eastAsia="Times New Roman"/>
              </w:rPr>
            </w:pPr>
            <w:r>
              <w:rPr>
                <w:rFonts w:eastAsia="Times New Roman"/>
              </w:rPr>
              <w:t>Y, work in corrections</w:t>
            </w:r>
          </w:p>
        </w:tc>
        <w:tc>
          <w:tcPr>
            <w:tcW w:w="894" w:type="dxa"/>
            <w:vAlign w:val="center"/>
          </w:tcPr>
          <w:p w:rsidR="00ED06A4" w:rsidRDefault="00ED06A4" w:rsidP="00F87D60">
            <w:pPr>
              <w:spacing w:after="0"/>
              <w:jc w:val="center"/>
              <w:rPr>
                <w:rFonts w:eastAsia="Times New Roman"/>
              </w:rPr>
            </w:pPr>
            <w:r>
              <w:rPr>
                <w:rFonts w:eastAsia="Times New Roman"/>
              </w:rPr>
              <w:t xml:space="preserve">N </w:t>
            </w:r>
          </w:p>
        </w:tc>
        <w:tc>
          <w:tcPr>
            <w:tcW w:w="914" w:type="dxa"/>
            <w:vAlign w:val="center"/>
          </w:tcPr>
          <w:p w:rsidR="00ED06A4" w:rsidRDefault="00ED06A4" w:rsidP="00F87D60">
            <w:pPr>
              <w:spacing w:after="0"/>
              <w:jc w:val="center"/>
              <w:rPr>
                <w:rFonts w:eastAsia="Times New Roman"/>
              </w:rPr>
            </w:pPr>
            <w:r>
              <w:rPr>
                <w:rFonts w:eastAsia="Times New Roman"/>
              </w:rPr>
              <w:t>BA</w:t>
            </w:r>
          </w:p>
        </w:tc>
        <w:tc>
          <w:tcPr>
            <w:tcW w:w="1190" w:type="dxa"/>
            <w:vAlign w:val="center"/>
          </w:tcPr>
          <w:p w:rsidR="00ED06A4" w:rsidRDefault="00ED06A4" w:rsidP="00F87D60">
            <w:pPr>
              <w:spacing w:after="0"/>
              <w:jc w:val="center"/>
              <w:rPr>
                <w:rFonts w:eastAsia="Times New Roman"/>
              </w:rPr>
            </w:pPr>
            <w:r>
              <w:rPr>
                <w:rFonts w:eastAsia="Times New Roman"/>
              </w:rPr>
              <w:t>Social Work</w:t>
            </w:r>
          </w:p>
        </w:tc>
      </w:tr>
      <w:tr w:rsidR="00ED06A4" w:rsidTr="00F87D60">
        <w:trPr>
          <w:trHeight w:val="868"/>
        </w:trPr>
        <w:tc>
          <w:tcPr>
            <w:tcW w:w="1256" w:type="dxa"/>
            <w:vAlign w:val="center"/>
          </w:tcPr>
          <w:p w:rsidR="00ED06A4" w:rsidRDefault="00ED06A4" w:rsidP="00F87D60">
            <w:pPr>
              <w:spacing w:after="0"/>
              <w:jc w:val="center"/>
              <w:rPr>
                <w:rFonts w:eastAsia="Times New Roman"/>
              </w:rPr>
            </w:pPr>
            <w:r>
              <w:rPr>
                <w:rFonts w:eastAsia="Times New Roman"/>
              </w:rPr>
              <w:t>Elaine</w:t>
            </w:r>
          </w:p>
        </w:tc>
        <w:tc>
          <w:tcPr>
            <w:tcW w:w="893" w:type="dxa"/>
            <w:vAlign w:val="center"/>
          </w:tcPr>
          <w:p w:rsidR="00ED06A4" w:rsidRDefault="00ED06A4" w:rsidP="00F87D60">
            <w:pPr>
              <w:spacing w:after="0"/>
              <w:jc w:val="center"/>
              <w:rPr>
                <w:rFonts w:eastAsia="Times New Roman"/>
              </w:rPr>
            </w:pPr>
            <w:r>
              <w:rPr>
                <w:rFonts w:eastAsia="Times New Roman"/>
              </w:rPr>
              <w:t>N</w:t>
            </w:r>
          </w:p>
        </w:tc>
        <w:tc>
          <w:tcPr>
            <w:tcW w:w="893" w:type="dxa"/>
            <w:vAlign w:val="center"/>
          </w:tcPr>
          <w:p w:rsidR="00ED06A4" w:rsidRDefault="00ED06A4" w:rsidP="00F87D60">
            <w:pPr>
              <w:spacing w:after="0"/>
              <w:jc w:val="center"/>
              <w:rPr>
                <w:rFonts w:eastAsia="Times New Roman"/>
              </w:rPr>
            </w:pPr>
            <w:r>
              <w:rPr>
                <w:rFonts w:eastAsia="Times New Roman"/>
              </w:rPr>
              <w:t>N</w:t>
            </w:r>
          </w:p>
        </w:tc>
        <w:tc>
          <w:tcPr>
            <w:tcW w:w="893" w:type="dxa"/>
            <w:vAlign w:val="center"/>
          </w:tcPr>
          <w:p w:rsidR="00ED06A4" w:rsidRDefault="00ED06A4" w:rsidP="00F87D60">
            <w:pPr>
              <w:spacing w:after="0"/>
              <w:jc w:val="center"/>
              <w:rPr>
                <w:rFonts w:eastAsia="Times New Roman"/>
              </w:rPr>
            </w:pPr>
            <w:r>
              <w:rPr>
                <w:rFonts w:eastAsia="Times New Roman"/>
              </w:rPr>
              <w:t>N</w:t>
            </w:r>
          </w:p>
        </w:tc>
        <w:tc>
          <w:tcPr>
            <w:tcW w:w="910" w:type="dxa"/>
            <w:vAlign w:val="center"/>
          </w:tcPr>
          <w:p w:rsidR="00ED06A4" w:rsidRDefault="00ED06A4" w:rsidP="00F87D60">
            <w:pPr>
              <w:spacing w:after="0"/>
              <w:jc w:val="center"/>
              <w:rPr>
                <w:rFonts w:eastAsia="Times New Roman"/>
              </w:rPr>
            </w:pPr>
            <w:r>
              <w:rPr>
                <w:rFonts w:eastAsia="Times New Roman"/>
              </w:rPr>
              <w:t>N</w:t>
            </w:r>
          </w:p>
        </w:tc>
        <w:tc>
          <w:tcPr>
            <w:tcW w:w="910" w:type="dxa"/>
            <w:vAlign w:val="center"/>
          </w:tcPr>
          <w:p w:rsidR="00ED06A4" w:rsidRDefault="00ED06A4" w:rsidP="00F87D60">
            <w:pPr>
              <w:spacing w:after="0"/>
              <w:jc w:val="center"/>
              <w:rPr>
                <w:rFonts w:eastAsia="Times New Roman"/>
              </w:rPr>
            </w:pPr>
            <w:r>
              <w:rPr>
                <w:rFonts w:eastAsia="Times New Roman"/>
              </w:rPr>
              <w:t>N</w:t>
            </w:r>
          </w:p>
        </w:tc>
        <w:tc>
          <w:tcPr>
            <w:tcW w:w="894" w:type="dxa"/>
            <w:vAlign w:val="center"/>
          </w:tcPr>
          <w:p w:rsidR="00ED06A4" w:rsidRDefault="00ED06A4" w:rsidP="00F87D60">
            <w:pPr>
              <w:spacing w:after="0"/>
              <w:jc w:val="center"/>
              <w:rPr>
                <w:rFonts w:eastAsia="Times New Roman"/>
              </w:rPr>
            </w:pPr>
            <w:r>
              <w:rPr>
                <w:rFonts w:eastAsia="Times New Roman"/>
              </w:rPr>
              <w:t>N</w:t>
            </w:r>
          </w:p>
        </w:tc>
        <w:tc>
          <w:tcPr>
            <w:tcW w:w="914" w:type="dxa"/>
            <w:vAlign w:val="center"/>
          </w:tcPr>
          <w:p w:rsidR="00ED06A4" w:rsidRDefault="00ED06A4" w:rsidP="00F87D60">
            <w:pPr>
              <w:spacing w:after="0"/>
              <w:jc w:val="center"/>
              <w:rPr>
                <w:rFonts w:eastAsia="Times New Roman"/>
              </w:rPr>
            </w:pPr>
            <w:proofErr w:type="spellStart"/>
            <w:r>
              <w:rPr>
                <w:rFonts w:eastAsia="Times New Roman"/>
              </w:rPr>
              <w:t>EdS</w:t>
            </w:r>
            <w:proofErr w:type="spellEnd"/>
          </w:p>
        </w:tc>
        <w:tc>
          <w:tcPr>
            <w:tcW w:w="1190" w:type="dxa"/>
            <w:vAlign w:val="center"/>
          </w:tcPr>
          <w:p w:rsidR="00ED06A4" w:rsidRDefault="00ED06A4" w:rsidP="00F87D60">
            <w:pPr>
              <w:spacing w:after="0"/>
              <w:jc w:val="center"/>
              <w:rPr>
                <w:rFonts w:eastAsia="Times New Roman"/>
              </w:rPr>
            </w:pPr>
            <w:r>
              <w:rPr>
                <w:rFonts w:eastAsia="Times New Roman"/>
              </w:rPr>
              <w:t>Education</w:t>
            </w:r>
          </w:p>
        </w:tc>
      </w:tr>
      <w:tr w:rsidR="00ED06A4" w:rsidTr="00F87D60">
        <w:trPr>
          <w:trHeight w:val="868"/>
        </w:trPr>
        <w:tc>
          <w:tcPr>
            <w:tcW w:w="1256" w:type="dxa"/>
            <w:vAlign w:val="center"/>
          </w:tcPr>
          <w:p w:rsidR="00ED06A4" w:rsidRDefault="00ED06A4" w:rsidP="00F87D60">
            <w:pPr>
              <w:spacing w:after="0"/>
              <w:jc w:val="center"/>
              <w:rPr>
                <w:rFonts w:eastAsia="Times New Roman"/>
              </w:rPr>
            </w:pPr>
            <w:r>
              <w:rPr>
                <w:rFonts w:eastAsia="Times New Roman"/>
              </w:rPr>
              <w:t>Flo</w:t>
            </w:r>
          </w:p>
        </w:tc>
        <w:tc>
          <w:tcPr>
            <w:tcW w:w="893" w:type="dxa"/>
            <w:vAlign w:val="center"/>
          </w:tcPr>
          <w:p w:rsidR="00ED06A4" w:rsidRDefault="00ED06A4" w:rsidP="00F87D60">
            <w:pPr>
              <w:spacing w:after="0"/>
              <w:jc w:val="center"/>
              <w:rPr>
                <w:rFonts w:eastAsia="Times New Roman"/>
              </w:rPr>
            </w:pPr>
            <w:r>
              <w:rPr>
                <w:rFonts w:eastAsia="Times New Roman"/>
              </w:rPr>
              <w:t>N</w:t>
            </w:r>
          </w:p>
        </w:tc>
        <w:tc>
          <w:tcPr>
            <w:tcW w:w="893" w:type="dxa"/>
            <w:vAlign w:val="center"/>
          </w:tcPr>
          <w:p w:rsidR="00ED06A4" w:rsidRDefault="00ED06A4" w:rsidP="00F87D60">
            <w:pPr>
              <w:spacing w:after="0"/>
              <w:jc w:val="center"/>
              <w:rPr>
                <w:rFonts w:eastAsia="Times New Roman"/>
              </w:rPr>
            </w:pPr>
            <w:r>
              <w:rPr>
                <w:rFonts w:eastAsia="Times New Roman"/>
              </w:rPr>
              <w:t>N</w:t>
            </w:r>
          </w:p>
        </w:tc>
        <w:tc>
          <w:tcPr>
            <w:tcW w:w="893" w:type="dxa"/>
            <w:vAlign w:val="center"/>
          </w:tcPr>
          <w:p w:rsidR="00ED06A4" w:rsidRDefault="00ED06A4" w:rsidP="00F87D60">
            <w:pPr>
              <w:spacing w:after="0"/>
              <w:jc w:val="center"/>
              <w:rPr>
                <w:rFonts w:eastAsia="Times New Roman"/>
              </w:rPr>
            </w:pPr>
            <w:r>
              <w:rPr>
                <w:rFonts w:eastAsia="Times New Roman"/>
              </w:rPr>
              <w:t>N</w:t>
            </w:r>
          </w:p>
        </w:tc>
        <w:tc>
          <w:tcPr>
            <w:tcW w:w="910" w:type="dxa"/>
            <w:vAlign w:val="center"/>
          </w:tcPr>
          <w:p w:rsidR="00ED06A4" w:rsidRDefault="00ED06A4" w:rsidP="00F87D60">
            <w:pPr>
              <w:spacing w:after="0"/>
              <w:jc w:val="center"/>
              <w:rPr>
                <w:rFonts w:eastAsia="Times New Roman"/>
              </w:rPr>
            </w:pPr>
            <w:r>
              <w:rPr>
                <w:rFonts w:eastAsia="Times New Roman"/>
              </w:rPr>
              <w:t>N</w:t>
            </w:r>
          </w:p>
        </w:tc>
        <w:tc>
          <w:tcPr>
            <w:tcW w:w="910" w:type="dxa"/>
            <w:vAlign w:val="center"/>
          </w:tcPr>
          <w:p w:rsidR="00ED06A4" w:rsidRDefault="00ED06A4" w:rsidP="00F87D60">
            <w:pPr>
              <w:spacing w:after="0"/>
              <w:jc w:val="center"/>
              <w:rPr>
                <w:rFonts w:eastAsia="Times New Roman"/>
              </w:rPr>
            </w:pPr>
            <w:r>
              <w:rPr>
                <w:rFonts w:eastAsia="Times New Roman"/>
              </w:rPr>
              <w:t>N</w:t>
            </w:r>
          </w:p>
        </w:tc>
        <w:tc>
          <w:tcPr>
            <w:tcW w:w="894" w:type="dxa"/>
            <w:vAlign w:val="center"/>
          </w:tcPr>
          <w:p w:rsidR="00ED06A4" w:rsidRDefault="00ED06A4" w:rsidP="00F87D60">
            <w:pPr>
              <w:spacing w:after="0"/>
              <w:jc w:val="center"/>
              <w:rPr>
                <w:rFonts w:eastAsia="Times New Roman"/>
              </w:rPr>
            </w:pPr>
            <w:r>
              <w:rPr>
                <w:rFonts w:eastAsia="Times New Roman"/>
              </w:rPr>
              <w:t>N</w:t>
            </w:r>
          </w:p>
        </w:tc>
        <w:tc>
          <w:tcPr>
            <w:tcW w:w="914" w:type="dxa"/>
            <w:vAlign w:val="center"/>
          </w:tcPr>
          <w:p w:rsidR="00ED06A4" w:rsidRDefault="00ED06A4" w:rsidP="00F87D60">
            <w:pPr>
              <w:spacing w:after="0"/>
              <w:jc w:val="center"/>
              <w:rPr>
                <w:rFonts w:eastAsia="Times New Roman"/>
              </w:rPr>
            </w:pPr>
            <w:r>
              <w:rPr>
                <w:rFonts w:eastAsia="Times New Roman"/>
              </w:rPr>
              <w:t>BA</w:t>
            </w:r>
          </w:p>
        </w:tc>
        <w:tc>
          <w:tcPr>
            <w:tcW w:w="1190" w:type="dxa"/>
            <w:vAlign w:val="center"/>
          </w:tcPr>
          <w:p w:rsidR="00ED06A4" w:rsidRDefault="00ED06A4" w:rsidP="00F87D60">
            <w:pPr>
              <w:spacing w:after="0"/>
              <w:jc w:val="center"/>
              <w:rPr>
                <w:rFonts w:eastAsia="Times New Roman"/>
              </w:rPr>
            </w:pPr>
            <w:r>
              <w:rPr>
                <w:rFonts w:eastAsia="Times New Roman"/>
              </w:rPr>
              <w:t>Elementary Education</w:t>
            </w:r>
          </w:p>
        </w:tc>
      </w:tr>
      <w:tr w:rsidR="00ED06A4" w:rsidTr="00F87D60">
        <w:trPr>
          <w:trHeight w:val="917"/>
        </w:trPr>
        <w:tc>
          <w:tcPr>
            <w:tcW w:w="1256" w:type="dxa"/>
            <w:vAlign w:val="center"/>
          </w:tcPr>
          <w:p w:rsidR="00ED06A4" w:rsidRDefault="00ED06A4" w:rsidP="00F87D60">
            <w:pPr>
              <w:spacing w:after="0"/>
              <w:jc w:val="center"/>
              <w:rPr>
                <w:rFonts w:eastAsia="Times New Roman"/>
              </w:rPr>
            </w:pPr>
            <w:proofErr w:type="spellStart"/>
            <w:r>
              <w:rPr>
                <w:rFonts w:eastAsia="Times New Roman"/>
              </w:rPr>
              <w:t>Gomer</w:t>
            </w:r>
            <w:proofErr w:type="spellEnd"/>
          </w:p>
        </w:tc>
        <w:tc>
          <w:tcPr>
            <w:tcW w:w="893" w:type="dxa"/>
            <w:vAlign w:val="center"/>
          </w:tcPr>
          <w:p w:rsidR="00ED06A4" w:rsidRDefault="00ED06A4" w:rsidP="00F87D60">
            <w:pPr>
              <w:spacing w:after="0"/>
              <w:jc w:val="center"/>
              <w:rPr>
                <w:rFonts w:eastAsia="Times New Roman"/>
              </w:rPr>
            </w:pPr>
            <w:r>
              <w:rPr>
                <w:rFonts w:eastAsia="Times New Roman"/>
              </w:rPr>
              <w:t>N</w:t>
            </w:r>
          </w:p>
        </w:tc>
        <w:tc>
          <w:tcPr>
            <w:tcW w:w="893" w:type="dxa"/>
            <w:vAlign w:val="center"/>
          </w:tcPr>
          <w:p w:rsidR="00ED06A4" w:rsidRDefault="00ED06A4" w:rsidP="00F87D60">
            <w:pPr>
              <w:spacing w:after="0"/>
              <w:jc w:val="center"/>
              <w:rPr>
                <w:rFonts w:eastAsia="Times New Roman"/>
              </w:rPr>
            </w:pPr>
            <w:r>
              <w:rPr>
                <w:rFonts w:eastAsia="Times New Roman"/>
              </w:rPr>
              <w:t>N</w:t>
            </w:r>
          </w:p>
        </w:tc>
        <w:tc>
          <w:tcPr>
            <w:tcW w:w="893" w:type="dxa"/>
            <w:vAlign w:val="center"/>
          </w:tcPr>
          <w:p w:rsidR="00ED06A4" w:rsidRDefault="00ED06A4" w:rsidP="00F87D60">
            <w:pPr>
              <w:spacing w:after="0"/>
              <w:jc w:val="center"/>
              <w:rPr>
                <w:rFonts w:eastAsia="Times New Roman"/>
              </w:rPr>
            </w:pPr>
            <w:r>
              <w:rPr>
                <w:rFonts w:eastAsia="Times New Roman"/>
              </w:rPr>
              <w:t>N</w:t>
            </w:r>
          </w:p>
        </w:tc>
        <w:tc>
          <w:tcPr>
            <w:tcW w:w="910" w:type="dxa"/>
            <w:vAlign w:val="center"/>
          </w:tcPr>
          <w:p w:rsidR="00ED06A4" w:rsidRDefault="00ED06A4" w:rsidP="00F87D60">
            <w:pPr>
              <w:spacing w:after="0"/>
              <w:jc w:val="center"/>
              <w:rPr>
                <w:rFonts w:eastAsia="Times New Roman"/>
              </w:rPr>
            </w:pPr>
            <w:r>
              <w:rPr>
                <w:rFonts w:eastAsia="Times New Roman"/>
              </w:rPr>
              <w:t>N</w:t>
            </w:r>
          </w:p>
        </w:tc>
        <w:tc>
          <w:tcPr>
            <w:tcW w:w="910" w:type="dxa"/>
            <w:vAlign w:val="center"/>
          </w:tcPr>
          <w:p w:rsidR="00ED06A4" w:rsidRDefault="00ED06A4" w:rsidP="00F87D60">
            <w:pPr>
              <w:spacing w:after="0"/>
              <w:jc w:val="center"/>
              <w:rPr>
                <w:rFonts w:eastAsia="Times New Roman"/>
              </w:rPr>
            </w:pPr>
            <w:r>
              <w:rPr>
                <w:rFonts w:eastAsia="Times New Roman"/>
              </w:rPr>
              <w:t>Y, observation</w:t>
            </w:r>
          </w:p>
        </w:tc>
        <w:tc>
          <w:tcPr>
            <w:tcW w:w="894" w:type="dxa"/>
            <w:vAlign w:val="center"/>
          </w:tcPr>
          <w:p w:rsidR="00ED06A4" w:rsidRDefault="00ED06A4" w:rsidP="00F87D60">
            <w:pPr>
              <w:spacing w:after="0"/>
              <w:jc w:val="center"/>
              <w:rPr>
                <w:rFonts w:eastAsia="Times New Roman"/>
              </w:rPr>
            </w:pPr>
            <w:r>
              <w:rPr>
                <w:rFonts w:eastAsia="Times New Roman"/>
              </w:rPr>
              <w:t>N</w:t>
            </w:r>
          </w:p>
        </w:tc>
        <w:tc>
          <w:tcPr>
            <w:tcW w:w="914" w:type="dxa"/>
            <w:vAlign w:val="center"/>
          </w:tcPr>
          <w:p w:rsidR="00ED06A4" w:rsidRDefault="00ED06A4" w:rsidP="00F87D60">
            <w:pPr>
              <w:spacing w:after="0"/>
              <w:jc w:val="center"/>
              <w:rPr>
                <w:rFonts w:eastAsia="Times New Roman"/>
              </w:rPr>
            </w:pPr>
            <w:r>
              <w:rPr>
                <w:rFonts w:eastAsia="Times New Roman"/>
              </w:rPr>
              <w:t>MBA MA</w:t>
            </w:r>
          </w:p>
        </w:tc>
        <w:tc>
          <w:tcPr>
            <w:tcW w:w="1190" w:type="dxa"/>
            <w:vAlign w:val="center"/>
          </w:tcPr>
          <w:p w:rsidR="00ED06A4" w:rsidRDefault="00ED06A4" w:rsidP="00F87D60">
            <w:pPr>
              <w:spacing w:after="0"/>
              <w:jc w:val="center"/>
              <w:rPr>
                <w:rFonts w:eastAsia="Times New Roman"/>
              </w:rPr>
            </w:pPr>
            <w:r>
              <w:rPr>
                <w:rFonts w:eastAsia="Times New Roman"/>
              </w:rPr>
              <w:t>Management</w:t>
            </w:r>
          </w:p>
        </w:tc>
      </w:tr>
    </w:tbl>
    <w:p w:rsidR="00ED06A4" w:rsidRDefault="00ED06A4" w:rsidP="00ED06A4">
      <w:pPr>
        <w:spacing w:after="0"/>
      </w:pPr>
    </w:p>
    <w:p w:rsidR="00ED06A4" w:rsidRDefault="00ED06A4" w:rsidP="00ED06A4">
      <w:pPr>
        <w:spacing w:after="0" w:line="240" w:lineRule="auto"/>
      </w:pPr>
      <w:r>
        <w:t>A – Formal Training in Adult Education, Type</w:t>
      </w:r>
    </w:p>
    <w:p w:rsidR="00ED06A4" w:rsidRDefault="00ED06A4" w:rsidP="00ED06A4">
      <w:pPr>
        <w:spacing w:after="0" w:line="240" w:lineRule="auto"/>
      </w:pPr>
      <w:r>
        <w:t>B – Formal Training with Community Corrections Students, Type</w:t>
      </w:r>
    </w:p>
    <w:p w:rsidR="00ED06A4" w:rsidRDefault="00ED06A4" w:rsidP="00ED06A4">
      <w:pPr>
        <w:spacing w:after="0" w:line="240" w:lineRule="auto"/>
      </w:pPr>
      <w:r>
        <w:t>C – Formal Training with Disabled Students, Type</w:t>
      </w:r>
    </w:p>
    <w:p w:rsidR="00ED06A4" w:rsidRDefault="00ED06A4" w:rsidP="00ED06A4">
      <w:pPr>
        <w:spacing w:after="0" w:line="240" w:lineRule="auto"/>
      </w:pPr>
      <w:r>
        <w:t>D – Informal Training in Adult Education, Type</w:t>
      </w:r>
    </w:p>
    <w:p w:rsidR="00ED06A4" w:rsidRDefault="00ED06A4" w:rsidP="00ED06A4">
      <w:pPr>
        <w:spacing w:after="0" w:line="240" w:lineRule="auto"/>
      </w:pPr>
      <w:r>
        <w:t>E – Informal Training with Community Corrections Students, Type</w:t>
      </w:r>
    </w:p>
    <w:p w:rsidR="00ED06A4" w:rsidRDefault="00ED06A4" w:rsidP="00ED06A4">
      <w:pPr>
        <w:spacing w:after="0" w:line="240" w:lineRule="auto"/>
      </w:pPr>
      <w:r>
        <w:t>F – Informal Training with Disabled Students, Type</w:t>
      </w:r>
    </w:p>
    <w:p w:rsidR="00ED06A4" w:rsidRDefault="00ED06A4" w:rsidP="00ED06A4">
      <w:pPr>
        <w:spacing w:after="0" w:line="240" w:lineRule="auto"/>
      </w:pPr>
      <w:r>
        <w:t>G – Highest Level of Education</w:t>
      </w:r>
    </w:p>
    <w:p w:rsidR="00ED06A4" w:rsidRDefault="00ED06A4" w:rsidP="00ED06A4">
      <w:pPr>
        <w:spacing w:after="0" w:line="240" w:lineRule="auto"/>
      </w:pPr>
      <w:r>
        <w:t>H – Major Area of Study</w:t>
      </w:r>
    </w:p>
    <w:p w:rsidR="00ED06A4" w:rsidRPr="00393F83" w:rsidRDefault="00ED06A4" w:rsidP="00ED06A4">
      <w:pPr>
        <w:spacing w:after="0" w:line="240" w:lineRule="auto"/>
        <w:rPr>
          <w:szCs w:val="24"/>
        </w:rPr>
      </w:pPr>
      <w:r>
        <w:rPr>
          <w:szCs w:val="24"/>
        </w:rPr>
        <w:br w:type="page"/>
      </w:r>
      <w:r>
        <w:rPr>
          <w:szCs w:val="24"/>
        </w:rPr>
        <w:lastRenderedPageBreak/>
        <w:t xml:space="preserve">Table 3: </w:t>
      </w:r>
      <w:r w:rsidRPr="00FE5070">
        <w:rPr>
          <w:szCs w:val="24"/>
        </w:rPr>
        <w:t>Types of Instruction Used by Participants</w:t>
      </w:r>
    </w:p>
    <w:p w:rsidR="00ED06A4" w:rsidRDefault="00ED06A4" w:rsidP="00ED06A4">
      <w:pPr>
        <w:spacing w:after="0" w:line="240" w:lineRule="auto"/>
        <w:jc w:val="center"/>
        <w:rPr>
          <w:szCs w:val="24"/>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59"/>
        <w:gridCol w:w="2635"/>
        <w:gridCol w:w="3304"/>
        <w:gridCol w:w="1980"/>
      </w:tblGrid>
      <w:tr w:rsidR="00ED06A4" w:rsidTr="00F87D60">
        <w:trPr>
          <w:trHeight w:val="743"/>
        </w:trPr>
        <w:tc>
          <w:tcPr>
            <w:tcW w:w="1459" w:type="dxa"/>
            <w:vAlign w:val="center"/>
          </w:tcPr>
          <w:p w:rsidR="00ED06A4" w:rsidRDefault="00ED06A4" w:rsidP="00F87D60">
            <w:pPr>
              <w:spacing w:after="0" w:line="240" w:lineRule="auto"/>
              <w:jc w:val="center"/>
              <w:rPr>
                <w:rFonts w:eastAsia="Times New Roman"/>
                <w:szCs w:val="24"/>
              </w:rPr>
            </w:pPr>
            <w:r>
              <w:rPr>
                <w:rFonts w:eastAsia="Times New Roman"/>
                <w:szCs w:val="24"/>
              </w:rPr>
              <w:t>Participant</w:t>
            </w:r>
          </w:p>
        </w:tc>
        <w:tc>
          <w:tcPr>
            <w:tcW w:w="2635" w:type="dxa"/>
            <w:vAlign w:val="center"/>
          </w:tcPr>
          <w:p w:rsidR="00ED06A4" w:rsidRDefault="00ED06A4" w:rsidP="00F87D60">
            <w:pPr>
              <w:spacing w:after="0" w:line="240" w:lineRule="auto"/>
              <w:jc w:val="center"/>
              <w:rPr>
                <w:rFonts w:eastAsia="Times New Roman"/>
                <w:szCs w:val="24"/>
              </w:rPr>
            </w:pPr>
            <w:r>
              <w:rPr>
                <w:rFonts w:eastAsia="Times New Roman"/>
                <w:szCs w:val="24"/>
              </w:rPr>
              <w:t>A</w:t>
            </w:r>
          </w:p>
        </w:tc>
        <w:tc>
          <w:tcPr>
            <w:tcW w:w="3304" w:type="dxa"/>
            <w:vAlign w:val="center"/>
          </w:tcPr>
          <w:p w:rsidR="00ED06A4" w:rsidRDefault="00ED06A4" w:rsidP="00F87D60">
            <w:pPr>
              <w:spacing w:after="0" w:line="240" w:lineRule="auto"/>
              <w:jc w:val="center"/>
              <w:rPr>
                <w:rFonts w:eastAsia="Times New Roman"/>
                <w:szCs w:val="24"/>
              </w:rPr>
            </w:pPr>
            <w:r>
              <w:rPr>
                <w:rFonts w:eastAsia="Times New Roman"/>
                <w:szCs w:val="24"/>
              </w:rPr>
              <w:t>B</w:t>
            </w:r>
          </w:p>
        </w:tc>
        <w:tc>
          <w:tcPr>
            <w:tcW w:w="1980" w:type="dxa"/>
            <w:vAlign w:val="center"/>
          </w:tcPr>
          <w:p w:rsidR="00ED06A4" w:rsidRDefault="00ED06A4" w:rsidP="00F87D60">
            <w:pPr>
              <w:spacing w:after="0" w:line="240" w:lineRule="auto"/>
              <w:jc w:val="center"/>
              <w:rPr>
                <w:rFonts w:eastAsia="Times New Roman"/>
                <w:szCs w:val="24"/>
              </w:rPr>
            </w:pPr>
            <w:r>
              <w:rPr>
                <w:rFonts w:eastAsia="Times New Roman"/>
                <w:szCs w:val="24"/>
              </w:rPr>
              <w:t>C</w:t>
            </w:r>
          </w:p>
        </w:tc>
      </w:tr>
      <w:tr w:rsidR="00ED06A4" w:rsidTr="00F87D60">
        <w:trPr>
          <w:trHeight w:val="743"/>
        </w:trPr>
        <w:tc>
          <w:tcPr>
            <w:tcW w:w="1459" w:type="dxa"/>
            <w:vAlign w:val="center"/>
          </w:tcPr>
          <w:p w:rsidR="00ED06A4" w:rsidRDefault="00ED06A4" w:rsidP="00F87D60">
            <w:pPr>
              <w:spacing w:after="0" w:line="240" w:lineRule="auto"/>
              <w:jc w:val="center"/>
              <w:rPr>
                <w:rFonts w:eastAsia="Times New Roman"/>
                <w:szCs w:val="24"/>
              </w:rPr>
            </w:pPr>
            <w:r>
              <w:rPr>
                <w:rFonts w:eastAsia="Times New Roman"/>
                <w:szCs w:val="24"/>
              </w:rPr>
              <w:t>Adam</w:t>
            </w:r>
          </w:p>
        </w:tc>
        <w:tc>
          <w:tcPr>
            <w:tcW w:w="2635" w:type="dxa"/>
            <w:vAlign w:val="center"/>
          </w:tcPr>
          <w:p w:rsidR="00ED06A4" w:rsidRDefault="00ED06A4" w:rsidP="00F87D60">
            <w:pPr>
              <w:spacing w:after="0" w:line="240" w:lineRule="auto"/>
              <w:jc w:val="center"/>
              <w:rPr>
                <w:rFonts w:eastAsia="Times New Roman"/>
                <w:szCs w:val="24"/>
              </w:rPr>
            </w:pPr>
            <w:r>
              <w:rPr>
                <w:rFonts w:eastAsia="Times New Roman"/>
                <w:szCs w:val="24"/>
              </w:rPr>
              <w:t>Individualized instruction,</w:t>
            </w:r>
          </w:p>
          <w:p w:rsidR="00ED06A4" w:rsidRDefault="00ED06A4" w:rsidP="00F87D60">
            <w:pPr>
              <w:spacing w:after="0" w:line="240" w:lineRule="auto"/>
              <w:jc w:val="center"/>
              <w:rPr>
                <w:rFonts w:eastAsia="Times New Roman"/>
                <w:szCs w:val="24"/>
              </w:rPr>
            </w:pPr>
            <w:r>
              <w:rPr>
                <w:rFonts w:eastAsia="Times New Roman"/>
                <w:szCs w:val="24"/>
              </w:rPr>
              <w:t>Teacher led small groups</w:t>
            </w:r>
          </w:p>
        </w:tc>
        <w:tc>
          <w:tcPr>
            <w:tcW w:w="3304" w:type="dxa"/>
            <w:vAlign w:val="center"/>
          </w:tcPr>
          <w:p w:rsidR="00ED06A4" w:rsidRDefault="00ED06A4" w:rsidP="00F87D60">
            <w:pPr>
              <w:spacing w:after="0" w:line="240" w:lineRule="auto"/>
              <w:jc w:val="center"/>
              <w:rPr>
                <w:rFonts w:eastAsia="Times New Roman"/>
                <w:szCs w:val="24"/>
              </w:rPr>
            </w:pPr>
            <w:r>
              <w:rPr>
                <w:rFonts w:eastAsia="Times New Roman"/>
                <w:szCs w:val="24"/>
              </w:rPr>
              <w:t>Computer assisted instruction, textbooks, workbooks, teacher made materials</w:t>
            </w:r>
          </w:p>
          <w:p w:rsidR="00ED06A4" w:rsidRDefault="00ED06A4" w:rsidP="00F87D60">
            <w:pPr>
              <w:spacing w:after="0" w:line="240" w:lineRule="auto"/>
              <w:jc w:val="center"/>
              <w:rPr>
                <w:rFonts w:eastAsia="Times New Roman"/>
                <w:szCs w:val="24"/>
              </w:rPr>
            </w:pPr>
          </w:p>
        </w:tc>
        <w:tc>
          <w:tcPr>
            <w:tcW w:w="1980" w:type="dxa"/>
            <w:vAlign w:val="center"/>
          </w:tcPr>
          <w:p w:rsidR="00ED06A4" w:rsidRDefault="00ED06A4" w:rsidP="00F87D60">
            <w:pPr>
              <w:spacing w:after="0" w:line="240" w:lineRule="auto"/>
              <w:jc w:val="center"/>
              <w:rPr>
                <w:rFonts w:eastAsia="Times New Roman"/>
                <w:szCs w:val="24"/>
              </w:rPr>
            </w:pPr>
            <w:r>
              <w:rPr>
                <w:rFonts w:eastAsia="Times New Roman"/>
                <w:szCs w:val="24"/>
              </w:rPr>
              <w:t xml:space="preserve">Workbooks </w:t>
            </w:r>
          </w:p>
        </w:tc>
      </w:tr>
      <w:tr w:rsidR="00ED06A4" w:rsidTr="00F87D60">
        <w:trPr>
          <w:trHeight w:val="743"/>
        </w:trPr>
        <w:tc>
          <w:tcPr>
            <w:tcW w:w="1459" w:type="dxa"/>
            <w:vAlign w:val="center"/>
          </w:tcPr>
          <w:p w:rsidR="00ED06A4" w:rsidRDefault="00ED06A4" w:rsidP="00F87D60">
            <w:pPr>
              <w:spacing w:after="0" w:line="240" w:lineRule="auto"/>
              <w:jc w:val="center"/>
              <w:rPr>
                <w:rFonts w:eastAsia="Times New Roman"/>
                <w:szCs w:val="24"/>
              </w:rPr>
            </w:pPr>
            <w:r>
              <w:rPr>
                <w:rFonts w:eastAsia="Times New Roman"/>
                <w:szCs w:val="24"/>
              </w:rPr>
              <w:t>Blizzard</w:t>
            </w:r>
          </w:p>
        </w:tc>
        <w:tc>
          <w:tcPr>
            <w:tcW w:w="2635" w:type="dxa"/>
            <w:vAlign w:val="center"/>
          </w:tcPr>
          <w:p w:rsidR="00ED06A4" w:rsidRDefault="00ED06A4" w:rsidP="00F87D60">
            <w:pPr>
              <w:spacing w:after="0" w:line="240" w:lineRule="auto"/>
              <w:jc w:val="center"/>
              <w:rPr>
                <w:rFonts w:eastAsia="Times New Roman"/>
                <w:szCs w:val="24"/>
              </w:rPr>
            </w:pPr>
            <w:r>
              <w:rPr>
                <w:rFonts w:eastAsia="Times New Roman"/>
                <w:szCs w:val="24"/>
              </w:rPr>
              <w:t>Individualized instruction, teacher led large groups</w:t>
            </w:r>
          </w:p>
        </w:tc>
        <w:tc>
          <w:tcPr>
            <w:tcW w:w="3304" w:type="dxa"/>
            <w:vAlign w:val="center"/>
          </w:tcPr>
          <w:p w:rsidR="00ED06A4" w:rsidRDefault="00ED06A4" w:rsidP="00F87D60">
            <w:pPr>
              <w:spacing w:after="0" w:line="240" w:lineRule="auto"/>
              <w:jc w:val="center"/>
              <w:rPr>
                <w:rFonts w:eastAsia="Times New Roman"/>
                <w:szCs w:val="24"/>
              </w:rPr>
            </w:pPr>
            <w:r>
              <w:rPr>
                <w:rFonts w:eastAsia="Times New Roman"/>
                <w:szCs w:val="24"/>
              </w:rPr>
              <w:t>Textbooks, workbooks, teacher made materials</w:t>
            </w:r>
          </w:p>
        </w:tc>
        <w:tc>
          <w:tcPr>
            <w:tcW w:w="1980" w:type="dxa"/>
            <w:vAlign w:val="center"/>
          </w:tcPr>
          <w:p w:rsidR="00ED06A4" w:rsidRDefault="00ED06A4" w:rsidP="00F87D60">
            <w:pPr>
              <w:spacing w:after="0" w:line="240" w:lineRule="auto"/>
              <w:jc w:val="center"/>
              <w:rPr>
                <w:rFonts w:eastAsia="Times New Roman"/>
                <w:szCs w:val="24"/>
              </w:rPr>
            </w:pPr>
            <w:r>
              <w:rPr>
                <w:rFonts w:eastAsia="Times New Roman"/>
                <w:szCs w:val="24"/>
              </w:rPr>
              <w:t xml:space="preserve">Workbooks </w:t>
            </w:r>
          </w:p>
        </w:tc>
      </w:tr>
      <w:tr w:rsidR="00ED06A4" w:rsidTr="00F87D60">
        <w:trPr>
          <w:trHeight w:val="743"/>
        </w:trPr>
        <w:tc>
          <w:tcPr>
            <w:tcW w:w="1459" w:type="dxa"/>
            <w:vAlign w:val="center"/>
          </w:tcPr>
          <w:p w:rsidR="00ED06A4" w:rsidRDefault="00ED06A4" w:rsidP="00F87D60">
            <w:pPr>
              <w:spacing w:after="0" w:line="240" w:lineRule="auto"/>
              <w:jc w:val="center"/>
              <w:rPr>
                <w:rFonts w:eastAsia="Times New Roman"/>
                <w:szCs w:val="24"/>
              </w:rPr>
            </w:pPr>
            <w:r>
              <w:rPr>
                <w:rFonts w:eastAsia="Times New Roman"/>
                <w:szCs w:val="24"/>
              </w:rPr>
              <w:t>Carla</w:t>
            </w:r>
          </w:p>
        </w:tc>
        <w:tc>
          <w:tcPr>
            <w:tcW w:w="2635" w:type="dxa"/>
            <w:vAlign w:val="center"/>
          </w:tcPr>
          <w:p w:rsidR="00ED06A4" w:rsidRDefault="00ED06A4" w:rsidP="00F87D60">
            <w:pPr>
              <w:spacing w:after="0" w:line="240" w:lineRule="auto"/>
              <w:jc w:val="center"/>
              <w:rPr>
                <w:rFonts w:eastAsia="Times New Roman"/>
                <w:szCs w:val="24"/>
              </w:rPr>
            </w:pPr>
            <w:r>
              <w:rPr>
                <w:rFonts w:eastAsia="Times New Roman"/>
                <w:szCs w:val="24"/>
              </w:rPr>
              <w:t>Individualized instruction, teacher led small groups, peer led student work groups, field trips</w:t>
            </w:r>
          </w:p>
        </w:tc>
        <w:tc>
          <w:tcPr>
            <w:tcW w:w="3304" w:type="dxa"/>
            <w:vAlign w:val="center"/>
          </w:tcPr>
          <w:p w:rsidR="00ED06A4" w:rsidRDefault="00ED06A4" w:rsidP="00F87D60">
            <w:pPr>
              <w:spacing w:after="0" w:line="240" w:lineRule="auto"/>
              <w:jc w:val="center"/>
              <w:rPr>
                <w:rFonts w:eastAsia="Times New Roman"/>
                <w:szCs w:val="24"/>
              </w:rPr>
            </w:pPr>
            <w:r>
              <w:rPr>
                <w:rFonts w:eastAsia="Times New Roman"/>
                <w:szCs w:val="24"/>
              </w:rPr>
              <w:t>Computer assisted instruction, textbooks, workbooks, teacher made materials</w:t>
            </w:r>
          </w:p>
        </w:tc>
        <w:tc>
          <w:tcPr>
            <w:tcW w:w="1980" w:type="dxa"/>
            <w:vAlign w:val="center"/>
          </w:tcPr>
          <w:p w:rsidR="00ED06A4" w:rsidRDefault="00ED06A4" w:rsidP="00F87D60">
            <w:pPr>
              <w:spacing w:after="0" w:line="240" w:lineRule="auto"/>
              <w:jc w:val="center"/>
              <w:rPr>
                <w:rFonts w:eastAsia="Times New Roman"/>
                <w:szCs w:val="24"/>
              </w:rPr>
            </w:pPr>
            <w:r>
              <w:rPr>
                <w:rFonts w:eastAsia="Times New Roman"/>
                <w:szCs w:val="24"/>
              </w:rPr>
              <w:t>Workbooks</w:t>
            </w:r>
          </w:p>
        </w:tc>
      </w:tr>
      <w:tr w:rsidR="00ED06A4" w:rsidTr="00F87D60">
        <w:trPr>
          <w:trHeight w:val="743"/>
        </w:trPr>
        <w:tc>
          <w:tcPr>
            <w:tcW w:w="1459" w:type="dxa"/>
            <w:vAlign w:val="center"/>
          </w:tcPr>
          <w:p w:rsidR="00ED06A4" w:rsidRDefault="00ED06A4" w:rsidP="00F87D60">
            <w:pPr>
              <w:spacing w:after="0" w:line="240" w:lineRule="auto"/>
              <w:jc w:val="center"/>
              <w:rPr>
                <w:rFonts w:eastAsia="Times New Roman"/>
                <w:szCs w:val="24"/>
              </w:rPr>
            </w:pPr>
            <w:r>
              <w:rPr>
                <w:rFonts w:eastAsia="Times New Roman"/>
                <w:szCs w:val="24"/>
              </w:rPr>
              <w:t>Debbie</w:t>
            </w:r>
          </w:p>
        </w:tc>
        <w:tc>
          <w:tcPr>
            <w:tcW w:w="2635" w:type="dxa"/>
            <w:vAlign w:val="center"/>
          </w:tcPr>
          <w:p w:rsidR="00ED06A4" w:rsidRDefault="00ED06A4" w:rsidP="00F87D60">
            <w:pPr>
              <w:spacing w:after="0" w:line="240" w:lineRule="auto"/>
              <w:jc w:val="center"/>
              <w:rPr>
                <w:rFonts w:eastAsia="Times New Roman"/>
                <w:szCs w:val="24"/>
              </w:rPr>
            </w:pPr>
            <w:r>
              <w:rPr>
                <w:rFonts w:eastAsia="Times New Roman"/>
                <w:szCs w:val="24"/>
              </w:rPr>
              <w:t>Individualized instruction, teacher led small groups, teacher led large groups</w:t>
            </w:r>
          </w:p>
        </w:tc>
        <w:tc>
          <w:tcPr>
            <w:tcW w:w="3304" w:type="dxa"/>
            <w:vAlign w:val="center"/>
          </w:tcPr>
          <w:p w:rsidR="00ED06A4" w:rsidRDefault="00ED06A4" w:rsidP="00F87D60">
            <w:pPr>
              <w:spacing w:after="0" w:line="240" w:lineRule="auto"/>
              <w:jc w:val="center"/>
              <w:rPr>
                <w:rFonts w:eastAsia="Times New Roman"/>
                <w:szCs w:val="24"/>
              </w:rPr>
            </w:pPr>
            <w:r>
              <w:rPr>
                <w:rFonts w:eastAsia="Times New Roman"/>
                <w:szCs w:val="24"/>
              </w:rPr>
              <w:t>Textbooks, workbooks, teacher made materials</w:t>
            </w:r>
          </w:p>
        </w:tc>
        <w:tc>
          <w:tcPr>
            <w:tcW w:w="1980" w:type="dxa"/>
            <w:vAlign w:val="center"/>
          </w:tcPr>
          <w:p w:rsidR="00ED06A4" w:rsidRDefault="00ED06A4" w:rsidP="00F87D60">
            <w:pPr>
              <w:spacing w:after="0" w:line="240" w:lineRule="auto"/>
              <w:jc w:val="center"/>
              <w:rPr>
                <w:rFonts w:eastAsia="Times New Roman"/>
                <w:szCs w:val="24"/>
              </w:rPr>
            </w:pPr>
            <w:r>
              <w:rPr>
                <w:rFonts w:eastAsia="Times New Roman"/>
                <w:szCs w:val="24"/>
              </w:rPr>
              <w:t>Teacher made materials</w:t>
            </w:r>
          </w:p>
        </w:tc>
      </w:tr>
      <w:tr w:rsidR="00ED06A4" w:rsidTr="00F87D60">
        <w:trPr>
          <w:trHeight w:val="743"/>
        </w:trPr>
        <w:tc>
          <w:tcPr>
            <w:tcW w:w="1459" w:type="dxa"/>
            <w:vAlign w:val="center"/>
          </w:tcPr>
          <w:p w:rsidR="00ED06A4" w:rsidRDefault="00ED06A4" w:rsidP="00F87D60">
            <w:pPr>
              <w:spacing w:after="0" w:line="240" w:lineRule="auto"/>
              <w:jc w:val="center"/>
              <w:rPr>
                <w:rFonts w:eastAsia="Times New Roman"/>
                <w:szCs w:val="24"/>
              </w:rPr>
            </w:pPr>
            <w:r>
              <w:rPr>
                <w:rFonts w:eastAsia="Times New Roman"/>
                <w:szCs w:val="24"/>
              </w:rPr>
              <w:t>Elaine</w:t>
            </w:r>
          </w:p>
        </w:tc>
        <w:tc>
          <w:tcPr>
            <w:tcW w:w="2635" w:type="dxa"/>
            <w:vAlign w:val="center"/>
          </w:tcPr>
          <w:p w:rsidR="00ED06A4" w:rsidRDefault="00ED06A4" w:rsidP="00F87D60">
            <w:pPr>
              <w:spacing w:after="0" w:line="240" w:lineRule="auto"/>
              <w:jc w:val="center"/>
              <w:rPr>
                <w:rFonts w:eastAsia="Times New Roman"/>
                <w:szCs w:val="24"/>
              </w:rPr>
            </w:pPr>
            <w:r>
              <w:rPr>
                <w:rFonts w:eastAsia="Times New Roman"/>
                <w:szCs w:val="24"/>
              </w:rPr>
              <w:t>Individualized instruction, teacher led small groups, teacher led large groups, peer led student work groups</w:t>
            </w:r>
          </w:p>
        </w:tc>
        <w:tc>
          <w:tcPr>
            <w:tcW w:w="3304" w:type="dxa"/>
            <w:vAlign w:val="center"/>
          </w:tcPr>
          <w:p w:rsidR="00ED06A4" w:rsidRDefault="00ED06A4" w:rsidP="00F87D60">
            <w:pPr>
              <w:spacing w:after="0" w:line="240" w:lineRule="auto"/>
              <w:jc w:val="center"/>
              <w:rPr>
                <w:rFonts w:eastAsia="Times New Roman"/>
                <w:szCs w:val="24"/>
              </w:rPr>
            </w:pPr>
            <w:r>
              <w:rPr>
                <w:rFonts w:eastAsia="Times New Roman"/>
                <w:szCs w:val="24"/>
              </w:rPr>
              <w:t>Textbooks, workbooks, teacher made materials</w:t>
            </w:r>
          </w:p>
        </w:tc>
        <w:tc>
          <w:tcPr>
            <w:tcW w:w="1980" w:type="dxa"/>
            <w:vAlign w:val="center"/>
          </w:tcPr>
          <w:p w:rsidR="00ED06A4" w:rsidRDefault="00ED06A4" w:rsidP="00F87D60">
            <w:pPr>
              <w:spacing w:after="0" w:line="240" w:lineRule="auto"/>
              <w:jc w:val="center"/>
              <w:rPr>
                <w:rFonts w:eastAsia="Times New Roman"/>
                <w:szCs w:val="24"/>
              </w:rPr>
            </w:pPr>
            <w:r>
              <w:rPr>
                <w:rFonts w:eastAsia="Times New Roman"/>
                <w:szCs w:val="24"/>
              </w:rPr>
              <w:t xml:space="preserve">Workbooks </w:t>
            </w:r>
          </w:p>
        </w:tc>
      </w:tr>
      <w:tr w:rsidR="00ED06A4" w:rsidTr="00F87D60">
        <w:trPr>
          <w:trHeight w:val="743"/>
        </w:trPr>
        <w:tc>
          <w:tcPr>
            <w:tcW w:w="1459" w:type="dxa"/>
            <w:vAlign w:val="center"/>
          </w:tcPr>
          <w:p w:rsidR="00ED06A4" w:rsidRDefault="00ED06A4" w:rsidP="00F87D60">
            <w:pPr>
              <w:spacing w:after="0" w:line="240" w:lineRule="auto"/>
              <w:jc w:val="center"/>
              <w:rPr>
                <w:rFonts w:eastAsia="Times New Roman"/>
                <w:szCs w:val="24"/>
              </w:rPr>
            </w:pPr>
            <w:r>
              <w:rPr>
                <w:rFonts w:eastAsia="Times New Roman"/>
                <w:szCs w:val="24"/>
              </w:rPr>
              <w:t>Flo</w:t>
            </w:r>
          </w:p>
        </w:tc>
        <w:tc>
          <w:tcPr>
            <w:tcW w:w="2635" w:type="dxa"/>
            <w:vAlign w:val="center"/>
          </w:tcPr>
          <w:p w:rsidR="00ED06A4" w:rsidRDefault="00ED06A4" w:rsidP="00F87D60">
            <w:pPr>
              <w:spacing w:after="0" w:line="240" w:lineRule="auto"/>
              <w:jc w:val="center"/>
              <w:rPr>
                <w:rFonts w:eastAsia="Times New Roman"/>
                <w:szCs w:val="24"/>
              </w:rPr>
            </w:pPr>
            <w:r>
              <w:rPr>
                <w:rFonts w:eastAsia="Times New Roman"/>
                <w:szCs w:val="24"/>
              </w:rPr>
              <w:t>Individualized instruction, teacher led small groups, peer led student work groups</w:t>
            </w:r>
          </w:p>
        </w:tc>
        <w:tc>
          <w:tcPr>
            <w:tcW w:w="3304" w:type="dxa"/>
            <w:vAlign w:val="center"/>
          </w:tcPr>
          <w:p w:rsidR="00ED06A4" w:rsidRDefault="00ED06A4" w:rsidP="00F87D60">
            <w:pPr>
              <w:spacing w:after="0" w:line="240" w:lineRule="auto"/>
              <w:jc w:val="center"/>
              <w:rPr>
                <w:rFonts w:eastAsia="Times New Roman"/>
                <w:szCs w:val="24"/>
              </w:rPr>
            </w:pPr>
            <w:r>
              <w:rPr>
                <w:rFonts w:eastAsia="Times New Roman"/>
                <w:szCs w:val="24"/>
              </w:rPr>
              <w:t>Computer assisted instruction, textbooks, workbooks, teacher made materials</w:t>
            </w:r>
          </w:p>
        </w:tc>
        <w:tc>
          <w:tcPr>
            <w:tcW w:w="1980" w:type="dxa"/>
            <w:vAlign w:val="center"/>
          </w:tcPr>
          <w:p w:rsidR="00ED06A4" w:rsidRDefault="00ED06A4" w:rsidP="00F87D60">
            <w:pPr>
              <w:spacing w:after="0" w:line="240" w:lineRule="auto"/>
              <w:jc w:val="center"/>
              <w:rPr>
                <w:rFonts w:eastAsia="Times New Roman"/>
                <w:szCs w:val="24"/>
              </w:rPr>
            </w:pPr>
            <w:r>
              <w:rPr>
                <w:rFonts w:eastAsia="Times New Roman"/>
                <w:szCs w:val="24"/>
              </w:rPr>
              <w:t>Computer assisted instruction</w:t>
            </w:r>
          </w:p>
        </w:tc>
      </w:tr>
      <w:tr w:rsidR="00ED06A4" w:rsidTr="00F87D60">
        <w:trPr>
          <w:trHeight w:val="233"/>
        </w:trPr>
        <w:tc>
          <w:tcPr>
            <w:tcW w:w="1459" w:type="dxa"/>
            <w:vAlign w:val="center"/>
          </w:tcPr>
          <w:p w:rsidR="00ED06A4" w:rsidRDefault="00ED06A4" w:rsidP="00F87D60">
            <w:pPr>
              <w:spacing w:after="0" w:line="240" w:lineRule="auto"/>
              <w:jc w:val="center"/>
              <w:rPr>
                <w:rFonts w:eastAsia="Times New Roman"/>
                <w:szCs w:val="24"/>
              </w:rPr>
            </w:pPr>
            <w:proofErr w:type="spellStart"/>
            <w:r>
              <w:rPr>
                <w:rFonts w:eastAsia="Times New Roman"/>
                <w:szCs w:val="24"/>
              </w:rPr>
              <w:t>Gomer</w:t>
            </w:r>
            <w:proofErr w:type="spellEnd"/>
          </w:p>
        </w:tc>
        <w:tc>
          <w:tcPr>
            <w:tcW w:w="2635" w:type="dxa"/>
            <w:vAlign w:val="center"/>
          </w:tcPr>
          <w:p w:rsidR="00ED06A4" w:rsidRDefault="00ED06A4" w:rsidP="00F87D60">
            <w:pPr>
              <w:spacing w:after="0" w:line="240" w:lineRule="auto"/>
              <w:jc w:val="center"/>
              <w:rPr>
                <w:rFonts w:eastAsia="Times New Roman"/>
                <w:szCs w:val="24"/>
              </w:rPr>
            </w:pPr>
            <w:r>
              <w:rPr>
                <w:rFonts w:eastAsia="Times New Roman"/>
                <w:szCs w:val="24"/>
              </w:rPr>
              <w:t>Individualized instruction, teacher led small groups, teacher led large groups, peer led student work groups</w:t>
            </w:r>
          </w:p>
        </w:tc>
        <w:tc>
          <w:tcPr>
            <w:tcW w:w="3304" w:type="dxa"/>
            <w:vAlign w:val="center"/>
          </w:tcPr>
          <w:p w:rsidR="00ED06A4" w:rsidRDefault="00ED06A4" w:rsidP="00F87D60">
            <w:pPr>
              <w:spacing w:after="0" w:line="240" w:lineRule="auto"/>
              <w:jc w:val="center"/>
              <w:rPr>
                <w:rFonts w:eastAsia="Times New Roman"/>
                <w:szCs w:val="24"/>
              </w:rPr>
            </w:pPr>
            <w:r>
              <w:rPr>
                <w:rFonts w:eastAsia="Times New Roman"/>
                <w:szCs w:val="24"/>
              </w:rPr>
              <w:t>Computer assisted instruction, textbooks, workbooks, teacher made materials</w:t>
            </w:r>
          </w:p>
        </w:tc>
        <w:tc>
          <w:tcPr>
            <w:tcW w:w="1980" w:type="dxa"/>
            <w:vAlign w:val="center"/>
          </w:tcPr>
          <w:p w:rsidR="00ED06A4" w:rsidRDefault="00ED06A4" w:rsidP="00F87D60">
            <w:pPr>
              <w:spacing w:after="0" w:line="240" w:lineRule="auto"/>
              <w:jc w:val="center"/>
              <w:rPr>
                <w:rFonts w:eastAsia="Times New Roman"/>
                <w:szCs w:val="24"/>
              </w:rPr>
            </w:pPr>
            <w:r>
              <w:rPr>
                <w:rFonts w:eastAsia="Times New Roman"/>
                <w:szCs w:val="24"/>
              </w:rPr>
              <w:t>Teacher made materials</w:t>
            </w:r>
          </w:p>
        </w:tc>
      </w:tr>
    </w:tbl>
    <w:p w:rsidR="00ED06A4" w:rsidRDefault="00ED06A4" w:rsidP="00ED06A4">
      <w:pPr>
        <w:spacing w:after="0" w:line="240" w:lineRule="auto"/>
        <w:rPr>
          <w:szCs w:val="24"/>
        </w:rPr>
      </w:pPr>
    </w:p>
    <w:p w:rsidR="00ED06A4" w:rsidRDefault="00ED06A4" w:rsidP="00ED06A4">
      <w:pPr>
        <w:spacing w:after="0" w:line="240" w:lineRule="auto"/>
        <w:rPr>
          <w:szCs w:val="24"/>
        </w:rPr>
      </w:pPr>
      <w:r>
        <w:rPr>
          <w:szCs w:val="24"/>
        </w:rPr>
        <w:t>A – Teaching Modalities Used</w:t>
      </w:r>
    </w:p>
    <w:p w:rsidR="00ED06A4" w:rsidRDefault="00ED06A4" w:rsidP="00ED06A4">
      <w:pPr>
        <w:spacing w:after="0" w:line="240" w:lineRule="auto"/>
        <w:rPr>
          <w:szCs w:val="24"/>
        </w:rPr>
      </w:pPr>
      <w:r>
        <w:rPr>
          <w:szCs w:val="24"/>
        </w:rPr>
        <w:t>B – Teaching Materials Used</w:t>
      </w:r>
    </w:p>
    <w:p w:rsidR="00ED06A4" w:rsidRDefault="00ED06A4" w:rsidP="00ED06A4">
      <w:pPr>
        <w:spacing w:after="0" w:line="240" w:lineRule="auto"/>
        <w:rPr>
          <w:szCs w:val="24"/>
        </w:rPr>
      </w:pPr>
      <w:r>
        <w:rPr>
          <w:szCs w:val="24"/>
        </w:rPr>
        <w:t>C – Teaching Material Most Frequently Used</w:t>
      </w:r>
    </w:p>
    <w:p w:rsidR="00ED06A4" w:rsidRDefault="00ED06A4" w:rsidP="00ED06A4">
      <w:pPr>
        <w:pStyle w:val="Heading1"/>
      </w:pPr>
      <w:r>
        <w:br w:type="page"/>
      </w:r>
      <w:bookmarkStart w:id="25" w:name="_Toc309015925"/>
      <w:r>
        <w:lastRenderedPageBreak/>
        <w:t>Appendix 2: Figures</w:t>
      </w:r>
      <w:bookmarkEnd w:id="25"/>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keepNext/>
        <w:spacing w:after="0"/>
        <w:ind w:left="720" w:hanging="720"/>
        <w:jc w:val="center"/>
      </w:pPr>
      <w:r>
        <w:rPr>
          <w:noProof/>
        </w:rPr>
        <w:drawing>
          <wp:inline distT="0" distB="0" distL="0" distR="0">
            <wp:extent cx="5943600" cy="2489200"/>
            <wp:effectExtent l="0" t="0" r="0" b="6350"/>
            <wp:docPr id="5" name="Picture 5" descr="scan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n0002"/>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489200"/>
                    </a:xfrm>
                    <a:prstGeom prst="rect">
                      <a:avLst/>
                    </a:prstGeom>
                    <a:noFill/>
                    <a:ln>
                      <a:noFill/>
                    </a:ln>
                  </pic:spPr>
                </pic:pic>
              </a:graphicData>
            </a:graphic>
          </wp:inline>
        </w:drawing>
      </w:r>
    </w:p>
    <w:p w:rsidR="00ED06A4" w:rsidRDefault="00ED06A4" w:rsidP="00ED06A4">
      <w:pPr>
        <w:pStyle w:val="Caption"/>
      </w:pPr>
      <w:bookmarkStart w:id="26" w:name="_Toc306024292"/>
      <w:proofErr w:type="gramStart"/>
      <w:r>
        <w:t>Figure 1.</w:t>
      </w:r>
      <w:proofErr w:type="gramEnd"/>
      <w:r>
        <w:t xml:space="preserve"> The Spiral of </w:t>
      </w:r>
      <w:proofErr w:type="spellStart"/>
      <w:r>
        <w:t>Generalizability</w:t>
      </w:r>
      <w:bookmarkEnd w:id="26"/>
      <w:proofErr w:type="spellEnd"/>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r>
        <w:br w:type="page"/>
      </w:r>
      <w:r>
        <w:lastRenderedPageBreak/>
        <w:t xml:space="preserve"> </w:t>
      </w: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pPr>
      <w:r>
        <w:t>From the part to the whole</w:t>
      </w:r>
    </w:p>
    <w:p w:rsidR="00ED06A4" w:rsidRDefault="00ED06A4" w:rsidP="00ED06A4">
      <w:pPr>
        <w:keepNext/>
        <w:spacing w:after="0"/>
        <w:ind w:left="720" w:hanging="720"/>
        <w:jc w:val="right"/>
      </w:pPr>
      <w:r>
        <w:rPr>
          <w:noProof/>
        </w:rPr>
        <w:drawing>
          <wp:inline distT="0" distB="0" distL="0" distR="0">
            <wp:extent cx="2146300" cy="2146300"/>
            <wp:effectExtent l="0" t="0" r="6350" b="6350"/>
            <wp:docPr id="4" name="Picture 4" descr="d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k"/>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46300" cy="2146300"/>
                    </a:xfrm>
                    <a:prstGeom prst="rect">
                      <a:avLst/>
                    </a:prstGeom>
                    <a:noFill/>
                    <a:ln>
                      <a:noFill/>
                    </a:ln>
                  </pic:spPr>
                </pic:pic>
              </a:graphicData>
            </a:graphic>
          </wp:inline>
        </w:drawing>
      </w:r>
      <w:r>
        <w:t xml:space="preserve"> From the whole to the part</w:t>
      </w:r>
    </w:p>
    <w:p w:rsidR="00ED06A4" w:rsidRDefault="00ED06A4" w:rsidP="00ED06A4">
      <w:pPr>
        <w:pStyle w:val="Caption"/>
      </w:pPr>
    </w:p>
    <w:p w:rsidR="00ED06A4" w:rsidRDefault="00ED06A4" w:rsidP="00ED06A4">
      <w:pPr>
        <w:pStyle w:val="Caption"/>
      </w:pPr>
      <w:proofErr w:type="gramStart"/>
      <w:r>
        <w:t>Figure 2.</w:t>
      </w:r>
      <w:proofErr w:type="gramEnd"/>
      <w:r>
        <w:t xml:space="preserve"> The </w:t>
      </w:r>
      <w:proofErr w:type="spellStart"/>
      <w:r>
        <w:t>Hypnodisk</w:t>
      </w:r>
      <w:proofErr w:type="spellEnd"/>
      <w:r>
        <w:t xml:space="preserve"> of Hermeneutics</w:t>
      </w:r>
    </w:p>
    <w:p w:rsidR="00ED06A4" w:rsidRDefault="00ED06A4" w:rsidP="00ED06A4">
      <w:pPr>
        <w:spacing w:after="0"/>
        <w:ind w:left="720" w:hanging="720"/>
        <w:jc w:val="right"/>
      </w:pPr>
      <w:r>
        <w:t xml:space="preserve"> </w:t>
      </w:r>
    </w:p>
    <w:p w:rsidR="00ED06A4" w:rsidRDefault="00ED06A4" w:rsidP="00ED06A4">
      <w:pPr>
        <w:keepNext/>
        <w:spacing w:after="0"/>
        <w:ind w:left="720" w:hanging="720"/>
        <w:jc w:val="center"/>
      </w:pPr>
    </w:p>
    <w:p w:rsidR="00ED06A4" w:rsidRDefault="00ED06A4" w:rsidP="00ED06A4">
      <w:pPr>
        <w:spacing w:after="0"/>
        <w:ind w:left="720" w:hanging="720"/>
        <w:jc w:val="right"/>
      </w:pPr>
      <w:r>
        <w:tab/>
      </w:r>
      <w:r>
        <w:tab/>
      </w:r>
      <w:r>
        <w:tab/>
      </w:r>
      <w:r>
        <w:tab/>
      </w:r>
      <w:r>
        <w:tab/>
      </w:r>
    </w:p>
    <w:p w:rsidR="00ED06A4" w:rsidRDefault="00ED06A4" w:rsidP="00ED06A4">
      <w:pPr>
        <w:spacing w:after="0"/>
        <w:ind w:left="720" w:hanging="720"/>
        <w:jc w:val="right"/>
      </w:pPr>
    </w:p>
    <w:p w:rsidR="00ED06A4" w:rsidRDefault="00ED06A4" w:rsidP="00ED06A4">
      <w:pPr>
        <w:pStyle w:val="Caption"/>
      </w:pPr>
      <w:r>
        <w:t xml:space="preserve"> </w:t>
      </w:r>
    </w:p>
    <w:p w:rsidR="00ED06A4" w:rsidRDefault="00ED06A4" w:rsidP="00ED06A4">
      <w:pPr>
        <w:spacing w:after="0"/>
        <w:ind w:left="720" w:hanging="720"/>
      </w:pPr>
    </w:p>
    <w:p w:rsidR="00ED06A4" w:rsidRDefault="00ED06A4" w:rsidP="00ED06A4">
      <w:pPr>
        <w:spacing w:after="0"/>
        <w:ind w:left="720" w:hanging="720"/>
        <w:jc w:val="right"/>
      </w:pPr>
    </w:p>
    <w:p w:rsidR="00ED06A4" w:rsidRDefault="00ED06A4" w:rsidP="00ED06A4">
      <w:pPr>
        <w:spacing w:after="0"/>
        <w:ind w:left="720" w:hanging="720"/>
        <w:jc w:val="right"/>
      </w:pPr>
    </w:p>
    <w:p w:rsidR="00ED06A4" w:rsidRDefault="00ED06A4" w:rsidP="00ED06A4">
      <w:pPr>
        <w:spacing w:after="0"/>
        <w:ind w:left="720" w:hanging="720"/>
        <w:jc w:val="right"/>
      </w:pPr>
    </w:p>
    <w:p w:rsidR="00ED06A4" w:rsidRDefault="00ED06A4" w:rsidP="00ED06A4">
      <w:pPr>
        <w:spacing w:after="0"/>
        <w:ind w:left="720" w:hanging="720"/>
        <w:jc w:val="right"/>
      </w:pPr>
    </w:p>
    <w:p w:rsidR="00ED06A4" w:rsidRDefault="00ED06A4" w:rsidP="00ED06A4">
      <w:pPr>
        <w:spacing w:after="0"/>
        <w:ind w:left="720" w:hanging="720"/>
        <w:jc w:val="right"/>
      </w:pPr>
    </w:p>
    <w:p w:rsidR="00ED06A4" w:rsidRDefault="00ED06A4" w:rsidP="00ED06A4">
      <w:pPr>
        <w:spacing w:after="0"/>
        <w:ind w:left="720" w:hanging="720"/>
        <w:jc w:val="right"/>
      </w:pPr>
    </w:p>
    <w:p w:rsidR="00ED06A4" w:rsidRDefault="00ED06A4" w:rsidP="00ED06A4">
      <w:pPr>
        <w:spacing w:after="0"/>
        <w:ind w:left="720" w:hanging="720"/>
        <w:jc w:val="center"/>
      </w:pPr>
      <w:r>
        <w:br w:type="page"/>
      </w: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keepNext/>
        <w:spacing w:after="0"/>
        <w:ind w:left="720" w:hanging="720"/>
        <w:jc w:val="center"/>
      </w:pPr>
      <w:r>
        <w:rPr>
          <w:noProof/>
        </w:rPr>
        <w:drawing>
          <wp:inline distT="0" distB="0" distL="0" distR="0">
            <wp:extent cx="1917700" cy="2146300"/>
            <wp:effectExtent l="0" t="0" r="6350" b="6350"/>
            <wp:docPr id="3" name="Picture 3" descr="gestal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stalt1"/>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7700" cy="2146300"/>
                    </a:xfrm>
                    <a:prstGeom prst="rect">
                      <a:avLst/>
                    </a:prstGeom>
                    <a:noFill/>
                    <a:ln>
                      <a:noFill/>
                    </a:ln>
                  </pic:spPr>
                </pic:pic>
              </a:graphicData>
            </a:graphic>
          </wp:inline>
        </w:drawing>
      </w:r>
    </w:p>
    <w:p w:rsidR="00ED06A4" w:rsidRDefault="00ED06A4" w:rsidP="00ED06A4">
      <w:pPr>
        <w:pStyle w:val="Caption"/>
      </w:pPr>
      <w:bookmarkStart w:id="27" w:name="_Toc306024293"/>
      <w:proofErr w:type="gramStart"/>
      <w:r>
        <w:t>Figure 3.</w:t>
      </w:r>
      <w:proofErr w:type="gramEnd"/>
      <w:r>
        <w:t xml:space="preserve"> Rubin Vase</w:t>
      </w:r>
      <w:bookmarkEnd w:id="27"/>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spacing w:after="0"/>
        <w:ind w:left="720" w:hanging="720"/>
        <w:jc w:val="cente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keepNext/>
        <w:spacing w:after="0"/>
        <w:ind w:left="720" w:hanging="720"/>
        <w:jc w:val="center"/>
      </w:pPr>
      <w:r>
        <w:rPr>
          <w:iCs/>
          <w:noProof/>
        </w:rPr>
        <w:lastRenderedPageBreak/>
        <w:drawing>
          <wp:inline distT="0" distB="0" distL="0" distR="0">
            <wp:extent cx="2286000" cy="2959100"/>
            <wp:effectExtent l="0" t="0" r="0" b="0"/>
            <wp:docPr id="2" name="Picture 2" descr="condwiram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dwiramurs"/>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6000" cy="2959100"/>
                    </a:xfrm>
                    <a:prstGeom prst="rect">
                      <a:avLst/>
                    </a:prstGeom>
                    <a:noFill/>
                    <a:ln>
                      <a:noFill/>
                    </a:ln>
                  </pic:spPr>
                </pic:pic>
              </a:graphicData>
            </a:graphic>
          </wp:inline>
        </w:drawing>
      </w:r>
    </w:p>
    <w:p w:rsidR="00ED06A4" w:rsidRDefault="00ED06A4" w:rsidP="00ED06A4">
      <w:pPr>
        <w:pStyle w:val="Caption"/>
        <w:rPr>
          <w:iCs/>
        </w:rPr>
      </w:pPr>
      <w:bookmarkStart w:id="28" w:name="_Toc306024294"/>
      <w:proofErr w:type="gramStart"/>
      <w:r>
        <w:t>Figure 4.</w:t>
      </w:r>
      <w:proofErr w:type="gramEnd"/>
      <w:r>
        <w:t xml:space="preserve"> </w:t>
      </w:r>
      <w:proofErr w:type="spellStart"/>
      <w:r>
        <w:t>Condwiramurs</w:t>
      </w:r>
      <w:bookmarkEnd w:id="28"/>
      <w:proofErr w:type="spellEnd"/>
    </w:p>
    <w:p w:rsidR="00ED06A4" w:rsidRDefault="00ED06A4" w:rsidP="00ED06A4">
      <w:pPr>
        <w:pStyle w:val="BodyText"/>
        <w:spacing w:after="0"/>
        <w:ind w:left="720" w:hanging="720"/>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keepNext/>
        <w:spacing w:after="0"/>
        <w:ind w:left="720" w:hanging="720"/>
        <w:jc w:val="center"/>
      </w:pPr>
      <w:r w:rsidRPr="0086762B">
        <w:rPr>
          <w:iCs/>
        </w:rPr>
        <w:object w:dxaOrig="7516" w:dyaOrig="87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6pt;height:436pt" o:ole="">
            <v:imagedata r:id="rId36" o:title=""/>
          </v:shape>
          <o:OLEObject Type="Embed" ProgID="Word.Picture.8" ShapeID="_x0000_i1025" DrawAspect="Content" ObjectID="_1382775137" r:id="rId37"/>
        </w:object>
      </w:r>
    </w:p>
    <w:p w:rsidR="00ED06A4" w:rsidRDefault="00ED06A4" w:rsidP="00ED06A4">
      <w:pPr>
        <w:pStyle w:val="Caption"/>
        <w:rPr>
          <w:iCs/>
        </w:rPr>
      </w:pPr>
      <w:bookmarkStart w:id="29" w:name="_Toc306024295"/>
      <w:proofErr w:type="gramStart"/>
      <w:r>
        <w:t>Figure 5.</w:t>
      </w:r>
      <w:proofErr w:type="gramEnd"/>
      <w:r>
        <w:t xml:space="preserve"> The Phenomenological Method</w:t>
      </w:r>
      <w:bookmarkEnd w:id="29"/>
    </w:p>
    <w:p w:rsidR="00ED06A4" w:rsidRPr="00591AF1" w:rsidRDefault="00ED06A4" w:rsidP="00ED06A4">
      <w:pPr>
        <w:pStyle w:val="BodyText"/>
        <w:spacing w:after="0"/>
        <w:ind w:left="720" w:hanging="720"/>
        <w:rPr>
          <w:i/>
        </w:rPr>
      </w:pPr>
      <w:r w:rsidRPr="00591AF1">
        <w:t xml:space="preserve">Source: Thomas, S. P., &amp; </w:t>
      </w:r>
      <w:proofErr w:type="spellStart"/>
      <w:r w:rsidRPr="00591AF1">
        <w:t>Pollio</w:t>
      </w:r>
      <w:proofErr w:type="spellEnd"/>
      <w:r w:rsidRPr="00591AF1">
        <w:t xml:space="preserve">, H. R. (2002). </w:t>
      </w:r>
      <w:r w:rsidRPr="00591AF1">
        <w:rPr>
          <w:i/>
        </w:rPr>
        <w:t xml:space="preserve">Listening to patients: A phenomenological </w:t>
      </w:r>
    </w:p>
    <w:p w:rsidR="00ED06A4" w:rsidRPr="00591AF1" w:rsidRDefault="00ED06A4" w:rsidP="00ED06A4">
      <w:pPr>
        <w:pStyle w:val="BodyText"/>
        <w:spacing w:after="0"/>
        <w:ind w:left="720" w:hanging="720"/>
        <w:rPr>
          <w:iCs/>
        </w:rPr>
      </w:pPr>
      <w:proofErr w:type="gramStart"/>
      <w:r w:rsidRPr="00591AF1">
        <w:rPr>
          <w:i/>
        </w:rPr>
        <w:t>approach</w:t>
      </w:r>
      <w:proofErr w:type="gramEnd"/>
      <w:r w:rsidRPr="00591AF1">
        <w:rPr>
          <w:i/>
        </w:rPr>
        <w:t xml:space="preserve"> to nursing research and practice.</w:t>
      </w:r>
      <w:r w:rsidRPr="00591AF1">
        <w:t xml:space="preserve"> New York: Springer.</w:t>
      </w:r>
    </w:p>
    <w:p w:rsidR="00ED06A4" w:rsidRDefault="00ED06A4" w:rsidP="00ED06A4">
      <w:pPr>
        <w:pStyle w:val="BodyText"/>
        <w:spacing w:after="0"/>
        <w:ind w:left="720" w:hanging="720"/>
        <w:jc w:val="center"/>
        <w:rPr>
          <w:iCs/>
        </w:rPr>
      </w:pPr>
    </w:p>
    <w:p w:rsidR="00ED06A4" w:rsidRDefault="00ED06A4" w:rsidP="00ED06A4">
      <w:pPr>
        <w:pStyle w:val="Caption"/>
      </w:pPr>
      <w:r>
        <w:rPr>
          <w:iCs/>
        </w:rPr>
        <w:br w:type="page"/>
      </w:r>
      <w:r>
        <w:rPr>
          <w:noProof/>
        </w:rPr>
        <w:lastRenderedPageBreak/>
        <w:drawing>
          <wp:inline distT="0" distB="0" distL="0" distR="0">
            <wp:extent cx="5930900" cy="5803900"/>
            <wp:effectExtent l="0" t="0" r="0" b="6350"/>
            <wp:docPr id="1" name="Picture 1" descr="scan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an0001"/>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0900" cy="5803900"/>
                    </a:xfrm>
                    <a:prstGeom prst="rect">
                      <a:avLst/>
                    </a:prstGeom>
                    <a:noFill/>
                    <a:ln>
                      <a:noFill/>
                    </a:ln>
                  </pic:spPr>
                </pic:pic>
              </a:graphicData>
            </a:graphic>
          </wp:inline>
        </w:drawing>
      </w:r>
    </w:p>
    <w:p w:rsidR="00ED06A4" w:rsidRDefault="00ED06A4" w:rsidP="00ED06A4">
      <w:pPr>
        <w:pStyle w:val="Caption"/>
      </w:pPr>
      <w:proofErr w:type="gramStart"/>
      <w:r>
        <w:t>Figure 6.</w:t>
      </w:r>
      <w:proofErr w:type="gramEnd"/>
      <w:r>
        <w:t xml:space="preserve"> Thematic Structure</w:t>
      </w: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Heading1"/>
      </w:pPr>
      <w:r>
        <w:br w:type="page"/>
      </w:r>
      <w:bookmarkStart w:id="30" w:name="_Toc309015926"/>
      <w:r>
        <w:lastRenderedPageBreak/>
        <w:t>Appendix 3</w:t>
      </w:r>
      <w:bookmarkEnd w:id="30"/>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pStyle w:val="BodyText"/>
        <w:spacing w:after="0"/>
        <w:ind w:left="720" w:hanging="720"/>
        <w:jc w:val="center"/>
        <w:rPr>
          <w:iCs/>
        </w:rPr>
      </w:pPr>
    </w:p>
    <w:p w:rsidR="00ED06A4" w:rsidRDefault="00ED06A4" w:rsidP="00ED06A4">
      <w:pPr>
        <w:spacing w:after="0"/>
        <w:jc w:val="center"/>
        <w:rPr>
          <w:rStyle w:val="Strong"/>
          <w:rFonts w:ascii="Arial" w:hAnsi="Arial"/>
          <w:szCs w:val="24"/>
        </w:rPr>
      </w:pPr>
    </w:p>
    <w:p w:rsidR="00ED06A4" w:rsidRDefault="00ED06A4" w:rsidP="00ED06A4">
      <w:pPr>
        <w:spacing w:after="0"/>
        <w:jc w:val="center"/>
        <w:rPr>
          <w:rStyle w:val="Strong"/>
          <w:rFonts w:ascii="Arial" w:hAnsi="Arial"/>
          <w:szCs w:val="24"/>
        </w:rPr>
      </w:pPr>
      <w:r>
        <w:rPr>
          <w:rStyle w:val="Strong"/>
          <w:rFonts w:ascii="Arial" w:hAnsi="Arial"/>
          <w:szCs w:val="24"/>
        </w:rPr>
        <w:lastRenderedPageBreak/>
        <w:t>The Experience of GED Teachers Working with Coerced Students in Community Corrections Programs</w:t>
      </w:r>
    </w:p>
    <w:p w:rsidR="00ED06A4" w:rsidRDefault="00ED06A4" w:rsidP="00ED06A4">
      <w:pPr>
        <w:spacing w:after="0"/>
        <w:jc w:val="center"/>
        <w:rPr>
          <w:rFonts w:ascii="Arial" w:hAnsi="Arial" w:cs="Arial"/>
        </w:rPr>
      </w:pPr>
      <w:r>
        <w:rPr>
          <w:rFonts w:ascii="Arial" w:hAnsi="Arial" w:cs="Arial"/>
        </w:rPr>
        <w:t>Demographic Form</w:t>
      </w:r>
    </w:p>
    <w:p w:rsidR="00ED06A4" w:rsidRDefault="00ED06A4" w:rsidP="00ED06A4">
      <w:pPr>
        <w:spacing w:after="0"/>
        <w:rPr>
          <w:rFonts w:ascii="Arial" w:hAnsi="Arial" w:cs="Arial"/>
        </w:rPr>
      </w:pPr>
      <w:r>
        <w:rPr>
          <w:rFonts w:ascii="Arial" w:hAnsi="Arial" w:cs="Arial"/>
        </w:rPr>
        <w:t>1. What do you teach (check all that apply)? _____GED _____ABE _____ESL</w:t>
      </w:r>
    </w:p>
    <w:p w:rsidR="00ED06A4" w:rsidRDefault="00ED06A4" w:rsidP="00ED06A4">
      <w:pPr>
        <w:spacing w:after="0"/>
        <w:rPr>
          <w:rFonts w:ascii="Arial" w:hAnsi="Arial" w:cs="Arial"/>
        </w:rPr>
      </w:pPr>
      <w:r>
        <w:rPr>
          <w:rFonts w:ascii="Arial" w:hAnsi="Arial" w:cs="Arial"/>
        </w:rPr>
        <w:t xml:space="preserve">2. How many years of experience do you have teaching in this (these) area(s)? </w:t>
      </w:r>
      <w:r>
        <w:rPr>
          <w:rFonts w:ascii="Arial" w:hAnsi="Arial" w:cs="Arial"/>
        </w:rPr>
        <w:br/>
        <w:t>_____GED</w:t>
      </w:r>
      <w:r>
        <w:rPr>
          <w:rFonts w:ascii="Arial" w:hAnsi="Arial" w:cs="Arial"/>
        </w:rPr>
        <w:br/>
        <w:t>_____ABE</w:t>
      </w:r>
      <w:r>
        <w:rPr>
          <w:rFonts w:ascii="Arial" w:hAnsi="Arial" w:cs="Arial"/>
        </w:rPr>
        <w:br/>
        <w:t>_____ESL</w:t>
      </w:r>
    </w:p>
    <w:p w:rsidR="00ED06A4" w:rsidRDefault="00ED06A4" w:rsidP="00ED06A4">
      <w:pPr>
        <w:spacing w:after="0"/>
        <w:rPr>
          <w:rFonts w:ascii="Arial" w:hAnsi="Arial" w:cs="Arial"/>
        </w:rPr>
      </w:pPr>
      <w:r>
        <w:rPr>
          <w:rFonts w:ascii="Arial" w:hAnsi="Arial" w:cs="Arial"/>
        </w:rPr>
        <w:t>3. How many students are in a typical class? _____</w:t>
      </w:r>
    </w:p>
    <w:p w:rsidR="00ED06A4" w:rsidRDefault="00ED06A4" w:rsidP="00ED06A4">
      <w:pPr>
        <w:spacing w:after="0"/>
        <w:rPr>
          <w:rFonts w:ascii="Arial" w:hAnsi="Arial" w:cs="Arial"/>
        </w:rPr>
      </w:pPr>
      <w:r>
        <w:rPr>
          <w:rFonts w:ascii="Arial" w:hAnsi="Arial" w:cs="Arial"/>
        </w:rPr>
        <w:t xml:space="preserve">4. Do you have a teaching certificate/license? _____yes _____no </w:t>
      </w:r>
    </w:p>
    <w:p w:rsidR="00ED06A4" w:rsidRDefault="00ED06A4" w:rsidP="00ED06A4">
      <w:pPr>
        <w:spacing w:after="0"/>
        <w:rPr>
          <w:rFonts w:ascii="Arial" w:hAnsi="Arial" w:cs="Arial"/>
        </w:rPr>
      </w:pPr>
      <w:r>
        <w:rPr>
          <w:rFonts w:ascii="Arial" w:hAnsi="Arial" w:cs="Arial"/>
        </w:rPr>
        <w:t>5. If “yes,” in what areas are you certified or licensed to teach?</w:t>
      </w:r>
      <w:r>
        <w:rPr>
          <w:rFonts w:ascii="Arial" w:hAnsi="Arial" w:cs="Aria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D06A4" w:rsidRDefault="00ED06A4" w:rsidP="00ED06A4">
      <w:pPr>
        <w:spacing w:after="0"/>
        <w:rPr>
          <w:rFonts w:ascii="Arial" w:hAnsi="Arial" w:cs="Arial"/>
        </w:rPr>
      </w:pPr>
      <w:r>
        <w:rPr>
          <w:rFonts w:ascii="Arial" w:hAnsi="Arial" w:cs="Arial"/>
        </w:rPr>
        <w:t>6. What teaching modalities do you use (check all that apply)?</w:t>
      </w:r>
      <w:r>
        <w:rPr>
          <w:rFonts w:ascii="Arial" w:hAnsi="Arial" w:cs="Arial"/>
        </w:rPr>
        <w:br/>
        <w:t xml:space="preserve">_____individualized instruction </w:t>
      </w:r>
      <w:r>
        <w:rPr>
          <w:rFonts w:ascii="Arial" w:hAnsi="Arial" w:cs="Arial"/>
        </w:rPr>
        <w:br/>
        <w:t>_____teacher led small groups</w:t>
      </w:r>
      <w:r>
        <w:rPr>
          <w:rFonts w:ascii="Arial" w:hAnsi="Arial" w:cs="Arial"/>
        </w:rPr>
        <w:br/>
        <w:t>_____teacher led large groups (traditional classroom model</w:t>
      </w:r>
      <w:proofErr w:type="gramStart"/>
      <w:r>
        <w:rPr>
          <w:rFonts w:ascii="Arial" w:hAnsi="Arial" w:cs="Arial"/>
        </w:rPr>
        <w:t>)</w:t>
      </w:r>
      <w:proofErr w:type="gramEnd"/>
      <w:r>
        <w:rPr>
          <w:rFonts w:ascii="Arial" w:hAnsi="Arial" w:cs="Arial"/>
        </w:rPr>
        <w:br/>
        <w:t>_____peer led student work groups</w:t>
      </w:r>
      <w:r>
        <w:rPr>
          <w:rFonts w:ascii="Arial" w:hAnsi="Arial" w:cs="Arial"/>
        </w:rPr>
        <w:br/>
        <w:t>_____other (please explain)_______________________________________________</w:t>
      </w:r>
    </w:p>
    <w:p w:rsidR="00ED06A4" w:rsidRDefault="00ED06A4" w:rsidP="00ED06A4">
      <w:pPr>
        <w:spacing w:after="0"/>
        <w:rPr>
          <w:rFonts w:ascii="Arial" w:hAnsi="Arial" w:cs="Arial"/>
        </w:rPr>
      </w:pPr>
      <w:r>
        <w:rPr>
          <w:rFonts w:ascii="Arial" w:hAnsi="Arial" w:cs="Arial"/>
        </w:rPr>
        <w:t>7. What teaching materials do you use (check all that apply)?</w:t>
      </w:r>
      <w:r>
        <w:rPr>
          <w:rFonts w:ascii="Arial" w:hAnsi="Arial" w:cs="Arial"/>
        </w:rPr>
        <w:br/>
        <w:t xml:space="preserve">_____ </w:t>
      </w:r>
      <w:proofErr w:type="gramStart"/>
      <w:r>
        <w:rPr>
          <w:rFonts w:ascii="Arial" w:hAnsi="Arial" w:cs="Arial"/>
        </w:rPr>
        <w:t>computer</w:t>
      </w:r>
      <w:proofErr w:type="gramEnd"/>
      <w:r>
        <w:rPr>
          <w:rFonts w:ascii="Arial" w:hAnsi="Arial" w:cs="Arial"/>
        </w:rPr>
        <w:t xml:space="preserve"> assisted instruction</w:t>
      </w:r>
      <w:r>
        <w:rPr>
          <w:rFonts w:ascii="Arial" w:hAnsi="Arial" w:cs="Arial"/>
        </w:rPr>
        <w:br/>
        <w:t>_____ textbooks</w:t>
      </w:r>
      <w:r>
        <w:rPr>
          <w:rFonts w:ascii="Arial" w:hAnsi="Arial" w:cs="Arial"/>
        </w:rPr>
        <w:br/>
        <w:t>_____ workbooks</w:t>
      </w:r>
      <w:r>
        <w:rPr>
          <w:rFonts w:ascii="Arial" w:hAnsi="Arial" w:cs="Arial"/>
        </w:rPr>
        <w:br/>
        <w:t>_____ teacher made materials</w:t>
      </w:r>
    </w:p>
    <w:p w:rsidR="00ED06A4" w:rsidRDefault="00ED06A4" w:rsidP="00ED06A4">
      <w:pPr>
        <w:spacing w:after="0"/>
        <w:rPr>
          <w:rFonts w:ascii="Arial" w:hAnsi="Arial" w:cs="Arial"/>
        </w:rPr>
      </w:pPr>
      <w:r>
        <w:rPr>
          <w:rFonts w:ascii="Arial" w:hAnsi="Arial" w:cs="Arial"/>
        </w:rPr>
        <w:t>8. What is the one you use most frequently? ________</w:t>
      </w:r>
    </w:p>
    <w:p w:rsidR="00ED06A4" w:rsidRDefault="00ED06A4" w:rsidP="00ED06A4">
      <w:pPr>
        <w:spacing w:after="0"/>
        <w:rPr>
          <w:rFonts w:ascii="Arial" w:hAnsi="Arial" w:cs="Arial"/>
        </w:rPr>
      </w:pPr>
      <w:r>
        <w:rPr>
          <w:rFonts w:ascii="Arial" w:hAnsi="Arial" w:cs="Arial"/>
        </w:rPr>
        <w:t>9. What is the highest level of education you have attained?</w:t>
      </w:r>
      <w:r>
        <w:rPr>
          <w:rFonts w:ascii="Arial" w:hAnsi="Arial" w:cs="Arial"/>
        </w:rPr>
        <w:br/>
        <w:t xml:space="preserve">_____high school diploma </w:t>
      </w:r>
      <w:r>
        <w:rPr>
          <w:rFonts w:ascii="Arial" w:hAnsi="Arial" w:cs="Arial"/>
        </w:rPr>
        <w:br/>
        <w:t>_____GED diploma</w:t>
      </w:r>
      <w:r>
        <w:rPr>
          <w:rFonts w:ascii="Arial" w:hAnsi="Arial" w:cs="Arial"/>
        </w:rPr>
        <w:br/>
        <w:t xml:space="preserve">_____Bachelor’s Degree (major area of </w:t>
      </w:r>
      <w:proofErr w:type="gramStart"/>
      <w:r>
        <w:rPr>
          <w:rFonts w:ascii="Arial" w:hAnsi="Arial" w:cs="Arial"/>
        </w:rPr>
        <w:t>study:</w:t>
      </w:r>
      <w:proofErr w:type="gramEnd"/>
      <w:r>
        <w:rPr>
          <w:rFonts w:ascii="Arial" w:hAnsi="Arial" w:cs="Arial"/>
        </w:rPr>
        <w:t>________________________________)</w:t>
      </w:r>
      <w:r>
        <w:rPr>
          <w:rFonts w:ascii="Arial" w:hAnsi="Arial" w:cs="Arial"/>
        </w:rPr>
        <w:br/>
        <w:t>_____Master’s Degree (major area of study:__________________________________)</w:t>
      </w:r>
      <w:r>
        <w:rPr>
          <w:rFonts w:ascii="Arial" w:hAnsi="Arial" w:cs="Arial"/>
        </w:rPr>
        <w:br/>
        <w:t>_____Doctoral Degree (major area of study:__________________________________)</w:t>
      </w:r>
      <w:r>
        <w:rPr>
          <w:rFonts w:ascii="Arial" w:hAnsi="Arial" w:cs="Arial"/>
        </w:rPr>
        <w:br/>
        <w:t>_____other (please specify)_______________________________________________</w:t>
      </w:r>
    </w:p>
    <w:p w:rsidR="00ED06A4" w:rsidRDefault="00ED06A4" w:rsidP="00ED06A4">
      <w:pPr>
        <w:spacing w:after="0"/>
        <w:rPr>
          <w:rFonts w:ascii="Arial" w:hAnsi="Arial" w:cs="Arial"/>
        </w:rPr>
      </w:pPr>
      <w:r>
        <w:rPr>
          <w:rFonts w:ascii="Arial" w:hAnsi="Arial" w:cs="Arial"/>
        </w:rPr>
        <w:t xml:space="preserve">10. Prior to beginning teaching adult students, did you receive </w:t>
      </w:r>
      <w:r>
        <w:rPr>
          <w:rFonts w:ascii="Arial" w:hAnsi="Arial" w:cs="Arial"/>
          <w:b/>
        </w:rPr>
        <w:t>formal</w:t>
      </w:r>
      <w:r>
        <w:rPr>
          <w:rFonts w:ascii="Arial" w:hAnsi="Arial" w:cs="Arial"/>
        </w:rPr>
        <w:t xml:space="preserve"> training in adult education?</w:t>
      </w:r>
      <w:r>
        <w:rPr>
          <w:rFonts w:ascii="Arial" w:hAnsi="Arial" w:cs="Arial"/>
        </w:rPr>
        <w:br/>
        <w:t xml:space="preserve">_____yes </w:t>
      </w:r>
      <w:r>
        <w:rPr>
          <w:rFonts w:ascii="Arial" w:hAnsi="Arial" w:cs="Arial"/>
        </w:rPr>
        <w:br/>
        <w:t>_____no</w:t>
      </w:r>
    </w:p>
    <w:p w:rsidR="00ED06A4" w:rsidRDefault="00ED06A4" w:rsidP="00ED06A4">
      <w:pPr>
        <w:spacing w:after="0"/>
        <w:rPr>
          <w:rFonts w:ascii="Arial" w:hAnsi="Arial" w:cs="Arial"/>
        </w:rPr>
      </w:pPr>
      <w:r>
        <w:rPr>
          <w:rFonts w:ascii="Arial" w:hAnsi="Arial" w:cs="Arial"/>
        </w:rPr>
        <w:lastRenderedPageBreak/>
        <w:t xml:space="preserve">11. If “yes,” please explain what type of </w:t>
      </w:r>
      <w:r>
        <w:rPr>
          <w:rFonts w:ascii="Arial" w:hAnsi="Arial" w:cs="Arial"/>
          <w:b/>
        </w:rPr>
        <w:t>formal</w:t>
      </w:r>
      <w:r>
        <w:rPr>
          <w:rFonts w:ascii="Arial" w:hAnsi="Arial" w:cs="Arial"/>
        </w:rPr>
        <w:t xml:space="preserve"> training you received.</w:t>
      </w:r>
      <w:r>
        <w:rPr>
          <w:rFonts w:ascii="Arial" w:hAnsi="Arial" w:cs="Aria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D06A4" w:rsidRDefault="00ED06A4" w:rsidP="00ED06A4">
      <w:pPr>
        <w:spacing w:after="0"/>
        <w:rPr>
          <w:rFonts w:ascii="Arial" w:hAnsi="Arial" w:cs="Arial"/>
        </w:rPr>
      </w:pPr>
      <w:r>
        <w:rPr>
          <w:rFonts w:ascii="Arial" w:hAnsi="Arial" w:cs="Arial"/>
        </w:rPr>
        <w:t xml:space="preserve">12. Prior to beginning teaching students in community corrections programs, did you receive </w:t>
      </w:r>
      <w:r>
        <w:rPr>
          <w:rFonts w:ascii="Arial" w:hAnsi="Arial" w:cs="Arial"/>
          <w:b/>
        </w:rPr>
        <w:t>formal</w:t>
      </w:r>
      <w:r>
        <w:rPr>
          <w:rFonts w:ascii="Arial" w:hAnsi="Arial" w:cs="Arial"/>
        </w:rPr>
        <w:t xml:space="preserve"> training in working with students in community corrections?</w:t>
      </w:r>
      <w:r>
        <w:rPr>
          <w:rFonts w:ascii="Arial" w:hAnsi="Arial" w:cs="Arial"/>
        </w:rPr>
        <w:br/>
        <w:t xml:space="preserve">_____yes </w:t>
      </w:r>
      <w:r>
        <w:rPr>
          <w:rFonts w:ascii="Arial" w:hAnsi="Arial" w:cs="Arial"/>
        </w:rPr>
        <w:br/>
        <w:t>_____no</w:t>
      </w:r>
    </w:p>
    <w:p w:rsidR="00ED06A4" w:rsidRDefault="00ED06A4" w:rsidP="00ED06A4">
      <w:pPr>
        <w:spacing w:after="0"/>
        <w:rPr>
          <w:rFonts w:ascii="Arial" w:hAnsi="Arial" w:cs="Arial"/>
        </w:rPr>
      </w:pPr>
      <w:r>
        <w:rPr>
          <w:rFonts w:ascii="Arial" w:hAnsi="Arial" w:cs="Arial"/>
        </w:rPr>
        <w:t xml:space="preserve">13. If “yes,” please explain what type of </w:t>
      </w:r>
      <w:r>
        <w:rPr>
          <w:rFonts w:ascii="Arial" w:hAnsi="Arial" w:cs="Arial"/>
          <w:b/>
        </w:rPr>
        <w:t>formal</w:t>
      </w:r>
      <w:r>
        <w:rPr>
          <w:rFonts w:ascii="Arial" w:hAnsi="Arial" w:cs="Arial"/>
        </w:rPr>
        <w:t xml:space="preserve"> training you received.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D06A4" w:rsidRDefault="00ED06A4" w:rsidP="00ED06A4">
      <w:pPr>
        <w:spacing w:after="0"/>
        <w:rPr>
          <w:rFonts w:ascii="Arial" w:hAnsi="Arial" w:cs="Arial"/>
        </w:rPr>
      </w:pPr>
      <w:r>
        <w:rPr>
          <w:rFonts w:ascii="Arial" w:hAnsi="Arial" w:cs="Arial"/>
        </w:rPr>
        <w:t xml:space="preserve">14. Prior to beginning teaching students in community corrections programs, did you receive </w:t>
      </w:r>
      <w:r>
        <w:rPr>
          <w:rFonts w:ascii="Arial" w:hAnsi="Arial" w:cs="Arial"/>
          <w:b/>
        </w:rPr>
        <w:t>formal</w:t>
      </w:r>
      <w:r>
        <w:rPr>
          <w:rFonts w:ascii="Arial" w:hAnsi="Arial" w:cs="Arial"/>
        </w:rPr>
        <w:t xml:space="preserve"> training in working with students with disabilities?</w:t>
      </w:r>
      <w:r>
        <w:rPr>
          <w:rFonts w:ascii="Arial" w:hAnsi="Arial" w:cs="Arial"/>
        </w:rPr>
        <w:br/>
        <w:t xml:space="preserve">_____yes </w:t>
      </w:r>
      <w:r>
        <w:rPr>
          <w:rFonts w:ascii="Arial" w:hAnsi="Arial" w:cs="Arial"/>
        </w:rPr>
        <w:br/>
        <w:t>_____no</w:t>
      </w:r>
    </w:p>
    <w:p w:rsidR="00ED06A4" w:rsidRDefault="00ED06A4" w:rsidP="00ED06A4">
      <w:pPr>
        <w:spacing w:after="0"/>
        <w:rPr>
          <w:rFonts w:ascii="Arial" w:hAnsi="Arial" w:cs="Arial"/>
        </w:rPr>
      </w:pPr>
      <w:r>
        <w:rPr>
          <w:rFonts w:ascii="Arial" w:hAnsi="Arial" w:cs="Arial"/>
        </w:rPr>
        <w:t xml:space="preserve">15. If “yes,” please explain what type of </w:t>
      </w:r>
      <w:r>
        <w:rPr>
          <w:rFonts w:ascii="Arial" w:hAnsi="Arial" w:cs="Arial"/>
          <w:b/>
        </w:rPr>
        <w:t>formal</w:t>
      </w:r>
      <w:r>
        <w:rPr>
          <w:rFonts w:ascii="Arial" w:hAnsi="Arial" w:cs="Arial"/>
        </w:rPr>
        <w:t xml:space="preserve"> training you received.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D06A4" w:rsidRDefault="00ED06A4" w:rsidP="00ED06A4">
      <w:pPr>
        <w:spacing w:after="0"/>
        <w:rPr>
          <w:rFonts w:ascii="Arial" w:hAnsi="Arial" w:cs="Arial"/>
        </w:rPr>
      </w:pPr>
      <w:r>
        <w:rPr>
          <w:rFonts w:ascii="Arial" w:hAnsi="Arial" w:cs="Arial"/>
        </w:rPr>
        <w:t xml:space="preserve">16. Prior to beginning teaching adult students, did you receive any </w:t>
      </w:r>
      <w:r>
        <w:rPr>
          <w:rFonts w:ascii="Arial" w:hAnsi="Arial" w:cs="Arial"/>
          <w:b/>
        </w:rPr>
        <w:t>informal</w:t>
      </w:r>
      <w:r>
        <w:rPr>
          <w:rFonts w:ascii="Arial" w:hAnsi="Arial" w:cs="Arial"/>
        </w:rPr>
        <w:t xml:space="preserve"> training in adult education?</w:t>
      </w:r>
      <w:r>
        <w:rPr>
          <w:rFonts w:ascii="Arial" w:hAnsi="Arial" w:cs="Arial"/>
        </w:rPr>
        <w:br/>
        <w:t xml:space="preserve">_____yes </w:t>
      </w:r>
      <w:r>
        <w:rPr>
          <w:rFonts w:ascii="Arial" w:hAnsi="Arial" w:cs="Arial"/>
        </w:rPr>
        <w:br/>
        <w:t>_____no</w:t>
      </w:r>
    </w:p>
    <w:p w:rsidR="00ED06A4" w:rsidRDefault="00ED06A4" w:rsidP="00ED06A4">
      <w:pPr>
        <w:spacing w:after="0"/>
        <w:rPr>
          <w:rFonts w:ascii="Arial" w:hAnsi="Arial" w:cs="Arial"/>
        </w:rPr>
      </w:pPr>
      <w:r>
        <w:rPr>
          <w:rFonts w:ascii="Arial" w:hAnsi="Arial" w:cs="Arial"/>
        </w:rPr>
        <w:t>17. If “yes,” please explain what type of informal training you received.</w:t>
      </w:r>
      <w:r>
        <w:rPr>
          <w:rFonts w:ascii="Arial" w:hAnsi="Arial" w:cs="Aria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D06A4" w:rsidRDefault="00ED06A4" w:rsidP="00ED06A4">
      <w:pPr>
        <w:spacing w:after="0"/>
        <w:rPr>
          <w:rFonts w:ascii="Arial" w:hAnsi="Arial" w:cs="Arial"/>
        </w:rPr>
      </w:pPr>
      <w:r>
        <w:rPr>
          <w:rFonts w:ascii="Arial" w:hAnsi="Arial" w:cs="Arial"/>
        </w:rPr>
        <w:t xml:space="preserve">18. Prior to beginning teaching students in community corrections programs, did you receive </w:t>
      </w:r>
      <w:r>
        <w:rPr>
          <w:rFonts w:ascii="Arial" w:hAnsi="Arial" w:cs="Arial"/>
          <w:b/>
        </w:rPr>
        <w:t>informal</w:t>
      </w:r>
      <w:r>
        <w:rPr>
          <w:rFonts w:ascii="Arial" w:hAnsi="Arial" w:cs="Arial"/>
        </w:rPr>
        <w:t xml:space="preserve"> training in working with students in community corrections?</w:t>
      </w:r>
      <w:r>
        <w:rPr>
          <w:rFonts w:ascii="Arial" w:hAnsi="Arial" w:cs="Arial"/>
        </w:rPr>
        <w:br/>
        <w:t xml:space="preserve">_____yes </w:t>
      </w:r>
      <w:r>
        <w:rPr>
          <w:rFonts w:ascii="Arial" w:hAnsi="Arial" w:cs="Arial"/>
        </w:rPr>
        <w:br/>
        <w:t>_____no</w:t>
      </w:r>
    </w:p>
    <w:p w:rsidR="00ED06A4" w:rsidRDefault="00ED06A4" w:rsidP="00ED06A4">
      <w:pPr>
        <w:spacing w:after="0"/>
        <w:rPr>
          <w:rFonts w:ascii="Arial" w:hAnsi="Arial" w:cs="Arial"/>
        </w:rPr>
      </w:pPr>
      <w:r>
        <w:rPr>
          <w:rFonts w:ascii="Arial" w:hAnsi="Arial" w:cs="Arial"/>
        </w:rPr>
        <w:t>19. If “yes,” please explain what type of informal training you received. ____________________________________________________________________________________________________________________________________________</w:t>
      </w:r>
      <w:r>
        <w:rPr>
          <w:rFonts w:ascii="Arial" w:hAnsi="Arial" w:cs="Arial"/>
        </w:rPr>
        <w:lastRenderedPageBreak/>
        <w:t>____________________________________________________________________________________________________________________________________________</w:t>
      </w:r>
    </w:p>
    <w:p w:rsidR="00ED06A4" w:rsidRDefault="00ED06A4" w:rsidP="00ED06A4">
      <w:pPr>
        <w:spacing w:after="0"/>
        <w:rPr>
          <w:rFonts w:ascii="Arial" w:hAnsi="Arial" w:cs="Arial"/>
        </w:rPr>
      </w:pPr>
      <w:r>
        <w:rPr>
          <w:rFonts w:ascii="Arial" w:hAnsi="Arial" w:cs="Arial"/>
        </w:rPr>
        <w:t xml:space="preserve">20. Prior to beginning teaching students in community corrections programs, did you receive </w:t>
      </w:r>
      <w:r>
        <w:rPr>
          <w:rFonts w:ascii="Arial" w:hAnsi="Arial" w:cs="Arial"/>
          <w:b/>
        </w:rPr>
        <w:t>informal</w:t>
      </w:r>
      <w:r>
        <w:rPr>
          <w:rFonts w:ascii="Arial" w:hAnsi="Arial" w:cs="Arial"/>
        </w:rPr>
        <w:t xml:space="preserve"> training in working with students with disabilities?</w:t>
      </w:r>
      <w:r>
        <w:rPr>
          <w:rFonts w:ascii="Arial" w:hAnsi="Arial" w:cs="Arial"/>
        </w:rPr>
        <w:br/>
        <w:t xml:space="preserve">_____yes </w:t>
      </w:r>
      <w:r>
        <w:rPr>
          <w:rFonts w:ascii="Arial" w:hAnsi="Arial" w:cs="Arial"/>
        </w:rPr>
        <w:br/>
        <w:t>_____no</w:t>
      </w:r>
    </w:p>
    <w:p w:rsidR="00ED06A4" w:rsidRDefault="00ED06A4" w:rsidP="00ED06A4">
      <w:pPr>
        <w:spacing w:after="0"/>
        <w:rPr>
          <w:rFonts w:ascii="Arial" w:hAnsi="Arial" w:cs="Arial"/>
        </w:rPr>
      </w:pPr>
      <w:r>
        <w:rPr>
          <w:rFonts w:ascii="Arial" w:hAnsi="Arial" w:cs="Arial"/>
        </w:rPr>
        <w:t>21. If “yes,” please explain what type of informal training you received.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D06A4" w:rsidRDefault="00ED06A4" w:rsidP="00ED06A4">
      <w:pPr>
        <w:spacing w:after="0"/>
        <w:rPr>
          <w:rFonts w:ascii="Arial" w:hAnsi="Arial" w:cs="Arial"/>
        </w:rPr>
      </w:pPr>
      <w:r>
        <w:rPr>
          <w:rFonts w:ascii="Arial" w:hAnsi="Arial" w:cs="Arial"/>
        </w:rPr>
        <w:t>22. Are you required to obtain continuing education/professional development hours for your teaching position?</w:t>
      </w:r>
    </w:p>
    <w:p w:rsidR="00ED06A4" w:rsidRDefault="00ED06A4" w:rsidP="00ED06A4">
      <w:pPr>
        <w:spacing w:after="0"/>
        <w:rPr>
          <w:rFonts w:ascii="Arial" w:hAnsi="Arial" w:cs="Arial"/>
        </w:rPr>
      </w:pPr>
      <w:r>
        <w:rPr>
          <w:rFonts w:ascii="Arial" w:hAnsi="Arial" w:cs="Arial"/>
        </w:rPr>
        <w:t xml:space="preserve">_____yes </w:t>
      </w:r>
      <w:r>
        <w:rPr>
          <w:rFonts w:ascii="Arial" w:hAnsi="Arial" w:cs="Arial"/>
        </w:rPr>
        <w:br/>
        <w:t>_____no</w:t>
      </w:r>
    </w:p>
    <w:p w:rsidR="00ED06A4" w:rsidRDefault="00ED06A4" w:rsidP="00ED06A4">
      <w:pPr>
        <w:spacing w:after="0"/>
        <w:rPr>
          <w:rFonts w:ascii="Arial" w:hAnsi="Arial" w:cs="Arial"/>
        </w:rPr>
      </w:pPr>
      <w:r>
        <w:rPr>
          <w:rFonts w:ascii="Arial" w:hAnsi="Arial" w:cs="Arial"/>
        </w:rPr>
        <w:t>23. If “yes,” how many hours are you required to obtain each year? ________________</w:t>
      </w:r>
    </w:p>
    <w:p w:rsidR="00ED06A4" w:rsidRDefault="00ED06A4" w:rsidP="00ED06A4">
      <w:pPr>
        <w:spacing w:after="0"/>
        <w:rPr>
          <w:rFonts w:ascii="Arial" w:hAnsi="Arial" w:cs="Arial"/>
        </w:rPr>
      </w:pPr>
      <w:r>
        <w:rPr>
          <w:rFonts w:ascii="Arial" w:hAnsi="Arial" w:cs="Arial"/>
        </w:rPr>
        <w:t>24. _____age (optional).</w:t>
      </w:r>
    </w:p>
    <w:p w:rsidR="00ED06A4" w:rsidRDefault="00ED06A4" w:rsidP="00ED06A4">
      <w:pPr>
        <w:spacing w:after="0"/>
        <w:rPr>
          <w:rFonts w:ascii="Arial" w:hAnsi="Arial" w:cs="Arial"/>
        </w:rPr>
      </w:pPr>
      <w:r>
        <w:rPr>
          <w:rFonts w:ascii="Arial" w:hAnsi="Arial" w:cs="Arial"/>
        </w:rPr>
        <w:t>25. _____ethnicity (optional)</w:t>
      </w:r>
    </w:p>
    <w:p w:rsidR="00ED06A4" w:rsidRDefault="00ED06A4" w:rsidP="00ED06A4">
      <w:pPr>
        <w:spacing w:after="0"/>
        <w:rPr>
          <w:rFonts w:ascii="Arial" w:hAnsi="Arial" w:cs="Arial"/>
        </w:rPr>
      </w:pPr>
      <w:r>
        <w:rPr>
          <w:rFonts w:ascii="Arial" w:hAnsi="Arial" w:cs="Arial"/>
        </w:rPr>
        <w:t>26. _____gender (optional)</w:t>
      </w:r>
    </w:p>
    <w:p w:rsidR="00ED06A4" w:rsidRDefault="00ED06A4" w:rsidP="00ED06A4">
      <w:pPr>
        <w:spacing w:after="0"/>
        <w:rPr>
          <w:rFonts w:ascii="Arial" w:hAnsi="Arial" w:cs="Arial"/>
        </w:rPr>
      </w:pPr>
    </w:p>
    <w:p w:rsidR="00ED06A4" w:rsidRDefault="00ED06A4" w:rsidP="00ED06A4">
      <w:pPr>
        <w:pStyle w:val="Heading1"/>
      </w:pPr>
      <w:r>
        <w:br w:type="page"/>
      </w:r>
      <w:bookmarkStart w:id="31" w:name="_Toc309015927"/>
      <w:r>
        <w:lastRenderedPageBreak/>
        <w:t>Vita</w:t>
      </w:r>
      <w:bookmarkEnd w:id="31"/>
    </w:p>
    <w:p w:rsidR="00ED06A4" w:rsidRDefault="00ED06A4" w:rsidP="00ED06A4">
      <w:pPr>
        <w:spacing w:after="0" w:line="480" w:lineRule="auto"/>
        <w:ind w:firstLine="720"/>
      </w:pPr>
      <w:r>
        <w:t xml:space="preserve">Ron Mottern received his Bachelor of Arts degree in English, with a minor in Sociology, from Sam Houston State University in Huntsville, Texas. He completed his Master of Arts degree in Human Services at St. Edward’s University in Austin, Texas. </w:t>
      </w:r>
      <w:proofErr w:type="spellStart"/>
      <w:r>
        <w:t>Feeling</w:t>
      </w:r>
      <w:proofErr w:type="spellEnd"/>
      <w:r>
        <w:t xml:space="preserve"> a need to be at large in the world, he then took a position in Taejon, South Korea where he taught English as a Second Language. After returning to the United States, he taught GED, ABE, and ESL in a community literacy program, in a residential treatment program for substance abusing felons, and in a county jail. At the same time, he worked as a counselor for substance abusing offenders and taught cognitive education courses for probation clients. He accepted an invitation for a graduate research assistantship at the University of Tennessee and began his studies in Educational Psychology &amp; Research with a specialization in Adult Education. After completing his research assistantship, he began full time employment as the Alcohol/Drug Coordinator for Knox County Sheriff’s Office Community Alternatives to Prison Program while continuing his full time studies at the University of Tennessee. He received his Doctor of Philosophy degree in Educational Psychology &amp; Research from the University of Tennessee in December, 2011. He is a member of the Golden Key International </w:t>
      </w:r>
      <w:proofErr w:type="spellStart"/>
      <w:r>
        <w:t>Honour</w:t>
      </w:r>
      <w:proofErr w:type="spellEnd"/>
      <w:r>
        <w:t xml:space="preserve"> Society and the Honor Society of Phi Kappa Phi.  </w:t>
      </w:r>
    </w:p>
    <w:p w:rsidR="00ED06A4" w:rsidRDefault="00ED06A4" w:rsidP="00ED06A4"/>
    <w:p w:rsidR="008D485F" w:rsidRDefault="008D485F"/>
    <w:sectPr w:rsidR="008D485F" w:rsidSect="0086762B">
      <w:pgSz w:w="12240" w:h="15840"/>
      <w:pgMar w:top="1440" w:right="1440" w:bottom="1440" w:left="1440" w:header="144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635B" w:rsidRDefault="0049635B" w:rsidP="0049635B">
      <w:pPr>
        <w:spacing w:after="0" w:line="240" w:lineRule="auto"/>
      </w:pPr>
      <w:r>
        <w:separator/>
      </w:r>
    </w:p>
  </w:endnote>
  <w:endnote w:type="continuationSeparator" w:id="0">
    <w:p w:rsidR="0049635B" w:rsidRDefault="0049635B" w:rsidP="004963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635B" w:rsidRDefault="0049635B" w:rsidP="0049635B">
      <w:pPr>
        <w:spacing w:after="0" w:line="240" w:lineRule="auto"/>
      </w:pPr>
      <w:r>
        <w:separator/>
      </w:r>
    </w:p>
  </w:footnote>
  <w:footnote w:type="continuationSeparator" w:id="0">
    <w:p w:rsidR="0049635B" w:rsidRDefault="0049635B" w:rsidP="004963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31B" w:rsidRDefault="0049635B">
    <w:pPr>
      <w:pStyle w:val="Header"/>
      <w:jc w:val="right"/>
    </w:pPr>
    <w:r>
      <w:fldChar w:fldCharType="begin"/>
    </w:r>
    <w:r w:rsidR="00205C82">
      <w:instrText xml:space="preserve"> PAGE   \* MERGEFORMAT </w:instrText>
    </w:r>
    <w:r>
      <w:fldChar w:fldCharType="separate"/>
    </w:r>
    <w:r w:rsidR="00D4171F">
      <w:rPr>
        <w:noProof/>
      </w:rPr>
      <w:t>171</w:t>
    </w:r>
    <w: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F7CAB"/>
    <w:multiLevelType w:val="hybridMultilevel"/>
    <w:tmpl w:val="871490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C6C0DC3"/>
    <w:multiLevelType w:val="hybridMultilevel"/>
    <w:tmpl w:val="3F44A3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7E41C12"/>
    <w:multiLevelType w:val="hybridMultilevel"/>
    <w:tmpl w:val="092C591E"/>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
    <w:nsid w:val="2C271DDB"/>
    <w:multiLevelType w:val="hybridMultilevel"/>
    <w:tmpl w:val="393AEA3A"/>
    <w:lvl w:ilvl="0" w:tplc="B5E23B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4A31776"/>
    <w:multiLevelType w:val="multilevel"/>
    <w:tmpl w:val="58DC7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AE1710"/>
    <w:multiLevelType w:val="hybridMultilevel"/>
    <w:tmpl w:val="7660A46E"/>
    <w:lvl w:ilvl="0" w:tplc="09D23444">
      <w:start w:val="1"/>
      <w:numFmt w:val="decimal"/>
      <w:lvlText w:val="%1."/>
      <w:lvlJc w:val="left"/>
      <w:pPr>
        <w:tabs>
          <w:tab w:val="num" w:pos="1170"/>
        </w:tabs>
        <w:ind w:left="1170" w:hanging="360"/>
      </w:pPr>
      <w:rPr>
        <w:rFonts w:hint="default"/>
      </w:rPr>
    </w:lvl>
    <w:lvl w:ilvl="1" w:tplc="64103BB2">
      <w:start w:val="1"/>
      <w:numFmt w:val="bullet"/>
      <w:lvlText w:val=""/>
      <w:lvlJc w:val="left"/>
      <w:pPr>
        <w:tabs>
          <w:tab w:val="num" w:pos="1800"/>
        </w:tabs>
        <w:ind w:left="1800" w:hanging="360"/>
      </w:pPr>
      <w:rPr>
        <w:rFonts w:ascii="Symbol" w:hAnsi="Symbol" w:hint="default"/>
        <w:sz w:val="2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48B63081"/>
    <w:multiLevelType w:val="hybridMultilevel"/>
    <w:tmpl w:val="23B890A8"/>
    <w:lvl w:ilvl="0" w:tplc="64103BB2">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EC5143A"/>
    <w:multiLevelType w:val="hybridMultilevel"/>
    <w:tmpl w:val="390CF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B127B97"/>
    <w:multiLevelType w:val="multilevel"/>
    <w:tmpl w:val="39526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B330CB8"/>
    <w:multiLevelType w:val="hybridMultilevel"/>
    <w:tmpl w:val="2578B28A"/>
    <w:lvl w:ilvl="0" w:tplc="64103BB2">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CA25EE4"/>
    <w:multiLevelType w:val="hybridMultilevel"/>
    <w:tmpl w:val="69BA9DEE"/>
    <w:lvl w:ilvl="0" w:tplc="F14E0552">
      <w:start w:val="1"/>
      <w:numFmt w:val="decimal"/>
      <w:lvlText w:val="%1."/>
      <w:lvlJc w:val="left"/>
      <w:pPr>
        <w:tabs>
          <w:tab w:val="num" w:pos="1680"/>
        </w:tabs>
        <w:ind w:left="1680" w:hanging="9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6D6052EC"/>
    <w:multiLevelType w:val="multilevel"/>
    <w:tmpl w:val="D7AEF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7FA01E4"/>
    <w:multiLevelType w:val="multilevel"/>
    <w:tmpl w:val="83C22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FEC6223"/>
    <w:multiLevelType w:val="hybridMultilevel"/>
    <w:tmpl w:val="59429F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6"/>
  </w:num>
  <w:num w:numId="3">
    <w:abstractNumId w:val="5"/>
  </w:num>
  <w:num w:numId="4">
    <w:abstractNumId w:val="9"/>
  </w:num>
  <w:num w:numId="5">
    <w:abstractNumId w:val="0"/>
  </w:num>
  <w:num w:numId="6">
    <w:abstractNumId w:val="10"/>
  </w:num>
  <w:num w:numId="7">
    <w:abstractNumId w:val="4"/>
  </w:num>
  <w:num w:numId="8">
    <w:abstractNumId w:val="11"/>
  </w:num>
  <w:num w:numId="9">
    <w:abstractNumId w:val="8"/>
  </w:num>
  <w:num w:numId="10">
    <w:abstractNumId w:val="12"/>
  </w:num>
  <w:num w:numId="11">
    <w:abstractNumId w:val="2"/>
  </w:num>
  <w:num w:numId="12">
    <w:abstractNumId w:val="1"/>
  </w:num>
  <w:num w:numId="13">
    <w:abstractNumId w:val="13"/>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1"/>
    <w:footnote w:id="0"/>
  </w:footnotePr>
  <w:endnotePr>
    <w:endnote w:id="-1"/>
    <w:endnote w:id="0"/>
  </w:endnotePr>
  <w:compat/>
  <w:rsids>
    <w:rsidRoot w:val="00ED06A4"/>
    <w:rsid w:val="000336B8"/>
    <w:rsid w:val="00074E15"/>
    <w:rsid w:val="00167754"/>
    <w:rsid w:val="00205C82"/>
    <w:rsid w:val="00207C0A"/>
    <w:rsid w:val="002D6DEA"/>
    <w:rsid w:val="0049635B"/>
    <w:rsid w:val="004A51FD"/>
    <w:rsid w:val="004B3AD4"/>
    <w:rsid w:val="00502EEE"/>
    <w:rsid w:val="00515229"/>
    <w:rsid w:val="00656605"/>
    <w:rsid w:val="00671A5D"/>
    <w:rsid w:val="0070558C"/>
    <w:rsid w:val="007139F5"/>
    <w:rsid w:val="00753CD3"/>
    <w:rsid w:val="00774144"/>
    <w:rsid w:val="00875131"/>
    <w:rsid w:val="008C083D"/>
    <w:rsid w:val="008D485F"/>
    <w:rsid w:val="00B57832"/>
    <w:rsid w:val="00D4171F"/>
    <w:rsid w:val="00DE682C"/>
    <w:rsid w:val="00ED06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able of figures"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6A4"/>
    <w:pPr>
      <w:spacing w:after="200" w:line="276" w:lineRule="auto"/>
    </w:pPr>
    <w:rPr>
      <w:rFonts w:eastAsia="Calibri"/>
      <w:szCs w:val="22"/>
    </w:rPr>
  </w:style>
  <w:style w:type="paragraph" w:styleId="Heading1">
    <w:name w:val="heading 1"/>
    <w:basedOn w:val="Normal"/>
    <w:next w:val="Normal"/>
    <w:link w:val="Heading1Char"/>
    <w:qFormat/>
    <w:rsid w:val="00ED06A4"/>
    <w:pPr>
      <w:keepNext/>
      <w:spacing w:after="0" w:line="480" w:lineRule="auto"/>
      <w:jc w:val="center"/>
      <w:outlineLvl w:val="0"/>
    </w:pPr>
    <w:rPr>
      <w:b/>
      <w:iCs/>
    </w:rPr>
  </w:style>
  <w:style w:type="paragraph" w:styleId="Heading2">
    <w:name w:val="heading 2"/>
    <w:basedOn w:val="Normal"/>
    <w:next w:val="Normal"/>
    <w:link w:val="Heading2Char"/>
    <w:qFormat/>
    <w:rsid w:val="00ED06A4"/>
    <w:pPr>
      <w:keepNext/>
      <w:spacing w:after="0" w:line="480" w:lineRule="auto"/>
      <w:outlineLvl w:val="1"/>
    </w:pPr>
    <w:rPr>
      <w:rFonts w:eastAsia="Times New Roman"/>
      <w:b/>
      <w:bCs/>
      <w:iCs/>
      <w:szCs w:val="28"/>
    </w:rPr>
  </w:style>
  <w:style w:type="paragraph" w:styleId="Heading3">
    <w:name w:val="heading 3"/>
    <w:basedOn w:val="Normal"/>
    <w:next w:val="Normal"/>
    <w:link w:val="Heading3Char"/>
    <w:qFormat/>
    <w:rsid w:val="00ED06A4"/>
    <w:pPr>
      <w:keepNext/>
      <w:spacing w:after="0" w:line="480" w:lineRule="auto"/>
      <w:ind w:firstLine="720"/>
      <w:outlineLvl w:val="2"/>
    </w:pPr>
    <w:rPr>
      <w:rFonts w:eastAsia="Times New Roman"/>
      <w:b/>
      <w:bCs/>
      <w:szCs w:val="26"/>
    </w:rPr>
  </w:style>
  <w:style w:type="paragraph" w:styleId="Heading4">
    <w:name w:val="heading 4"/>
    <w:basedOn w:val="Normal"/>
    <w:next w:val="Normal"/>
    <w:link w:val="Heading4Char"/>
    <w:qFormat/>
    <w:rsid w:val="00ED06A4"/>
    <w:pPr>
      <w:keepNext/>
      <w:spacing w:after="0" w:line="480" w:lineRule="auto"/>
      <w:ind w:firstLine="720"/>
      <w:outlineLvl w:val="3"/>
    </w:pPr>
    <w:rPr>
      <w:rFonts w:eastAsia="Times New Roman"/>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06A4"/>
    <w:rPr>
      <w:rFonts w:eastAsia="Calibri"/>
      <w:b/>
      <w:iCs/>
      <w:szCs w:val="22"/>
    </w:rPr>
  </w:style>
  <w:style w:type="character" w:customStyle="1" w:styleId="Heading2Char">
    <w:name w:val="Heading 2 Char"/>
    <w:basedOn w:val="DefaultParagraphFont"/>
    <w:link w:val="Heading2"/>
    <w:rsid w:val="00ED06A4"/>
    <w:rPr>
      <w:rFonts w:eastAsia="Times New Roman"/>
      <w:b/>
      <w:bCs/>
      <w:iCs/>
      <w:szCs w:val="28"/>
    </w:rPr>
  </w:style>
  <w:style w:type="character" w:customStyle="1" w:styleId="Heading3Char">
    <w:name w:val="Heading 3 Char"/>
    <w:basedOn w:val="DefaultParagraphFont"/>
    <w:link w:val="Heading3"/>
    <w:rsid w:val="00ED06A4"/>
    <w:rPr>
      <w:rFonts w:eastAsia="Times New Roman"/>
      <w:b/>
      <w:bCs/>
      <w:szCs w:val="26"/>
    </w:rPr>
  </w:style>
  <w:style w:type="character" w:customStyle="1" w:styleId="Heading4Char">
    <w:name w:val="Heading 4 Char"/>
    <w:basedOn w:val="DefaultParagraphFont"/>
    <w:link w:val="Heading4"/>
    <w:rsid w:val="00ED06A4"/>
    <w:rPr>
      <w:rFonts w:eastAsia="Times New Roman"/>
      <w:b/>
      <w:bCs/>
      <w:i/>
      <w:szCs w:val="28"/>
    </w:rPr>
  </w:style>
  <w:style w:type="character" w:styleId="Hyperlink">
    <w:name w:val="Hyperlink"/>
    <w:uiPriority w:val="99"/>
    <w:unhideWhenUsed/>
    <w:rsid w:val="00ED06A4"/>
    <w:rPr>
      <w:color w:val="0000FF"/>
      <w:u w:val="single"/>
    </w:rPr>
  </w:style>
  <w:style w:type="paragraph" w:styleId="BodyTextIndent">
    <w:name w:val="Body Text Indent"/>
    <w:basedOn w:val="Normal"/>
    <w:link w:val="BodyTextIndentChar"/>
    <w:semiHidden/>
    <w:rsid w:val="00ED06A4"/>
    <w:pPr>
      <w:ind w:firstLine="720"/>
    </w:pPr>
    <w:rPr>
      <w:rFonts w:eastAsia="Times New Roman"/>
    </w:rPr>
  </w:style>
  <w:style w:type="character" w:customStyle="1" w:styleId="BodyTextIndentChar">
    <w:name w:val="Body Text Indent Char"/>
    <w:basedOn w:val="DefaultParagraphFont"/>
    <w:link w:val="BodyTextIndent"/>
    <w:semiHidden/>
    <w:rsid w:val="00ED06A4"/>
    <w:rPr>
      <w:rFonts w:eastAsia="Times New Roman"/>
      <w:szCs w:val="22"/>
    </w:rPr>
  </w:style>
  <w:style w:type="paragraph" w:styleId="BodyText">
    <w:name w:val="Body Text"/>
    <w:basedOn w:val="Normal"/>
    <w:link w:val="BodyTextChar"/>
    <w:semiHidden/>
    <w:unhideWhenUsed/>
    <w:rsid w:val="00ED06A4"/>
    <w:pPr>
      <w:spacing w:after="120"/>
    </w:pPr>
  </w:style>
  <w:style w:type="character" w:customStyle="1" w:styleId="BodyTextChar">
    <w:name w:val="Body Text Char"/>
    <w:basedOn w:val="DefaultParagraphFont"/>
    <w:link w:val="BodyText"/>
    <w:semiHidden/>
    <w:rsid w:val="00ED06A4"/>
    <w:rPr>
      <w:rFonts w:eastAsia="Calibri"/>
      <w:szCs w:val="22"/>
    </w:rPr>
  </w:style>
  <w:style w:type="paragraph" w:styleId="BodyTextIndent2">
    <w:name w:val="Body Text Indent 2"/>
    <w:basedOn w:val="Normal"/>
    <w:link w:val="BodyTextIndent2Char"/>
    <w:semiHidden/>
    <w:rsid w:val="00ED06A4"/>
    <w:pPr>
      <w:spacing w:after="0"/>
      <w:ind w:left="720" w:hanging="720"/>
    </w:pPr>
  </w:style>
  <w:style w:type="character" w:customStyle="1" w:styleId="BodyTextIndent2Char">
    <w:name w:val="Body Text Indent 2 Char"/>
    <w:basedOn w:val="DefaultParagraphFont"/>
    <w:link w:val="BodyTextIndent2"/>
    <w:semiHidden/>
    <w:rsid w:val="00ED06A4"/>
    <w:rPr>
      <w:rFonts w:eastAsia="Calibri"/>
      <w:szCs w:val="22"/>
    </w:rPr>
  </w:style>
  <w:style w:type="paragraph" w:styleId="Footer">
    <w:name w:val="footer"/>
    <w:basedOn w:val="Normal"/>
    <w:link w:val="FooterChar"/>
    <w:semiHidden/>
    <w:rsid w:val="00ED06A4"/>
    <w:pPr>
      <w:tabs>
        <w:tab w:val="center" w:pos="4320"/>
        <w:tab w:val="right" w:pos="8640"/>
      </w:tabs>
    </w:pPr>
    <w:rPr>
      <w:rFonts w:eastAsia="Times New Roman"/>
    </w:rPr>
  </w:style>
  <w:style w:type="character" w:customStyle="1" w:styleId="FooterChar">
    <w:name w:val="Footer Char"/>
    <w:basedOn w:val="DefaultParagraphFont"/>
    <w:link w:val="Footer"/>
    <w:semiHidden/>
    <w:rsid w:val="00ED06A4"/>
    <w:rPr>
      <w:rFonts w:eastAsia="Times New Roman"/>
      <w:szCs w:val="22"/>
    </w:rPr>
  </w:style>
  <w:style w:type="paragraph" w:styleId="Header">
    <w:name w:val="header"/>
    <w:basedOn w:val="Normal"/>
    <w:link w:val="HeaderChar"/>
    <w:semiHidden/>
    <w:unhideWhenUsed/>
    <w:rsid w:val="00ED06A4"/>
    <w:pPr>
      <w:tabs>
        <w:tab w:val="center" w:pos="4680"/>
        <w:tab w:val="right" w:pos="9360"/>
      </w:tabs>
    </w:pPr>
  </w:style>
  <w:style w:type="character" w:customStyle="1" w:styleId="HeaderChar">
    <w:name w:val="Header Char"/>
    <w:basedOn w:val="DefaultParagraphFont"/>
    <w:link w:val="Header"/>
    <w:semiHidden/>
    <w:rsid w:val="00ED06A4"/>
    <w:rPr>
      <w:rFonts w:eastAsia="Calibri"/>
      <w:szCs w:val="22"/>
    </w:rPr>
  </w:style>
  <w:style w:type="paragraph" w:styleId="BodyTextIndent3">
    <w:name w:val="Body Text Indent 3"/>
    <w:basedOn w:val="Normal"/>
    <w:link w:val="BodyTextIndent3Char"/>
    <w:semiHidden/>
    <w:rsid w:val="00ED06A4"/>
    <w:pPr>
      <w:spacing w:after="0" w:line="480" w:lineRule="auto"/>
      <w:ind w:left="720" w:hanging="720"/>
    </w:pPr>
    <w:rPr>
      <w:color w:val="FFFF00"/>
    </w:rPr>
  </w:style>
  <w:style w:type="character" w:customStyle="1" w:styleId="BodyTextIndent3Char">
    <w:name w:val="Body Text Indent 3 Char"/>
    <w:basedOn w:val="DefaultParagraphFont"/>
    <w:link w:val="BodyTextIndent3"/>
    <w:semiHidden/>
    <w:rsid w:val="00ED06A4"/>
    <w:rPr>
      <w:rFonts w:eastAsia="Calibri"/>
      <w:color w:val="FFFF00"/>
      <w:szCs w:val="22"/>
    </w:rPr>
  </w:style>
  <w:style w:type="character" w:styleId="Strong">
    <w:name w:val="Strong"/>
    <w:qFormat/>
    <w:rsid w:val="00ED06A4"/>
    <w:rPr>
      <w:b/>
      <w:bCs/>
    </w:rPr>
  </w:style>
  <w:style w:type="character" w:customStyle="1" w:styleId="hw">
    <w:name w:val="hw"/>
    <w:basedOn w:val="DefaultParagraphFont"/>
    <w:rsid w:val="00ED06A4"/>
  </w:style>
  <w:style w:type="paragraph" w:styleId="BalloonText">
    <w:name w:val="Balloon Text"/>
    <w:basedOn w:val="Normal"/>
    <w:link w:val="BalloonTextChar"/>
    <w:semiHidden/>
    <w:unhideWhenUsed/>
    <w:rsid w:val="00ED0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ED06A4"/>
    <w:rPr>
      <w:rFonts w:ascii="Tahoma" w:eastAsia="Calibri" w:hAnsi="Tahoma" w:cs="Tahoma"/>
      <w:sz w:val="16"/>
      <w:szCs w:val="16"/>
    </w:rPr>
  </w:style>
  <w:style w:type="character" w:styleId="FollowedHyperlink">
    <w:name w:val="FollowedHyperlink"/>
    <w:semiHidden/>
    <w:unhideWhenUsed/>
    <w:rsid w:val="00ED06A4"/>
    <w:rPr>
      <w:color w:val="800080"/>
      <w:u w:val="single"/>
    </w:rPr>
  </w:style>
  <w:style w:type="paragraph" w:styleId="Caption">
    <w:name w:val="caption"/>
    <w:basedOn w:val="Normal"/>
    <w:next w:val="Normal"/>
    <w:qFormat/>
    <w:rsid w:val="00ED06A4"/>
    <w:pPr>
      <w:spacing w:line="480" w:lineRule="auto"/>
    </w:pPr>
    <w:rPr>
      <w:bCs/>
      <w:szCs w:val="20"/>
    </w:rPr>
  </w:style>
  <w:style w:type="paragraph" w:styleId="TOC2">
    <w:name w:val="toc 2"/>
    <w:basedOn w:val="Normal"/>
    <w:next w:val="Normal"/>
    <w:autoRedefine/>
    <w:uiPriority w:val="39"/>
    <w:unhideWhenUsed/>
    <w:rsid w:val="00ED06A4"/>
    <w:pPr>
      <w:ind w:left="240"/>
    </w:pPr>
  </w:style>
  <w:style w:type="paragraph" w:styleId="TOC1">
    <w:name w:val="toc 1"/>
    <w:basedOn w:val="Normal"/>
    <w:next w:val="Normal"/>
    <w:autoRedefine/>
    <w:uiPriority w:val="39"/>
    <w:unhideWhenUsed/>
    <w:rsid w:val="00ED06A4"/>
  </w:style>
  <w:style w:type="paragraph" w:styleId="TableofFigures">
    <w:name w:val="table of figures"/>
    <w:basedOn w:val="Normal"/>
    <w:next w:val="Normal"/>
    <w:semiHidden/>
    <w:unhideWhenUsed/>
    <w:rsid w:val="00ED06A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74.125.155.132/%20scholar?q=cache:e9KZaLX2j6QJ:scholar.google.com/+michelle+anderson+i+don%27t+know+the+secret+handshake&amp;hl=en&amp;as_sdt=8000000000000" TargetMode="External"/><Relationship Id="rId13" Type="http://schemas.openxmlformats.org/officeDocument/2006/relationships/hyperlink" Target="http://www.ncjrs.gov/App/Publications/abstract.aspx?ID=203952" TargetMode="External"/><Relationship Id="rId18" Type="http://schemas.openxmlformats.org/officeDocument/2006/relationships/hyperlink" Target="http://www.iep.utm.edu/heidegge/" TargetMode="External"/><Relationship Id="rId26" Type="http://schemas.openxmlformats.org/officeDocument/2006/relationships/hyperlink" Target="http://www.essentialed.org/files/research/The_Effect_of_Earning_a_GED_on_Recidivisim_Rates.pdf"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library.wisc.edu/edvrc/docs/public/pdfs/LIReadings/JohariWindow.pdf" TargetMode="External"/><Relationship Id="rId34" Type="http://schemas.openxmlformats.org/officeDocument/2006/relationships/image" Target="media/image3.png"/><Relationship Id="rId7" Type="http://schemas.openxmlformats.org/officeDocument/2006/relationships/header" Target="header1.xml"/><Relationship Id="rId12" Type="http://schemas.openxmlformats.org/officeDocument/2006/relationships/hyperlink" Target="http://www.ipjp.org" TargetMode="External"/><Relationship Id="rId17" Type="http://schemas.openxmlformats.org/officeDocument/2006/relationships/hyperlink" Target="http://74.125.155.132/scholar?q=cache:is6wOjfiTgoJ:scholar.google.com/+kerka+professional+development&amp;hl=en&amp;as_sdt=8000000000000" TargetMode="External"/><Relationship Id="rId25" Type="http://schemas.openxmlformats.org/officeDocument/2006/relationships/hyperlink" Target="http://www.comptroller1.state.tn.us/OREA/PublicationDetails.aspx?%20ReportKey=131165da-2ade-485a-b342-bd2c83061496" TargetMode="External"/><Relationship Id="rId33" Type="http://schemas.openxmlformats.org/officeDocument/2006/relationships/image" Target="media/image2.png"/><Relationship Id="rId38"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epe.lac-bac.gc.ca/100/200/301/csc-scc/compendium_2000-e/text/rsrch/compendium/2000/chap_5_e.shtml" TargetMode="External"/><Relationship Id="rId20" Type="http://schemas.openxmlformats.org/officeDocument/2006/relationships/hyperlink" Target="http://www.ualberta.ca/~iiqm/backissues/2_3final/pdf/laverty.pdf" TargetMode="External"/><Relationship Id="rId29" Type="http://schemas.openxmlformats.org/officeDocument/2006/relationships/hyperlink" Target="http://www.indranet.com/potpourri/%20poetry/rumi/rumi5.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ulterc.org/Proceedings/2005/Proceedings/Frye.PDF" TargetMode="External"/><Relationship Id="rId24" Type="http://schemas.openxmlformats.org/officeDocument/2006/relationships/hyperlink" Target="http://www.fsu.edu/~elps/ae/download/ade5385/Merriam.pdf" TargetMode="External"/><Relationship Id="rId32" Type="http://schemas.openxmlformats.org/officeDocument/2006/relationships/image" Target="media/image1.jpeg"/><Relationship Id="rId37" Type="http://schemas.openxmlformats.org/officeDocument/2006/relationships/oleObject" Target="embeddings/oleObject1.bin"/><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aspe.hhs.gov/hsp/prison2home02/Haney.htm" TargetMode="External"/><Relationship Id="rId23" Type="http://schemas.openxmlformats.org/officeDocument/2006/relationships/hyperlink" Target="http://www.biolinguagem.com/%20biolinguagem_antropologia/merleauponty_1964_eyeandmind.pdf" TargetMode="External"/><Relationship Id="rId28" Type="http://schemas.openxmlformats.org/officeDocument/2006/relationships/hyperlink" Target="http://www.floridatac.org/files/documents/%20Res_ProSol_TJProbSolvCrtNIJPub.pdf" TargetMode="External"/><Relationship Id="rId36" Type="http://schemas.openxmlformats.org/officeDocument/2006/relationships/image" Target="media/image5.wmf"/><Relationship Id="rId10" Type="http://schemas.openxmlformats.org/officeDocument/2006/relationships/hyperlink" Target="http://www.allacademic.com//meta/p_mla_apa_research_citation/0/9/5/1/4/pages95149/p95149-1.php" TargetMode="External"/><Relationship Id="rId19" Type="http://schemas.openxmlformats.org/officeDocument/2006/relationships/hyperlink" Target="http://www.calpro-online.org/pubs/evalmon.pdf" TargetMode="External"/><Relationship Id="rId31" Type="http://schemas.openxmlformats.org/officeDocument/2006/relationships/hyperlink" Target="http://www.ipjp.org" TargetMode="External"/><Relationship Id="rId4" Type="http://schemas.openxmlformats.org/officeDocument/2006/relationships/webSettings" Target="webSettings.xml"/><Relationship Id="rId9" Type="http://schemas.openxmlformats.org/officeDocument/2006/relationships/hyperlink" Target="http://www.ncjrs.gov/App/Publications/abstract.aspx?ID=174087" TargetMode="External"/><Relationship Id="rId14" Type="http://schemas.openxmlformats.org/officeDocument/2006/relationships/hyperlink" Target="http://www.homeoffice.gov.uk/rds/pdfs04/hors291.pdf" TargetMode="External"/><Relationship Id="rId22" Type="http://schemas.openxmlformats.org/officeDocument/2006/relationships/hyperlink" Target="http://snrs.org/publications/SOJNR_articles2/Vol09Num01Art03.html" TargetMode="External"/><Relationship Id="rId27" Type="http://schemas.openxmlformats.org/officeDocument/2006/relationships/hyperlink" Target="http://www.andragogy.net" TargetMode="External"/><Relationship Id="rId30" Type="http://schemas.openxmlformats.org/officeDocument/2006/relationships/hyperlink" Target="http://www2.ed.gov/about/offices/list/" TargetMode="External"/><Relationship Id="rId35"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181</Pages>
  <Words>44375</Words>
  <Characters>252941</Characters>
  <Application>Microsoft Office Word</Application>
  <DocSecurity>0</DocSecurity>
  <Lines>2107</Lines>
  <Paragraphs>593</Paragraphs>
  <ScaleCrop>false</ScaleCrop>
  <Company>Toshiba</Company>
  <LinksUpToDate>false</LinksUpToDate>
  <CharactersWithSpaces>296723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dc:creator>
  <cp:lastModifiedBy>Administrator</cp:lastModifiedBy>
  <cp:revision>9</cp:revision>
  <dcterms:created xsi:type="dcterms:W3CDTF">2011-11-14T12:04:00Z</dcterms:created>
  <dcterms:modified xsi:type="dcterms:W3CDTF">2011-11-14T16:26:00Z</dcterms:modified>
</cp:coreProperties>
</file>