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407" w:rsidRPr="00EF0E74" w:rsidRDefault="00986407" w:rsidP="009E1C0E">
      <w:pPr>
        <w:spacing w:after="0" w:line="480" w:lineRule="auto"/>
        <w:contextualSpacing/>
        <w:jc w:val="center"/>
      </w:pPr>
      <w:r w:rsidRPr="00EF0E74">
        <w:t>Experiences of Anti-Bisexual Prejudice</w:t>
      </w:r>
      <w:r w:rsidR="00B64B25" w:rsidRPr="00EF0E74">
        <w:t xml:space="preserve"> in a Bisexual Adult Sample</w:t>
      </w:r>
    </w:p>
    <w:p w:rsidR="009E1C0E" w:rsidRPr="00EF0E74" w:rsidRDefault="005B3DF3" w:rsidP="009E1C0E">
      <w:pPr>
        <w:spacing w:after="0" w:line="480" w:lineRule="auto"/>
        <w:contextualSpacing/>
        <w:jc w:val="center"/>
      </w:pPr>
      <w:r w:rsidRPr="00EF0E74">
        <w:t xml:space="preserve">and the Impact on </w:t>
      </w:r>
      <w:r w:rsidR="00986407" w:rsidRPr="00EF0E74">
        <w:t xml:space="preserve">Mental and </w:t>
      </w:r>
      <w:r w:rsidRPr="00EF0E74">
        <w:t>Physical Health</w:t>
      </w: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p>
    <w:p w:rsidR="00BD3FC6" w:rsidRPr="00EF0E74" w:rsidRDefault="00BD3FC6" w:rsidP="009E1C0E">
      <w:pPr>
        <w:spacing w:line="480" w:lineRule="auto"/>
        <w:contextualSpacing/>
        <w:jc w:val="center"/>
      </w:pPr>
      <w:r w:rsidRPr="00EF0E74">
        <w:t xml:space="preserve">A Dissertation Presented for the </w:t>
      </w:r>
    </w:p>
    <w:p w:rsidR="00BD3FC6" w:rsidRPr="00EF0E74" w:rsidRDefault="00BD3FC6" w:rsidP="009E1C0E">
      <w:pPr>
        <w:spacing w:line="480" w:lineRule="auto"/>
        <w:contextualSpacing/>
        <w:jc w:val="center"/>
      </w:pPr>
      <w:r w:rsidRPr="00EF0E74">
        <w:t>Doctor of Philosophy</w:t>
      </w:r>
    </w:p>
    <w:p w:rsidR="00BD3FC6" w:rsidRPr="00EF0E74" w:rsidRDefault="00BD3FC6" w:rsidP="009E1C0E">
      <w:pPr>
        <w:spacing w:line="480" w:lineRule="auto"/>
        <w:contextualSpacing/>
        <w:jc w:val="center"/>
      </w:pPr>
      <w:r w:rsidRPr="00EF0E74">
        <w:t>Degree</w:t>
      </w:r>
    </w:p>
    <w:p w:rsidR="00BD3FC6" w:rsidRPr="00EF0E74" w:rsidRDefault="00BD3FC6" w:rsidP="009E1C0E">
      <w:pPr>
        <w:spacing w:line="480" w:lineRule="auto"/>
        <w:contextualSpacing/>
        <w:jc w:val="center"/>
      </w:pPr>
      <w:r w:rsidRPr="00EF0E74">
        <w:t>The University of Tennessee, Knoxville</w:t>
      </w:r>
    </w:p>
    <w:p w:rsidR="006B2C4C" w:rsidRPr="00EF0E74" w:rsidRDefault="006B2C4C" w:rsidP="006B2C4C">
      <w:pPr>
        <w:spacing w:line="480" w:lineRule="auto"/>
        <w:contextualSpacing/>
      </w:pPr>
    </w:p>
    <w:p w:rsidR="006B2C4C" w:rsidRPr="00EF0E74" w:rsidRDefault="006B2C4C" w:rsidP="006B2C4C">
      <w:pPr>
        <w:spacing w:line="480" w:lineRule="auto"/>
        <w:contextualSpacing/>
      </w:pPr>
    </w:p>
    <w:p w:rsidR="006B2C4C" w:rsidRPr="00EF0E74" w:rsidRDefault="006B2C4C" w:rsidP="006B2C4C">
      <w:pPr>
        <w:spacing w:line="480" w:lineRule="auto"/>
        <w:contextualSpacing/>
      </w:pPr>
    </w:p>
    <w:p w:rsidR="006B2C4C" w:rsidRPr="00EF0E74" w:rsidRDefault="006B2C4C" w:rsidP="006B2C4C">
      <w:pPr>
        <w:spacing w:line="480" w:lineRule="auto"/>
        <w:contextualSpacing/>
      </w:pPr>
    </w:p>
    <w:p w:rsidR="006B2C4C" w:rsidRPr="00EF0E74" w:rsidRDefault="006B2C4C" w:rsidP="006B2C4C">
      <w:pPr>
        <w:spacing w:line="480" w:lineRule="auto"/>
        <w:contextualSpacing/>
      </w:pPr>
    </w:p>
    <w:p w:rsidR="006B2C4C" w:rsidRPr="00EF0E74" w:rsidRDefault="006B2C4C" w:rsidP="006B2C4C">
      <w:pPr>
        <w:spacing w:line="480" w:lineRule="auto"/>
        <w:contextualSpacing/>
      </w:pPr>
    </w:p>
    <w:p w:rsidR="006B2C4C" w:rsidRPr="00EF0E74" w:rsidRDefault="00BD3FC6" w:rsidP="00BD3FC6">
      <w:pPr>
        <w:spacing w:line="480" w:lineRule="auto"/>
        <w:contextualSpacing/>
        <w:jc w:val="center"/>
      </w:pPr>
      <w:r w:rsidRPr="00EF0E74">
        <w:t>James Edward Arnett</w:t>
      </w:r>
    </w:p>
    <w:p w:rsidR="00BD3FC6" w:rsidRPr="00EF0E74" w:rsidRDefault="00E33919" w:rsidP="00BD3FC6">
      <w:pPr>
        <w:spacing w:line="480" w:lineRule="auto"/>
        <w:contextualSpacing/>
        <w:jc w:val="center"/>
      </w:pPr>
      <w:r>
        <w:t>December 2016</w:t>
      </w:r>
    </w:p>
    <w:p w:rsidR="003149F4" w:rsidRPr="00EF0E74" w:rsidRDefault="003149F4" w:rsidP="00BD3FC6">
      <w:pPr>
        <w:spacing w:line="480" w:lineRule="auto"/>
        <w:contextualSpacing/>
        <w:jc w:val="center"/>
        <w:rPr>
          <w:b/>
        </w:rPr>
      </w:pPr>
      <w:r w:rsidRPr="00EF0E74">
        <w:rPr>
          <w:b/>
        </w:rPr>
        <w:lastRenderedPageBreak/>
        <w:t>Dedication</w:t>
      </w:r>
    </w:p>
    <w:p w:rsidR="003149F4" w:rsidRPr="00EF0E74" w:rsidRDefault="003149F4" w:rsidP="003149F4">
      <w:pPr>
        <w:spacing w:line="480" w:lineRule="auto"/>
        <w:contextualSpacing/>
      </w:pPr>
      <w:r w:rsidRPr="00EF0E74">
        <w:tab/>
        <w:t>I dedicate my dissertation to all my wonderful friends. Without them, I doubt I would have accomplished so much. To my cohort mates - Daniela, Ayse, Laura, Whitney, Ji Sun, and Kanwar - who taught me more about growth, humanity, and vulnerability than any other experience or training. To all of the other friends I met in Knoxville, both inside and outside the graduate program. I came to Knoxville a shy, ultra-introverted hermit, and am leaving Knoxville a shy, ultra-introverted hermit with friends. Lastly, to John, who upon first meeting me, thought I was a jerk. Thank you for not giving up on getting to know me,</w:t>
      </w:r>
      <w:r w:rsidR="00C159FE" w:rsidRPr="00EF0E74">
        <w:t xml:space="preserve"> and in many ways, I owe you my life. Thank you all for being  a presence in my life!</w:t>
      </w:r>
      <w:r w:rsidRPr="00EF0E74">
        <w:br w:type="page"/>
      </w:r>
    </w:p>
    <w:p w:rsidR="006B2C4C" w:rsidRPr="00EF0E74" w:rsidRDefault="006B2C4C" w:rsidP="006B2C4C">
      <w:pPr>
        <w:spacing w:line="480" w:lineRule="auto"/>
        <w:contextualSpacing/>
        <w:jc w:val="center"/>
        <w:rPr>
          <w:b/>
        </w:rPr>
      </w:pPr>
      <w:r w:rsidRPr="00EF0E74">
        <w:rPr>
          <w:b/>
        </w:rPr>
        <w:lastRenderedPageBreak/>
        <w:t>Acknowledgements</w:t>
      </w:r>
    </w:p>
    <w:p w:rsidR="006B2C4C" w:rsidRPr="00EF0E74" w:rsidRDefault="006B2C4C" w:rsidP="006B2C4C">
      <w:pPr>
        <w:spacing w:line="480" w:lineRule="auto"/>
        <w:contextualSpacing/>
      </w:pPr>
      <w:r w:rsidRPr="00EF0E74">
        <w:tab/>
        <w:t>I would like to acknowledge my academic advisor, Dr. Joseph Miles, who had to put up with a lot of missed deadlines and paperwork fiascos</w:t>
      </w:r>
      <w:r w:rsidR="00C159FE" w:rsidRPr="00EF0E74">
        <w:t xml:space="preserve"> from me</w:t>
      </w:r>
      <w:r w:rsidRPr="00EF0E74">
        <w:t>. Despite my tendency to often look for the easy way out, Dr. Miles pushed me to practice due diligence, and averted many cr</w:t>
      </w:r>
      <w:r w:rsidR="00C159FE" w:rsidRPr="00EF0E74">
        <w:t>ises that could have</w:t>
      </w:r>
      <w:r w:rsidRPr="00EF0E74">
        <w:t xml:space="preserve"> occurred</w:t>
      </w:r>
      <w:r w:rsidR="00C159FE" w:rsidRPr="00EF0E74">
        <w:t xml:space="preserve"> due to my </w:t>
      </w:r>
      <w:r w:rsidRPr="00EF0E74">
        <w:t xml:space="preserve">carelessness. I also give my thanks to all of the faculty members who were a part of my graduate training, and in particular, Dr. Dawn Szymanski, who taught me many profound minutiae, such as the origins of the t-test. </w:t>
      </w:r>
    </w:p>
    <w:p w:rsidR="006B2C4C" w:rsidRPr="00EF0E74" w:rsidRDefault="006B2C4C" w:rsidP="006B2C4C">
      <w:pPr>
        <w:spacing w:line="480" w:lineRule="auto"/>
        <w:contextualSpacing/>
      </w:pPr>
      <w:r w:rsidRPr="00EF0E74">
        <w:tab/>
        <w:t>I would also like to acknowledge my family, who despite not knowing fully the journey I have been on these five years, never stopped supporting me in their own way. To my mom, who sacrificed so m</w:t>
      </w:r>
      <w:r w:rsidR="0034022D" w:rsidRPr="00EF0E74">
        <w:t xml:space="preserve">uch for me to be here, who stood </w:t>
      </w:r>
      <w:r w:rsidRPr="00EF0E74">
        <w:t>in lines at 4</w:t>
      </w:r>
      <w:r w:rsidR="0034022D" w:rsidRPr="00EF0E74">
        <w:t xml:space="preserve">:00 </w:t>
      </w:r>
      <w:r w:rsidRPr="00EF0E74">
        <w:t>am to ensure I</w:t>
      </w:r>
      <w:r w:rsidR="0034022D" w:rsidRPr="00EF0E74">
        <w:t xml:space="preserve"> went to a good public high school where I could succeed academically; </w:t>
      </w:r>
      <w:r w:rsidR="00C159FE" w:rsidRPr="00EF0E74">
        <w:t xml:space="preserve">to my grandma, whose eternal optimism shines through in every conversation we have; and  to my step-dad, who I know I owe much to, but struggle to find to courage to say it. </w:t>
      </w:r>
    </w:p>
    <w:p w:rsidR="006B2C4C" w:rsidRPr="00EF0E74" w:rsidRDefault="006B2C4C" w:rsidP="009E1C0E">
      <w:pPr>
        <w:spacing w:line="480" w:lineRule="auto"/>
        <w:contextualSpacing/>
        <w:jc w:val="center"/>
      </w:pPr>
    </w:p>
    <w:p w:rsidR="006B2C4C" w:rsidRPr="00EF0E74" w:rsidRDefault="006B2C4C" w:rsidP="009E1C0E">
      <w:pPr>
        <w:spacing w:line="480" w:lineRule="auto"/>
        <w:contextualSpacing/>
        <w:jc w:val="center"/>
      </w:pPr>
    </w:p>
    <w:p w:rsidR="006B2C4C" w:rsidRPr="00EF0E74" w:rsidRDefault="006B2C4C" w:rsidP="009E1C0E">
      <w:pPr>
        <w:spacing w:line="480" w:lineRule="auto"/>
        <w:contextualSpacing/>
        <w:jc w:val="center"/>
      </w:pPr>
    </w:p>
    <w:p w:rsidR="006B2C4C" w:rsidRPr="00EF0E74" w:rsidRDefault="006B2C4C" w:rsidP="009E1C0E">
      <w:pPr>
        <w:spacing w:line="480" w:lineRule="auto"/>
        <w:contextualSpacing/>
        <w:jc w:val="center"/>
      </w:pPr>
    </w:p>
    <w:p w:rsidR="006B2C4C" w:rsidRPr="00EF0E74" w:rsidRDefault="006B2C4C" w:rsidP="009E1C0E">
      <w:pPr>
        <w:spacing w:line="480" w:lineRule="auto"/>
        <w:contextualSpacing/>
        <w:jc w:val="center"/>
      </w:pPr>
    </w:p>
    <w:p w:rsidR="006B2C4C" w:rsidRPr="00EF0E74" w:rsidRDefault="006B2C4C" w:rsidP="006B2C4C">
      <w:r w:rsidRPr="00EF0E74">
        <w:br w:type="page"/>
      </w:r>
    </w:p>
    <w:p w:rsidR="009E1C0E" w:rsidRPr="00EF0E74" w:rsidRDefault="009E1C0E" w:rsidP="006B2C4C">
      <w:pPr>
        <w:spacing w:after="0" w:line="480" w:lineRule="auto"/>
        <w:contextualSpacing/>
        <w:jc w:val="center"/>
        <w:rPr>
          <w:b/>
        </w:rPr>
      </w:pPr>
      <w:r w:rsidRPr="00EF0E74">
        <w:rPr>
          <w:b/>
        </w:rPr>
        <w:lastRenderedPageBreak/>
        <w:t>Abstract</w:t>
      </w:r>
    </w:p>
    <w:p w:rsidR="002F2EF8" w:rsidRPr="00EF0E74" w:rsidRDefault="00190691" w:rsidP="00190691">
      <w:pPr>
        <w:spacing w:after="0" w:line="480" w:lineRule="auto"/>
        <w:contextualSpacing/>
      </w:pPr>
      <w:r w:rsidRPr="00EF0E74">
        <w:tab/>
      </w:r>
      <w:r w:rsidR="005A006F" w:rsidRPr="00EF0E74">
        <w:t>This cross-sectional study examined the relationships between minority stress (e.g. anti-bisexual experiences and internalized biphobia), trauma and depressive symptoms, and self-reported physical health for a sample of online-recruited, bisexual adults.  Using a minority stress framework that included physical health</w:t>
      </w:r>
      <w:r w:rsidR="006734DC" w:rsidRPr="00EF0E74">
        <w:t xml:space="preserve"> </w:t>
      </w:r>
      <w:r w:rsidR="005A006F" w:rsidRPr="00EF0E74">
        <w:t>and conceptualizing experiences of discrimination/prejudice as a type of trauma, a model was hypothesized in which experiences of anti-bisexual discrimination would uniquely relate to trauma-related symptoms (as would exposure to other, general traumatic events) and indirectly impact physical health through these trauma symptoms. Also, it was predicted that anti-bisexual experiences would directly relate to internalized biphobia, with internalized biphobia, then, associating with depressive symptoms, and depressive symptoms significantly relating to physical health. Indirectly in this model, anti-bisexual experiences and internalized biphobia would impact physical health. Results indicated partial support for this hypothesized model. Anti-bisexual experiences related to physical health, mediated by trauma symptoms, and in the final model, also related to depressive symptoms mediated by trauma symptoms. No support was found for the hypothesized relationship between internalized biphobia, depressive symptoms, and physical health. Twenty percent of the variance was explained for physical health. Overall, results support the notion that experiencing discrimination and prejudice associates with trauma-symptoms that generally thought to derive from life-threatening events, and has implications for physical well-being, too.</w:t>
      </w:r>
    </w:p>
    <w:p w:rsidR="005A006F" w:rsidRPr="00EF0E74" w:rsidRDefault="005A006F" w:rsidP="00190691">
      <w:pPr>
        <w:spacing w:after="0" w:line="480" w:lineRule="auto"/>
        <w:contextualSpacing/>
      </w:pPr>
      <w:r w:rsidRPr="00EF0E74">
        <w:rPr>
          <w:i/>
        </w:rPr>
        <w:t xml:space="preserve">Keywords: </w:t>
      </w:r>
      <w:r w:rsidRPr="00EF0E74">
        <w:t>discrimination, prejudice, trauma, physical health, bisexuals</w:t>
      </w:r>
    </w:p>
    <w:p w:rsidR="002F2EF8" w:rsidRPr="00EF0E74" w:rsidRDefault="002F2EF8" w:rsidP="00190691">
      <w:pPr>
        <w:spacing w:after="0" w:line="480" w:lineRule="auto"/>
        <w:contextualSpacing/>
      </w:pPr>
    </w:p>
    <w:p w:rsidR="002F2EF8" w:rsidRPr="00EF0E74" w:rsidRDefault="002F2EF8" w:rsidP="00190691">
      <w:pPr>
        <w:spacing w:after="0" w:line="480" w:lineRule="auto"/>
        <w:contextualSpacing/>
      </w:pPr>
    </w:p>
    <w:p w:rsidR="002F2EF8" w:rsidRPr="00EF0E74" w:rsidRDefault="002F2EF8" w:rsidP="00190691">
      <w:pPr>
        <w:spacing w:after="0" w:line="480" w:lineRule="auto"/>
        <w:contextualSpacing/>
      </w:pPr>
    </w:p>
    <w:sdt>
      <w:sdtPr>
        <w:rPr>
          <w:rFonts w:eastAsiaTheme="minorHAnsi" w:cs="Times New Roman"/>
          <w:b w:val="0"/>
          <w:bCs w:val="0"/>
          <w:szCs w:val="24"/>
        </w:rPr>
        <w:id w:val="9467903"/>
        <w:docPartObj>
          <w:docPartGallery w:val="Table of Contents"/>
          <w:docPartUnique/>
        </w:docPartObj>
      </w:sdtPr>
      <w:sdtContent>
        <w:p w:rsidR="00AB2D83" w:rsidRPr="00EF0E74" w:rsidRDefault="00BD3FC6" w:rsidP="00B223F4">
          <w:pPr>
            <w:pStyle w:val="TOCHeading"/>
            <w:jc w:val="center"/>
            <w:rPr>
              <w:rFonts w:cs="Times New Roman"/>
              <w:szCs w:val="24"/>
            </w:rPr>
          </w:pPr>
          <w:r w:rsidRPr="00EF0E74">
            <w:rPr>
              <w:rFonts w:eastAsiaTheme="minorHAnsi" w:cs="Times New Roman"/>
              <w:bCs w:val="0"/>
              <w:szCs w:val="24"/>
            </w:rPr>
            <w:t xml:space="preserve">Table of </w:t>
          </w:r>
          <w:r w:rsidR="00AB2D83" w:rsidRPr="00EF0E74">
            <w:rPr>
              <w:rFonts w:cs="Times New Roman"/>
              <w:szCs w:val="24"/>
            </w:rPr>
            <w:t>Contents</w:t>
          </w:r>
        </w:p>
        <w:p w:rsidR="00B223F4" w:rsidRPr="00EF0E74" w:rsidRDefault="005B050A">
          <w:pPr>
            <w:pStyle w:val="TOC1"/>
            <w:tabs>
              <w:tab w:val="right" w:leader="dot" w:pos="9350"/>
            </w:tabs>
            <w:rPr>
              <w:noProof/>
            </w:rPr>
          </w:pPr>
          <w:r w:rsidRPr="005B050A">
            <w:fldChar w:fldCharType="begin"/>
          </w:r>
          <w:r w:rsidR="00AB2D83" w:rsidRPr="00EF0E74">
            <w:instrText xml:space="preserve"> TOC \o "1-3" \h \z \u </w:instrText>
          </w:r>
          <w:r w:rsidRPr="005B050A">
            <w:fldChar w:fldCharType="separate"/>
          </w:r>
          <w:hyperlink w:anchor="_Toc425928337" w:history="1">
            <w:r w:rsidR="00B223F4" w:rsidRPr="00EF0E74">
              <w:rPr>
                <w:rStyle w:val="Hyperlink"/>
                <w:noProof/>
              </w:rPr>
              <w:t>Chapter 1: Introduction</w:t>
            </w:r>
            <w:r w:rsidR="00B223F4" w:rsidRPr="00EF0E74">
              <w:rPr>
                <w:noProof/>
                <w:webHidden/>
              </w:rPr>
              <w:tab/>
            </w:r>
            <w:r w:rsidRPr="00EF0E74">
              <w:rPr>
                <w:noProof/>
                <w:webHidden/>
              </w:rPr>
              <w:fldChar w:fldCharType="begin"/>
            </w:r>
            <w:r w:rsidR="00B223F4" w:rsidRPr="00EF0E74">
              <w:rPr>
                <w:noProof/>
                <w:webHidden/>
              </w:rPr>
              <w:instrText xml:space="preserve"> PAGEREF _Toc425928337 \h </w:instrText>
            </w:r>
            <w:r w:rsidRPr="00EF0E74">
              <w:rPr>
                <w:noProof/>
                <w:webHidden/>
              </w:rPr>
            </w:r>
            <w:r w:rsidRPr="00EF0E74">
              <w:rPr>
                <w:noProof/>
                <w:webHidden/>
              </w:rPr>
              <w:fldChar w:fldCharType="separate"/>
            </w:r>
            <w:r w:rsidR="00B223F4" w:rsidRPr="00EF0E74">
              <w:rPr>
                <w:noProof/>
                <w:webHidden/>
              </w:rPr>
              <w:t>1</w:t>
            </w:r>
            <w:r w:rsidRPr="00EF0E74">
              <w:rPr>
                <w:noProof/>
                <w:webHidden/>
              </w:rPr>
              <w:fldChar w:fldCharType="end"/>
            </w:r>
          </w:hyperlink>
        </w:p>
        <w:p w:rsidR="00B223F4" w:rsidRPr="00EF0E74" w:rsidRDefault="005B050A">
          <w:pPr>
            <w:pStyle w:val="TOC2"/>
            <w:tabs>
              <w:tab w:val="right" w:leader="dot" w:pos="9350"/>
            </w:tabs>
            <w:rPr>
              <w:noProof/>
            </w:rPr>
          </w:pPr>
          <w:hyperlink w:anchor="_Toc425928338" w:history="1">
            <w:r w:rsidR="00B223F4" w:rsidRPr="00EF0E74">
              <w:rPr>
                <w:rStyle w:val="Hyperlink"/>
                <w:noProof/>
              </w:rPr>
              <w:t>Discrimination and Trauma</w:t>
            </w:r>
            <w:r w:rsidR="00B223F4" w:rsidRPr="00EF0E74">
              <w:rPr>
                <w:noProof/>
                <w:webHidden/>
              </w:rPr>
              <w:tab/>
            </w:r>
            <w:r w:rsidRPr="00EF0E74">
              <w:rPr>
                <w:noProof/>
                <w:webHidden/>
              </w:rPr>
              <w:fldChar w:fldCharType="begin"/>
            </w:r>
            <w:r w:rsidR="00B223F4" w:rsidRPr="00EF0E74">
              <w:rPr>
                <w:noProof/>
                <w:webHidden/>
              </w:rPr>
              <w:instrText xml:space="preserve"> PAGEREF _Toc425928338 \h </w:instrText>
            </w:r>
            <w:r w:rsidRPr="00EF0E74">
              <w:rPr>
                <w:noProof/>
                <w:webHidden/>
              </w:rPr>
            </w:r>
            <w:r w:rsidRPr="00EF0E74">
              <w:rPr>
                <w:noProof/>
                <w:webHidden/>
              </w:rPr>
              <w:fldChar w:fldCharType="separate"/>
            </w:r>
            <w:r w:rsidR="00B223F4" w:rsidRPr="00EF0E74">
              <w:rPr>
                <w:noProof/>
                <w:webHidden/>
              </w:rPr>
              <w:t>3</w:t>
            </w:r>
            <w:r w:rsidRPr="00EF0E74">
              <w:rPr>
                <w:noProof/>
                <w:webHidden/>
              </w:rPr>
              <w:fldChar w:fldCharType="end"/>
            </w:r>
          </w:hyperlink>
        </w:p>
        <w:p w:rsidR="00B223F4" w:rsidRPr="00EF0E74" w:rsidRDefault="005B050A">
          <w:pPr>
            <w:pStyle w:val="TOC3"/>
            <w:tabs>
              <w:tab w:val="right" w:leader="dot" w:pos="9350"/>
            </w:tabs>
            <w:rPr>
              <w:noProof/>
            </w:rPr>
          </w:pPr>
          <w:hyperlink w:anchor="_Toc425928339" w:history="1">
            <w:r w:rsidR="00B223F4" w:rsidRPr="00EF0E74">
              <w:rPr>
                <w:rStyle w:val="Hyperlink"/>
                <w:noProof/>
              </w:rPr>
              <w:t>Sexual orientation and trauma</w:t>
            </w:r>
            <w:r w:rsidR="00B223F4" w:rsidRPr="00EF0E74">
              <w:rPr>
                <w:noProof/>
                <w:webHidden/>
              </w:rPr>
              <w:tab/>
            </w:r>
            <w:r w:rsidRPr="00EF0E74">
              <w:rPr>
                <w:noProof/>
                <w:webHidden/>
              </w:rPr>
              <w:fldChar w:fldCharType="begin"/>
            </w:r>
            <w:r w:rsidR="00B223F4" w:rsidRPr="00EF0E74">
              <w:rPr>
                <w:noProof/>
                <w:webHidden/>
              </w:rPr>
              <w:instrText xml:space="preserve"> PAGEREF _Toc425928339 \h </w:instrText>
            </w:r>
            <w:r w:rsidRPr="00EF0E74">
              <w:rPr>
                <w:noProof/>
                <w:webHidden/>
              </w:rPr>
            </w:r>
            <w:r w:rsidRPr="00EF0E74">
              <w:rPr>
                <w:noProof/>
                <w:webHidden/>
              </w:rPr>
              <w:fldChar w:fldCharType="separate"/>
            </w:r>
            <w:r w:rsidR="00B223F4" w:rsidRPr="00EF0E74">
              <w:rPr>
                <w:noProof/>
                <w:webHidden/>
              </w:rPr>
              <w:t>5</w:t>
            </w:r>
            <w:r w:rsidRPr="00EF0E74">
              <w:rPr>
                <w:noProof/>
                <w:webHidden/>
              </w:rPr>
              <w:fldChar w:fldCharType="end"/>
            </w:r>
          </w:hyperlink>
        </w:p>
        <w:p w:rsidR="00B223F4" w:rsidRPr="00EF0E74" w:rsidRDefault="005B050A">
          <w:pPr>
            <w:pStyle w:val="TOC2"/>
            <w:tabs>
              <w:tab w:val="right" w:leader="dot" w:pos="9350"/>
            </w:tabs>
            <w:rPr>
              <w:noProof/>
            </w:rPr>
          </w:pPr>
          <w:hyperlink w:anchor="_Toc425928340" w:history="1">
            <w:r w:rsidR="00B223F4" w:rsidRPr="00EF0E74">
              <w:rPr>
                <w:rStyle w:val="Hyperlink"/>
                <w:noProof/>
              </w:rPr>
              <w:t>Minority Stress Model</w:t>
            </w:r>
            <w:r w:rsidR="00B223F4" w:rsidRPr="00EF0E74">
              <w:rPr>
                <w:noProof/>
                <w:webHidden/>
              </w:rPr>
              <w:tab/>
            </w:r>
            <w:r w:rsidRPr="00EF0E74">
              <w:rPr>
                <w:noProof/>
                <w:webHidden/>
              </w:rPr>
              <w:fldChar w:fldCharType="begin"/>
            </w:r>
            <w:r w:rsidR="00B223F4" w:rsidRPr="00EF0E74">
              <w:rPr>
                <w:noProof/>
                <w:webHidden/>
              </w:rPr>
              <w:instrText xml:space="preserve"> PAGEREF _Toc425928340 \h </w:instrText>
            </w:r>
            <w:r w:rsidRPr="00EF0E74">
              <w:rPr>
                <w:noProof/>
                <w:webHidden/>
              </w:rPr>
            </w:r>
            <w:r w:rsidRPr="00EF0E74">
              <w:rPr>
                <w:noProof/>
                <w:webHidden/>
              </w:rPr>
              <w:fldChar w:fldCharType="separate"/>
            </w:r>
            <w:r w:rsidR="00B223F4" w:rsidRPr="00EF0E74">
              <w:rPr>
                <w:noProof/>
                <w:webHidden/>
              </w:rPr>
              <w:t>6</w:t>
            </w:r>
            <w:r w:rsidRPr="00EF0E74">
              <w:rPr>
                <w:noProof/>
                <w:webHidden/>
              </w:rPr>
              <w:fldChar w:fldCharType="end"/>
            </w:r>
          </w:hyperlink>
        </w:p>
        <w:p w:rsidR="00B223F4" w:rsidRPr="00EF0E74" w:rsidRDefault="005B050A">
          <w:pPr>
            <w:pStyle w:val="TOC3"/>
            <w:tabs>
              <w:tab w:val="right" w:leader="dot" w:pos="9350"/>
            </w:tabs>
            <w:rPr>
              <w:noProof/>
            </w:rPr>
          </w:pPr>
          <w:hyperlink w:anchor="_Toc425928341" w:history="1">
            <w:r w:rsidR="00B223F4" w:rsidRPr="00EF0E74">
              <w:rPr>
                <w:rStyle w:val="Hyperlink"/>
                <w:noProof/>
              </w:rPr>
              <w:t>Minority stress and physical health</w:t>
            </w:r>
            <w:r w:rsidR="00B223F4" w:rsidRPr="00EF0E74">
              <w:rPr>
                <w:noProof/>
                <w:webHidden/>
              </w:rPr>
              <w:tab/>
            </w:r>
            <w:r w:rsidRPr="00EF0E74">
              <w:rPr>
                <w:noProof/>
                <w:webHidden/>
              </w:rPr>
              <w:fldChar w:fldCharType="begin"/>
            </w:r>
            <w:r w:rsidR="00B223F4" w:rsidRPr="00EF0E74">
              <w:rPr>
                <w:noProof/>
                <w:webHidden/>
              </w:rPr>
              <w:instrText xml:space="preserve"> PAGEREF _Toc425928341 \h </w:instrText>
            </w:r>
            <w:r w:rsidRPr="00EF0E74">
              <w:rPr>
                <w:noProof/>
                <w:webHidden/>
              </w:rPr>
            </w:r>
            <w:r w:rsidRPr="00EF0E74">
              <w:rPr>
                <w:noProof/>
                <w:webHidden/>
              </w:rPr>
              <w:fldChar w:fldCharType="separate"/>
            </w:r>
            <w:r w:rsidR="00B223F4" w:rsidRPr="00EF0E74">
              <w:rPr>
                <w:noProof/>
                <w:webHidden/>
              </w:rPr>
              <w:t>8</w:t>
            </w:r>
            <w:r w:rsidRPr="00EF0E74">
              <w:rPr>
                <w:noProof/>
                <w:webHidden/>
              </w:rPr>
              <w:fldChar w:fldCharType="end"/>
            </w:r>
          </w:hyperlink>
        </w:p>
        <w:p w:rsidR="00B223F4" w:rsidRPr="00EF0E74" w:rsidRDefault="005B050A">
          <w:pPr>
            <w:pStyle w:val="TOC2"/>
            <w:tabs>
              <w:tab w:val="right" w:leader="dot" w:pos="9350"/>
            </w:tabs>
            <w:rPr>
              <w:noProof/>
            </w:rPr>
          </w:pPr>
          <w:hyperlink w:anchor="_Toc425928342" w:history="1">
            <w:r w:rsidR="00B223F4" w:rsidRPr="00EF0E74">
              <w:rPr>
                <w:rStyle w:val="Hyperlink"/>
                <w:noProof/>
              </w:rPr>
              <w:t>Current Study</w:t>
            </w:r>
            <w:r w:rsidR="00B223F4" w:rsidRPr="00EF0E74">
              <w:rPr>
                <w:noProof/>
                <w:webHidden/>
              </w:rPr>
              <w:tab/>
            </w:r>
            <w:r w:rsidRPr="00EF0E74">
              <w:rPr>
                <w:noProof/>
                <w:webHidden/>
              </w:rPr>
              <w:fldChar w:fldCharType="begin"/>
            </w:r>
            <w:r w:rsidR="00B223F4" w:rsidRPr="00EF0E74">
              <w:rPr>
                <w:noProof/>
                <w:webHidden/>
              </w:rPr>
              <w:instrText xml:space="preserve"> PAGEREF _Toc425928342 \h </w:instrText>
            </w:r>
            <w:r w:rsidRPr="00EF0E74">
              <w:rPr>
                <w:noProof/>
                <w:webHidden/>
              </w:rPr>
            </w:r>
            <w:r w:rsidRPr="00EF0E74">
              <w:rPr>
                <w:noProof/>
                <w:webHidden/>
              </w:rPr>
              <w:fldChar w:fldCharType="separate"/>
            </w:r>
            <w:r w:rsidR="00B223F4" w:rsidRPr="00EF0E74">
              <w:rPr>
                <w:noProof/>
                <w:webHidden/>
              </w:rPr>
              <w:t>11</w:t>
            </w:r>
            <w:r w:rsidRPr="00EF0E74">
              <w:rPr>
                <w:noProof/>
                <w:webHidden/>
              </w:rPr>
              <w:fldChar w:fldCharType="end"/>
            </w:r>
          </w:hyperlink>
        </w:p>
        <w:p w:rsidR="00B223F4" w:rsidRPr="00EF0E74" w:rsidRDefault="005B050A">
          <w:pPr>
            <w:pStyle w:val="TOC1"/>
            <w:tabs>
              <w:tab w:val="right" w:leader="dot" w:pos="9350"/>
            </w:tabs>
            <w:rPr>
              <w:noProof/>
            </w:rPr>
          </w:pPr>
          <w:hyperlink w:anchor="_Toc425928343" w:history="1">
            <w:r w:rsidR="00B223F4" w:rsidRPr="00EF0E74">
              <w:rPr>
                <w:rStyle w:val="Hyperlink"/>
                <w:noProof/>
              </w:rPr>
              <w:t>Chapter 2: Methods</w:t>
            </w:r>
            <w:r w:rsidR="00B223F4" w:rsidRPr="00EF0E74">
              <w:rPr>
                <w:noProof/>
                <w:webHidden/>
              </w:rPr>
              <w:tab/>
            </w:r>
            <w:r w:rsidRPr="00EF0E74">
              <w:rPr>
                <w:noProof/>
                <w:webHidden/>
              </w:rPr>
              <w:fldChar w:fldCharType="begin"/>
            </w:r>
            <w:r w:rsidR="00B223F4" w:rsidRPr="00EF0E74">
              <w:rPr>
                <w:noProof/>
                <w:webHidden/>
              </w:rPr>
              <w:instrText xml:space="preserve"> PAGEREF _Toc425928343 \h </w:instrText>
            </w:r>
            <w:r w:rsidRPr="00EF0E74">
              <w:rPr>
                <w:noProof/>
                <w:webHidden/>
              </w:rPr>
            </w:r>
            <w:r w:rsidRPr="00EF0E74">
              <w:rPr>
                <w:noProof/>
                <w:webHidden/>
              </w:rPr>
              <w:fldChar w:fldCharType="separate"/>
            </w:r>
            <w:r w:rsidR="00B223F4" w:rsidRPr="00EF0E74">
              <w:rPr>
                <w:noProof/>
                <w:webHidden/>
              </w:rPr>
              <w:t>13</w:t>
            </w:r>
            <w:r w:rsidRPr="00EF0E74">
              <w:rPr>
                <w:noProof/>
                <w:webHidden/>
              </w:rPr>
              <w:fldChar w:fldCharType="end"/>
            </w:r>
          </w:hyperlink>
        </w:p>
        <w:p w:rsidR="00B223F4" w:rsidRPr="00EF0E74" w:rsidRDefault="005B050A">
          <w:pPr>
            <w:pStyle w:val="TOC2"/>
            <w:tabs>
              <w:tab w:val="right" w:leader="dot" w:pos="9350"/>
            </w:tabs>
            <w:rPr>
              <w:noProof/>
            </w:rPr>
          </w:pPr>
          <w:hyperlink w:anchor="_Toc425928344" w:history="1">
            <w:r w:rsidR="00B223F4" w:rsidRPr="00EF0E74">
              <w:rPr>
                <w:rStyle w:val="Hyperlink"/>
                <w:noProof/>
              </w:rPr>
              <w:t>Participants</w:t>
            </w:r>
            <w:r w:rsidR="00B223F4" w:rsidRPr="00EF0E74">
              <w:rPr>
                <w:noProof/>
                <w:webHidden/>
              </w:rPr>
              <w:tab/>
            </w:r>
            <w:r w:rsidRPr="00EF0E74">
              <w:rPr>
                <w:noProof/>
                <w:webHidden/>
              </w:rPr>
              <w:fldChar w:fldCharType="begin"/>
            </w:r>
            <w:r w:rsidR="00B223F4" w:rsidRPr="00EF0E74">
              <w:rPr>
                <w:noProof/>
                <w:webHidden/>
              </w:rPr>
              <w:instrText xml:space="preserve"> PAGEREF _Toc425928344 \h </w:instrText>
            </w:r>
            <w:r w:rsidRPr="00EF0E74">
              <w:rPr>
                <w:noProof/>
                <w:webHidden/>
              </w:rPr>
            </w:r>
            <w:r w:rsidRPr="00EF0E74">
              <w:rPr>
                <w:noProof/>
                <w:webHidden/>
              </w:rPr>
              <w:fldChar w:fldCharType="separate"/>
            </w:r>
            <w:r w:rsidR="00B223F4" w:rsidRPr="00EF0E74">
              <w:rPr>
                <w:noProof/>
                <w:webHidden/>
              </w:rPr>
              <w:t>13</w:t>
            </w:r>
            <w:r w:rsidRPr="00EF0E74">
              <w:rPr>
                <w:noProof/>
                <w:webHidden/>
              </w:rPr>
              <w:fldChar w:fldCharType="end"/>
            </w:r>
          </w:hyperlink>
        </w:p>
        <w:p w:rsidR="00B223F4" w:rsidRPr="00EF0E74" w:rsidRDefault="005B050A">
          <w:pPr>
            <w:pStyle w:val="TOC3"/>
            <w:tabs>
              <w:tab w:val="right" w:leader="dot" w:pos="9350"/>
            </w:tabs>
            <w:rPr>
              <w:noProof/>
            </w:rPr>
          </w:pPr>
          <w:hyperlink w:anchor="_Toc425928345" w:history="1">
            <w:r w:rsidR="00B223F4" w:rsidRPr="00EF0E74">
              <w:rPr>
                <w:rStyle w:val="Hyperlink"/>
                <w:noProof/>
              </w:rPr>
              <w:t>Power analysis</w:t>
            </w:r>
            <w:r w:rsidR="00B223F4" w:rsidRPr="00EF0E74">
              <w:rPr>
                <w:noProof/>
                <w:webHidden/>
              </w:rPr>
              <w:tab/>
            </w:r>
            <w:r w:rsidRPr="00EF0E74">
              <w:rPr>
                <w:noProof/>
                <w:webHidden/>
              </w:rPr>
              <w:fldChar w:fldCharType="begin"/>
            </w:r>
            <w:r w:rsidR="00B223F4" w:rsidRPr="00EF0E74">
              <w:rPr>
                <w:noProof/>
                <w:webHidden/>
              </w:rPr>
              <w:instrText xml:space="preserve"> PAGEREF _Toc425928345 \h </w:instrText>
            </w:r>
            <w:r w:rsidRPr="00EF0E74">
              <w:rPr>
                <w:noProof/>
                <w:webHidden/>
              </w:rPr>
            </w:r>
            <w:r w:rsidRPr="00EF0E74">
              <w:rPr>
                <w:noProof/>
                <w:webHidden/>
              </w:rPr>
              <w:fldChar w:fldCharType="separate"/>
            </w:r>
            <w:r w:rsidR="00B223F4" w:rsidRPr="00EF0E74">
              <w:rPr>
                <w:noProof/>
                <w:webHidden/>
              </w:rPr>
              <w:t>15</w:t>
            </w:r>
            <w:r w:rsidRPr="00EF0E74">
              <w:rPr>
                <w:noProof/>
                <w:webHidden/>
              </w:rPr>
              <w:fldChar w:fldCharType="end"/>
            </w:r>
          </w:hyperlink>
        </w:p>
        <w:p w:rsidR="00B223F4" w:rsidRPr="00EF0E74" w:rsidRDefault="005B050A">
          <w:pPr>
            <w:pStyle w:val="TOC2"/>
            <w:tabs>
              <w:tab w:val="right" w:leader="dot" w:pos="9350"/>
            </w:tabs>
            <w:rPr>
              <w:noProof/>
            </w:rPr>
          </w:pPr>
          <w:hyperlink w:anchor="_Toc425928346" w:history="1">
            <w:r w:rsidR="00B223F4" w:rsidRPr="00EF0E74">
              <w:rPr>
                <w:rStyle w:val="Hyperlink"/>
                <w:noProof/>
              </w:rPr>
              <w:t>Measures</w:t>
            </w:r>
            <w:r w:rsidR="00B223F4" w:rsidRPr="00EF0E74">
              <w:rPr>
                <w:noProof/>
                <w:webHidden/>
              </w:rPr>
              <w:tab/>
            </w:r>
            <w:r w:rsidRPr="00EF0E74">
              <w:rPr>
                <w:noProof/>
                <w:webHidden/>
              </w:rPr>
              <w:fldChar w:fldCharType="begin"/>
            </w:r>
            <w:r w:rsidR="00B223F4" w:rsidRPr="00EF0E74">
              <w:rPr>
                <w:noProof/>
                <w:webHidden/>
              </w:rPr>
              <w:instrText xml:space="preserve"> PAGEREF _Toc425928346 \h </w:instrText>
            </w:r>
            <w:r w:rsidRPr="00EF0E74">
              <w:rPr>
                <w:noProof/>
                <w:webHidden/>
              </w:rPr>
            </w:r>
            <w:r w:rsidRPr="00EF0E74">
              <w:rPr>
                <w:noProof/>
                <w:webHidden/>
              </w:rPr>
              <w:fldChar w:fldCharType="separate"/>
            </w:r>
            <w:r w:rsidR="00B223F4" w:rsidRPr="00EF0E74">
              <w:rPr>
                <w:noProof/>
                <w:webHidden/>
              </w:rPr>
              <w:t>15</w:t>
            </w:r>
            <w:r w:rsidRPr="00EF0E74">
              <w:rPr>
                <w:noProof/>
                <w:webHidden/>
              </w:rPr>
              <w:fldChar w:fldCharType="end"/>
            </w:r>
          </w:hyperlink>
        </w:p>
        <w:p w:rsidR="00B223F4" w:rsidRPr="00EF0E74" w:rsidRDefault="005B050A">
          <w:pPr>
            <w:pStyle w:val="TOC3"/>
            <w:tabs>
              <w:tab w:val="right" w:leader="dot" w:pos="9350"/>
            </w:tabs>
            <w:rPr>
              <w:noProof/>
            </w:rPr>
          </w:pPr>
          <w:hyperlink w:anchor="_Toc425928347" w:history="1">
            <w:r w:rsidR="00B223F4" w:rsidRPr="00EF0E74">
              <w:rPr>
                <w:rStyle w:val="Hyperlink"/>
                <w:noProof/>
              </w:rPr>
              <w:t>General traumatic events</w:t>
            </w:r>
            <w:r w:rsidR="00B223F4" w:rsidRPr="00EF0E74">
              <w:rPr>
                <w:noProof/>
                <w:webHidden/>
              </w:rPr>
              <w:tab/>
            </w:r>
            <w:r w:rsidRPr="00EF0E74">
              <w:rPr>
                <w:noProof/>
                <w:webHidden/>
              </w:rPr>
              <w:fldChar w:fldCharType="begin"/>
            </w:r>
            <w:r w:rsidR="00B223F4" w:rsidRPr="00EF0E74">
              <w:rPr>
                <w:noProof/>
                <w:webHidden/>
              </w:rPr>
              <w:instrText xml:space="preserve"> PAGEREF _Toc425928347 \h </w:instrText>
            </w:r>
            <w:r w:rsidRPr="00EF0E74">
              <w:rPr>
                <w:noProof/>
                <w:webHidden/>
              </w:rPr>
            </w:r>
            <w:r w:rsidRPr="00EF0E74">
              <w:rPr>
                <w:noProof/>
                <w:webHidden/>
              </w:rPr>
              <w:fldChar w:fldCharType="separate"/>
            </w:r>
            <w:r w:rsidR="00B223F4" w:rsidRPr="00EF0E74">
              <w:rPr>
                <w:noProof/>
                <w:webHidden/>
              </w:rPr>
              <w:t>15</w:t>
            </w:r>
            <w:r w:rsidRPr="00EF0E74">
              <w:rPr>
                <w:noProof/>
                <w:webHidden/>
              </w:rPr>
              <w:fldChar w:fldCharType="end"/>
            </w:r>
          </w:hyperlink>
        </w:p>
        <w:p w:rsidR="00B223F4" w:rsidRPr="00EF0E74" w:rsidRDefault="005B050A">
          <w:pPr>
            <w:pStyle w:val="TOC3"/>
            <w:tabs>
              <w:tab w:val="right" w:leader="dot" w:pos="9350"/>
            </w:tabs>
            <w:rPr>
              <w:noProof/>
            </w:rPr>
          </w:pPr>
          <w:hyperlink w:anchor="_Toc425928348" w:history="1">
            <w:r w:rsidR="00B223F4" w:rsidRPr="00EF0E74">
              <w:rPr>
                <w:rStyle w:val="Hyperlink"/>
                <w:noProof/>
              </w:rPr>
              <w:t>Perceived anti-bisexual prejudice</w:t>
            </w:r>
            <w:r w:rsidR="00B223F4" w:rsidRPr="00EF0E74">
              <w:rPr>
                <w:noProof/>
                <w:webHidden/>
              </w:rPr>
              <w:tab/>
            </w:r>
            <w:r w:rsidRPr="00EF0E74">
              <w:rPr>
                <w:noProof/>
                <w:webHidden/>
              </w:rPr>
              <w:fldChar w:fldCharType="begin"/>
            </w:r>
            <w:r w:rsidR="00B223F4" w:rsidRPr="00EF0E74">
              <w:rPr>
                <w:noProof/>
                <w:webHidden/>
              </w:rPr>
              <w:instrText xml:space="preserve"> PAGEREF _Toc425928348 \h </w:instrText>
            </w:r>
            <w:r w:rsidRPr="00EF0E74">
              <w:rPr>
                <w:noProof/>
                <w:webHidden/>
              </w:rPr>
            </w:r>
            <w:r w:rsidRPr="00EF0E74">
              <w:rPr>
                <w:noProof/>
                <w:webHidden/>
              </w:rPr>
              <w:fldChar w:fldCharType="separate"/>
            </w:r>
            <w:r w:rsidR="00B223F4" w:rsidRPr="00EF0E74">
              <w:rPr>
                <w:noProof/>
                <w:webHidden/>
              </w:rPr>
              <w:t>16</w:t>
            </w:r>
            <w:r w:rsidRPr="00EF0E74">
              <w:rPr>
                <w:noProof/>
                <w:webHidden/>
              </w:rPr>
              <w:fldChar w:fldCharType="end"/>
            </w:r>
          </w:hyperlink>
        </w:p>
        <w:p w:rsidR="00B223F4" w:rsidRPr="00EF0E74" w:rsidRDefault="005B050A">
          <w:pPr>
            <w:pStyle w:val="TOC3"/>
            <w:tabs>
              <w:tab w:val="right" w:leader="dot" w:pos="9350"/>
            </w:tabs>
            <w:rPr>
              <w:noProof/>
            </w:rPr>
          </w:pPr>
          <w:hyperlink w:anchor="_Toc425928349" w:history="1">
            <w:r w:rsidR="00B223F4" w:rsidRPr="00EF0E74">
              <w:rPr>
                <w:rStyle w:val="Hyperlink"/>
                <w:noProof/>
              </w:rPr>
              <w:t>Internalized biphobia</w:t>
            </w:r>
            <w:r w:rsidR="00B223F4" w:rsidRPr="00EF0E74">
              <w:rPr>
                <w:noProof/>
                <w:webHidden/>
              </w:rPr>
              <w:tab/>
            </w:r>
            <w:r w:rsidRPr="00EF0E74">
              <w:rPr>
                <w:noProof/>
                <w:webHidden/>
              </w:rPr>
              <w:fldChar w:fldCharType="begin"/>
            </w:r>
            <w:r w:rsidR="00B223F4" w:rsidRPr="00EF0E74">
              <w:rPr>
                <w:noProof/>
                <w:webHidden/>
              </w:rPr>
              <w:instrText xml:space="preserve"> PAGEREF _Toc425928349 \h </w:instrText>
            </w:r>
            <w:r w:rsidRPr="00EF0E74">
              <w:rPr>
                <w:noProof/>
                <w:webHidden/>
              </w:rPr>
            </w:r>
            <w:r w:rsidRPr="00EF0E74">
              <w:rPr>
                <w:noProof/>
                <w:webHidden/>
              </w:rPr>
              <w:fldChar w:fldCharType="separate"/>
            </w:r>
            <w:r w:rsidR="00B223F4" w:rsidRPr="00EF0E74">
              <w:rPr>
                <w:noProof/>
                <w:webHidden/>
              </w:rPr>
              <w:t>17</w:t>
            </w:r>
            <w:r w:rsidRPr="00EF0E74">
              <w:rPr>
                <w:noProof/>
                <w:webHidden/>
              </w:rPr>
              <w:fldChar w:fldCharType="end"/>
            </w:r>
          </w:hyperlink>
        </w:p>
        <w:p w:rsidR="00B223F4" w:rsidRPr="00EF0E74" w:rsidRDefault="005B050A">
          <w:pPr>
            <w:pStyle w:val="TOC3"/>
            <w:tabs>
              <w:tab w:val="right" w:leader="dot" w:pos="9350"/>
            </w:tabs>
            <w:rPr>
              <w:noProof/>
            </w:rPr>
          </w:pPr>
          <w:hyperlink w:anchor="_Toc425928350" w:history="1">
            <w:r w:rsidR="00B223F4" w:rsidRPr="00EF0E74">
              <w:rPr>
                <w:rStyle w:val="Hyperlink"/>
                <w:noProof/>
              </w:rPr>
              <w:t>Post-traumatic disorder symptoms</w:t>
            </w:r>
            <w:r w:rsidR="00B223F4" w:rsidRPr="00EF0E74">
              <w:rPr>
                <w:noProof/>
                <w:webHidden/>
              </w:rPr>
              <w:tab/>
            </w:r>
            <w:r w:rsidRPr="00EF0E74">
              <w:rPr>
                <w:noProof/>
                <w:webHidden/>
              </w:rPr>
              <w:fldChar w:fldCharType="begin"/>
            </w:r>
            <w:r w:rsidR="00B223F4" w:rsidRPr="00EF0E74">
              <w:rPr>
                <w:noProof/>
                <w:webHidden/>
              </w:rPr>
              <w:instrText xml:space="preserve"> PAGEREF _Toc425928350 \h </w:instrText>
            </w:r>
            <w:r w:rsidRPr="00EF0E74">
              <w:rPr>
                <w:noProof/>
                <w:webHidden/>
              </w:rPr>
            </w:r>
            <w:r w:rsidRPr="00EF0E74">
              <w:rPr>
                <w:noProof/>
                <w:webHidden/>
              </w:rPr>
              <w:fldChar w:fldCharType="separate"/>
            </w:r>
            <w:r w:rsidR="00B223F4" w:rsidRPr="00EF0E74">
              <w:rPr>
                <w:noProof/>
                <w:webHidden/>
              </w:rPr>
              <w:t>17</w:t>
            </w:r>
            <w:r w:rsidRPr="00EF0E74">
              <w:rPr>
                <w:noProof/>
                <w:webHidden/>
              </w:rPr>
              <w:fldChar w:fldCharType="end"/>
            </w:r>
          </w:hyperlink>
        </w:p>
        <w:p w:rsidR="00B223F4" w:rsidRPr="00EF0E74" w:rsidRDefault="005B050A">
          <w:pPr>
            <w:pStyle w:val="TOC3"/>
            <w:tabs>
              <w:tab w:val="right" w:leader="dot" w:pos="9350"/>
            </w:tabs>
            <w:rPr>
              <w:noProof/>
            </w:rPr>
          </w:pPr>
          <w:hyperlink w:anchor="_Toc425928351" w:history="1">
            <w:r w:rsidR="00B223F4" w:rsidRPr="00EF0E74">
              <w:rPr>
                <w:rStyle w:val="Hyperlink"/>
                <w:noProof/>
              </w:rPr>
              <w:t>Depressive symptoms</w:t>
            </w:r>
            <w:r w:rsidR="00B223F4" w:rsidRPr="00EF0E74">
              <w:rPr>
                <w:noProof/>
                <w:webHidden/>
              </w:rPr>
              <w:tab/>
            </w:r>
            <w:r w:rsidRPr="00EF0E74">
              <w:rPr>
                <w:noProof/>
                <w:webHidden/>
              </w:rPr>
              <w:fldChar w:fldCharType="begin"/>
            </w:r>
            <w:r w:rsidR="00B223F4" w:rsidRPr="00EF0E74">
              <w:rPr>
                <w:noProof/>
                <w:webHidden/>
              </w:rPr>
              <w:instrText xml:space="preserve"> PAGEREF _Toc425928351 \h </w:instrText>
            </w:r>
            <w:r w:rsidRPr="00EF0E74">
              <w:rPr>
                <w:noProof/>
                <w:webHidden/>
              </w:rPr>
            </w:r>
            <w:r w:rsidRPr="00EF0E74">
              <w:rPr>
                <w:noProof/>
                <w:webHidden/>
              </w:rPr>
              <w:fldChar w:fldCharType="separate"/>
            </w:r>
            <w:r w:rsidR="00B223F4" w:rsidRPr="00EF0E74">
              <w:rPr>
                <w:noProof/>
                <w:webHidden/>
              </w:rPr>
              <w:t>18</w:t>
            </w:r>
            <w:r w:rsidRPr="00EF0E74">
              <w:rPr>
                <w:noProof/>
                <w:webHidden/>
              </w:rPr>
              <w:fldChar w:fldCharType="end"/>
            </w:r>
          </w:hyperlink>
        </w:p>
        <w:p w:rsidR="00B223F4" w:rsidRPr="00EF0E74" w:rsidRDefault="005B050A">
          <w:pPr>
            <w:pStyle w:val="TOC3"/>
            <w:tabs>
              <w:tab w:val="right" w:leader="dot" w:pos="9350"/>
            </w:tabs>
            <w:rPr>
              <w:noProof/>
            </w:rPr>
          </w:pPr>
          <w:hyperlink w:anchor="_Toc425928352" w:history="1">
            <w:r w:rsidR="00B223F4" w:rsidRPr="00EF0E74">
              <w:rPr>
                <w:rStyle w:val="Hyperlink"/>
                <w:noProof/>
              </w:rPr>
              <w:t>General physical health</w:t>
            </w:r>
            <w:r w:rsidR="00B223F4" w:rsidRPr="00EF0E74">
              <w:rPr>
                <w:noProof/>
                <w:webHidden/>
              </w:rPr>
              <w:tab/>
            </w:r>
            <w:r w:rsidRPr="00EF0E74">
              <w:rPr>
                <w:noProof/>
                <w:webHidden/>
              </w:rPr>
              <w:fldChar w:fldCharType="begin"/>
            </w:r>
            <w:r w:rsidR="00B223F4" w:rsidRPr="00EF0E74">
              <w:rPr>
                <w:noProof/>
                <w:webHidden/>
              </w:rPr>
              <w:instrText xml:space="preserve"> PAGEREF _Toc425928352 \h </w:instrText>
            </w:r>
            <w:r w:rsidRPr="00EF0E74">
              <w:rPr>
                <w:noProof/>
                <w:webHidden/>
              </w:rPr>
            </w:r>
            <w:r w:rsidRPr="00EF0E74">
              <w:rPr>
                <w:noProof/>
                <w:webHidden/>
              </w:rPr>
              <w:fldChar w:fldCharType="separate"/>
            </w:r>
            <w:r w:rsidR="00B223F4" w:rsidRPr="00EF0E74">
              <w:rPr>
                <w:noProof/>
                <w:webHidden/>
              </w:rPr>
              <w:t>19</w:t>
            </w:r>
            <w:r w:rsidRPr="00EF0E74">
              <w:rPr>
                <w:noProof/>
                <w:webHidden/>
              </w:rPr>
              <w:fldChar w:fldCharType="end"/>
            </w:r>
          </w:hyperlink>
        </w:p>
        <w:p w:rsidR="00B223F4" w:rsidRPr="00EF0E74" w:rsidRDefault="005B050A">
          <w:pPr>
            <w:pStyle w:val="TOC2"/>
            <w:tabs>
              <w:tab w:val="right" w:leader="dot" w:pos="9350"/>
            </w:tabs>
            <w:rPr>
              <w:noProof/>
            </w:rPr>
          </w:pPr>
          <w:hyperlink w:anchor="_Toc425928353" w:history="1">
            <w:r w:rsidR="00B223F4" w:rsidRPr="00EF0E74">
              <w:rPr>
                <w:rStyle w:val="Hyperlink"/>
                <w:noProof/>
              </w:rPr>
              <w:t>Procedure</w:t>
            </w:r>
            <w:r w:rsidR="00B223F4" w:rsidRPr="00EF0E74">
              <w:rPr>
                <w:noProof/>
                <w:webHidden/>
              </w:rPr>
              <w:tab/>
            </w:r>
            <w:r w:rsidRPr="00EF0E74">
              <w:rPr>
                <w:noProof/>
                <w:webHidden/>
              </w:rPr>
              <w:fldChar w:fldCharType="begin"/>
            </w:r>
            <w:r w:rsidR="00B223F4" w:rsidRPr="00EF0E74">
              <w:rPr>
                <w:noProof/>
                <w:webHidden/>
              </w:rPr>
              <w:instrText xml:space="preserve"> PAGEREF _Toc425928353 \h </w:instrText>
            </w:r>
            <w:r w:rsidRPr="00EF0E74">
              <w:rPr>
                <w:noProof/>
                <w:webHidden/>
              </w:rPr>
            </w:r>
            <w:r w:rsidRPr="00EF0E74">
              <w:rPr>
                <w:noProof/>
                <w:webHidden/>
              </w:rPr>
              <w:fldChar w:fldCharType="separate"/>
            </w:r>
            <w:r w:rsidR="00B223F4" w:rsidRPr="00EF0E74">
              <w:rPr>
                <w:noProof/>
                <w:webHidden/>
              </w:rPr>
              <w:t>19</w:t>
            </w:r>
            <w:r w:rsidRPr="00EF0E74">
              <w:rPr>
                <w:noProof/>
                <w:webHidden/>
              </w:rPr>
              <w:fldChar w:fldCharType="end"/>
            </w:r>
          </w:hyperlink>
        </w:p>
        <w:p w:rsidR="00B223F4" w:rsidRPr="00EF0E74" w:rsidRDefault="005B050A">
          <w:pPr>
            <w:pStyle w:val="TOC1"/>
            <w:tabs>
              <w:tab w:val="right" w:leader="dot" w:pos="9350"/>
            </w:tabs>
            <w:rPr>
              <w:noProof/>
            </w:rPr>
          </w:pPr>
          <w:hyperlink w:anchor="_Toc425928354" w:history="1">
            <w:r w:rsidR="00B223F4" w:rsidRPr="00EF0E74">
              <w:rPr>
                <w:rStyle w:val="Hyperlink"/>
                <w:noProof/>
              </w:rPr>
              <w:t>Chapter 3: Results</w:t>
            </w:r>
            <w:r w:rsidR="00B223F4" w:rsidRPr="00EF0E74">
              <w:rPr>
                <w:noProof/>
                <w:webHidden/>
              </w:rPr>
              <w:tab/>
            </w:r>
            <w:r w:rsidRPr="00EF0E74">
              <w:rPr>
                <w:noProof/>
                <w:webHidden/>
              </w:rPr>
              <w:fldChar w:fldCharType="begin"/>
            </w:r>
            <w:r w:rsidR="00B223F4" w:rsidRPr="00EF0E74">
              <w:rPr>
                <w:noProof/>
                <w:webHidden/>
              </w:rPr>
              <w:instrText xml:space="preserve"> PAGEREF _Toc425928354 \h </w:instrText>
            </w:r>
            <w:r w:rsidRPr="00EF0E74">
              <w:rPr>
                <w:noProof/>
                <w:webHidden/>
              </w:rPr>
            </w:r>
            <w:r w:rsidRPr="00EF0E74">
              <w:rPr>
                <w:noProof/>
                <w:webHidden/>
              </w:rPr>
              <w:fldChar w:fldCharType="separate"/>
            </w:r>
            <w:r w:rsidR="00B223F4" w:rsidRPr="00EF0E74">
              <w:rPr>
                <w:noProof/>
                <w:webHidden/>
              </w:rPr>
              <w:t>21</w:t>
            </w:r>
            <w:r w:rsidRPr="00EF0E74">
              <w:rPr>
                <w:noProof/>
                <w:webHidden/>
              </w:rPr>
              <w:fldChar w:fldCharType="end"/>
            </w:r>
          </w:hyperlink>
        </w:p>
        <w:p w:rsidR="00B223F4" w:rsidRPr="00EF0E74" w:rsidRDefault="005B050A">
          <w:pPr>
            <w:pStyle w:val="TOC2"/>
            <w:tabs>
              <w:tab w:val="right" w:leader="dot" w:pos="9350"/>
            </w:tabs>
            <w:rPr>
              <w:noProof/>
            </w:rPr>
          </w:pPr>
          <w:hyperlink w:anchor="_Toc425928355" w:history="1">
            <w:r w:rsidR="00B223F4" w:rsidRPr="00EF0E74">
              <w:rPr>
                <w:rStyle w:val="Hyperlink"/>
                <w:noProof/>
              </w:rPr>
              <w:t>Primary Analyses</w:t>
            </w:r>
            <w:r w:rsidR="00B223F4" w:rsidRPr="00EF0E74">
              <w:rPr>
                <w:noProof/>
                <w:webHidden/>
              </w:rPr>
              <w:tab/>
            </w:r>
            <w:r w:rsidRPr="00EF0E74">
              <w:rPr>
                <w:noProof/>
                <w:webHidden/>
              </w:rPr>
              <w:fldChar w:fldCharType="begin"/>
            </w:r>
            <w:r w:rsidR="00B223F4" w:rsidRPr="00EF0E74">
              <w:rPr>
                <w:noProof/>
                <w:webHidden/>
              </w:rPr>
              <w:instrText xml:space="preserve"> PAGEREF _Toc425928355 \h </w:instrText>
            </w:r>
            <w:r w:rsidRPr="00EF0E74">
              <w:rPr>
                <w:noProof/>
                <w:webHidden/>
              </w:rPr>
            </w:r>
            <w:r w:rsidRPr="00EF0E74">
              <w:rPr>
                <w:noProof/>
                <w:webHidden/>
              </w:rPr>
              <w:fldChar w:fldCharType="separate"/>
            </w:r>
            <w:r w:rsidR="00B223F4" w:rsidRPr="00EF0E74">
              <w:rPr>
                <w:noProof/>
                <w:webHidden/>
              </w:rPr>
              <w:t>22</w:t>
            </w:r>
            <w:r w:rsidRPr="00EF0E74">
              <w:rPr>
                <w:noProof/>
                <w:webHidden/>
              </w:rPr>
              <w:fldChar w:fldCharType="end"/>
            </w:r>
          </w:hyperlink>
        </w:p>
        <w:p w:rsidR="00B223F4" w:rsidRPr="00EF0E74" w:rsidRDefault="005B050A">
          <w:pPr>
            <w:pStyle w:val="TOC1"/>
            <w:tabs>
              <w:tab w:val="right" w:leader="dot" w:pos="9350"/>
            </w:tabs>
            <w:rPr>
              <w:noProof/>
            </w:rPr>
          </w:pPr>
          <w:hyperlink w:anchor="_Toc425928356" w:history="1">
            <w:r w:rsidR="00B223F4" w:rsidRPr="00EF0E74">
              <w:rPr>
                <w:rStyle w:val="Hyperlink"/>
                <w:noProof/>
              </w:rPr>
              <w:t>Chapter 4: Discussion</w:t>
            </w:r>
            <w:r w:rsidR="00B223F4" w:rsidRPr="00EF0E74">
              <w:rPr>
                <w:noProof/>
                <w:webHidden/>
              </w:rPr>
              <w:tab/>
            </w:r>
            <w:r w:rsidRPr="00EF0E74">
              <w:rPr>
                <w:noProof/>
                <w:webHidden/>
              </w:rPr>
              <w:fldChar w:fldCharType="begin"/>
            </w:r>
            <w:r w:rsidR="00B223F4" w:rsidRPr="00EF0E74">
              <w:rPr>
                <w:noProof/>
                <w:webHidden/>
              </w:rPr>
              <w:instrText xml:space="preserve"> PAGEREF _Toc425928356 \h </w:instrText>
            </w:r>
            <w:r w:rsidRPr="00EF0E74">
              <w:rPr>
                <w:noProof/>
                <w:webHidden/>
              </w:rPr>
            </w:r>
            <w:r w:rsidRPr="00EF0E74">
              <w:rPr>
                <w:noProof/>
                <w:webHidden/>
              </w:rPr>
              <w:fldChar w:fldCharType="separate"/>
            </w:r>
            <w:r w:rsidR="00B223F4" w:rsidRPr="00EF0E74">
              <w:rPr>
                <w:noProof/>
                <w:webHidden/>
              </w:rPr>
              <w:t>25</w:t>
            </w:r>
            <w:r w:rsidRPr="00EF0E74">
              <w:rPr>
                <w:noProof/>
                <w:webHidden/>
              </w:rPr>
              <w:fldChar w:fldCharType="end"/>
            </w:r>
          </w:hyperlink>
        </w:p>
        <w:p w:rsidR="00B223F4" w:rsidRPr="00EF0E74" w:rsidRDefault="005B050A">
          <w:pPr>
            <w:pStyle w:val="TOC2"/>
            <w:tabs>
              <w:tab w:val="right" w:leader="dot" w:pos="9350"/>
            </w:tabs>
            <w:rPr>
              <w:noProof/>
            </w:rPr>
          </w:pPr>
          <w:hyperlink w:anchor="_Toc425928357" w:history="1">
            <w:r w:rsidR="00B223F4" w:rsidRPr="00EF0E74">
              <w:rPr>
                <w:rStyle w:val="Hyperlink"/>
                <w:noProof/>
              </w:rPr>
              <w:t>Limitations</w:t>
            </w:r>
            <w:r w:rsidR="00B223F4" w:rsidRPr="00EF0E74">
              <w:rPr>
                <w:noProof/>
                <w:webHidden/>
              </w:rPr>
              <w:tab/>
            </w:r>
            <w:r w:rsidRPr="00EF0E74">
              <w:rPr>
                <w:noProof/>
                <w:webHidden/>
              </w:rPr>
              <w:fldChar w:fldCharType="begin"/>
            </w:r>
            <w:r w:rsidR="00B223F4" w:rsidRPr="00EF0E74">
              <w:rPr>
                <w:noProof/>
                <w:webHidden/>
              </w:rPr>
              <w:instrText xml:space="preserve"> PAGEREF _Toc425928357 \h </w:instrText>
            </w:r>
            <w:r w:rsidRPr="00EF0E74">
              <w:rPr>
                <w:noProof/>
                <w:webHidden/>
              </w:rPr>
            </w:r>
            <w:r w:rsidRPr="00EF0E74">
              <w:rPr>
                <w:noProof/>
                <w:webHidden/>
              </w:rPr>
              <w:fldChar w:fldCharType="separate"/>
            </w:r>
            <w:r w:rsidR="00B223F4" w:rsidRPr="00EF0E74">
              <w:rPr>
                <w:noProof/>
                <w:webHidden/>
              </w:rPr>
              <w:t>29</w:t>
            </w:r>
            <w:r w:rsidRPr="00EF0E74">
              <w:rPr>
                <w:noProof/>
                <w:webHidden/>
              </w:rPr>
              <w:fldChar w:fldCharType="end"/>
            </w:r>
          </w:hyperlink>
        </w:p>
        <w:p w:rsidR="00B223F4" w:rsidRPr="00EF0E74" w:rsidRDefault="005B050A">
          <w:pPr>
            <w:pStyle w:val="TOC2"/>
            <w:tabs>
              <w:tab w:val="right" w:leader="dot" w:pos="9350"/>
            </w:tabs>
            <w:rPr>
              <w:noProof/>
            </w:rPr>
          </w:pPr>
          <w:hyperlink w:anchor="_Toc425928358" w:history="1">
            <w:r w:rsidR="00B223F4" w:rsidRPr="00EF0E74">
              <w:rPr>
                <w:rStyle w:val="Hyperlink"/>
                <w:noProof/>
              </w:rPr>
              <w:t>Practical Implications and Conclusion</w:t>
            </w:r>
            <w:r w:rsidR="00B223F4" w:rsidRPr="00EF0E74">
              <w:rPr>
                <w:noProof/>
                <w:webHidden/>
              </w:rPr>
              <w:tab/>
            </w:r>
            <w:r w:rsidRPr="00EF0E74">
              <w:rPr>
                <w:noProof/>
                <w:webHidden/>
              </w:rPr>
              <w:fldChar w:fldCharType="begin"/>
            </w:r>
            <w:r w:rsidR="00B223F4" w:rsidRPr="00EF0E74">
              <w:rPr>
                <w:noProof/>
                <w:webHidden/>
              </w:rPr>
              <w:instrText xml:space="preserve"> PAGEREF _Toc425928358 \h </w:instrText>
            </w:r>
            <w:r w:rsidRPr="00EF0E74">
              <w:rPr>
                <w:noProof/>
                <w:webHidden/>
              </w:rPr>
            </w:r>
            <w:r w:rsidRPr="00EF0E74">
              <w:rPr>
                <w:noProof/>
                <w:webHidden/>
              </w:rPr>
              <w:fldChar w:fldCharType="separate"/>
            </w:r>
            <w:r w:rsidR="00B223F4" w:rsidRPr="00EF0E74">
              <w:rPr>
                <w:noProof/>
                <w:webHidden/>
              </w:rPr>
              <w:t>31</w:t>
            </w:r>
            <w:r w:rsidRPr="00EF0E74">
              <w:rPr>
                <w:noProof/>
                <w:webHidden/>
              </w:rPr>
              <w:fldChar w:fldCharType="end"/>
            </w:r>
          </w:hyperlink>
        </w:p>
        <w:p w:rsidR="00B223F4" w:rsidRPr="00EF0E74" w:rsidRDefault="005B050A">
          <w:pPr>
            <w:pStyle w:val="TOC1"/>
            <w:tabs>
              <w:tab w:val="right" w:leader="dot" w:pos="9350"/>
            </w:tabs>
            <w:rPr>
              <w:noProof/>
            </w:rPr>
          </w:pPr>
          <w:hyperlink w:anchor="_Toc425928359" w:history="1">
            <w:r w:rsidR="00B223F4" w:rsidRPr="00EF0E74">
              <w:rPr>
                <w:rStyle w:val="Hyperlink"/>
                <w:noProof/>
              </w:rPr>
              <w:t>References</w:t>
            </w:r>
            <w:r w:rsidR="00B223F4" w:rsidRPr="00EF0E74">
              <w:rPr>
                <w:noProof/>
                <w:webHidden/>
              </w:rPr>
              <w:tab/>
            </w:r>
            <w:r w:rsidRPr="00EF0E74">
              <w:rPr>
                <w:noProof/>
                <w:webHidden/>
              </w:rPr>
              <w:fldChar w:fldCharType="begin"/>
            </w:r>
            <w:r w:rsidR="00B223F4" w:rsidRPr="00EF0E74">
              <w:rPr>
                <w:noProof/>
                <w:webHidden/>
              </w:rPr>
              <w:instrText xml:space="preserve"> PAGEREF _Toc425928359 \h </w:instrText>
            </w:r>
            <w:r w:rsidRPr="00EF0E74">
              <w:rPr>
                <w:noProof/>
                <w:webHidden/>
              </w:rPr>
            </w:r>
            <w:r w:rsidRPr="00EF0E74">
              <w:rPr>
                <w:noProof/>
                <w:webHidden/>
              </w:rPr>
              <w:fldChar w:fldCharType="separate"/>
            </w:r>
            <w:r w:rsidR="00B223F4" w:rsidRPr="00EF0E74">
              <w:rPr>
                <w:noProof/>
                <w:webHidden/>
              </w:rPr>
              <w:t>33</w:t>
            </w:r>
            <w:r w:rsidRPr="00EF0E74">
              <w:rPr>
                <w:noProof/>
                <w:webHidden/>
              </w:rPr>
              <w:fldChar w:fldCharType="end"/>
            </w:r>
          </w:hyperlink>
        </w:p>
        <w:p w:rsidR="00B223F4" w:rsidRPr="00EF0E74" w:rsidRDefault="005B050A">
          <w:pPr>
            <w:pStyle w:val="TOC1"/>
            <w:tabs>
              <w:tab w:val="right" w:leader="dot" w:pos="9350"/>
            </w:tabs>
            <w:rPr>
              <w:noProof/>
            </w:rPr>
          </w:pPr>
          <w:hyperlink w:anchor="_Toc425928360" w:history="1">
            <w:r w:rsidR="00B223F4" w:rsidRPr="00EF0E74">
              <w:rPr>
                <w:rStyle w:val="Hyperlink"/>
                <w:noProof/>
              </w:rPr>
              <w:t>Appendices</w:t>
            </w:r>
            <w:r w:rsidR="00B223F4" w:rsidRPr="00EF0E74">
              <w:rPr>
                <w:noProof/>
                <w:webHidden/>
              </w:rPr>
              <w:tab/>
            </w:r>
            <w:r w:rsidRPr="00EF0E74">
              <w:rPr>
                <w:noProof/>
                <w:webHidden/>
              </w:rPr>
              <w:fldChar w:fldCharType="begin"/>
            </w:r>
            <w:r w:rsidR="00B223F4" w:rsidRPr="00EF0E74">
              <w:rPr>
                <w:noProof/>
                <w:webHidden/>
              </w:rPr>
              <w:instrText xml:space="preserve"> PAGEREF _Toc425928360 \h </w:instrText>
            </w:r>
            <w:r w:rsidRPr="00EF0E74">
              <w:rPr>
                <w:noProof/>
                <w:webHidden/>
              </w:rPr>
            </w:r>
            <w:r w:rsidRPr="00EF0E74">
              <w:rPr>
                <w:noProof/>
                <w:webHidden/>
              </w:rPr>
              <w:fldChar w:fldCharType="separate"/>
            </w:r>
            <w:r w:rsidR="00B223F4" w:rsidRPr="00EF0E74">
              <w:rPr>
                <w:noProof/>
                <w:webHidden/>
              </w:rPr>
              <w:t>44</w:t>
            </w:r>
            <w:r w:rsidRPr="00EF0E74">
              <w:rPr>
                <w:noProof/>
                <w:webHidden/>
              </w:rPr>
              <w:fldChar w:fldCharType="end"/>
            </w:r>
          </w:hyperlink>
        </w:p>
        <w:p w:rsidR="00B223F4" w:rsidRPr="00EF0E74" w:rsidRDefault="005B050A">
          <w:pPr>
            <w:pStyle w:val="TOC1"/>
            <w:tabs>
              <w:tab w:val="right" w:leader="dot" w:pos="9350"/>
            </w:tabs>
            <w:rPr>
              <w:noProof/>
            </w:rPr>
          </w:pPr>
          <w:hyperlink w:anchor="_Toc425928361" w:history="1">
            <w:r w:rsidR="00B223F4" w:rsidRPr="00EF0E74">
              <w:rPr>
                <w:rStyle w:val="Hyperlink"/>
                <w:noProof/>
              </w:rPr>
              <w:t>Vita</w:t>
            </w:r>
            <w:r w:rsidR="00B223F4" w:rsidRPr="00EF0E74">
              <w:rPr>
                <w:noProof/>
                <w:webHidden/>
              </w:rPr>
              <w:tab/>
            </w:r>
            <w:r w:rsidRPr="00EF0E74">
              <w:rPr>
                <w:noProof/>
                <w:webHidden/>
              </w:rPr>
              <w:fldChar w:fldCharType="begin"/>
            </w:r>
            <w:r w:rsidR="00B223F4" w:rsidRPr="00EF0E74">
              <w:rPr>
                <w:noProof/>
                <w:webHidden/>
              </w:rPr>
              <w:instrText xml:space="preserve"> PAGEREF _Toc425928361 \h </w:instrText>
            </w:r>
            <w:r w:rsidRPr="00EF0E74">
              <w:rPr>
                <w:noProof/>
                <w:webHidden/>
              </w:rPr>
            </w:r>
            <w:r w:rsidRPr="00EF0E74">
              <w:rPr>
                <w:noProof/>
                <w:webHidden/>
              </w:rPr>
              <w:fldChar w:fldCharType="separate"/>
            </w:r>
            <w:r w:rsidR="00B223F4" w:rsidRPr="00EF0E74">
              <w:rPr>
                <w:noProof/>
                <w:webHidden/>
              </w:rPr>
              <w:t>50</w:t>
            </w:r>
            <w:r w:rsidRPr="00EF0E74">
              <w:rPr>
                <w:noProof/>
                <w:webHidden/>
              </w:rPr>
              <w:fldChar w:fldCharType="end"/>
            </w:r>
          </w:hyperlink>
        </w:p>
        <w:p w:rsidR="00447C2F" w:rsidRPr="00EF0E74" w:rsidRDefault="005B050A">
          <w:pPr>
            <w:sectPr w:rsidR="00447C2F" w:rsidRPr="00EF0E74" w:rsidSect="00BD3FC6">
              <w:headerReference w:type="default" r:id="rId7"/>
              <w:headerReference w:type="first" r:id="rId8"/>
              <w:pgSz w:w="12240" w:h="15840"/>
              <w:pgMar w:top="1440" w:right="1440" w:bottom="1440" w:left="1440" w:header="720" w:footer="720" w:gutter="0"/>
              <w:pgNumType w:fmt="lowerRoman"/>
              <w:cols w:space="720"/>
              <w:titlePg/>
              <w:docGrid w:linePitch="360"/>
            </w:sectPr>
          </w:pPr>
          <w:r w:rsidRPr="00EF0E74">
            <w:fldChar w:fldCharType="end"/>
          </w:r>
        </w:p>
      </w:sdtContent>
    </w:sdt>
    <w:p w:rsidR="005B3DF3" w:rsidRPr="00EF0E74" w:rsidRDefault="00AB2D83" w:rsidP="00AB2D83">
      <w:pPr>
        <w:pStyle w:val="Heading1"/>
        <w:jc w:val="center"/>
        <w:rPr>
          <w:rFonts w:cs="Times New Roman"/>
          <w:szCs w:val="24"/>
        </w:rPr>
      </w:pPr>
      <w:bookmarkStart w:id="0" w:name="_Toc425928337"/>
      <w:r w:rsidRPr="00EF0E74">
        <w:rPr>
          <w:rFonts w:cs="Times New Roman"/>
          <w:szCs w:val="24"/>
        </w:rPr>
        <w:lastRenderedPageBreak/>
        <w:t>Chapter 1: Introduction</w:t>
      </w:r>
      <w:bookmarkEnd w:id="0"/>
    </w:p>
    <w:p w:rsidR="00AB2D83" w:rsidRPr="00EF0E74" w:rsidRDefault="00AB2D83" w:rsidP="00AB2D83"/>
    <w:p w:rsidR="00E71799" w:rsidRPr="00EF0E74" w:rsidRDefault="0071694D" w:rsidP="00AA4751">
      <w:pPr>
        <w:spacing w:after="0" w:line="480" w:lineRule="auto"/>
        <w:contextualSpacing/>
      </w:pPr>
      <w:r w:rsidRPr="00EF0E74">
        <w:tab/>
        <w:t>Early conceptualization</w:t>
      </w:r>
      <w:r w:rsidR="00BB2FBF" w:rsidRPr="00EF0E74">
        <w:t>s</w:t>
      </w:r>
      <w:r w:rsidRPr="00EF0E74">
        <w:t xml:space="preserve"> of trauma </w:t>
      </w:r>
      <w:r w:rsidR="004D4B24" w:rsidRPr="00EF0E74">
        <w:t xml:space="preserve">were </w:t>
      </w:r>
      <w:r w:rsidR="00BB2FBF" w:rsidRPr="00EF0E74">
        <w:t xml:space="preserve">restricted to a single event </w:t>
      </w:r>
      <w:r w:rsidRPr="00EF0E74">
        <w:t>that deeply impacted the worldvie</w:t>
      </w:r>
      <w:r w:rsidR="00A362AD" w:rsidRPr="00EF0E74">
        <w:t>w assumptions of an individual</w:t>
      </w:r>
      <w:r w:rsidR="008246E3" w:rsidRPr="00EF0E74">
        <w:rPr>
          <w:i/>
        </w:rPr>
        <w:t xml:space="preserve">.  </w:t>
      </w:r>
      <w:r w:rsidR="00495910" w:rsidRPr="00EF0E74">
        <w:t>The earliest appearance of post</w:t>
      </w:r>
      <w:r w:rsidR="005A006F" w:rsidRPr="00EF0E74">
        <w:t>-</w:t>
      </w:r>
      <w:r w:rsidR="00495910" w:rsidRPr="00EF0E74">
        <w:t>traumatic stress disorder, or PTSD, in the lexicon of psychologists</w:t>
      </w:r>
      <w:r w:rsidR="00BC216C" w:rsidRPr="00EF0E74">
        <w:t xml:space="preserve"> </w:t>
      </w:r>
      <w:r w:rsidR="00211C94" w:rsidRPr="00EF0E74">
        <w:t xml:space="preserve">was </w:t>
      </w:r>
      <w:r w:rsidR="00495910" w:rsidRPr="00EF0E74">
        <w:t xml:space="preserve">in the third edition of the </w:t>
      </w:r>
      <w:r w:rsidR="00495910" w:rsidRPr="00EF0E74">
        <w:rPr>
          <w:i/>
        </w:rPr>
        <w:t xml:space="preserve">Diagnostic and Statistical Manual for Mental Disorders </w:t>
      </w:r>
      <w:r w:rsidR="00495910" w:rsidRPr="00EF0E74">
        <w:t>(</w:t>
      </w:r>
      <w:r w:rsidR="00495910" w:rsidRPr="00EF0E74">
        <w:rPr>
          <w:i/>
        </w:rPr>
        <w:t>DSM-III</w:t>
      </w:r>
      <w:r w:rsidR="00D228AA" w:rsidRPr="00EF0E74">
        <w:t>; American Psychiatric Association,</w:t>
      </w:r>
      <w:r w:rsidR="00495910" w:rsidRPr="00EF0E74">
        <w:t xml:space="preserve"> 1980), </w:t>
      </w:r>
      <w:r w:rsidR="00512478" w:rsidRPr="00EF0E74">
        <w:t xml:space="preserve">which </w:t>
      </w:r>
      <w:r w:rsidR="00495910" w:rsidRPr="00EF0E74">
        <w:t xml:space="preserve">stated that PTSD developed "following a psychologically </w:t>
      </w:r>
      <w:r w:rsidR="00E71799" w:rsidRPr="00EF0E74">
        <w:t xml:space="preserve">distressing </w:t>
      </w:r>
      <w:r w:rsidR="00495910" w:rsidRPr="00EF0E74">
        <w:t>event"</w:t>
      </w:r>
      <w:r w:rsidR="00E71799" w:rsidRPr="00EF0E74">
        <w:t xml:space="preserve"> such as combat, natural disasters, and serious car accidents</w:t>
      </w:r>
      <w:r w:rsidR="008246E3" w:rsidRPr="00EF0E74">
        <w:t xml:space="preserve">. </w:t>
      </w:r>
      <w:r w:rsidR="00A362AD" w:rsidRPr="00EF0E74">
        <w:t>Today, t</w:t>
      </w:r>
      <w:r w:rsidR="00214BAE" w:rsidRPr="00EF0E74">
        <w:t>he</w:t>
      </w:r>
      <w:r w:rsidR="00E71799" w:rsidRPr="00EF0E74">
        <w:t xml:space="preserve"> most recent</w:t>
      </w:r>
      <w:r w:rsidR="005A006F" w:rsidRPr="00EF0E74">
        <w:t xml:space="preserve"> </w:t>
      </w:r>
      <w:r w:rsidR="000A70EB" w:rsidRPr="00EF0E74">
        <w:t>(</w:t>
      </w:r>
      <w:r w:rsidR="005A006F" w:rsidRPr="00EF0E74">
        <w:t xml:space="preserve">i.e. </w:t>
      </w:r>
      <w:r w:rsidR="00512478" w:rsidRPr="00EF0E74">
        <w:t>fifth</w:t>
      </w:r>
      <w:r w:rsidR="000A70EB" w:rsidRPr="00EF0E74">
        <w:t>)</w:t>
      </w:r>
      <w:r w:rsidR="00512478" w:rsidRPr="00EF0E74">
        <w:t xml:space="preserve"> edition of the </w:t>
      </w:r>
      <w:r w:rsidR="00512478" w:rsidRPr="00EF0E74">
        <w:rPr>
          <w:i/>
        </w:rPr>
        <w:t xml:space="preserve">Diagnostic and Statistical Manual for Mental Disorders </w:t>
      </w:r>
      <w:r w:rsidR="000A70EB" w:rsidRPr="00EF0E74">
        <w:t>(</w:t>
      </w:r>
      <w:r w:rsidR="00E71799" w:rsidRPr="00EF0E74">
        <w:t>DSM-5</w:t>
      </w:r>
      <w:r w:rsidR="000A70EB" w:rsidRPr="00EF0E74">
        <w:t xml:space="preserve">; </w:t>
      </w:r>
      <w:r w:rsidR="00D228AA" w:rsidRPr="00EF0E74">
        <w:t>American Psychiatric Association, 2013</w:t>
      </w:r>
      <w:r w:rsidR="00A362AD" w:rsidRPr="00EF0E74">
        <w:t xml:space="preserve">) </w:t>
      </w:r>
      <w:r w:rsidR="00E71799" w:rsidRPr="00EF0E74">
        <w:t>elab</w:t>
      </w:r>
      <w:r w:rsidR="006734DC" w:rsidRPr="00EF0E74">
        <w:t xml:space="preserve">orates on what qualifies as a "distressing" </w:t>
      </w:r>
      <w:r w:rsidR="00E71799" w:rsidRPr="00EF0E74">
        <w:t>event</w:t>
      </w:r>
      <w:r w:rsidR="005C0C64" w:rsidRPr="00EF0E74">
        <w:t>,</w:t>
      </w:r>
      <w:r w:rsidR="00E71799" w:rsidRPr="00EF0E74">
        <w:t xml:space="preserve"> and how a person might be exposed to one</w:t>
      </w:r>
      <w:r w:rsidR="008246E3" w:rsidRPr="00EF0E74">
        <w:t xml:space="preserve">.  </w:t>
      </w:r>
      <w:r w:rsidR="005C0C64" w:rsidRPr="00EF0E74">
        <w:t>According to the DSM-5, i</w:t>
      </w:r>
      <w:r w:rsidR="00A362AD" w:rsidRPr="00EF0E74">
        <w:t>n ord</w:t>
      </w:r>
      <w:r w:rsidR="00E71799" w:rsidRPr="00EF0E74">
        <w:t>er to meet diagnosis for PTSD,</w:t>
      </w:r>
      <w:r w:rsidR="00A362AD" w:rsidRPr="00EF0E74">
        <w:t xml:space="preserve"> the </w:t>
      </w:r>
      <w:r w:rsidR="005C0C64" w:rsidRPr="00EF0E74">
        <w:t xml:space="preserve">distressing event </w:t>
      </w:r>
      <w:r w:rsidR="00A362AD" w:rsidRPr="00EF0E74">
        <w:t xml:space="preserve">must have exposed a person to: </w:t>
      </w:r>
      <w:r w:rsidR="005C0C64" w:rsidRPr="00EF0E74">
        <w:t xml:space="preserve">actual or threatened </w:t>
      </w:r>
      <w:r w:rsidR="00A362AD" w:rsidRPr="00EF0E74">
        <w:t>death, seriou</w:t>
      </w:r>
      <w:r w:rsidR="006734DC" w:rsidRPr="00EF0E74">
        <w:t xml:space="preserve">s injury, or </w:t>
      </w:r>
      <w:r w:rsidR="00A362AD" w:rsidRPr="00EF0E74">
        <w:t>threatened sexual violence</w:t>
      </w:r>
      <w:r w:rsidR="008246E3" w:rsidRPr="00EF0E74">
        <w:t xml:space="preserve">.  </w:t>
      </w:r>
      <w:r w:rsidR="00A362AD" w:rsidRPr="00EF0E74">
        <w:t>The DSM-5 further classifies a person's experience of trauma as direct exposure, witnessing the traumatic event, indirect trauma (e.g</w:t>
      </w:r>
      <w:r w:rsidR="008246E3" w:rsidRPr="00EF0E74">
        <w:t>.</w:t>
      </w:r>
      <w:r w:rsidR="00E861C9" w:rsidRPr="00EF0E74">
        <w:t>,</w:t>
      </w:r>
      <w:r w:rsidR="0094009F" w:rsidRPr="00EF0E74">
        <w:t xml:space="preserve"> </w:t>
      </w:r>
      <w:r w:rsidR="00A362AD" w:rsidRPr="00EF0E74">
        <w:t>hearing that a close relative was almost killed in a car accident), or repeated/extreme indirect exposure</w:t>
      </w:r>
      <w:r w:rsidR="00BC4B46" w:rsidRPr="00EF0E74">
        <w:t xml:space="preserve"> (e.g., </w:t>
      </w:r>
      <w:r w:rsidR="00A362AD" w:rsidRPr="00EF0E74">
        <w:t>a first responder or social worker who constantl</w:t>
      </w:r>
      <w:r w:rsidR="00E71799" w:rsidRPr="00EF0E74">
        <w:t>y deals with child abuse cases</w:t>
      </w:r>
      <w:r w:rsidR="00BC4B46" w:rsidRPr="00EF0E74">
        <w:t>)</w:t>
      </w:r>
      <w:r w:rsidR="00E71799" w:rsidRPr="00EF0E74">
        <w:t>.</w:t>
      </w:r>
    </w:p>
    <w:p w:rsidR="00AA7DC8" w:rsidRPr="00EF0E74" w:rsidRDefault="00E71799" w:rsidP="00AA4751">
      <w:pPr>
        <w:spacing w:after="0" w:line="480" w:lineRule="auto"/>
        <w:contextualSpacing/>
      </w:pPr>
      <w:r w:rsidRPr="00EF0E74">
        <w:tab/>
        <w:t xml:space="preserve">One concern with these </w:t>
      </w:r>
      <w:r w:rsidR="004D4B24" w:rsidRPr="00EF0E74">
        <w:t>conceptualizations</w:t>
      </w:r>
      <w:r w:rsidR="00A362AD" w:rsidRPr="00EF0E74">
        <w:t xml:space="preserve"> of trauma</w:t>
      </w:r>
      <w:r w:rsidR="00BC216C" w:rsidRPr="00EF0E74">
        <w:t xml:space="preserve"> </w:t>
      </w:r>
      <w:r w:rsidR="00A15359" w:rsidRPr="00EF0E74">
        <w:t xml:space="preserve">is </w:t>
      </w:r>
      <w:r w:rsidRPr="00EF0E74">
        <w:t xml:space="preserve">that they </w:t>
      </w:r>
      <w:r w:rsidR="00BB2FBF" w:rsidRPr="00EF0E74">
        <w:t>exclude exposure to repeated, "smaller"</w:t>
      </w:r>
      <w:r w:rsidR="004A0A64" w:rsidRPr="00EF0E74">
        <w:t xml:space="preserve"> or non-life threatening</w:t>
      </w:r>
      <w:r w:rsidR="00BB2FBF" w:rsidRPr="00EF0E74">
        <w:t xml:space="preserve"> offenses,</w:t>
      </w:r>
      <w:r w:rsidR="005A006F" w:rsidRPr="00EF0E74">
        <w:t xml:space="preserve"> such as prejudicia</w:t>
      </w:r>
      <w:r w:rsidRPr="00EF0E74">
        <w:t xml:space="preserve">l remarks and repeated interpersonal hostility </w:t>
      </w:r>
      <w:r w:rsidR="00A15359" w:rsidRPr="00EF0E74">
        <w:t xml:space="preserve">that is </w:t>
      </w:r>
      <w:r w:rsidRPr="00EF0E74">
        <w:t>not necessarily "life-threatening</w:t>
      </w:r>
      <w:r w:rsidR="008246E3" w:rsidRPr="00EF0E74">
        <w:t>.</w:t>
      </w:r>
      <w:r w:rsidR="00E861C9" w:rsidRPr="00EF0E74">
        <w:t>”</w:t>
      </w:r>
      <w:r w:rsidR="001B0133" w:rsidRPr="00EF0E74">
        <w:t xml:space="preserve"> </w:t>
      </w:r>
      <w:r w:rsidR="0071694D" w:rsidRPr="00EF0E74">
        <w:t>Root (1992) expand</w:t>
      </w:r>
      <w:r w:rsidR="00B44B2F" w:rsidRPr="00EF0E74">
        <w:t>ed</w:t>
      </w:r>
      <w:r w:rsidR="0071694D" w:rsidRPr="00EF0E74">
        <w:t xml:space="preserve"> the </w:t>
      </w:r>
      <w:r w:rsidR="00877737" w:rsidRPr="00EF0E74">
        <w:t xml:space="preserve">DSM </w:t>
      </w:r>
      <w:r w:rsidR="0071694D" w:rsidRPr="00EF0E74">
        <w:t>definition</w:t>
      </w:r>
      <w:r w:rsidR="00877737" w:rsidRPr="00EF0E74">
        <w:t>s</w:t>
      </w:r>
      <w:r w:rsidR="0071694D" w:rsidRPr="00EF0E74">
        <w:t xml:space="preserve"> of trauma </w:t>
      </w:r>
      <w:r w:rsidR="00B44B2F" w:rsidRPr="00EF0E74">
        <w:t xml:space="preserve">to </w:t>
      </w:r>
      <w:r w:rsidR="0029316E" w:rsidRPr="00EF0E74">
        <w:t xml:space="preserve">include </w:t>
      </w:r>
      <w:r w:rsidR="00B44B2F" w:rsidRPr="00EF0E74">
        <w:t>experiences she</w:t>
      </w:r>
      <w:r w:rsidR="0071694D" w:rsidRPr="00EF0E74">
        <w:t xml:space="preserve"> termed </w:t>
      </w:r>
      <w:r w:rsidR="0071694D" w:rsidRPr="00EF0E74">
        <w:rPr>
          <w:i/>
        </w:rPr>
        <w:t>insidious trauma</w:t>
      </w:r>
      <w:r w:rsidR="0029316E" w:rsidRPr="00EF0E74">
        <w:rPr>
          <w:i/>
        </w:rPr>
        <w:t>s</w:t>
      </w:r>
      <w:r w:rsidR="0029316E" w:rsidRPr="00EF0E74">
        <w:t>,</w:t>
      </w:r>
      <w:r w:rsidR="00EC311A" w:rsidRPr="00EF0E74">
        <w:t xml:space="preserve"> </w:t>
      </w:r>
      <w:r w:rsidR="00C95F3D" w:rsidRPr="00EF0E74">
        <w:t xml:space="preserve">or </w:t>
      </w:r>
      <w:r w:rsidR="00907940" w:rsidRPr="00EF0E74">
        <w:t xml:space="preserve">repeated </w:t>
      </w:r>
      <w:r w:rsidR="00C95F3D" w:rsidRPr="00EF0E74">
        <w:t xml:space="preserve">devaluations endured by a person who belongs </w:t>
      </w:r>
      <w:r w:rsidR="00907940" w:rsidRPr="00EF0E74">
        <w:t xml:space="preserve">to, </w:t>
      </w:r>
      <w:r w:rsidR="00C95F3D" w:rsidRPr="00EF0E74">
        <w:t>or is perceived to belong to</w:t>
      </w:r>
      <w:r w:rsidR="00907940" w:rsidRPr="00EF0E74">
        <w:t>,</w:t>
      </w:r>
      <w:r w:rsidR="00C95F3D" w:rsidRPr="00EF0E74">
        <w:t xml:space="preserve"> a </w:t>
      </w:r>
      <w:r w:rsidR="008B3D03" w:rsidRPr="00EF0E74">
        <w:t xml:space="preserve">social identity </w:t>
      </w:r>
      <w:r w:rsidR="00C95F3D" w:rsidRPr="00EF0E74">
        <w:t xml:space="preserve">group </w:t>
      </w:r>
      <w:r w:rsidR="008B3D03" w:rsidRPr="00EF0E74">
        <w:t>other</w:t>
      </w:r>
      <w:r w:rsidR="00C95F3D" w:rsidRPr="00EF0E74">
        <w:t xml:space="preserve"> than th</w:t>
      </w:r>
      <w:r w:rsidR="008B3D03" w:rsidRPr="00EF0E74">
        <w:t>e dominant groups that</w:t>
      </w:r>
      <w:r w:rsidR="00C95F3D" w:rsidRPr="00EF0E74">
        <w:t xml:space="preserve"> hold power in society (e.g.</w:t>
      </w:r>
      <w:r w:rsidR="008B3D03" w:rsidRPr="00EF0E74">
        <w:t xml:space="preserve">, </w:t>
      </w:r>
      <w:r w:rsidR="00907940" w:rsidRPr="00EF0E74">
        <w:t>W</w:t>
      </w:r>
      <w:r w:rsidR="00C95F3D" w:rsidRPr="00EF0E74">
        <w:t>hite</w:t>
      </w:r>
      <w:r w:rsidR="00882F3A" w:rsidRPr="00EF0E74">
        <w:t xml:space="preserve"> people</w:t>
      </w:r>
      <w:r w:rsidR="00C95F3D" w:rsidRPr="00EF0E74">
        <w:t xml:space="preserve">, </w:t>
      </w:r>
      <w:r w:rsidR="00882F3A" w:rsidRPr="00EF0E74">
        <w:t>men</w:t>
      </w:r>
      <w:r w:rsidR="00060490" w:rsidRPr="00EF0E74">
        <w:t xml:space="preserve">, </w:t>
      </w:r>
      <w:r w:rsidR="00C95F3D" w:rsidRPr="00EF0E74">
        <w:t>middle-class</w:t>
      </w:r>
      <w:r w:rsidR="00882F3A" w:rsidRPr="00EF0E74">
        <w:t xml:space="preserve"> people</w:t>
      </w:r>
      <w:r w:rsidR="00C95F3D" w:rsidRPr="00EF0E74">
        <w:t xml:space="preserve">, </w:t>
      </w:r>
      <w:r w:rsidR="00060490" w:rsidRPr="00EF0E74">
        <w:t>heterosexual</w:t>
      </w:r>
      <w:r w:rsidR="00882F3A" w:rsidRPr="00EF0E74">
        <w:t xml:space="preserve"> people</w:t>
      </w:r>
      <w:r w:rsidR="00C95F3D" w:rsidRPr="00EF0E74">
        <w:t>, able-bodied</w:t>
      </w:r>
      <w:r w:rsidR="00882F3A" w:rsidRPr="00EF0E74">
        <w:t xml:space="preserve"> people</w:t>
      </w:r>
      <w:r w:rsidR="00C95F3D" w:rsidRPr="00EF0E74">
        <w:t>)</w:t>
      </w:r>
      <w:r w:rsidR="008246E3" w:rsidRPr="00EF0E74">
        <w:t xml:space="preserve">.  </w:t>
      </w:r>
      <w:r w:rsidR="003741BB" w:rsidRPr="00EF0E74">
        <w:t>W</w:t>
      </w:r>
      <w:r w:rsidR="00AA7DC8" w:rsidRPr="00EF0E74">
        <w:t xml:space="preserve">idening the definition of </w:t>
      </w:r>
      <w:r w:rsidR="00AA7DC8" w:rsidRPr="00EF0E74">
        <w:lastRenderedPageBreak/>
        <w:t xml:space="preserve">trauma to include acts of discrimination and prejudice helps depathologize the presence of </w:t>
      </w:r>
      <w:r w:rsidR="00AB5037" w:rsidRPr="00EF0E74">
        <w:t xml:space="preserve">trauma-related </w:t>
      </w:r>
      <w:r w:rsidR="00AA7DC8" w:rsidRPr="00EF0E74">
        <w:t>symptoms in marginalized groups by focusing on environmental and interpersonal antecedents (Sanchez-Hucles, 1998)</w:t>
      </w:r>
      <w:r w:rsidR="003741BB" w:rsidRPr="00EF0E74">
        <w:t>.  R</w:t>
      </w:r>
      <w:r w:rsidR="00AA7DC8" w:rsidRPr="00EF0E74">
        <w:t>esearch is beginning to show that</w:t>
      </w:r>
      <w:r w:rsidR="0094009F" w:rsidRPr="00EF0E74">
        <w:t xml:space="preserve"> </w:t>
      </w:r>
      <w:r w:rsidR="00AA7DC8" w:rsidRPr="00EF0E74">
        <w:t>e</w:t>
      </w:r>
      <w:r w:rsidR="00BB2FBF" w:rsidRPr="00EF0E74">
        <w:t xml:space="preserve">xposure to multiple instances of insidious trauma </w:t>
      </w:r>
      <w:r w:rsidR="00FC3BD2" w:rsidRPr="00EF0E74">
        <w:t xml:space="preserve">can </w:t>
      </w:r>
      <w:r w:rsidR="00BB2FBF" w:rsidRPr="00EF0E74">
        <w:t xml:space="preserve">mirror </w:t>
      </w:r>
      <w:r w:rsidR="003741BB" w:rsidRPr="00EF0E74">
        <w:t>PTSD</w:t>
      </w:r>
      <w:r w:rsidR="0094009F" w:rsidRPr="00EF0E74">
        <w:t xml:space="preserve"> </w:t>
      </w:r>
      <w:r w:rsidR="00FC3BD2" w:rsidRPr="00EF0E74">
        <w:t xml:space="preserve">in both </w:t>
      </w:r>
      <w:r w:rsidR="00BB2FBF" w:rsidRPr="00EF0E74">
        <w:t>symptoms and severity</w:t>
      </w:r>
      <w:r w:rsidR="002169A4" w:rsidRPr="00EF0E74">
        <w:t xml:space="preserve"> </w:t>
      </w:r>
      <w:r w:rsidR="003F0A2D" w:rsidRPr="00EF0E74">
        <w:t>(Jenifer, 2010</w:t>
      </w:r>
      <w:r w:rsidR="00BB2FBF" w:rsidRPr="00EF0E74">
        <w:t>; Swift, 2010; Szymanski &amp; Balsam, 2010)</w:t>
      </w:r>
      <w:r w:rsidR="008246E3" w:rsidRPr="00EF0E74">
        <w:t xml:space="preserve">.  </w:t>
      </w:r>
      <w:r w:rsidR="003F0A2D" w:rsidRPr="00EF0E74">
        <w:t>In one striking example from a study interviewing racial and ethnic minorities' experiences of racism</w:t>
      </w:r>
      <w:r w:rsidR="005A006F" w:rsidRPr="00EF0E74">
        <w:t xml:space="preserve"> (Lowe, Okubo</w:t>
      </w:r>
      <w:r w:rsidR="003F0A2D" w:rsidRPr="00EF0E74">
        <w:t>,</w:t>
      </w:r>
      <w:r w:rsidR="005A006F" w:rsidRPr="00EF0E74">
        <w:t xml:space="preserve"> and Reilly, 2013),</w:t>
      </w:r>
      <w:r w:rsidR="003F0A2D" w:rsidRPr="00EF0E74">
        <w:t xml:space="preserve"> a Korean American graduate student told a story where she had been treated rudely by a White male coworker who mistook her for an international student whom he assumed was lost and could not speak English</w:t>
      </w:r>
      <w:r w:rsidR="008246E3" w:rsidRPr="00EF0E74">
        <w:t xml:space="preserve">.  </w:t>
      </w:r>
      <w:r w:rsidR="003F0A2D" w:rsidRPr="00EF0E74">
        <w:t>Hurt and enraged, she processed this</w:t>
      </w:r>
      <w:r w:rsidR="005F7E12" w:rsidRPr="00EF0E74">
        <w:t xml:space="preserve"> experience with a therapist </w:t>
      </w:r>
      <w:r w:rsidR="003B0657" w:rsidRPr="00EF0E74">
        <w:t xml:space="preserve">using </w:t>
      </w:r>
      <w:r w:rsidR="005F7E12" w:rsidRPr="00EF0E74">
        <w:t>an</w:t>
      </w:r>
      <w:r w:rsidR="003F0A2D" w:rsidRPr="00EF0E74">
        <w:t xml:space="preserve"> "empty chair" technique where she had an opportunity to replay this racist event</w:t>
      </w:r>
      <w:r w:rsidR="008246E3" w:rsidRPr="00EF0E74">
        <w:t xml:space="preserve">.  </w:t>
      </w:r>
      <w:r w:rsidR="003F0A2D" w:rsidRPr="00EF0E74">
        <w:t>However, instead of picturing the White male coworker, she imagined a male child who picked on her a child, a memory she h</w:t>
      </w:r>
      <w:r w:rsidR="003B0657" w:rsidRPr="00EF0E74">
        <w:t>a</w:t>
      </w:r>
      <w:r w:rsidR="003F0A2D" w:rsidRPr="00EF0E74">
        <w:t>d completely repressed, and began to shout like she was a child again herself</w:t>
      </w:r>
      <w:r w:rsidR="008246E3" w:rsidRPr="00EF0E74">
        <w:t xml:space="preserve">.  </w:t>
      </w:r>
      <w:r w:rsidR="003F0A2D" w:rsidRPr="00EF0E74">
        <w:t>This story reveals the connection between exposure to prejudice and trauma-related symptoms (e.g</w:t>
      </w:r>
      <w:r w:rsidR="008246E3" w:rsidRPr="00EF0E74">
        <w:t>.</w:t>
      </w:r>
      <w:r w:rsidR="00DB2B6B" w:rsidRPr="00EF0E74">
        <w:t>,</w:t>
      </w:r>
      <w:r w:rsidR="0094009F" w:rsidRPr="00EF0E74">
        <w:t xml:space="preserve"> </w:t>
      </w:r>
      <w:r w:rsidR="003F0A2D" w:rsidRPr="00EF0E74">
        <w:t>dissociation, flashbacks, intense distress).</w:t>
      </w:r>
    </w:p>
    <w:p w:rsidR="00AA4751" w:rsidRPr="00EF0E74" w:rsidRDefault="00BB2FBF" w:rsidP="00AA4751">
      <w:pPr>
        <w:spacing w:after="0" w:line="480" w:lineRule="auto"/>
        <w:contextualSpacing/>
      </w:pPr>
      <w:r w:rsidRPr="00EF0E74">
        <w:tab/>
      </w:r>
      <w:r w:rsidR="00362717" w:rsidRPr="00EF0E74">
        <w:t xml:space="preserve">As a population, sexual minorities are more vulnerable to experiencing </w:t>
      </w:r>
      <w:r w:rsidR="008D07E8" w:rsidRPr="00EF0E74">
        <w:t xml:space="preserve">potentially </w:t>
      </w:r>
      <w:r w:rsidR="00362717" w:rsidRPr="00EF0E74">
        <w:t xml:space="preserve">traumatic </w:t>
      </w:r>
      <w:r w:rsidR="008D07E8" w:rsidRPr="00EF0E74">
        <w:t xml:space="preserve">environmental and interpersonal </w:t>
      </w:r>
      <w:r w:rsidR="00362717" w:rsidRPr="00EF0E74">
        <w:t xml:space="preserve">stressors compared to </w:t>
      </w:r>
      <w:r w:rsidR="000F40C6" w:rsidRPr="00EF0E74">
        <w:t xml:space="preserve">their </w:t>
      </w:r>
      <w:r w:rsidR="00362717" w:rsidRPr="00EF0E74">
        <w:t>heterosexual counterparts (Meyer, Schwartz, &amp; Frost, 2008)</w:t>
      </w:r>
      <w:r w:rsidR="008246E3" w:rsidRPr="00EF0E74">
        <w:t xml:space="preserve">. </w:t>
      </w:r>
      <w:r w:rsidRPr="00EF0E74">
        <w:t>The</w:t>
      </w:r>
      <w:r w:rsidR="006734DC" w:rsidRPr="00EF0E74">
        <w:t>refore, the</w:t>
      </w:r>
      <w:r w:rsidRPr="00EF0E74">
        <w:t xml:space="preserve"> insidious trauma framework may be particularly useful in </w:t>
      </w:r>
      <w:r w:rsidR="00362717" w:rsidRPr="00EF0E74">
        <w:t>examining different environmental stressors that lesbian, gay, and bisexual (LGB) individuals encounter</w:t>
      </w:r>
      <w:r w:rsidR="008246E3" w:rsidRPr="00EF0E74">
        <w:t xml:space="preserve">. </w:t>
      </w:r>
      <w:r w:rsidRPr="00EF0E74">
        <w:t xml:space="preserve">Indeed, Balsam (2003) and Neisen (1993) conceptualized </w:t>
      </w:r>
      <w:r w:rsidR="00AA4751" w:rsidRPr="00EF0E74">
        <w:rPr>
          <w:i/>
        </w:rPr>
        <w:t>heterosexism</w:t>
      </w:r>
      <w:r w:rsidR="00C6610E" w:rsidRPr="00EF0E74">
        <w:t xml:space="preserve">, </w:t>
      </w:r>
      <w:r w:rsidRPr="00EF0E74">
        <w:t>broadly</w:t>
      </w:r>
      <w:r w:rsidR="00C6610E" w:rsidRPr="00EF0E74">
        <w:t>,</w:t>
      </w:r>
      <w:r w:rsidRPr="00EF0E74">
        <w:t xml:space="preserve"> as ongoing traumatic exposure</w:t>
      </w:r>
      <w:r w:rsidR="00A22994" w:rsidRPr="00EF0E74">
        <w:t xml:space="preserve"> to stigma</w:t>
      </w:r>
      <w:r w:rsidRPr="00EF0E74">
        <w:t xml:space="preserve"> that influences L</w:t>
      </w:r>
      <w:r w:rsidR="00362717" w:rsidRPr="00EF0E74">
        <w:t xml:space="preserve">GB people’s psychological </w:t>
      </w:r>
      <w:r w:rsidR="00660143" w:rsidRPr="00EF0E74">
        <w:t xml:space="preserve">well-being and </w:t>
      </w:r>
      <w:r w:rsidR="00362717" w:rsidRPr="00EF0E74">
        <w:t>fu</w:t>
      </w:r>
      <w:r w:rsidR="00920806" w:rsidRPr="00EF0E74">
        <w:t>nctioning</w:t>
      </w:r>
      <w:r w:rsidR="008246E3" w:rsidRPr="00EF0E74">
        <w:t xml:space="preserve">. </w:t>
      </w:r>
      <w:r w:rsidR="00C5152A" w:rsidRPr="00EF0E74">
        <w:t>A study examining non-life threatening traum</w:t>
      </w:r>
      <w:r w:rsidR="004622AB" w:rsidRPr="00EF0E74">
        <w:t>a</w:t>
      </w:r>
      <w:r w:rsidR="00C5152A" w:rsidRPr="00EF0E74">
        <w:t xml:space="preserve">tic events </w:t>
      </w:r>
      <w:r w:rsidR="00A128A4" w:rsidRPr="00EF0E74">
        <w:t>experienced by</w:t>
      </w:r>
      <w:r w:rsidR="00C5152A" w:rsidRPr="00EF0E74">
        <w:t xml:space="preserve"> LGB people</w:t>
      </w:r>
      <w:r w:rsidR="004622AB" w:rsidRPr="00EF0E74">
        <w:t xml:space="preserve"> (e.g., </w:t>
      </w:r>
      <w:r w:rsidR="00C5152A" w:rsidRPr="00EF0E74">
        <w:t>harassment and unemployment</w:t>
      </w:r>
      <w:r w:rsidR="004622AB" w:rsidRPr="00EF0E74">
        <w:t>)</w:t>
      </w:r>
      <w:r w:rsidR="00C5152A" w:rsidRPr="00EF0E74">
        <w:t>, found that including these events increased the rates of diagnosis of PTSD when relaxing the</w:t>
      </w:r>
      <w:r w:rsidR="006A6C43" w:rsidRPr="00EF0E74">
        <w:t xml:space="preserve"> c</w:t>
      </w:r>
      <w:r w:rsidR="00C5152A" w:rsidRPr="00EF0E74">
        <w:t xml:space="preserve">riteria of the diagnosis </w:t>
      </w:r>
      <w:r w:rsidR="006A6C43" w:rsidRPr="00EF0E74">
        <w:lastRenderedPageBreak/>
        <w:t xml:space="preserve">that </w:t>
      </w:r>
      <w:r w:rsidR="00C5152A" w:rsidRPr="00EF0E74">
        <w:t xml:space="preserve">requires </w:t>
      </w:r>
      <w:r w:rsidR="006A6C43" w:rsidRPr="00EF0E74">
        <w:t xml:space="preserve">that the traumatic </w:t>
      </w:r>
      <w:r w:rsidR="00C5152A" w:rsidRPr="00EF0E74">
        <w:t xml:space="preserve">event </w:t>
      </w:r>
      <w:r w:rsidR="006A6C43" w:rsidRPr="00EF0E74">
        <w:t>have been</w:t>
      </w:r>
      <w:r w:rsidR="00C5152A" w:rsidRPr="00EF0E74">
        <w:t xml:space="preserve"> life-threatening (Alessi, Meyer, &amp; Martin, 2013)</w:t>
      </w:r>
      <w:r w:rsidR="008246E3" w:rsidRPr="00EF0E74">
        <w:t xml:space="preserve">. </w:t>
      </w:r>
      <w:r w:rsidR="00E53095" w:rsidRPr="00EF0E74">
        <w:t xml:space="preserve">It is worth noting that when </w:t>
      </w:r>
      <w:r w:rsidR="00EF1A80" w:rsidRPr="00EF0E74">
        <w:t xml:space="preserve">events </w:t>
      </w:r>
      <w:r w:rsidR="00E53095" w:rsidRPr="00EF0E74">
        <w:t>that are not conventionally thought of as traumatic (e.g</w:t>
      </w:r>
      <w:r w:rsidR="004622AB" w:rsidRPr="00EF0E74">
        <w:t>.,</w:t>
      </w:r>
      <w:r w:rsidR="00E53095" w:rsidRPr="00EF0E74">
        <w:t xml:space="preserve"> non-life threatening or </w:t>
      </w:r>
      <w:r w:rsidR="00B04302" w:rsidRPr="00EF0E74">
        <w:t>non-</w:t>
      </w:r>
      <w:r w:rsidR="00E53095" w:rsidRPr="00EF0E74">
        <w:t>threat</w:t>
      </w:r>
      <w:r w:rsidR="00B04302" w:rsidRPr="00EF0E74">
        <w:t>ening</w:t>
      </w:r>
      <w:r w:rsidR="00E53095" w:rsidRPr="00EF0E74">
        <w:t xml:space="preserve"> to physical safety) are asked about in research, symptoms parallel PTSD diagnoses derived from life-threatening traumata.</w:t>
      </w:r>
    </w:p>
    <w:p w:rsidR="00AB2D83" w:rsidRPr="00EF0E74" w:rsidRDefault="0016341D" w:rsidP="00AB2D83">
      <w:pPr>
        <w:spacing w:after="0" w:line="480" w:lineRule="auto"/>
        <w:contextualSpacing/>
      </w:pPr>
      <w:r w:rsidRPr="00EF0E74">
        <w:tab/>
      </w:r>
      <w:r w:rsidR="00EF1A80" w:rsidRPr="00EF0E74">
        <w:t>Within the LGB population, t</w:t>
      </w:r>
      <w:r w:rsidR="000B1E4A" w:rsidRPr="00EF0E74">
        <w:t>hose who identify as bisexual may be at particular risk for encounter</w:t>
      </w:r>
      <w:r w:rsidRPr="00EF0E74">
        <w:t>ing</w:t>
      </w:r>
      <w:r w:rsidR="000B1E4A" w:rsidRPr="00EF0E74">
        <w:t xml:space="preserve"> discrimination and prejudice</w:t>
      </w:r>
      <w:r w:rsidR="008246E3" w:rsidRPr="00EF0E74">
        <w:t xml:space="preserve">. </w:t>
      </w:r>
      <w:r w:rsidR="000B1E4A" w:rsidRPr="00EF0E74">
        <w:t>Notably,</w:t>
      </w:r>
      <w:r w:rsidR="0094009F" w:rsidRPr="00EF0E74">
        <w:t xml:space="preserve"> </w:t>
      </w:r>
      <w:r w:rsidR="000B1E4A" w:rsidRPr="00EF0E74">
        <w:t>b</w:t>
      </w:r>
      <w:r w:rsidR="00920806" w:rsidRPr="00EF0E74">
        <w:t xml:space="preserve">isexual individuals face discrimination on the basis of their </w:t>
      </w:r>
      <w:r w:rsidR="00EF1A80" w:rsidRPr="00EF0E74">
        <w:t xml:space="preserve">sexual </w:t>
      </w:r>
      <w:r w:rsidR="00920806" w:rsidRPr="00EF0E74">
        <w:t xml:space="preserve">orientation from </w:t>
      </w:r>
      <w:r w:rsidR="00842DED" w:rsidRPr="00EF0E74">
        <w:t>bo</w:t>
      </w:r>
      <w:r w:rsidRPr="00EF0E74">
        <w:t xml:space="preserve">th </w:t>
      </w:r>
      <w:r w:rsidR="00920806" w:rsidRPr="00EF0E74">
        <w:t>heterosexual people</w:t>
      </w:r>
      <w:r w:rsidRPr="00EF0E74">
        <w:t xml:space="preserve"> and</w:t>
      </w:r>
      <w:r w:rsidR="00E32F00" w:rsidRPr="00EF0E74">
        <w:t xml:space="preserve"> other sexual minorities</w:t>
      </w:r>
      <w:r w:rsidR="00CB1EA2" w:rsidRPr="00EF0E74">
        <w:t>(e.g., Deihl</w:t>
      </w:r>
      <w:r w:rsidR="00373DD9" w:rsidRPr="00EF0E74">
        <w:t xml:space="preserve"> </w:t>
      </w:r>
      <w:r w:rsidR="00CB1EA2" w:rsidRPr="00EF0E74">
        <w:t xml:space="preserve">&amp; Ochs, </w:t>
      </w:r>
      <w:r w:rsidR="00020216" w:rsidRPr="00EF0E74">
        <w:t>2010)</w:t>
      </w:r>
      <w:r w:rsidR="008246E3" w:rsidRPr="00EF0E74">
        <w:t xml:space="preserve">. </w:t>
      </w:r>
      <w:r w:rsidR="00842DED" w:rsidRPr="00EF0E74">
        <w:t xml:space="preserve"> For example, bisexuals may be </w:t>
      </w:r>
      <w:r w:rsidR="00920806" w:rsidRPr="00EF0E74">
        <w:t>misjudged as</w:t>
      </w:r>
      <w:r w:rsidR="00842DED" w:rsidRPr="00EF0E74">
        <w:t xml:space="preserve"> being</w:t>
      </w:r>
      <w:r w:rsidR="00920806" w:rsidRPr="00EF0E74">
        <w:t xml:space="preserve"> "unsure" of their sexual orientation, </w:t>
      </w:r>
      <w:r w:rsidR="00BF7ACC" w:rsidRPr="00EF0E74">
        <w:t xml:space="preserve">or </w:t>
      </w:r>
      <w:r w:rsidR="00920806" w:rsidRPr="00EF0E74">
        <w:t>likely to commit infidelity or have sexually-transmitted disease</w:t>
      </w:r>
      <w:r w:rsidR="00842DED" w:rsidRPr="00EF0E74">
        <w:t>s</w:t>
      </w:r>
      <w:r w:rsidR="00E32F00" w:rsidRPr="00EF0E74">
        <w:t xml:space="preserve"> (Burleson, 2005, Eliason, 2001; Spalding &amp;</w:t>
      </w:r>
      <w:r w:rsidR="0094009F" w:rsidRPr="00EF0E74">
        <w:t xml:space="preserve"> </w:t>
      </w:r>
      <w:r w:rsidR="005A006F" w:rsidRPr="00EF0E74">
        <w:t>Peplau, 1997</w:t>
      </w:r>
      <w:r w:rsidR="00E32F00" w:rsidRPr="00EF0E74">
        <w:t>)</w:t>
      </w:r>
      <w:r w:rsidR="008246E3" w:rsidRPr="00EF0E74">
        <w:t xml:space="preserve">. </w:t>
      </w:r>
      <w:r w:rsidR="00E32F00" w:rsidRPr="00EF0E74">
        <w:t>This double-bind may explain findings that bisexual men and women are at higher risk for PTSD than both heterosexual populations</w:t>
      </w:r>
      <w:r w:rsidR="001712D9" w:rsidRPr="00EF0E74">
        <w:t xml:space="preserve"> (9% higher)</w:t>
      </w:r>
      <w:r w:rsidR="002F00EE" w:rsidRPr="00EF0E74">
        <w:t>,</w:t>
      </w:r>
      <w:r w:rsidR="00E32F00" w:rsidRPr="00EF0E74">
        <w:t xml:space="preserve"> and gay men and lesbian women</w:t>
      </w:r>
      <w:r w:rsidR="001712D9" w:rsidRPr="00EF0E74">
        <w:t xml:space="preserve"> (7% higher)</w:t>
      </w:r>
      <w:r w:rsidR="00373DD9" w:rsidRPr="00EF0E74">
        <w:t xml:space="preserve"> (</w:t>
      </w:r>
      <w:r w:rsidR="005A006F" w:rsidRPr="00EF0E74">
        <w:t>Alessi, Meyer, et al</w:t>
      </w:r>
      <w:r w:rsidR="00E32F00" w:rsidRPr="00EF0E74">
        <w:t>, 2013)</w:t>
      </w:r>
      <w:r w:rsidR="008246E3" w:rsidRPr="00EF0E74">
        <w:t xml:space="preserve">. </w:t>
      </w:r>
      <w:r w:rsidR="001712D9" w:rsidRPr="00EF0E74">
        <w:t>Though this difference was no</w:t>
      </w:r>
      <w:r w:rsidR="000F1BD8" w:rsidRPr="00EF0E74">
        <w:t xml:space="preserve">t statistically </w:t>
      </w:r>
      <w:r w:rsidR="001712D9" w:rsidRPr="00EF0E74">
        <w:t xml:space="preserve">significant, bisexual men and women were still </w:t>
      </w:r>
      <w:r w:rsidR="000F1BD8" w:rsidRPr="00EF0E74">
        <w:t>one and a half</w:t>
      </w:r>
      <w:r w:rsidR="001712D9" w:rsidRPr="00EF0E74">
        <w:t xml:space="preserve"> times more likely to be diagnose</w:t>
      </w:r>
      <w:r w:rsidR="000F1BD8" w:rsidRPr="00EF0E74">
        <w:t>d</w:t>
      </w:r>
      <w:r w:rsidR="001712D9" w:rsidRPr="00EF0E74">
        <w:t xml:space="preserve"> with PTSD than heterosexual</w:t>
      </w:r>
      <w:r w:rsidR="000F1BD8" w:rsidRPr="00EF0E74">
        <w:t>s</w:t>
      </w:r>
      <w:r w:rsidR="008246E3" w:rsidRPr="00EF0E74">
        <w:t xml:space="preserve">. </w:t>
      </w:r>
      <w:r w:rsidR="000B1E4A" w:rsidRPr="00EF0E74">
        <w:t>This higher prevalence bolsters the argument that research i</w:t>
      </w:r>
      <w:r w:rsidR="00D103EC" w:rsidRPr="00EF0E74">
        <w:t>s</w:t>
      </w:r>
      <w:r w:rsidR="000B1E4A" w:rsidRPr="00EF0E74">
        <w:t xml:space="preserve"> needed that focuses on specific factors that </w:t>
      </w:r>
      <w:r w:rsidR="001E7B3C" w:rsidRPr="00EF0E74">
        <w:t xml:space="preserve">contribute </w:t>
      </w:r>
      <w:r w:rsidR="000B1E4A" w:rsidRPr="00EF0E74">
        <w:t>to</w:t>
      </w:r>
      <w:r w:rsidR="00C86EC2" w:rsidRPr="00EF0E74">
        <w:t xml:space="preserve">, </w:t>
      </w:r>
      <w:r w:rsidR="00C00280" w:rsidRPr="00EF0E74">
        <w:t xml:space="preserve">and factors that may </w:t>
      </w:r>
      <w:r w:rsidR="001E7B3C" w:rsidRPr="00EF0E74">
        <w:t>prevent</w:t>
      </w:r>
      <w:r w:rsidR="00C00280" w:rsidRPr="00EF0E74">
        <w:t>,</w:t>
      </w:r>
      <w:r w:rsidR="000B1E4A" w:rsidRPr="00EF0E74">
        <w:t xml:space="preserve"> PTSD </w:t>
      </w:r>
      <w:r w:rsidR="000A347A" w:rsidRPr="00EF0E74">
        <w:t xml:space="preserve">in </w:t>
      </w:r>
      <w:r w:rsidR="000B1E4A" w:rsidRPr="00EF0E74">
        <w:t>bisexual persons.</w:t>
      </w:r>
    </w:p>
    <w:p w:rsidR="00AB2D83" w:rsidRPr="00EF0E74" w:rsidRDefault="006005F1" w:rsidP="00464E9C">
      <w:pPr>
        <w:pStyle w:val="Heading2"/>
        <w:rPr>
          <w:rFonts w:cs="Times New Roman"/>
        </w:rPr>
      </w:pPr>
      <w:bookmarkStart w:id="1" w:name="_Toc425928338"/>
      <w:r w:rsidRPr="00EF0E74">
        <w:rPr>
          <w:rFonts w:cs="Times New Roman"/>
        </w:rPr>
        <w:t>Discrimination and Trauma</w:t>
      </w:r>
      <w:bookmarkEnd w:id="1"/>
    </w:p>
    <w:p w:rsidR="005837D4" w:rsidRPr="00EF0E74" w:rsidRDefault="00AB2D83" w:rsidP="00AB2D83">
      <w:pPr>
        <w:spacing w:after="0" w:line="480" w:lineRule="auto"/>
        <w:contextualSpacing/>
      </w:pPr>
      <w:r w:rsidRPr="00EF0E74">
        <w:tab/>
      </w:r>
      <w:r w:rsidR="006005F1" w:rsidRPr="00EF0E74">
        <w:t>Ex</w:t>
      </w:r>
      <w:r w:rsidR="005B69C3" w:rsidRPr="00EF0E74">
        <w:t xml:space="preserve">periences of discrimination, </w:t>
      </w:r>
      <w:r w:rsidR="006005F1" w:rsidRPr="00EF0E74">
        <w:t>traumatic stress</w:t>
      </w:r>
      <w:r w:rsidR="005B69C3" w:rsidRPr="00EF0E74">
        <w:t>, and prevalence rates of PTSD diagnoses</w:t>
      </w:r>
      <w:r w:rsidR="006005F1" w:rsidRPr="00EF0E74">
        <w:t xml:space="preserve"> have begun to be examined in minority populations (</w:t>
      </w:r>
      <w:r w:rsidR="00B5575E" w:rsidRPr="00EF0E74">
        <w:t xml:space="preserve">e.g., </w:t>
      </w:r>
      <w:r w:rsidR="006005F1" w:rsidRPr="00EF0E74">
        <w:t>Alessi, Martin, G</w:t>
      </w:r>
      <w:r w:rsidR="00373DD9" w:rsidRPr="00EF0E74">
        <w:t>yame</w:t>
      </w:r>
      <w:r w:rsidR="005A006F" w:rsidRPr="00EF0E74">
        <w:t>rah, &amp; Meyer, 2013; Alessi, Meyer, et al.</w:t>
      </w:r>
      <w:r w:rsidR="00373DD9" w:rsidRPr="00EF0E74">
        <w:t xml:space="preserve">, </w:t>
      </w:r>
      <w:r w:rsidR="006005F1" w:rsidRPr="00EF0E74">
        <w:t>2013; Szymanski &amp; Balsam, 2010; Wei, Wang, Heppner</w:t>
      </w:r>
      <w:r w:rsidR="00BC216C" w:rsidRPr="00EF0E74">
        <w:t>,</w:t>
      </w:r>
      <w:r w:rsidR="002169A4" w:rsidRPr="00EF0E74">
        <w:t xml:space="preserve"> &amp; Du,</w:t>
      </w:r>
      <w:r w:rsidR="00BC216C" w:rsidRPr="00EF0E74">
        <w:t xml:space="preserve"> 2012</w:t>
      </w:r>
      <w:r w:rsidR="006005F1" w:rsidRPr="00EF0E74">
        <w:t>)</w:t>
      </w:r>
      <w:r w:rsidR="008246E3" w:rsidRPr="00EF0E74">
        <w:t xml:space="preserve">.  </w:t>
      </w:r>
      <w:r w:rsidR="006734DC" w:rsidRPr="00EF0E74">
        <w:t>Notably, both external</w:t>
      </w:r>
      <w:r w:rsidR="006005F1" w:rsidRPr="00EF0E74">
        <w:t xml:space="preserve">, </w:t>
      </w:r>
      <w:r w:rsidR="006005F1" w:rsidRPr="00EF0E74">
        <w:rPr>
          <w:i/>
        </w:rPr>
        <w:t xml:space="preserve">objective </w:t>
      </w:r>
      <w:r w:rsidR="006005F1" w:rsidRPr="00EF0E74">
        <w:t>discrimination</w:t>
      </w:r>
      <w:r w:rsidR="00FF41C0" w:rsidRPr="00EF0E74">
        <w:t>;</w:t>
      </w:r>
      <w:r w:rsidR="006005F1" w:rsidRPr="00EF0E74">
        <w:t xml:space="preserve"> and self-appraised, </w:t>
      </w:r>
      <w:r w:rsidR="006005F1" w:rsidRPr="00EF0E74">
        <w:rPr>
          <w:i/>
        </w:rPr>
        <w:t xml:space="preserve">subjective </w:t>
      </w:r>
      <w:r w:rsidR="006005F1" w:rsidRPr="00EF0E74">
        <w:t xml:space="preserve">experiences of discrimination correlate with poorer </w:t>
      </w:r>
      <w:r w:rsidR="00026211" w:rsidRPr="00EF0E74">
        <w:t xml:space="preserve">physical </w:t>
      </w:r>
      <w:r w:rsidR="006005F1" w:rsidRPr="00EF0E74">
        <w:t>and mental health outcomes across studies</w:t>
      </w:r>
      <w:r w:rsidR="00513E99" w:rsidRPr="00EF0E74">
        <w:t xml:space="preserve"> (see Hatzenbuehler, 2009; Szymanski,</w:t>
      </w:r>
      <w:r w:rsidR="00E84EF5" w:rsidRPr="00EF0E74">
        <w:t xml:space="preserve"> Kashubeck</w:t>
      </w:r>
      <w:r w:rsidR="007E499C" w:rsidRPr="00EF0E74">
        <w:t>-West</w:t>
      </w:r>
      <w:r w:rsidR="00E84EF5" w:rsidRPr="00EF0E74">
        <w:t>, &amp;</w:t>
      </w:r>
      <w:r w:rsidR="007E499C" w:rsidRPr="00EF0E74">
        <w:t xml:space="preserve"> Meyer</w:t>
      </w:r>
      <w:r w:rsidR="00E84EF5" w:rsidRPr="00EF0E74">
        <w:t>,</w:t>
      </w:r>
      <w:r w:rsidR="00513E99" w:rsidRPr="00EF0E74">
        <w:t xml:space="preserve"> 2008)</w:t>
      </w:r>
      <w:r w:rsidR="008246E3" w:rsidRPr="00EF0E74">
        <w:t xml:space="preserve">. </w:t>
      </w:r>
      <w:r w:rsidR="006005F1" w:rsidRPr="00EF0E74">
        <w:t xml:space="preserve"> Different </w:t>
      </w:r>
      <w:r w:rsidR="006005F1" w:rsidRPr="00EF0E74">
        <w:lastRenderedPageBreak/>
        <w:t>methods have been used to examine the presence of prejudice and discriminatory</w:t>
      </w:r>
      <w:r w:rsidR="006734DC" w:rsidRPr="00EF0E74">
        <w:t xml:space="preserve"> (i.e. heterosexist and biphobic)</w:t>
      </w:r>
      <w:r w:rsidR="006005F1" w:rsidRPr="00EF0E74">
        <w:t xml:space="preserve"> events, </w:t>
      </w:r>
      <w:r w:rsidR="005C68E0" w:rsidRPr="00EF0E74">
        <w:t>including self-report measures</w:t>
      </w:r>
      <w:r w:rsidR="006734DC" w:rsidRPr="00EF0E74">
        <w:t xml:space="preserve"> </w:t>
      </w:r>
      <w:r w:rsidR="002169A4" w:rsidRPr="00EF0E74">
        <w:t>(e.g., Szymanski &amp; Balsam</w:t>
      </w:r>
      <w:r w:rsidR="006734DC" w:rsidRPr="00EF0E74">
        <w:t>, 2010)</w:t>
      </w:r>
      <w:r w:rsidR="006005F1" w:rsidRPr="00EF0E74">
        <w:t>, and rater interpretations of narrative</w:t>
      </w:r>
      <w:r w:rsidR="00651F78" w:rsidRPr="00EF0E74">
        <w:t>s</w:t>
      </w:r>
      <w:r w:rsidR="006005F1" w:rsidRPr="00EF0E74">
        <w:t xml:space="preserve"> written about</w:t>
      </w:r>
      <w:r w:rsidR="005C68E0" w:rsidRPr="00EF0E74">
        <w:t xml:space="preserve"> the event</w:t>
      </w:r>
      <w:r w:rsidR="006734DC" w:rsidRPr="00EF0E74">
        <w:t xml:space="preserve"> (Alessi, Meyer, et al., 2013)</w:t>
      </w:r>
      <w:r w:rsidR="008246E3" w:rsidRPr="00EF0E74">
        <w:t xml:space="preserve">.  </w:t>
      </w:r>
      <w:r w:rsidR="006005F1" w:rsidRPr="00EF0E74">
        <w:t>For example, interviews conducted with ra</w:t>
      </w:r>
      <w:r w:rsidR="008246E3" w:rsidRPr="00EF0E74">
        <w:t>cial and ethnic minorit</w:t>
      </w:r>
      <w:r w:rsidR="00651F78" w:rsidRPr="00EF0E74">
        <w:t>y individuals</w:t>
      </w:r>
      <w:r w:rsidR="008246E3" w:rsidRPr="00EF0E74">
        <w:t xml:space="preserve"> (Lowe</w:t>
      </w:r>
      <w:r w:rsidR="002169A4" w:rsidRPr="00EF0E74">
        <w:t xml:space="preserve"> et al., 2013</w:t>
      </w:r>
      <w:r w:rsidR="006005F1" w:rsidRPr="00EF0E74">
        <w:t>), revealed</w:t>
      </w:r>
      <w:r w:rsidR="00513E99" w:rsidRPr="00EF0E74">
        <w:t xml:space="preserve"> that</w:t>
      </w:r>
      <w:r w:rsidR="006005F1" w:rsidRPr="00EF0E74">
        <w:t xml:space="preserve"> race-based trauma had impacted their li</w:t>
      </w:r>
      <w:r w:rsidR="00026211" w:rsidRPr="00EF0E74">
        <w:t>ves</w:t>
      </w:r>
      <w:r w:rsidR="006005F1" w:rsidRPr="00EF0E74">
        <w:t>, with consequences ranging from nightmares, flashbacks, and depression to anger and avoidance</w:t>
      </w:r>
      <w:r w:rsidR="00513E99" w:rsidRPr="00EF0E74">
        <w:t xml:space="preserve"> (i.e., traditional PTSD symptoms)</w:t>
      </w:r>
      <w:r w:rsidR="008246E3" w:rsidRPr="00EF0E74">
        <w:t xml:space="preserve">. </w:t>
      </w:r>
      <w:r w:rsidR="005B69C3" w:rsidRPr="00EF0E74">
        <w:t>Sexist</w:t>
      </w:r>
      <w:r w:rsidR="0094009F" w:rsidRPr="00EF0E74">
        <w:t xml:space="preserve"> </w:t>
      </w:r>
      <w:r w:rsidR="005B69C3" w:rsidRPr="00EF0E74">
        <w:t xml:space="preserve">discrimination leads to similar consequences. In a sample of lesbian, bisexual, and heterosexual women veterans, </w:t>
      </w:r>
      <w:r w:rsidR="00C70C2D" w:rsidRPr="00EF0E74">
        <w:t xml:space="preserve">the experience of </w:t>
      </w:r>
      <w:r w:rsidR="005B69C3" w:rsidRPr="00EF0E74">
        <w:t>sexist events in the past year significantly increased the odds of meeting criteria for PTSD (Lehavot</w:t>
      </w:r>
      <w:r w:rsidR="0094009F" w:rsidRPr="00EF0E74">
        <w:t xml:space="preserve"> </w:t>
      </w:r>
      <w:r w:rsidR="005B69C3" w:rsidRPr="00EF0E74">
        <w:t>&amp; Simpson, 2014).</w:t>
      </w:r>
    </w:p>
    <w:p w:rsidR="006005F1" w:rsidRPr="00EF0E74" w:rsidRDefault="005837D4" w:rsidP="004E1714">
      <w:pPr>
        <w:spacing w:after="0" w:line="480" w:lineRule="auto"/>
        <w:contextualSpacing/>
      </w:pPr>
      <w:r w:rsidRPr="00EF0E74">
        <w:tab/>
      </w:r>
      <w:r w:rsidR="00BC7986" w:rsidRPr="00EF0E74">
        <w:t xml:space="preserve">Experiences of discrimination </w:t>
      </w:r>
      <w:r w:rsidR="00513E99" w:rsidRPr="00EF0E74">
        <w:t>have</w:t>
      </w:r>
      <w:r w:rsidR="00BC7986" w:rsidRPr="00EF0E74">
        <w:t xml:space="preserve"> also</w:t>
      </w:r>
      <w:r w:rsidR="00F43629" w:rsidRPr="00EF0E74">
        <w:t xml:space="preserve"> been found to relate to a wide range of </w:t>
      </w:r>
      <w:r w:rsidR="00916EDD" w:rsidRPr="00EF0E74">
        <w:t xml:space="preserve">both </w:t>
      </w:r>
      <w:r w:rsidR="00F43629" w:rsidRPr="00EF0E74">
        <w:t>p</w:t>
      </w:r>
      <w:r w:rsidR="00350EC3" w:rsidRPr="00EF0E74">
        <w:t>hysical</w:t>
      </w:r>
      <w:r w:rsidR="004E1714" w:rsidRPr="00EF0E74">
        <w:t xml:space="preserve"> </w:t>
      </w:r>
      <w:r w:rsidR="00F43629" w:rsidRPr="00EF0E74">
        <w:t>an</w:t>
      </w:r>
      <w:r w:rsidR="00350EC3" w:rsidRPr="00EF0E74">
        <w:t xml:space="preserve">d mental health outcomes, such as headaches </w:t>
      </w:r>
      <w:r w:rsidR="004E1714" w:rsidRPr="00EF0E74">
        <w:t>(Woodford, Howell, Kulick, &amp; Silverschanz, 2012</w:t>
      </w:r>
      <w:r w:rsidR="00350EC3" w:rsidRPr="00EF0E74">
        <w:t>); nonprescription medicine use and physician visits (Huebner &amp; Davis, 2007); chronic disease (Frost, Lehavot, &amp; Meyer, 2013); depression</w:t>
      </w:r>
      <w:r w:rsidR="00BC7986" w:rsidRPr="00EF0E74">
        <w:t xml:space="preserve"> </w:t>
      </w:r>
      <w:r w:rsidR="00350EC3" w:rsidRPr="00EF0E74">
        <w:t>(</w:t>
      </w:r>
      <w:r w:rsidR="00D952D1" w:rsidRPr="00EF0E74">
        <w:t xml:space="preserve">Dyar, Feinstein, &amp; London, 2014; </w:t>
      </w:r>
      <w:r w:rsidR="00BC7986" w:rsidRPr="00EF0E74">
        <w:t>Zakalik &amp; Wei, 2006</w:t>
      </w:r>
      <w:r w:rsidR="00350EC3" w:rsidRPr="00EF0E74">
        <w:t>);</w:t>
      </w:r>
      <w:r w:rsidR="00D952D1" w:rsidRPr="00EF0E74">
        <w:t xml:space="preserve"> social anxiety (Feinstein, Goldfried, &amp; Davila, 2012); </w:t>
      </w:r>
      <w:r w:rsidR="000466FE" w:rsidRPr="00EF0E74">
        <w:t>and substance use (Hatzenbuehler, Nolen-Hoeksema, &amp; Erikson, 2008).</w:t>
      </w:r>
      <w:r w:rsidR="008C0EBD" w:rsidRPr="00EF0E74">
        <w:t xml:space="preserve"> However, little research has examined</w:t>
      </w:r>
      <w:r w:rsidR="00615482" w:rsidRPr="00EF0E74">
        <w:t xml:space="preserve"> the relationship(s) between</w:t>
      </w:r>
      <w:r w:rsidR="00513E99" w:rsidRPr="00EF0E74">
        <w:t xml:space="preserve"> discrimination, trauma-related symptoms</w:t>
      </w:r>
      <w:r w:rsidR="00615482" w:rsidRPr="00EF0E74">
        <w:t xml:space="preserve">, and </w:t>
      </w:r>
      <w:r w:rsidR="00513E99" w:rsidRPr="00EF0E74">
        <w:t xml:space="preserve">physical health and </w:t>
      </w:r>
      <w:r w:rsidR="00615482" w:rsidRPr="00EF0E74">
        <w:t>mental health</w:t>
      </w:r>
      <w:r w:rsidR="008C0EBD" w:rsidRPr="00EF0E74">
        <w:t xml:space="preserve">. </w:t>
      </w:r>
      <w:r w:rsidR="00101202" w:rsidRPr="00EF0E74">
        <w:t>A few</w:t>
      </w:r>
      <w:r w:rsidR="00380C59" w:rsidRPr="00EF0E74">
        <w:t xml:space="preserve"> studies in the literature, so far,</w:t>
      </w:r>
      <w:r w:rsidR="006005F1" w:rsidRPr="00EF0E74">
        <w:t xml:space="preserve"> </w:t>
      </w:r>
      <w:r w:rsidR="00380C59" w:rsidRPr="00EF0E74">
        <w:t>have examined</w:t>
      </w:r>
      <w:r w:rsidR="006005F1" w:rsidRPr="00EF0E74">
        <w:t xml:space="preserve"> the </w:t>
      </w:r>
      <w:r w:rsidR="0012448F" w:rsidRPr="00EF0E74">
        <w:t>consequences of perceived  (racial/ethnic) discrimination</w:t>
      </w:r>
      <w:r w:rsidR="006005F1" w:rsidRPr="00EF0E74">
        <w:t xml:space="preserve"> and trauma-related sy</w:t>
      </w:r>
      <w:r w:rsidR="00380C59" w:rsidRPr="00EF0E74">
        <w:t xml:space="preserve">mptoms on health risk behaviors </w:t>
      </w:r>
      <w:r w:rsidR="005A006F" w:rsidRPr="00EF0E74">
        <w:t>(</w:t>
      </w:r>
      <w:r w:rsidR="00380C59" w:rsidRPr="00EF0E74">
        <w:t xml:space="preserve">Cheng &amp; Mallinckrodt, 2015; </w:t>
      </w:r>
      <w:r w:rsidR="005A006F" w:rsidRPr="00EF0E74">
        <w:t xml:space="preserve">Flores, Tschann, Dimas, Pasch, &amp; de Groat, 2010). </w:t>
      </w:r>
      <w:r w:rsidR="00101202" w:rsidRPr="00EF0E74">
        <w:t>All</w:t>
      </w:r>
      <w:r w:rsidR="00380C59" w:rsidRPr="00EF0E74">
        <w:t xml:space="preserve"> studies found evidence that perceived discrimination affected participants deleteriously by increasing self-reported trauma-symptoms. </w:t>
      </w:r>
      <w:r w:rsidR="0012448F" w:rsidRPr="00EF0E74">
        <w:t>As a result</w:t>
      </w:r>
      <w:r w:rsidR="00101202" w:rsidRPr="00EF0E74">
        <w:t>, participants</w:t>
      </w:r>
      <w:r w:rsidR="00380C59" w:rsidRPr="00EF0E74">
        <w:t xml:space="preserve"> engaged in risky health behaviors, such as smoking</w:t>
      </w:r>
      <w:r w:rsidR="0012448F" w:rsidRPr="00EF0E74">
        <w:t xml:space="preserve"> and</w:t>
      </w:r>
      <w:r w:rsidR="00380C59" w:rsidRPr="00EF0E74">
        <w:t xml:space="preserve"> maladaptive alcohol use</w:t>
      </w:r>
      <w:r w:rsidR="0012448F" w:rsidRPr="00EF0E74">
        <w:t>.</w:t>
      </w:r>
      <w:r w:rsidR="007E499C" w:rsidRPr="00EF0E74">
        <w:t xml:space="preserve"> Regarding mental health outcomes, Torres and Taknint (2015) examined trauma symptoms as a mediator between ethnic </w:t>
      </w:r>
      <w:r w:rsidR="007E499C" w:rsidRPr="00EF0E74">
        <w:lastRenderedPageBreak/>
        <w:t>discrimination and depression</w:t>
      </w:r>
      <w:r w:rsidR="00C01770" w:rsidRPr="00EF0E74">
        <w:t xml:space="preserve"> for Latino/a adults</w:t>
      </w:r>
      <w:r w:rsidR="007E499C" w:rsidRPr="00EF0E74">
        <w:t>, and found a significant mediation effect for trauma symptoms</w:t>
      </w:r>
      <w:r w:rsidR="00C01770" w:rsidRPr="00EF0E74">
        <w:t>.</w:t>
      </w:r>
      <w:r w:rsidR="0012448F" w:rsidRPr="00EF0E74">
        <w:t xml:space="preserve"> </w:t>
      </w:r>
      <w:r w:rsidR="00C01770" w:rsidRPr="00EF0E74">
        <w:t>These recent efforts conceptualizing racism and ethnic discrimination as a traumatic experience and how they impact mental and physical health has yet to fully expanded to sexual orientation-based prejudice and similar health outcomes, a gap hoped to be addressed with this research</w:t>
      </w:r>
    </w:p>
    <w:p w:rsidR="00101202" w:rsidRPr="00EF0E74" w:rsidRDefault="006005F1" w:rsidP="006005F1">
      <w:pPr>
        <w:spacing w:after="0" w:line="480" w:lineRule="auto"/>
        <w:contextualSpacing/>
      </w:pPr>
      <w:r w:rsidRPr="00EF0E74">
        <w:rPr>
          <w:b/>
        </w:rPr>
        <w:tab/>
      </w:r>
      <w:bookmarkStart w:id="2" w:name="_Toc425928339"/>
      <w:r w:rsidRPr="00EF0E74">
        <w:rPr>
          <w:rStyle w:val="Heading3Char"/>
          <w:rFonts w:cs="Times New Roman"/>
        </w:rPr>
        <w:t>Sexual orientation and trauma</w:t>
      </w:r>
      <w:bookmarkEnd w:id="2"/>
      <w:r w:rsidR="008246E3" w:rsidRPr="00EF0E74">
        <w:rPr>
          <w:b/>
        </w:rPr>
        <w:t>.</w:t>
      </w:r>
      <w:r w:rsidR="00A50E1D" w:rsidRPr="00EF0E74">
        <w:rPr>
          <w:b/>
        </w:rPr>
        <w:t xml:space="preserve"> </w:t>
      </w:r>
      <w:r w:rsidRPr="00EF0E74">
        <w:t xml:space="preserve">Prior research has shown that LGB individuals are less likely to report </w:t>
      </w:r>
      <w:r w:rsidR="00E75787" w:rsidRPr="00EF0E74">
        <w:t xml:space="preserve">sexual orientation-based </w:t>
      </w:r>
      <w:r w:rsidRPr="00EF0E74">
        <w:t xml:space="preserve">hate crimes </w:t>
      </w:r>
      <w:r w:rsidR="00E75787" w:rsidRPr="00EF0E74">
        <w:t xml:space="preserve">they have experienced </w:t>
      </w:r>
      <w:r w:rsidRPr="00EF0E74">
        <w:t xml:space="preserve">than </w:t>
      </w:r>
      <w:r w:rsidR="00E75787" w:rsidRPr="00EF0E74">
        <w:t xml:space="preserve">other, </w:t>
      </w:r>
      <w:r w:rsidRPr="00EF0E74">
        <w:t>non-bias crimes that they have exp</w:t>
      </w:r>
      <w:r w:rsidR="00F560CB" w:rsidRPr="00EF0E74">
        <w:t>erienced (Herek, Gillis, &amp; Cogan</w:t>
      </w:r>
      <w:r w:rsidRPr="00EF0E74">
        <w:t>, 1999)</w:t>
      </w:r>
      <w:r w:rsidR="008246E3" w:rsidRPr="00EF0E74">
        <w:t xml:space="preserve">. </w:t>
      </w:r>
      <w:r w:rsidR="00AF6B3A" w:rsidRPr="00EF0E74">
        <w:t>For example</w:t>
      </w:r>
      <w:r w:rsidRPr="00EF0E74">
        <w:t xml:space="preserve">, </w:t>
      </w:r>
      <w:r w:rsidR="00F01F85" w:rsidRPr="00EF0E74">
        <w:t>Herek</w:t>
      </w:r>
      <w:r w:rsidR="00100C67" w:rsidRPr="00EF0E74">
        <w:t xml:space="preserve"> et al.</w:t>
      </w:r>
      <w:r w:rsidR="00F01F85" w:rsidRPr="00EF0E74">
        <w:t xml:space="preserve"> found that </w:t>
      </w:r>
      <w:r w:rsidRPr="00EF0E74">
        <w:t>bisexual women reported only 35% of hate-crime victimizations, but 68% of</w:t>
      </w:r>
      <w:r w:rsidR="00346A7E" w:rsidRPr="00EF0E74">
        <w:t xml:space="preserve"> other</w:t>
      </w:r>
      <w:r w:rsidRPr="00EF0E74">
        <w:t xml:space="preserve"> crimes not associated with their sexual orientation</w:t>
      </w:r>
      <w:r w:rsidR="008246E3" w:rsidRPr="00EF0E74">
        <w:t xml:space="preserve">.  </w:t>
      </w:r>
      <w:r w:rsidRPr="00EF0E74">
        <w:t xml:space="preserve">Similarly, </w:t>
      </w:r>
      <w:r w:rsidR="00F9613F" w:rsidRPr="00EF0E74">
        <w:t xml:space="preserve">they found that </w:t>
      </w:r>
      <w:r w:rsidRPr="00EF0E74">
        <w:t>bisexual men reported only 24% of sexual orientation-related victimization, but 62% of other crimes</w:t>
      </w:r>
      <w:r w:rsidR="008246E3" w:rsidRPr="00EF0E74">
        <w:t xml:space="preserve">.  </w:t>
      </w:r>
      <w:r w:rsidRPr="00EF0E74">
        <w:t xml:space="preserve">Sexual minority men were significantly more likely than </w:t>
      </w:r>
      <w:r w:rsidR="00C55D18" w:rsidRPr="00EF0E74">
        <w:t>sexual minority w</w:t>
      </w:r>
      <w:r w:rsidRPr="00EF0E74">
        <w:t>omen to be verbally harassed, threatened, chased or followed, have objects thrown at them, and spat on</w:t>
      </w:r>
      <w:r w:rsidR="008246E3" w:rsidRPr="00EF0E74">
        <w:t xml:space="preserve">.  </w:t>
      </w:r>
      <w:r w:rsidRPr="00EF0E74">
        <w:t xml:space="preserve">Bisexual men and women experienced more vulnerability </w:t>
      </w:r>
      <w:r w:rsidR="001E53CC" w:rsidRPr="00EF0E74">
        <w:t xml:space="preserve">and fear </w:t>
      </w:r>
      <w:r w:rsidRPr="00EF0E74">
        <w:t xml:space="preserve">that they </w:t>
      </w:r>
      <w:r w:rsidR="001E53CC" w:rsidRPr="00EF0E74">
        <w:t xml:space="preserve">would </w:t>
      </w:r>
      <w:r w:rsidRPr="00EF0E74">
        <w:t>be victims of future crimes</w:t>
      </w:r>
      <w:r w:rsidR="008246E3" w:rsidRPr="00EF0E74">
        <w:t xml:space="preserve">. </w:t>
      </w:r>
      <w:r w:rsidR="004E450B" w:rsidRPr="00EF0E74">
        <w:t xml:space="preserve">Herek et al. </w:t>
      </w:r>
      <w:r w:rsidR="00FC32EB" w:rsidRPr="00EF0E74">
        <w:t xml:space="preserve">(1999) </w:t>
      </w:r>
      <w:r w:rsidR="004E450B" w:rsidRPr="00EF0E74">
        <w:t>also considered t</w:t>
      </w:r>
      <w:r w:rsidRPr="00EF0E74">
        <w:t xml:space="preserve">he negative mental health consequences of hate-crime victimizations compared to non-bias events </w:t>
      </w:r>
      <w:r w:rsidR="009836DF" w:rsidRPr="00EF0E74">
        <w:t>and found</w:t>
      </w:r>
      <w:r w:rsidRPr="00EF0E74">
        <w:t xml:space="preserve"> no significant differences</w:t>
      </w:r>
      <w:r w:rsidR="009836DF" w:rsidRPr="00EF0E74">
        <w:t xml:space="preserve"> between the two types of crimes. </w:t>
      </w:r>
      <w:r w:rsidR="00101202" w:rsidRPr="00EF0E74">
        <w:t xml:space="preserve">Gay men and lesbian women who were victims of a hate crime experienced more depression, anger, traumatic stress, anger, and less positive affect than those who were victims of crime not perceived to based on the participants' sexual orienation. For bisexuals, no differences were found between groups, but the authors noted that the small sample size likely affected these results. </w:t>
      </w:r>
      <w:r w:rsidRPr="00EF0E74">
        <w:tab/>
      </w:r>
    </w:p>
    <w:p w:rsidR="006005F1" w:rsidRPr="00EF0E74" w:rsidRDefault="00101202" w:rsidP="006005F1">
      <w:pPr>
        <w:spacing w:after="0" w:line="480" w:lineRule="auto"/>
        <w:contextualSpacing/>
      </w:pPr>
      <w:r w:rsidRPr="00EF0E74">
        <w:tab/>
      </w:r>
      <w:r w:rsidR="006005F1" w:rsidRPr="00EF0E74">
        <w:t>A handful of recent studies on sexual minority men and women clearly show a relationship between sexual orientation discrimination and trauma</w:t>
      </w:r>
      <w:r w:rsidR="0012448F" w:rsidRPr="00EF0E74">
        <w:t xml:space="preserve"> symptoms</w:t>
      </w:r>
      <w:r w:rsidR="008246E3" w:rsidRPr="00EF0E74">
        <w:t xml:space="preserve">. </w:t>
      </w:r>
      <w:r w:rsidR="006005F1" w:rsidRPr="00EF0E74">
        <w:t xml:space="preserve"> For LGB youth, </w:t>
      </w:r>
      <w:r w:rsidR="006005F1" w:rsidRPr="00EF0E74">
        <w:lastRenderedPageBreak/>
        <w:t>sexual orientation victimization positively associated with post-traumatic stress symptoms (Dragowski</w:t>
      </w:r>
      <w:r w:rsidR="0094009F" w:rsidRPr="00EF0E74">
        <w:t xml:space="preserve">, </w:t>
      </w:r>
      <w:r w:rsidR="006005F1" w:rsidRPr="00EF0E74">
        <w:t>Halkitis, Grossman, &amp;</w:t>
      </w:r>
      <w:r w:rsidR="0094009F" w:rsidRPr="00EF0E74">
        <w:t xml:space="preserve"> </w:t>
      </w:r>
      <w:r w:rsidR="006005F1" w:rsidRPr="00EF0E74">
        <w:t>D'Augelli, 2011)</w:t>
      </w:r>
      <w:r w:rsidR="008246E3" w:rsidRPr="00EF0E74">
        <w:t xml:space="preserve">. </w:t>
      </w:r>
      <w:r w:rsidR="006005F1" w:rsidRPr="00EF0E74">
        <w:t xml:space="preserve"> Interestingly, the relationship between verbal harassment and stress was stronger than the relationship between physical harassment and stress (</w:t>
      </w:r>
      <w:r w:rsidR="006005F1" w:rsidRPr="00EF0E74">
        <w:rPr>
          <w:i/>
        </w:rPr>
        <w:t>r</w:t>
      </w:r>
      <w:r w:rsidR="006005F1" w:rsidRPr="00EF0E74">
        <w:t xml:space="preserve"> = .25 and </w:t>
      </w:r>
      <w:r w:rsidR="006005F1" w:rsidRPr="00EF0E74">
        <w:rPr>
          <w:i/>
        </w:rPr>
        <w:t>r</w:t>
      </w:r>
      <w:r w:rsidR="006005F1" w:rsidRPr="00EF0E74">
        <w:t xml:space="preserve"> = .15, respectively)</w:t>
      </w:r>
      <w:r w:rsidR="00275485" w:rsidRPr="00EF0E74">
        <w:t>;</w:t>
      </w:r>
      <w:r w:rsidR="006005F1" w:rsidRPr="00EF0E74">
        <w:t xml:space="preserve"> and verbal harassment, when controlling for internalized homophobia, childhood gender atypicality, and stressful life events, s</w:t>
      </w:r>
      <w:r w:rsidRPr="00EF0E74">
        <w:t xml:space="preserve">till positively related to </w:t>
      </w:r>
      <w:r w:rsidR="006005F1" w:rsidRPr="00EF0E74">
        <w:t>traumatic stress</w:t>
      </w:r>
      <w:r w:rsidR="008246E3" w:rsidRPr="00EF0E74">
        <w:t xml:space="preserve">.  </w:t>
      </w:r>
      <w:r w:rsidR="006005F1" w:rsidRPr="00EF0E74">
        <w:t xml:space="preserve">Similar findings emerged in </w:t>
      </w:r>
      <w:r w:rsidR="00275485" w:rsidRPr="00EF0E74">
        <w:t>a</w:t>
      </w:r>
      <w:r w:rsidR="006005F1" w:rsidRPr="00EF0E74">
        <w:t xml:space="preserve"> cohort of </w:t>
      </w:r>
      <w:r w:rsidR="00275485" w:rsidRPr="00EF0E74">
        <w:t xml:space="preserve">adult </w:t>
      </w:r>
      <w:r w:rsidR="006005F1" w:rsidRPr="00EF0E74">
        <w:t>lesbian women, wherein recent heterosexist discrimination and sexual orientation-based hate crime victimization both uniquely associated with PTSD symptoms</w:t>
      </w:r>
      <w:r w:rsidR="005F7E12" w:rsidRPr="00EF0E74">
        <w:t xml:space="preserve"> (Szymanski </w:t>
      </w:r>
      <w:r w:rsidR="005C68E0" w:rsidRPr="00EF0E74">
        <w:t>&amp; Balsam</w:t>
      </w:r>
      <w:r w:rsidR="005F7E12" w:rsidRPr="00EF0E74">
        <w:t>, 2010)</w:t>
      </w:r>
      <w:r w:rsidR="008246E3" w:rsidRPr="00EF0E74">
        <w:t xml:space="preserve">. </w:t>
      </w:r>
      <w:r w:rsidR="00100C67" w:rsidRPr="00EF0E74">
        <w:t>Lastly, sexual orientation-based hate crimes and heter</w:t>
      </w:r>
      <w:r w:rsidR="00367328" w:rsidRPr="00EF0E74">
        <w:t>o</w:t>
      </w:r>
      <w:r w:rsidR="005A006F" w:rsidRPr="00EF0E74">
        <w:t>sexist discrimination were</w:t>
      </w:r>
      <w:r w:rsidR="00100C67" w:rsidRPr="00EF0E74">
        <w:t xml:space="preserve"> found to be related to reported trauma  symptoms</w:t>
      </w:r>
      <w:r w:rsidR="008246E3" w:rsidRPr="00EF0E74">
        <w:t xml:space="preserve"> </w:t>
      </w:r>
      <w:r w:rsidR="00367328" w:rsidRPr="00EF0E74">
        <w:t>in a sample of LGB participants, and it was suggested that future research examine these effects of minority stress in other LGB populations, such as bisexuals (Bandermann &amp; Szymanski, 2014).</w:t>
      </w:r>
    </w:p>
    <w:p w:rsidR="00B4320F" w:rsidRPr="00EF0E74" w:rsidRDefault="0014638F" w:rsidP="00AB2D83">
      <w:pPr>
        <w:pStyle w:val="Heading2"/>
        <w:rPr>
          <w:rFonts w:cs="Times New Roman"/>
        </w:rPr>
      </w:pPr>
      <w:bookmarkStart w:id="3" w:name="_Toc425928340"/>
      <w:r w:rsidRPr="00EF0E74">
        <w:rPr>
          <w:rFonts w:cs="Times New Roman"/>
        </w:rPr>
        <w:t>Minority Stress</w:t>
      </w:r>
      <w:r w:rsidR="00B4320F" w:rsidRPr="00EF0E74">
        <w:rPr>
          <w:rFonts w:cs="Times New Roman"/>
        </w:rPr>
        <w:t xml:space="preserve"> Model</w:t>
      </w:r>
      <w:bookmarkEnd w:id="3"/>
    </w:p>
    <w:p w:rsidR="00C1138E" w:rsidRPr="00EF0E74" w:rsidRDefault="0014638F" w:rsidP="00AA4751">
      <w:pPr>
        <w:spacing w:after="0" w:line="480" w:lineRule="auto"/>
        <w:contextualSpacing/>
        <w:rPr>
          <w:b/>
        </w:rPr>
      </w:pPr>
      <w:r w:rsidRPr="00EF0E74">
        <w:rPr>
          <w:b/>
        </w:rPr>
        <w:tab/>
      </w:r>
      <w:r w:rsidRPr="00EF0E74">
        <w:t xml:space="preserve">Building upon a surge of evidence </w:t>
      </w:r>
      <w:r w:rsidR="009A1BE9" w:rsidRPr="00EF0E74">
        <w:t xml:space="preserve">of </w:t>
      </w:r>
      <w:r w:rsidRPr="00EF0E74">
        <w:t>the</w:t>
      </w:r>
      <w:r w:rsidR="009A1BE9" w:rsidRPr="00EF0E74">
        <w:t xml:space="preserve"> existence of</w:t>
      </w:r>
      <w:r w:rsidRPr="00EF0E74">
        <w:t xml:space="preserve"> mental health disparit</w:t>
      </w:r>
      <w:r w:rsidR="000A347A" w:rsidRPr="00EF0E74">
        <w:t>ies</w:t>
      </w:r>
      <w:r w:rsidRPr="00EF0E74">
        <w:t xml:space="preserve"> between the LGB population and heterosexuals</w:t>
      </w:r>
      <w:r w:rsidR="009A1BE9" w:rsidRPr="00EF0E74">
        <w:t>,</w:t>
      </w:r>
      <w:r w:rsidRPr="00EF0E74">
        <w:t xml:space="preserve"> Meyer (2003) proposed the </w:t>
      </w:r>
      <w:r w:rsidRPr="00EF0E74">
        <w:rPr>
          <w:i/>
        </w:rPr>
        <w:t>minority stress model</w:t>
      </w:r>
      <w:r w:rsidR="005A006F" w:rsidRPr="00EF0E74">
        <w:t>. The minority stress model</w:t>
      </w:r>
      <w:r w:rsidRPr="00EF0E74">
        <w:t xml:space="preserve"> contends that individuals from stigmatized social identity</w:t>
      </w:r>
      <w:r w:rsidR="000A347A" w:rsidRPr="00EF0E74">
        <w:t xml:space="preserve"> groups</w:t>
      </w:r>
      <w:r w:rsidRPr="00EF0E74">
        <w:t xml:space="preserve"> encounter</w:t>
      </w:r>
      <w:r w:rsidR="00332A09" w:rsidRPr="00EF0E74">
        <w:t xml:space="preserve"> a unique form of stress in the form of prejudice and discrimination</w:t>
      </w:r>
      <w:r w:rsidR="005A006F" w:rsidRPr="00EF0E74">
        <w:t xml:space="preserve"> from</w:t>
      </w:r>
      <w:r w:rsidRPr="00EF0E74">
        <w:t xml:space="preserve"> their </w:t>
      </w:r>
      <w:r w:rsidR="00A92B63" w:rsidRPr="00EF0E74">
        <w:t xml:space="preserve">stigmatized </w:t>
      </w:r>
      <w:r w:rsidRPr="00EF0E74">
        <w:t>position within a society</w:t>
      </w:r>
      <w:r w:rsidR="008246E3" w:rsidRPr="00EF0E74">
        <w:t xml:space="preserve">. </w:t>
      </w:r>
      <w:r w:rsidRPr="00EF0E74">
        <w:t>Originally developed as an explanation of the increased prevalence rates of suicidality, alcohol use</w:t>
      </w:r>
      <w:r w:rsidR="007204C5" w:rsidRPr="00EF0E74">
        <w:t>,</w:t>
      </w:r>
      <w:r w:rsidRPr="00EF0E74">
        <w:t xml:space="preserve"> and mental health problems </w:t>
      </w:r>
      <w:r w:rsidR="007204C5" w:rsidRPr="00EF0E74">
        <w:t xml:space="preserve">among </w:t>
      </w:r>
      <w:r w:rsidRPr="00EF0E74">
        <w:t xml:space="preserve">the LGB population, minority stress theory includes two forms of stressors: </w:t>
      </w:r>
      <w:r w:rsidRPr="00EF0E74">
        <w:rPr>
          <w:i/>
        </w:rPr>
        <w:t xml:space="preserve">distal </w:t>
      </w:r>
      <w:r w:rsidRPr="00EF0E74">
        <w:t>(i.e.</w:t>
      </w:r>
      <w:r w:rsidR="005D6547" w:rsidRPr="00EF0E74">
        <w:t>,</w:t>
      </w:r>
      <w:r w:rsidRPr="00EF0E74">
        <w:t xml:space="preserve"> objective, </w:t>
      </w:r>
      <w:r w:rsidR="00C55D18" w:rsidRPr="00EF0E74">
        <w:t>externally-based f</w:t>
      </w:r>
      <w:r w:rsidRPr="00EF0E74">
        <w:t xml:space="preserve">orms of stress) and </w:t>
      </w:r>
      <w:r w:rsidRPr="00EF0E74">
        <w:rPr>
          <w:i/>
        </w:rPr>
        <w:t xml:space="preserve">proximal </w:t>
      </w:r>
      <w:r w:rsidRPr="00EF0E74">
        <w:t>(</w:t>
      </w:r>
      <w:r w:rsidR="005D6547" w:rsidRPr="00EF0E74">
        <w:t>i.e.,</w:t>
      </w:r>
      <w:r w:rsidRPr="00EF0E74">
        <w:t xml:space="preserve"> subjective, person-appraised forms of stress)</w:t>
      </w:r>
      <w:r w:rsidR="008246E3" w:rsidRPr="00EF0E74">
        <w:t xml:space="preserve">.  </w:t>
      </w:r>
      <w:r w:rsidR="00332A09" w:rsidRPr="00EF0E74">
        <w:t>Distal stress</w:t>
      </w:r>
      <w:r w:rsidR="00265B3C" w:rsidRPr="00EF0E74">
        <w:t>ors</w:t>
      </w:r>
      <w:r w:rsidR="00332A09" w:rsidRPr="00EF0E74">
        <w:t xml:space="preserve"> specific to the LGB popula</w:t>
      </w:r>
      <w:r w:rsidR="007204C5" w:rsidRPr="00EF0E74">
        <w:t>t</w:t>
      </w:r>
      <w:r w:rsidR="00332A09" w:rsidRPr="00EF0E74">
        <w:t xml:space="preserve">ion might include rejection from family and friends, physical assault based on sexual orientation, and being denied a job due to one's sexual </w:t>
      </w:r>
      <w:r w:rsidR="00332A09" w:rsidRPr="00EF0E74">
        <w:lastRenderedPageBreak/>
        <w:t>orientation</w:t>
      </w:r>
      <w:r w:rsidR="008246E3" w:rsidRPr="00EF0E74">
        <w:t xml:space="preserve">.  </w:t>
      </w:r>
      <w:r w:rsidR="00332A09" w:rsidRPr="00EF0E74">
        <w:t>Examples of proximal stressors that are particularly salient for LGB individuals include internalized heterosexism</w:t>
      </w:r>
      <w:r w:rsidR="005A006F" w:rsidRPr="00EF0E74">
        <w:t xml:space="preserve"> (IH; i.e., when an LGB person inwardly directs anger, shame, and resentment about sexual minorities she or he has received in a heterosexist system; Szy</w:t>
      </w:r>
      <w:r w:rsidR="007E499C" w:rsidRPr="00EF0E74">
        <w:t>manski et al.,</w:t>
      </w:r>
      <w:r w:rsidR="005A006F" w:rsidRPr="00EF0E74">
        <w:t xml:space="preserve"> 2008)</w:t>
      </w:r>
      <w:r w:rsidR="00332A09" w:rsidRPr="00EF0E74">
        <w:t>, concealment, and fear of rejection</w:t>
      </w:r>
      <w:r w:rsidR="008246E3" w:rsidRPr="00EF0E74">
        <w:t xml:space="preserve">.  </w:t>
      </w:r>
      <w:r w:rsidRPr="00EF0E74">
        <w:t>Distal stress overlaps with proximal stress in that experienc</w:t>
      </w:r>
      <w:r w:rsidR="00B33D0F" w:rsidRPr="00EF0E74">
        <w:t>es of</w:t>
      </w:r>
      <w:r w:rsidRPr="00EF0E74">
        <w:t xml:space="preserve"> one form of stress may impact </w:t>
      </w:r>
      <w:r w:rsidR="005B669F" w:rsidRPr="00EF0E74">
        <w:t xml:space="preserve">the </w:t>
      </w:r>
      <w:r w:rsidRPr="00EF0E74">
        <w:t>other</w:t>
      </w:r>
      <w:r w:rsidR="008246E3" w:rsidRPr="00EF0E74">
        <w:t xml:space="preserve">.  </w:t>
      </w:r>
      <w:r w:rsidRPr="00EF0E74">
        <w:t>For example, being fired at work for being gay, lesbian, or bisexual (</w:t>
      </w:r>
      <w:r w:rsidR="00541E37" w:rsidRPr="00EF0E74">
        <w:t xml:space="preserve">a </w:t>
      </w:r>
      <w:r w:rsidRPr="00EF0E74">
        <w:t>distal stressor) may increase concealment and expectations of rejection (proximal stressor)</w:t>
      </w:r>
      <w:r w:rsidR="008246E3" w:rsidRPr="00EF0E74">
        <w:t xml:space="preserve">.  </w:t>
      </w:r>
      <w:r w:rsidRPr="00EF0E74">
        <w:t xml:space="preserve">Expectations </w:t>
      </w:r>
      <w:r w:rsidR="005A006F" w:rsidRPr="00EF0E74">
        <w:t>of rejection, then, might lead to</w:t>
      </w:r>
      <w:r w:rsidRPr="00EF0E74">
        <w:t xml:space="preserve"> susceptibility to feeling rejected in personal relationships</w:t>
      </w:r>
      <w:r w:rsidR="008246E3" w:rsidRPr="00EF0E74">
        <w:t xml:space="preserve">.  </w:t>
      </w:r>
      <w:r w:rsidR="00C1138E" w:rsidRPr="00EF0E74">
        <w:t xml:space="preserve">Meyer acknowledges that </w:t>
      </w:r>
      <w:r w:rsidR="007D66A8" w:rsidRPr="00EF0E74">
        <w:t>the distal-proximal distinction is not categorical, but rather a continuum with distal stressors being less reliant on individual perception, and proximal stressors</w:t>
      </w:r>
      <w:r w:rsidR="005B5099" w:rsidRPr="00EF0E74">
        <w:t xml:space="preserve"> being</w:t>
      </w:r>
      <w:r w:rsidR="007D66A8" w:rsidRPr="00EF0E74">
        <w:t xml:space="preserve"> a product of other psychological characteristics</w:t>
      </w:r>
      <w:r w:rsidR="008246E3" w:rsidRPr="00EF0E74">
        <w:t xml:space="preserve">.  </w:t>
      </w:r>
      <w:r w:rsidR="00D90FEB" w:rsidRPr="00EF0E74">
        <w:t>However, by u</w:t>
      </w:r>
      <w:r w:rsidR="001D6C43" w:rsidRPr="00EF0E74">
        <w:t>sing this distinction</w:t>
      </w:r>
      <w:r w:rsidR="004D5B07" w:rsidRPr="00EF0E74">
        <w:t>, researchers</w:t>
      </w:r>
      <w:r w:rsidR="001D6C43" w:rsidRPr="00EF0E74">
        <w:t xml:space="preserve"> can examine psychological processes that </w:t>
      </w:r>
      <w:r w:rsidR="00521CD3" w:rsidRPr="00EF0E74">
        <w:t xml:space="preserve">may </w:t>
      </w:r>
      <w:r w:rsidR="006B0213" w:rsidRPr="00EF0E74">
        <w:t>impact whether</w:t>
      </w:r>
      <w:r w:rsidR="00612A6F" w:rsidRPr="00EF0E74">
        <w:t xml:space="preserve"> LGB persons</w:t>
      </w:r>
      <w:r w:rsidR="00C54CDE" w:rsidRPr="00EF0E74">
        <w:t xml:space="preserve"> </w:t>
      </w:r>
      <w:r w:rsidR="00612A6F" w:rsidRPr="00EF0E74">
        <w:t xml:space="preserve">develop </w:t>
      </w:r>
      <w:r w:rsidR="001D6C43" w:rsidRPr="00EF0E74">
        <w:t>proximal-forms of minority stress</w:t>
      </w:r>
      <w:r w:rsidR="00C54CDE" w:rsidRPr="00EF0E74">
        <w:t xml:space="preserve"> </w:t>
      </w:r>
      <w:r w:rsidR="004D5B07" w:rsidRPr="00EF0E74">
        <w:t xml:space="preserve">when </w:t>
      </w:r>
      <w:r w:rsidR="00612A6F" w:rsidRPr="00EF0E74">
        <w:t>they experience distal stress, in addition to examining the unique effects of both (Hatzenbuehler</w:t>
      </w:r>
      <w:r w:rsidR="00B303C1" w:rsidRPr="00EF0E74">
        <w:t xml:space="preserve"> et al.</w:t>
      </w:r>
      <w:r w:rsidR="00612A6F" w:rsidRPr="00EF0E74">
        <w:t>, 2008</w:t>
      </w:r>
      <w:r w:rsidR="00242F63" w:rsidRPr="00EF0E74">
        <w:t>; Szymanski &amp; Ikizler, 2013</w:t>
      </w:r>
      <w:r w:rsidR="00612A6F" w:rsidRPr="00EF0E74">
        <w:t>)</w:t>
      </w:r>
      <w:r w:rsidR="008246E3" w:rsidRPr="00EF0E74">
        <w:t xml:space="preserve">.  </w:t>
      </w:r>
    </w:p>
    <w:p w:rsidR="00D90FEB" w:rsidRPr="00EF0E74" w:rsidRDefault="00615482">
      <w:pPr>
        <w:spacing w:after="0" w:line="480" w:lineRule="auto"/>
        <w:contextualSpacing/>
      </w:pPr>
      <w:r w:rsidRPr="00EF0E74">
        <w:tab/>
      </w:r>
      <w:r w:rsidR="001C6089" w:rsidRPr="00EF0E74">
        <w:t>Depression and symptoms indicative of depression are one of the more common mental health outcomes studied in relation to minority stress</w:t>
      </w:r>
      <w:r w:rsidR="00B303C1" w:rsidRPr="00EF0E74">
        <w:t xml:space="preserve"> (e.g. Dyar et al.</w:t>
      </w:r>
      <w:r w:rsidR="001C6089" w:rsidRPr="00EF0E74">
        <w:t xml:space="preserve">, 2014; </w:t>
      </w:r>
      <w:r w:rsidR="00B303C1" w:rsidRPr="00EF0E74">
        <w:t>Feinstein et al.</w:t>
      </w:r>
      <w:r w:rsidR="001C6089" w:rsidRPr="00EF0E74">
        <w:t>, 2012;</w:t>
      </w:r>
      <w:r w:rsidR="0080216B" w:rsidRPr="00EF0E74">
        <w:t xml:space="preserve"> Szymanski &amp; Ikizler, 2013</w:t>
      </w:r>
      <w:r w:rsidR="001C6089" w:rsidRPr="00EF0E74">
        <w:t xml:space="preserve">). Feinstein et al. examined </w:t>
      </w:r>
      <w:r w:rsidR="0012448F" w:rsidRPr="00EF0E74">
        <w:t xml:space="preserve">the relationship between </w:t>
      </w:r>
      <w:r w:rsidR="001C6089" w:rsidRPr="00EF0E74">
        <w:t>experiences of discrimination, gay-related rejection sensitivity, a</w:t>
      </w:r>
      <w:r w:rsidR="0012448F" w:rsidRPr="00EF0E74">
        <w:t>nd internalized homonegativity</w:t>
      </w:r>
      <w:r w:rsidR="001C6089" w:rsidRPr="00EF0E74">
        <w:t xml:space="preserve"> </w:t>
      </w:r>
      <w:r w:rsidR="00504234" w:rsidRPr="00EF0E74">
        <w:t>(</w:t>
      </w:r>
      <w:r w:rsidR="00B303C1" w:rsidRPr="00EF0E74">
        <w:t xml:space="preserve">i.e. </w:t>
      </w:r>
      <w:r w:rsidR="00504234" w:rsidRPr="00EF0E74">
        <w:t xml:space="preserve">IH) </w:t>
      </w:r>
      <w:r w:rsidR="001C6089" w:rsidRPr="00EF0E74">
        <w:t xml:space="preserve">with depression, and found that all three related to depressive symptoms. In addition, their model suggests that </w:t>
      </w:r>
      <w:r w:rsidR="0012448F" w:rsidRPr="00EF0E74">
        <w:t xml:space="preserve">the effect of </w:t>
      </w:r>
      <w:r w:rsidR="001C6089" w:rsidRPr="00EF0E74">
        <w:t>exper</w:t>
      </w:r>
      <w:r w:rsidR="0012448F" w:rsidRPr="00EF0E74">
        <w:t xml:space="preserve">iences of discrimination </w:t>
      </w:r>
      <w:r w:rsidR="001C6089" w:rsidRPr="00EF0E74">
        <w:t>on depressive symptoms is partially mediated by IH</w:t>
      </w:r>
      <w:r w:rsidR="00504234" w:rsidRPr="00EF0E74">
        <w:t>.</w:t>
      </w:r>
      <w:r w:rsidR="009D7650" w:rsidRPr="00EF0E74">
        <w:t xml:space="preserve"> </w:t>
      </w:r>
      <w:r w:rsidR="00B303C1" w:rsidRPr="00EF0E74">
        <w:t xml:space="preserve">Further, </w:t>
      </w:r>
      <w:r w:rsidR="009D7650" w:rsidRPr="00EF0E74">
        <w:t xml:space="preserve">Dyar et al. </w:t>
      </w:r>
      <w:r w:rsidR="00F560CB" w:rsidRPr="00EF0E74">
        <w:t xml:space="preserve">(2014) </w:t>
      </w:r>
      <w:r w:rsidR="009D7650" w:rsidRPr="00EF0E74">
        <w:t xml:space="preserve">collected a sample of bisexual women who were partnered in either same-sex or different-sex relationships, and measured the extent to which the participants experienced binegative exclusion, frequency of assumed lesbian identity, </w:t>
      </w:r>
      <w:r w:rsidR="009D7650" w:rsidRPr="00EF0E74">
        <w:lastRenderedPageBreak/>
        <w:t>rejection by LG women and men, and depression symptoms</w:t>
      </w:r>
      <w:r w:rsidR="00967715" w:rsidRPr="00EF0E74">
        <w:t>. For bisexual women in different-sex relationship, exclusion and rejection from LG individuals fully mediated the relationship</w:t>
      </w:r>
      <w:r w:rsidR="00B303C1" w:rsidRPr="00EF0E74">
        <w:t xml:space="preserve"> between</w:t>
      </w:r>
      <w:r w:rsidR="00967715" w:rsidRPr="00EF0E74">
        <w:t xml:space="preserve"> partner sex and depressive symptoms. This group also experienced an overall higher level o</w:t>
      </w:r>
      <w:r w:rsidR="00D90FEB" w:rsidRPr="00EF0E74">
        <w:t xml:space="preserve">f depressive symptoms. </w:t>
      </w:r>
      <w:r w:rsidR="0080216B" w:rsidRPr="00EF0E74">
        <w:t>Szymanski and Ikizler</w:t>
      </w:r>
      <w:r w:rsidR="005C68E0" w:rsidRPr="00EF0E74">
        <w:t xml:space="preserve"> (2013</w:t>
      </w:r>
      <w:r w:rsidR="00B4320F" w:rsidRPr="00EF0E74">
        <w:t>)</w:t>
      </w:r>
      <w:r w:rsidR="00BD73C4" w:rsidRPr="00EF0E74">
        <w:t xml:space="preserve"> also found that </w:t>
      </w:r>
      <w:r w:rsidR="0080216B" w:rsidRPr="00EF0E74">
        <w:t>h</w:t>
      </w:r>
      <w:r w:rsidR="00BD73C4" w:rsidRPr="00EF0E74">
        <w:t>eterosexist discrimination related to depression, but that this</w:t>
      </w:r>
      <w:r w:rsidR="0080216B" w:rsidRPr="00EF0E74">
        <w:t xml:space="preserve"> relationship between the two was f</w:t>
      </w:r>
      <w:r w:rsidR="00B303C1" w:rsidRPr="00EF0E74">
        <w:t>ully mediated by IH in a</w:t>
      </w:r>
      <w:r w:rsidR="00BD73C4" w:rsidRPr="00EF0E74">
        <w:t xml:space="preserve"> sample of gay men.</w:t>
      </w:r>
    </w:p>
    <w:p w:rsidR="00EF70BF" w:rsidRPr="00EF0E74" w:rsidRDefault="00D90FEB">
      <w:pPr>
        <w:spacing w:after="0" w:line="480" w:lineRule="auto"/>
        <w:contextualSpacing/>
      </w:pPr>
      <w:r w:rsidRPr="00EF0E74">
        <w:tab/>
        <w:t>Newer evidence suggests that IH may also relate to traumatic stress</w:t>
      </w:r>
      <w:r w:rsidR="00F77FB8" w:rsidRPr="00EF0E74">
        <w:t xml:space="preserve">. </w:t>
      </w:r>
      <w:r w:rsidRPr="00EF0E74">
        <w:t>In a college student sample, higher levels of shame experienced near the traumatic incident partially mediated the relationship between traumatic events and later developed PTSD symptoms</w:t>
      </w:r>
      <w:r w:rsidR="00686C21" w:rsidRPr="00EF0E74">
        <w:t xml:space="preserve"> (La Bash &amp; Papa, 2013). Though IH was not explicitly measured, IH is a type of shame, and it follows that following an heterosexist event, some LGB individuals may respond by blaming themselves for the incident or feel inadequate/inferior. In a different study, LGB participants coped with heterosexist discrimination (but not sexual orientation0based hate crimes) through internalization strategies, </w:t>
      </w:r>
      <w:r w:rsidR="00A35DD3" w:rsidRPr="00EF0E74">
        <w:t xml:space="preserve"> and in turn, internalizing led to a slight increase in post-traumatic stress (Bandermann &amp; Szymanski, 2014). Taken together with the literature showing a relationship between traumatic stress and depression (Lehavot &amp; Simpson</w:t>
      </w:r>
      <w:r w:rsidR="00F77FB8" w:rsidRPr="00EF0E74">
        <w:t xml:space="preserve">, 2014; Rutter, Weatherill, Krill, Orazem, &amp; Taft, 2013; </w:t>
      </w:r>
      <w:r w:rsidR="00A35DD3" w:rsidRPr="00EF0E74">
        <w:t>Torres &amp; Taknint, 2015</w:t>
      </w:r>
      <w:r w:rsidR="00F77FB8" w:rsidRPr="00EF0E74">
        <w:t>), this study</w:t>
      </w:r>
      <w:r w:rsidR="00F732CF" w:rsidRPr="00EF0E74">
        <w:t xml:space="preserve"> aims to explore how internalized biphobia relates these two mental health domains.</w:t>
      </w:r>
      <w:r w:rsidR="00F77FB8" w:rsidRPr="00EF0E74">
        <w:t xml:space="preserve"> </w:t>
      </w:r>
    </w:p>
    <w:p w:rsidR="000E5F8B" w:rsidRPr="00EF0E74" w:rsidRDefault="00421E7E" w:rsidP="00A406F3">
      <w:pPr>
        <w:spacing w:after="0" w:line="480" w:lineRule="auto"/>
        <w:contextualSpacing/>
        <w:rPr>
          <w:b/>
        </w:rPr>
      </w:pPr>
      <w:r w:rsidRPr="00EF0E74">
        <w:tab/>
      </w:r>
      <w:bookmarkStart w:id="4" w:name="_Toc425928341"/>
      <w:r w:rsidR="00AA4751" w:rsidRPr="00EF0E74">
        <w:rPr>
          <w:rStyle w:val="Heading3Char"/>
          <w:rFonts w:cs="Times New Roman"/>
        </w:rPr>
        <w:t xml:space="preserve">Minority </w:t>
      </w:r>
      <w:r w:rsidRPr="00EF0E74">
        <w:rPr>
          <w:rStyle w:val="Heading3Char"/>
          <w:rFonts w:cs="Times New Roman"/>
        </w:rPr>
        <w:t>s</w:t>
      </w:r>
      <w:r w:rsidR="00AA4751" w:rsidRPr="00EF0E74">
        <w:rPr>
          <w:rStyle w:val="Heading3Char"/>
          <w:rFonts w:cs="Times New Roman"/>
        </w:rPr>
        <w:t xml:space="preserve">tress and </w:t>
      </w:r>
      <w:r w:rsidR="00060438" w:rsidRPr="00EF0E74">
        <w:rPr>
          <w:rStyle w:val="Heading3Char"/>
          <w:rFonts w:cs="Times New Roman"/>
        </w:rPr>
        <w:t>p</w:t>
      </w:r>
      <w:r w:rsidR="00AA4751" w:rsidRPr="00EF0E74">
        <w:rPr>
          <w:rStyle w:val="Heading3Char"/>
          <w:rFonts w:cs="Times New Roman"/>
        </w:rPr>
        <w:t>hysical</w:t>
      </w:r>
      <w:r w:rsidR="00A50E1D" w:rsidRPr="00EF0E74">
        <w:rPr>
          <w:rStyle w:val="Heading3Char"/>
          <w:rFonts w:cs="Times New Roman"/>
        </w:rPr>
        <w:t xml:space="preserve"> </w:t>
      </w:r>
      <w:r w:rsidRPr="00EF0E74">
        <w:rPr>
          <w:rStyle w:val="Heading3Char"/>
          <w:rFonts w:cs="Times New Roman"/>
        </w:rPr>
        <w:t>health</w:t>
      </w:r>
      <w:bookmarkEnd w:id="4"/>
      <w:r w:rsidR="008246E3" w:rsidRPr="00EF0E74">
        <w:rPr>
          <w:b/>
        </w:rPr>
        <w:t>.</w:t>
      </w:r>
      <w:r w:rsidR="00B4320F" w:rsidRPr="00EF0E74">
        <w:rPr>
          <w:b/>
        </w:rPr>
        <w:t xml:space="preserve"> </w:t>
      </w:r>
      <w:r w:rsidR="00C54F2A" w:rsidRPr="00EF0E74">
        <w:t>Sexual minorities, who face social stress due to stigma and prejudice, may be particularly suscept</w:t>
      </w:r>
      <w:r w:rsidR="00F64AC2" w:rsidRPr="00EF0E74">
        <w:t>i</w:t>
      </w:r>
      <w:r w:rsidR="00C54F2A" w:rsidRPr="00EF0E74">
        <w:t>ble to poor health outcomes</w:t>
      </w:r>
      <w:r w:rsidR="009A1A01" w:rsidRPr="00EF0E74">
        <w:t>, and</w:t>
      </w:r>
      <w:r w:rsidR="001B4967" w:rsidRPr="00EF0E74">
        <w:t xml:space="preserve"> </w:t>
      </w:r>
      <w:r w:rsidR="009A1A01" w:rsidRPr="00EF0E74">
        <w:t xml:space="preserve">though </w:t>
      </w:r>
      <w:r w:rsidR="00BD73C4" w:rsidRPr="00EF0E74">
        <w:t xml:space="preserve">research on the impact of minority stress </w:t>
      </w:r>
      <w:r w:rsidR="00BE0BE5" w:rsidRPr="00EF0E74">
        <w:t>on mental health</w:t>
      </w:r>
      <w:r w:rsidR="00BD73C4" w:rsidRPr="00EF0E74">
        <w:t xml:space="preserve"> is</w:t>
      </w:r>
      <w:r w:rsidR="009A1A01" w:rsidRPr="00EF0E74">
        <w:t xml:space="preserve"> prevalent</w:t>
      </w:r>
      <w:r w:rsidR="00BE0BE5" w:rsidRPr="00EF0E74">
        <w:t xml:space="preserve">, </w:t>
      </w:r>
      <w:r w:rsidR="00BD73C4" w:rsidRPr="00EF0E74">
        <w:t xml:space="preserve">increasing attention is being devoted to relationships between minority stress and </w:t>
      </w:r>
      <w:r w:rsidR="00BD73C4" w:rsidRPr="00EF0E74">
        <w:rPr>
          <w:i/>
        </w:rPr>
        <w:t xml:space="preserve">physical </w:t>
      </w:r>
      <w:r w:rsidR="00BD73C4" w:rsidRPr="00EF0E74">
        <w:t xml:space="preserve">health for sexual minorites </w:t>
      </w:r>
      <w:r w:rsidR="009A1A01" w:rsidRPr="00EF0E74">
        <w:t>(Dragowski et al, 2011; Lehavot &amp; Simoni, 2011)</w:t>
      </w:r>
      <w:r w:rsidR="00BE0BE5" w:rsidRPr="00EF0E74">
        <w:t xml:space="preserve">. </w:t>
      </w:r>
      <w:r w:rsidR="00BD73C4" w:rsidRPr="00EF0E74">
        <w:t>Additionally, the Institute of Medicine (</w:t>
      </w:r>
      <w:r w:rsidR="00F560CB" w:rsidRPr="00EF0E74">
        <w:t>IOM,</w:t>
      </w:r>
      <w:r w:rsidR="002B7601" w:rsidRPr="00EF0E74">
        <w:t xml:space="preserve"> </w:t>
      </w:r>
      <w:r w:rsidR="00BD73C4" w:rsidRPr="00EF0E74">
        <w:lastRenderedPageBreak/>
        <w:t xml:space="preserve">2011) issued a </w:t>
      </w:r>
      <w:r w:rsidR="00BE0BE5" w:rsidRPr="00EF0E74">
        <w:t xml:space="preserve">report </w:t>
      </w:r>
      <w:r w:rsidR="00BD73C4" w:rsidRPr="00EF0E74">
        <w:t xml:space="preserve">detailing the </w:t>
      </w:r>
      <w:r w:rsidR="00BE0BE5" w:rsidRPr="00EF0E74">
        <w:t>current he</w:t>
      </w:r>
      <w:r w:rsidR="006443AC" w:rsidRPr="00EF0E74">
        <w:t>alth status of LGBT people</w:t>
      </w:r>
      <w:r w:rsidR="00BD73C4" w:rsidRPr="00EF0E74">
        <w:t>, and</w:t>
      </w:r>
      <w:r w:rsidR="00A50E1D" w:rsidRPr="00EF0E74">
        <w:t xml:space="preserve"> </w:t>
      </w:r>
      <w:r w:rsidR="006443AC" w:rsidRPr="00EF0E74">
        <w:t>recommended that research into minority stress and LGBT people's physical health become a priority research agenda for NIH funding</w:t>
      </w:r>
      <w:r w:rsidR="00AC59E5" w:rsidRPr="00EF0E74">
        <w:t>. T</w:t>
      </w:r>
      <w:r w:rsidR="00BD73C4" w:rsidRPr="00EF0E74">
        <w:t>he report</w:t>
      </w:r>
      <w:r w:rsidR="006443AC" w:rsidRPr="00EF0E74">
        <w:t xml:space="preserve"> noted througho</w:t>
      </w:r>
      <w:r w:rsidR="00BD73C4" w:rsidRPr="00EF0E74">
        <w:t xml:space="preserve">ut </w:t>
      </w:r>
      <w:r w:rsidR="006443AC" w:rsidRPr="00EF0E74">
        <w:t xml:space="preserve"> that minority stress models could offer insight into physical health inequities, </w:t>
      </w:r>
      <w:r w:rsidR="00AC59E5" w:rsidRPr="00EF0E74">
        <w:t>and urged researchers to conduct studies that measure</w:t>
      </w:r>
      <w:r w:rsidR="006443AC" w:rsidRPr="00EF0E74">
        <w:t xml:space="preserve"> </w:t>
      </w:r>
      <w:r w:rsidR="00AC59E5" w:rsidRPr="00EF0E74">
        <w:t>a</w:t>
      </w:r>
      <w:r w:rsidR="00BD73C4" w:rsidRPr="00EF0E74">
        <w:t>nd explore the relationship bet</w:t>
      </w:r>
      <w:r w:rsidR="00AC59E5" w:rsidRPr="00EF0E74">
        <w:t xml:space="preserve">ween </w:t>
      </w:r>
      <w:r w:rsidR="006443AC" w:rsidRPr="00EF0E74">
        <w:t>minority stress variables and physical health outcomes</w:t>
      </w:r>
      <w:r w:rsidR="001526AB" w:rsidRPr="00EF0E74">
        <w:t>.</w:t>
      </w:r>
    </w:p>
    <w:p w:rsidR="00F64AC2" w:rsidRPr="00EF0E74" w:rsidRDefault="000E5F8B" w:rsidP="00D43DD1">
      <w:pPr>
        <w:spacing w:after="0" w:line="480" w:lineRule="auto"/>
        <w:contextualSpacing/>
      </w:pPr>
      <w:r w:rsidRPr="00EF0E74">
        <w:tab/>
        <w:t xml:space="preserve">In addition to the </w:t>
      </w:r>
      <w:r w:rsidR="002B7601" w:rsidRPr="00EF0E74">
        <w:t xml:space="preserve">IOM </w:t>
      </w:r>
      <w:r w:rsidR="009A1A01" w:rsidRPr="00EF0E74">
        <w:t>(201</w:t>
      </w:r>
      <w:r w:rsidR="008431B3" w:rsidRPr="00EF0E74">
        <w:t>1</w:t>
      </w:r>
      <w:r w:rsidR="009A1A01" w:rsidRPr="00EF0E74">
        <w:t>)</w:t>
      </w:r>
      <w:r w:rsidRPr="00EF0E74">
        <w:t xml:space="preserve"> report, a recent meta-analysis highlighted several health disparities between the lesbian, gay, and bisexual men and women and heterosexual comparison groups</w:t>
      </w:r>
      <w:r w:rsidR="00BD73C4" w:rsidRPr="00EF0E74">
        <w:t xml:space="preserve">, including disparities in </w:t>
      </w:r>
      <w:r w:rsidRPr="00EF0E74">
        <w:t>disability status, arth</w:t>
      </w:r>
      <w:r w:rsidR="000051EE" w:rsidRPr="00EF0E74">
        <w:t>r</w:t>
      </w:r>
      <w:r w:rsidRPr="00EF0E74">
        <w:t xml:space="preserve">itis, hypertension, eating and dieting problems, heart disease, breast cancer, lifetime diagnoses of asthma, and many more (Lick, Durso, </w:t>
      </w:r>
      <w:r w:rsidR="000051EE" w:rsidRPr="00EF0E74">
        <w:t>&amp;</w:t>
      </w:r>
      <w:r w:rsidR="00F560CB" w:rsidRPr="00EF0E74">
        <w:t xml:space="preserve"> </w:t>
      </w:r>
      <w:r w:rsidRPr="00EF0E74">
        <w:t xml:space="preserve">Johnson, 2013). </w:t>
      </w:r>
      <w:r w:rsidR="009A1A01" w:rsidRPr="00EF0E74">
        <w:t>Lick et al. (2013</w:t>
      </w:r>
      <w:r w:rsidR="00A406F3" w:rsidRPr="00EF0E74">
        <w:t xml:space="preserve">) proposed a model to explain physical health disparities between LGB and heterosexual populations. In the model, sociocultural stressors, such as discrete acts of prejudice, discriminatory health care </w:t>
      </w:r>
      <w:r w:rsidR="009A1A01" w:rsidRPr="00EF0E74">
        <w:t>policies, and limited access, are</w:t>
      </w:r>
      <w:r w:rsidR="00BD73C4" w:rsidRPr="00EF0E74">
        <w:t xml:space="preserve"> associated with</w:t>
      </w:r>
      <w:r w:rsidR="00A406F3" w:rsidRPr="00EF0E74">
        <w:t xml:space="preserve"> physical health status, as mediated by appraisal style (e.g. rejection sensitivity, vigilance), psychological and physiological stress responses, and health behaviors.</w:t>
      </w:r>
      <w:r w:rsidR="00AC59E5" w:rsidRPr="00EF0E74">
        <w:t xml:space="preserve"> The authors note that these unique forms of minority stress act on the LGB population in addition to general forms of stress, particularly chronic stress, a statement closely ties in with Meyer's (2003) minority stress model for mental health. </w:t>
      </w:r>
      <w:r w:rsidR="00A406F3" w:rsidRPr="00EF0E74">
        <w:t>In their recommendations, the authors assert</w:t>
      </w:r>
      <w:r w:rsidR="00BD73C4" w:rsidRPr="00EF0E74">
        <w:t>ed</w:t>
      </w:r>
      <w:r w:rsidR="00A406F3" w:rsidRPr="00EF0E74">
        <w:t xml:space="preserve"> that more research is needed to illuminate the relationship between mental and physical health, and suggest</w:t>
      </w:r>
      <w:r w:rsidR="00BD73C4" w:rsidRPr="00EF0E74">
        <w:t>ed</w:t>
      </w:r>
      <w:r w:rsidR="00A406F3" w:rsidRPr="00EF0E74">
        <w:t xml:space="preserve"> that research have a clear, theoretically-founded link between both domains, rather than treating one as a confound. In addition, the authors notes that few studies explore direct links between minority stressors, general stress, and physical health outcomes among a solely lesbian, gay, and/or bisexual sample.</w:t>
      </w:r>
    </w:p>
    <w:p w:rsidR="00BC216C" w:rsidRPr="00EF0E74" w:rsidRDefault="00D77485">
      <w:pPr>
        <w:spacing w:after="0" w:line="480" w:lineRule="auto"/>
        <w:ind w:firstLine="720"/>
        <w:contextualSpacing/>
      </w:pPr>
      <w:r w:rsidRPr="00EF0E74">
        <w:lastRenderedPageBreak/>
        <w:t xml:space="preserve">As previously mentioned, few studies have examined the impact of minority stress on physical health, but there is burgeoning evidence </w:t>
      </w:r>
      <w:r w:rsidR="0020070B" w:rsidRPr="00EF0E74">
        <w:t>of this relationship</w:t>
      </w:r>
      <w:r w:rsidRPr="00EF0E74">
        <w:t xml:space="preserve"> (</w:t>
      </w:r>
      <w:r w:rsidR="00576888" w:rsidRPr="00EF0E74">
        <w:t xml:space="preserve">Denton, Rostosky, &amp; Danner, 2014; </w:t>
      </w:r>
      <w:r w:rsidRPr="00EF0E74">
        <w:t>Frost</w:t>
      </w:r>
      <w:r w:rsidR="00F560CB" w:rsidRPr="00EF0E74">
        <w:t xml:space="preserve"> et al., 2013; </w:t>
      </w:r>
      <w:r w:rsidR="00242F63" w:rsidRPr="00EF0E74">
        <w:t xml:space="preserve">Huebner &amp; Davis, 2007; </w:t>
      </w:r>
      <w:r w:rsidR="00F560CB" w:rsidRPr="00EF0E74">
        <w:t>Lehavot, Walters, &amp; Simoni</w:t>
      </w:r>
      <w:r w:rsidR="008431B3" w:rsidRPr="00EF0E74">
        <w:t>, 2010</w:t>
      </w:r>
      <w:r w:rsidRPr="00EF0E74">
        <w:t xml:space="preserve">).  </w:t>
      </w:r>
      <w:r w:rsidR="00A87CCE" w:rsidRPr="00EF0E74">
        <w:t>For example, H</w:t>
      </w:r>
      <w:r w:rsidR="002F76C7" w:rsidRPr="00EF0E74">
        <w:t>uebner</w:t>
      </w:r>
      <w:r w:rsidR="008431B3" w:rsidRPr="00EF0E74">
        <w:t xml:space="preserve"> and Davis (2007</w:t>
      </w:r>
      <w:r w:rsidR="00A87CCE" w:rsidRPr="00EF0E74">
        <w:t>) fo</w:t>
      </w:r>
      <w:r w:rsidR="00BD73C4" w:rsidRPr="00EF0E74">
        <w:t>u</w:t>
      </w:r>
      <w:r w:rsidR="00A87CCE" w:rsidRPr="00EF0E74">
        <w:t>nd that p</w:t>
      </w:r>
      <w:r w:rsidRPr="00EF0E74">
        <w:t xml:space="preserve">erceptions of anti-gay discrimination positively related to </w:t>
      </w:r>
      <w:r w:rsidR="00A87CCE" w:rsidRPr="00EF0E74">
        <w:t xml:space="preserve">the </w:t>
      </w:r>
      <w:r w:rsidRPr="00EF0E74">
        <w:t xml:space="preserve">number of physician visits for gay men; however, this relationship depended on the level of education of the participant.  </w:t>
      </w:r>
      <w:r w:rsidR="00A87CCE" w:rsidRPr="00EF0E74">
        <w:t>Specifically, f</w:t>
      </w:r>
      <w:r w:rsidRPr="00EF0E74">
        <w:t>or gay men with higher education</w:t>
      </w:r>
      <w:r w:rsidR="00A87CCE" w:rsidRPr="00EF0E74">
        <w:t xml:space="preserve"> levels</w:t>
      </w:r>
      <w:r w:rsidRPr="00EF0E74">
        <w:t xml:space="preserve">, </w:t>
      </w:r>
      <w:r w:rsidR="002F76C7" w:rsidRPr="00EF0E74">
        <w:t xml:space="preserve">experiencing </w:t>
      </w:r>
      <w:r w:rsidRPr="00EF0E74">
        <w:t>discrimination</w:t>
      </w:r>
      <w:r w:rsidR="002F76C7" w:rsidRPr="00EF0E74">
        <w:t>,</w:t>
      </w:r>
      <w:r w:rsidR="00B4320F" w:rsidRPr="00EF0E74">
        <w:t xml:space="preserve"> </w:t>
      </w:r>
      <w:r w:rsidR="002F76C7" w:rsidRPr="00EF0E74">
        <w:t xml:space="preserve">number of hospital visits, and nonprescription medicine use </w:t>
      </w:r>
      <w:r w:rsidRPr="00EF0E74">
        <w:t xml:space="preserve">linearly and positively associated </w:t>
      </w:r>
      <w:r w:rsidR="002F76C7" w:rsidRPr="00EF0E74">
        <w:t>However,</w:t>
      </w:r>
      <w:r w:rsidRPr="00EF0E74">
        <w:t xml:space="preserve"> at lower education levels, the relationship was c</w:t>
      </w:r>
      <w:r w:rsidR="00BD73C4" w:rsidRPr="00EF0E74">
        <w:t xml:space="preserve">urvilinear, forming a U-shape. </w:t>
      </w:r>
      <w:r w:rsidR="002F76C7" w:rsidRPr="00EF0E74">
        <w:t>The authors noted that this pattern mirrored findings for African-American men</w:t>
      </w:r>
      <w:r w:rsidR="008431B3" w:rsidRPr="00EF0E74">
        <w:t xml:space="preserve"> (Krieger &amp; Sidney</w:t>
      </w:r>
      <w:r w:rsidR="00AD1DF6" w:rsidRPr="00EF0E74">
        <w:t>, 1996)</w:t>
      </w:r>
      <w:r w:rsidR="002F76C7" w:rsidRPr="00EF0E74">
        <w:t xml:space="preserve">, and hypothesized that not recognizing or reporting </w:t>
      </w:r>
      <w:r w:rsidR="00AD1DF6" w:rsidRPr="00EF0E74">
        <w:t xml:space="preserve">discrimination may have additional consequences above recognizing </w:t>
      </w:r>
      <w:r w:rsidR="00AD1DF6" w:rsidRPr="00EF0E74">
        <w:rPr>
          <w:i/>
        </w:rPr>
        <w:t xml:space="preserve">some </w:t>
      </w:r>
      <w:r w:rsidR="00AD1DF6" w:rsidRPr="00EF0E74">
        <w:t>discrimination, such as somatization, or lack of use of active coping skills (e.g. social support).</w:t>
      </w:r>
      <w:r w:rsidR="00607B73" w:rsidRPr="00EF0E74">
        <w:t xml:space="preserve">  Frost et al. </w:t>
      </w:r>
      <w:r w:rsidRPr="00EF0E74">
        <w:t>(2013) found similar results</w:t>
      </w:r>
      <w:r w:rsidR="00AD1DF6" w:rsidRPr="00EF0E74">
        <w:t xml:space="preserve"> relating minority stressors to physical health</w:t>
      </w:r>
      <w:r w:rsidRPr="00EF0E74">
        <w:t xml:space="preserve"> in a broader sample of LGB people.  In the</w:t>
      </w:r>
      <w:r w:rsidR="00C46568" w:rsidRPr="00EF0E74">
        <w:t>ir</w:t>
      </w:r>
      <w:r w:rsidRPr="00EF0E74">
        <w:t xml:space="preserve"> study, types of minority stress were categorized as either "externally rated"</w:t>
      </w:r>
      <w:r w:rsidR="00615482" w:rsidRPr="00EF0E74">
        <w:t xml:space="preserve"> (i.e. distal)</w:t>
      </w:r>
      <w:r w:rsidRPr="00EF0E74">
        <w:t xml:space="preserve"> or "subjectively appraised"</w:t>
      </w:r>
      <w:r w:rsidR="00615482" w:rsidRPr="00EF0E74">
        <w:t xml:space="preserve"> (i.e. proximal),</w:t>
      </w:r>
      <w:r w:rsidRPr="00EF0E74">
        <w:t xml:space="preserve"> and health was measured twice with a year interval in between.  </w:t>
      </w:r>
      <w:r w:rsidR="001604CE" w:rsidRPr="00EF0E74">
        <w:t xml:space="preserve">Distal </w:t>
      </w:r>
      <w:r w:rsidRPr="00EF0E74">
        <w:t xml:space="preserve"> minority stressors that occurred across the lifespan correlated with physical health problems that had occurred within the past year.  </w:t>
      </w:r>
      <w:r w:rsidR="001604CE" w:rsidRPr="00EF0E74">
        <w:t>Proximal</w:t>
      </w:r>
      <w:r w:rsidRPr="00EF0E74">
        <w:t xml:space="preserve"> minority stressors (e.g., concealment, </w:t>
      </w:r>
      <w:r w:rsidR="008431B3" w:rsidRPr="00EF0E74">
        <w:t xml:space="preserve">outness, </w:t>
      </w:r>
      <w:r w:rsidR="001C6089" w:rsidRPr="00EF0E74">
        <w:t>or IH</w:t>
      </w:r>
      <w:r w:rsidR="001604CE" w:rsidRPr="00EF0E74">
        <w:t xml:space="preserve">) </w:t>
      </w:r>
      <w:r w:rsidRPr="00EF0E74">
        <w:t>relate</w:t>
      </w:r>
      <w:r w:rsidR="001604CE" w:rsidRPr="00EF0E74">
        <w:t>d</w:t>
      </w:r>
      <w:r w:rsidRPr="00EF0E74">
        <w:t xml:space="preserve"> to subjective and objective measures of health, but when accounting for health at baseline, these effects disappeared. </w:t>
      </w:r>
      <w:r w:rsidR="00607B73" w:rsidRPr="00EF0E74">
        <w:t xml:space="preserve">Lastly, Denton et al. (2014) examined perceived discrimination, </w:t>
      </w:r>
      <w:r w:rsidR="009249F2" w:rsidRPr="00EF0E74">
        <w:t>proximal forms of minority stress (e.g.</w:t>
      </w:r>
      <w:r w:rsidR="00F94726" w:rsidRPr="00EF0E74">
        <w:t>,</w:t>
      </w:r>
      <w:r w:rsidR="009249F2" w:rsidRPr="00EF0E74">
        <w:t xml:space="preserve"> expectations of rejection, IH, and concealment)</w:t>
      </w:r>
      <w:r w:rsidR="00607B73" w:rsidRPr="00EF0E74">
        <w:t xml:space="preserve">, coping styles, and physical symptoms severity, and </w:t>
      </w:r>
      <w:r w:rsidR="009249F2" w:rsidRPr="00EF0E74">
        <w:t xml:space="preserve">found that concealment and emotional-focused coping self-efficacy were significant moderators between discrimination and symptoms severity. IH mediated the </w:t>
      </w:r>
      <w:r w:rsidR="009249F2" w:rsidRPr="00EF0E74">
        <w:lastRenderedPageBreak/>
        <w:t>relationship between discrimination and emotion-focused/social-based coping self-effic</w:t>
      </w:r>
      <w:r w:rsidR="00F94726" w:rsidRPr="00EF0E74">
        <w:t>acy, but did not impact symptom</w:t>
      </w:r>
      <w:r w:rsidR="009249F2" w:rsidRPr="00EF0E74">
        <w:t xml:space="preserve"> severity.</w:t>
      </w:r>
      <w:r w:rsidR="007406A9" w:rsidRPr="00EF0E74">
        <w:t xml:space="preserve"> </w:t>
      </w:r>
    </w:p>
    <w:p w:rsidR="00BC216C" w:rsidRPr="00EF0E74" w:rsidRDefault="0014638F" w:rsidP="00AB2D83">
      <w:pPr>
        <w:pStyle w:val="Heading2"/>
        <w:rPr>
          <w:rFonts w:cs="Times New Roman"/>
        </w:rPr>
      </w:pPr>
      <w:bookmarkStart w:id="5" w:name="_Toc425928342"/>
      <w:r w:rsidRPr="00EF0E74">
        <w:rPr>
          <w:rFonts w:cs="Times New Roman"/>
        </w:rPr>
        <w:t>Current Study</w:t>
      </w:r>
      <w:bookmarkEnd w:id="5"/>
    </w:p>
    <w:p w:rsidR="009C4A5B" w:rsidRPr="00EF0E74" w:rsidRDefault="00464E9C" w:rsidP="009C4A5B">
      <w:pPr>
        <w:spacing w:after="0" w:line="480" w:lineRule="auto"/>
        <w:contextualSpacing/>
      </w:pPr>
      <w:r w:rsidRPr="00EF0E74">
        <w:tab/>
      </w:r>
      <w:r w:rsidR="000B199D" w:rsidRPr="00EF0E74">
        <w:t>Using the</w:t>
      </w:r>
      <w:r w:rsidR="0015429C" w:rsidRPr="00EF0E74">
        <w:t xml:space="preserve"> </w:t>
      </w:r>
      <w:r w:rsidR="002B07CE" w:rsidRPr="00EF0E74">
        <w:t>framework</w:t>
      </w:r>
      <w:r w:rsidR="00560688" w:rsidRPr="00EF0E74">
        <w:t>s</w:t>
      </w:r>
      <w:r w:rsidR="002B07CE" w:rsidRPr="00EF0E74">
        <w:t xml:space="preserve"> of minority stress theory</w:t>
      </w:r>
      <w:r w:rsidR="0015429C" w:rsidRPr="00EF0E74">
        <w:t xml:space="preserve"> to physical health and well-being</w:t>
      </w:r>
      <w:r w:rsidR="002B07CE" w:rsidRPr="00EF0E74">
        <w:t xml:space="preserve"> (</w:t>
      </w:r>
      <w:r w:rsidR="002F4919" w:rsidRPr="00EF0E74">
        <w:t xml:space="preserve">Lick et al., 2013; </w:t>
      </w:r>
      <w:r w:rsidR="002B07CE" w:rsidRPr="00EF0E74">
        <w:t>Meyer</w:t>
      </w:r>
      <w:r w:rsidR="00B82C2D" w:rsidRPr="00EF0E74">
        <w:t>,</w:t>
      </w:r>
      <w:r w:rsidR="002B07CE" w:rsidRPr="00EF0E74">
        <w:t xml:space="preserve"> 2003)</w:t>
      </w:r>
      <w:r w:rsidR="000B199D" w:rsidRPr="00EF0E74">
        <w:t xml:space="preserve">, </w:t>
      </w:r>
      <w:r w:rsidR="002B07CE" w:rsidRPr="00EF0E74">
        <w:t>t</w:t>
      </w:r>
      <w:r w:rsidR="001604CE" w:rsidRPr="00EF0E74">
        <w:t>he current study aimed</w:t>
      </w:r>
      <w:r w:rsidR="0071745B" w:rsidRPr="00EF0E74">
        <w:t xml:space="preserve"> to examine how discrimination and prejudice impact</w:t>
      </w:r>
      <w:r w:rsidR="008629AA" w:rsidRPr="00EF0E74">
        <w:t>s the mental and physical health</w:t>
      </w:r>
      <w:r w:rsidR="0071745B" w:rsidRPr="00EF0E74">
        <w:t xml:space="preserve"> bisexual me</w:t>
      </w:r>
      <w:r w:rsidR="002B07CE" w:rsidRPr="00EF0E74">
        <w:t>n and women</w:t>
      </w:r>
      <w:r w:rsidR="008246E3" w:rsidRPr="00EF0E74">
        <w:t>.</w:t>
      </w:r>
      <w:r w:rsidR="001604CE" w:rsidRPr="00EF0E74">
        <w:t xml:space="preserve"> Specifically, u</w:t>
      </w:r>
      <w:r w:rsidR="00BF168B" w:rsidRPr="00EF0E74">
        <w:t xml:space="preserve">sing structural equation modeling (SEM), </w:t>
      </w:r>
      <w:r w:rsidR="001604CE" w:rsidRPr="00EF0E74">
        <w:t>this study assessed</w:t>
      </w:r>
      <w:r w:rsidR="002B07CE" w:rsidRPr="00EF0E74">
        <w:t xml:space="preserve"> how distal (e.g.</w:t>
      </w:r>
      <w:r w:rsidR="00560688" w:rsidRPr="00EF0E74">
        <w:t>,</w:t>
      </w:r>
      <w:r w:rsidR="002B07CE" w:rsidRPr="00EF0E74">
        <w:t xml:space="preserve"> experiences of discrimination</w:t>
      </w:r>
      <w:r w:rsidR="00941BA6" w:rsidRPr="00EF0E74">
        <w:t>, exposure to traumatic events</w:t>
      </w:r>
      <w:r w:rsidR="002B07CE" w:rsidRPr="00EF0E74">
        <w:t>) and proximal (e.g.</w:t>
      </w:r>
      <w:r w:rsidR="00560688" w:rsidRPr="00EF0E74">
        <w:t>,</w:t>
      </w:r>
      <w:r w:rsidR="002B07CE" w:rsidRPr="00EF0E74">
        <w:t xml:space="preserve"> internalized biphobia) forms of minority stress imp</w:t>
      </w:r>
      <w:r w:rsidR="00096CD7" w:rsidRPr="00EF0E74">
        <w:t>act psych</w:t>
      </w:r>
      <w:r w:rsidR="009C3845" w:rsidRPr="00EF0E74">
        <w:t>ological well-being and, consequently,</w:t>
      </w:r>
      <w:r w:rsidR="0094009F" w:rsidRPr="00EF0E74">
        <w:t xml:space="preserve"> </w:t>
      </w:r>
      <w:r w:rsidR="004C38C4" w:rsidRPr="00EF0E74">
        <w:t xml:space="preserve">the </w:t>
      </w:r>
      <w:r w:rsidR="00096CD7" w:rsidRPr="00EF0E74">
        <w:t>physical health</w:t>
      </w:r>
      <w:r w:rsidR="00560688" w:rsidRPr="00EF0E74">
        <w:t xml:space="preserve"> of bisexual individuals</w:t>
      </w:r>
      <w:r w:rsidR="008246E3" w:rsidRPr="00EF0E74">
        <w:t>.</w:t>
      </w:r>
      <w:r w:rsidR="001604CE" w:rsidRPr="00EF0E74">
        <w:t xml:space="preserve"> The hypothesized model is presented in Figure 1.</w:t>
      </w:r>
      <w:r w:rsidR="002F4919" w:rsidRPr="00EF0E74">
        <w:t xml:space="preserve"> Based on prior research (Bandermann &amp; Szymanski, 2014</w:t>
      </w:r>
      <w:r w:rsidR="00F94726" w:rsidRPr="00EF0E74">
        <w:t>; Dragowski et al., 2011; Szymanski &amp; Balsam, 2010</w:t>
      </w:r>
      <w:r w:rsidR="002F4919" w:rsidRPr="00EF0E74">
        <w:t>)</w:t>
      </w:r>
      <w:r w:rsidR="00A4075C" w:rsidRPr="00EF0E74">
        <w:t>, it is</w:t>
      </w:r>
      <w:r w:rsidR="00BF168B" w:rsidRPr="00EF0E74">
        <w:t xml:space="preserve"> hypothesize</w:t>
      </w:r>
      <w:r w:rsidR="00F94726" w:rsidRPr="00EF0E74">
        <w:t>d</w:t>
      </w:r>
      <w:r w:rsidR="00BF168B" w:rsidRPr="00EF0E74">
        <w:t xml:space="preserve"> that experiences of </w:t>
      </w:r>
      <w:r w:rsidR="00617185" w:rsidRPr="00EF0E74">
        <w:t xml:space="preserve">anti-bisexual </w:t>
      </w:r>
      <w:r w:rsidR="00BF168B" w:rsidRPr="00EF0E74">
        <w:t xml:space="preserve">discrimination </w:t>
      </w:r>
      <w:r w:rsidR="004C38C4" w:rsidRPr="00EF0E74">
        <w:t xml:space="preserve">and exposure to traumatic life events </w:t>
      </w:r>
      <w:r w:rsidR="00BF168B" w:rsidRPr="00EF0E74">
        <w:t xml:space="preserve">will </w:t>
      </w:r>
      <w:r w:rsidR="00941BA6" w:rsidRPr="00EF0E74">
        <w:t xml:space="preserve">be uniquely and </w:t>
      </w:r>
      <w:r w:rsidR="00BF168B" w:rsidRPr="00EF0E74">
        <w:t>positively associate</w:t>
      </w:r>
      <w:r w:rsidR="00617185" w:rsidRPr="00EF0E74">
        <w:t>d</w:t>
      </w:r>
      <w:r w:rsidR="00BF168B" w:rsidRPr="00EF0E74">
        <w:t xml:space="preserve"> with post-traumatic stress symptoms</w:t>
      </w:r>
      <w:r w:rsidR="00941BA6" w:rsidRPr="00EF0E74">
        <w:t xml:space="preserve">, but that anti-bisexual </w:t>
      </w:r>
      <w:r w:rsidR="00700416" w:rsidRPr="00EF0E74">
        <w:t xml:space="preserve">discrimination </w:t>
      </w:r>
      <w:r w:rsidR="00941BA6" w:rsidRPr="00EF0E74">
        <w:t>alone will relate to</w:t>
      </w:r>
      <w:r w:rsidR="00BF168B" w:rsidRPr="00EF0E74">
        <w:t xml:space="preserve"> internalized biphobia</w:t>
      </w:r>
      <w:r w:rsidR="00096CD7" w:rsidRPr="00EF0E74">
        <w:t xml:space="preserve"> (IB)</w:t>
      </w:r>
      <w:r w:rsidR="008246E3" w:rsidRPr="00EF0E74">
        <w:t xml:space="preserve">.  </w:t>
      </w:r>
      <w:r w:rsidR="00A4075C" w:rsidRPr="00EF0E74">
        <w:t xml:space="preserve">It is </w:t>
      </w:r>
      <w:r w:rsidR="00385110" w:rsidRPr="00EF0E74">
        <w:t>also hypothesize</w:t>
      </w:r>
      <w:r w:rsidR="007406A9" w:rsidRPr="00EF0E74">
        <w:t>d based on the literature</w:t>
      </w:r>
      <w:r w:rsidR="00385110" w:rsidRPr="00EF0E74">
        <w:t xml:space="preserve"> that p</w:t>
      </w:r>
      <w:r w:rsidR="00096CD7" w:rsidRPr="00EF0E74">
        <w:t>ost-traumatic stress will directly relate to poorer health outcomes</w:t>
      </w:r>
      <w:r w:rsidR="002F4919" w:rsidRPr="00EF0E74">
        <w:t xml:space="preserve"> (Cheng &amp; Mallinckrodt, 2015</w:t>
      </w:r>
      <w:r w:rsidR="00385110" w:rsidRPr="00EF0E74">
        <w:t>;</w:t>
      </w:r>
      <w:r w:rsidR="002F4919" w:rsidRPr="00EF0E74">
        <w:t xml:space="preserve"> Flores et al., 2010);</w:t>
      </w:r>
      <w:r w:rsidR="00385110" w:rsidRPr="00EF0E74">
        <w:t xml:space="preserve"> and that </w:t>
      </w:r>
      <w:r w:rsidR="00096CD7" w:rsidRPr="00EF0E74">
        <w:t>IB will relate to poorer health as well, but as mediated by depressive symptoms</w:t>
      </w:r>
      <w:r w:rsidR="00576888" w:rsidRPr="00EF0E74">
        <w:t xml:space="preserve"> (</w:t>
      </w:r>
      <w:r w:rsidR="00CB54FD" w:rsidRPr="00EF0E74">
        <w:t>Denton et al., 2014;</w:t>
      </w:r>
      <w:r w:rsidR="007406A9" w:rsidRPr="00EF0E74">
        <w:t xml:space="preserve"> Lick et. al., 2013;</w:t>
      </w:r>
      <w:r w:rsidR="00CB54FD" w:rsidRPr="00EF0E74">
        <w:t xml:space="preserve"> </w:t>
      </w:r>
      <w:r w:rsidR="00576888" w:rsidRPr="00EF0E74">
        <w:t>Newcomb &amp; Mustanski, 2010</w:t>
      </w:r>
      <w:r w:rsidR="00CB54FD" w:rsidRPr="00EF0E74">
        <w:t>)</w:t>
      </w:r>
      <w:r w:rsidR="00F84BBD" w:rsidRPr="00EF0E74">
        <w:t xml:space="preserve"> and trauma symptoms</w:t>
      </w:r>
      <w:r w:rsidR="008246E3" w:rsidRPr="00EF0E74">
        <w:t>.</w:t>
      </w:r>
      <w:r w:rsidR="00CB54FD" w:rsidRPr="00EF0E74">
        <w:t xml:space="preserve"> </w:t>
      </w:r>
      <w:r w:rsidR="006F3666" w:rsidRPr="00EF0E74">
        <w:t xml:space="preserve">Lastly, because of the high comorbidity rates of PTSD and major depressive disorder in community samples (Breslau, </w:t>
      </w:r>
      <w:r w:rsidR="00B74747" w:rsidRPr="00EF0E74">
        <w:t>Chilcoat, Kessler</w:t>
      </w:r>
      <w:r w:rsidR="006F3666" w:rsidRPr="00EF0E74">
        <w:t>,</w:t>
      </w:r>
      <w:r w:rsidR="00F560CB" w:rsidRPr="00EF0E74">
        <w:t xml:space="preserve"> &amp; Davis, 1998</w:t>
      </w:r>
      <w:r w:rsidR="006F3666" w:rsidRPr="00EF0E74">
        <w:t>)</w:t>
      </w:r>
      <w:r w:rsidR="00016F1B" w:rsidRPr="00EF0E74">
        <w:t xml:space="preserve"> and the fact that trauma symptoms elevate risk for other emotional problems (Shah, Shah, &amp; Links, 2012), it is predicted that more reported trauma symptoms will relate to more reported depressive symptoms</w:t>
      </w:r>
      <w:r w:rsidR="00D75332" w:rsidRPr="00EF0E74">
        <w:t>.</w:t>
      </w:r>
      <w:r w:rsidR="00063046" w:rsidRPr="00EF0E74">
        <w:t xml:space="preserve"> </w:t>
      </w:r>
      <w:r w:rsidR="001A42FA" w:rsidRPr="00EF0E74">
        <w:t xml:space="preserve">This </w:t>
      </w:r>
      <w:r w:rsidR="009C3845" w:rsidRPr="00EF0E74">
        <w:t>study</w:t>
      </w:r>
      <w:r w:rsidR="001A42FA" w:rsidRPr="00EF0E74">
        <w:t xml:space="preserve"> aims to  improve</w:t>
      </w:r>
      <w:r w:rsidR="009C3845" w:rsidRPr="00EF0E74">
        <w:t xml:space="preserve"> the existing literature by focusing</w:t>
      </w:r>
      <w:r w:rsidR="00CB54FD" w:rsidRPr="00EF0E74">
        <w:t xml:space="preserve"> exclusively</w:t>
      </w:r>
      <w:r w:rsidR="009C3845" w:rsidRPr="00EF0E74">
        <w:t xml:space="preserve"> on the bisexual population - </w:t>
      </w:r>
      <w:r w:rsidR="002B7601" w:rsidRPr="00EF0E74">
        <w:t xml:space="preserve">a specific recommendation of the IOM report (2011) </w:t>
      </w:r>
      <w:r w:rsidR="009C3845" w:rsidRPr="00EF0E74">
        <w:t xml:space="preserve">- and by </w:t>
      </w:r>
      <w:r w:rsidR="009C3845" w:rsidRPr="00EF0E74">
        <w:lastRenderedPageBreak/>
        <w:t>including measures that specifically capture experiences on anti-bisexual prejudice</w:t>
      </w:r>
      <w:r w:rsidR="008246E3" w:rsidRPr="00EF0E74">
        <w:t xml:space="preserve">. </w:t>
      </w:r>
      <w:r w:rsidR="008629AA" w:rsidRPr="00EF0E74">
        <w:t>In addition, this study includes both measures of physical and mental health and minority stressors</w:t>
      </w:r>
      <w:r w:rsidR="00493542" w:rsidRPr="00EF0E74">
        <w:t xml:space="preserve">. </w:t>
      </w:r>
      <w:r w:rsidR="009C3845" w:rsidRPr="00EF0E74">
        <w:t>SEM lends itself to analyzing the relationships between multiple variables at once and for testing models, such as the minority stress and psychological mediation model</w:t>
      </w:r>
      <w:r w:rsidR="008246E3" w:rsidRPr="00EF0E74">
        <w:t xml:space="preserve">. </w:t>
      </w:r>
    </w:p>
    <w:p w:rsidR="00AB2D83" w:rsidRPr="00EF0E74" w:rsidRDefault="00AB2D83">
      <w:pPr>
        <w:rPr>
          <w:b/>
        </w:rPr>
      </w:pPr>
      <w:r w:rsidRPr="00EF0E74">
        <w:rPr>
          <w:b/>
        </w:rPr>
        <w:br w:type="page"/>
      </w:r>
    </w:p>
    <w:p w:rsidR="00BC216C" w:rsidRPr="00EF0E74" w:rsidRDefault="00AB2D83" w:rsidP="00AB2D83">
      <w:pPr>
        <w:pStyle w:val="Heading1"/>
        <w:jc w:val="center"/>
        <w:rPr>
          <w:rFonts w:cs="Times New Roman"/>
          <w:szCs w:val="24"/>
        </w:rPr>
      </w:pPr>
      <w:bookmarkStart w:id="6" w:name="_Toc425928343"/>
      <w:r w:rsidRPr="00EF0E74">
        <w:rPr>
          <w:rFonts w:cs="Times New Roman"/>
          <w:szCs w:val="24"/>
        </w:rPr>
        <w:lastRenderedPageBreak/>
        <w:t xml:space="preserve">Chapter 2: </w:t>
      </w:r>
      <w:r w:rsidR="00C57234" w:rsidRPr="00EF0E74">
        <w:rPr>
          <w:rFonts w:cs="Times New Roman"/>
          <w:szCs w:val="24"/>
        </w:rPr>
        <w:t>Methods</w:t>
      </w:r>
      <w:bookmarkEnd w:id="6"/>
    </w:p>
    <w:p w:rsidR="00AA4751" w:rsidRPr="00EF0E74" w:rsidRDefault="00C57234" w:rsidP="00AB2D83">
      <w:pPr>
        <w:pStyle w:val="Heading2"/>
        <w:rPr>
          <w:rFonts w:cs="Times New Roman"/>
        </w:rPr>
      </w:pPr>
      <w:bookmarkStart w:id="7" w:name="_Toc425928344"/>
      <w:r w:rsidRPr="00EF0E74">
        <w:rPr>
          <w:rFonts w:cs="Times New Roman"/>
        </w:rPr>
        <w:t>Participants</w:t>
      </w:r>
      <w:bookmarkEnd w:id="7"/>
    </w:p>
    <w:p w:rsidR="00925A55" w:rsidRPr="00EF0E74" w:rsidRDefault="00C57234" w:rsidP="00925A55">
      <w:pPr>
        <w:spacing w:after="0" w:line="480" w:lineRule="auto"/>
        <w:contextualSpacing/>
      </w:pPr>
      <w:r w:rsidRPr="00EF0E74">
        <w:rPr>
          <w:b/>
        </w:rPr>
        <w:tab/>
      </w:r>
      <w:r w:rsidR="001A42FA" w:rsidRPr="00EF0E74">
        <w:t>Participants were</w:t>
      </w:r>
      <w:r w:rsidR="00EC47B8" w:rsidRPr="00EF0E74">
        <w:t xml:space="preserve"> </w:t>
      </w:r>
      <w:r w:rsidR="002B7601" w:rsidRPr="00EF0E74">
        <w:t>women and men</w:t>
      </w:r>
      <w:r w:rsidR="00D3208D" w:rsidRPr="00EF0E74">
        <w:t xml:space="preserve"> over the age of 18</w:t>
      </w:r>
      <w:r w:rsidR="00742EA8" w:rsidRPr="00EF0E74">
        <w:t xml:space="preserve"> (</w:t>
      </w:r>
      <w:r w:rsidR="00742EA8" w:rsidRPr="00EF0E74">
        <w:rPr>
          <w:i/>
        </w:rPr>
        <w:t xml:space="preserve">M = </w:t>
      </w:r>
      <w:r w:rsidR="00742EA8" w:rsidRPr="00EF0E74">
        <w:t>29.2, SD = 12.3)</w:t>
      </w:r>
      <w:r w:rsidR="002B7601" w:rsidRPr="00EF0E74">
        <w:t xml:space="preserve"> who identified</w:t>
      </w:r>
      <w:r w:rsidR="00EC47B8" w:rsidRPr="00EF0E74">
        <w:t xml:space="preserve"> as bisexual</w:t>
      </w:r>
      <w:r w:rsidR="00742EA8" w:rsidRPr="00EF0E74">
        <w:t xml:space="preserve"> or sexual orientation closely linked to bisexuality</w:t>
      </w:r>
      <w:r w:rsidR="001A42FA" w:rsidRPr="00EF0E74">
        <w:t xml:space="preserve">. </w:t>
      </w:r>
      <w:r w:rsidR="00925A55" w:rsidRPr="00EF0E74">
        <w:t>A total of 971 participants</w:t>
      </w:r>
      <w:r w:rsidR="002B7601" w:rsidRPr="00EF0E74">
        <w:t xml:space="preserve"> started the suvey</w:t>
      </w:r>
      <w:r w:rsidR="00925A55" w:rsidRPr="00EF0E74">
        <w:t>. First, the dataset was analyzed for patterns of missingness to determine the appropriate method for dealing with missing data. Missingness was assessed at the subscale level when appropriate, since subscale means would be used to create latent variables for structural equation modeling in the primary analysis. Missing data ranged from a low of 34.2% for Physical Functioning to a high of 50.3% for the General Traumatic Experiences scale. Next, participant</w:t>
      </w:r>
      <w:r w:rsidR="002B7601" w:rsidRPr="00EF0E74">
        <w:t>s were divided into two groups: (</w:t>
      </w:r>
      <w:r w:rsidR="00925A55" w:rsidRPr="00EF0E74">
        <w:t xml:space="preserve">a) those missing more than 10% of  survey items (13 or more), and </w:t>
      </w:r>
      <w:r w:rsidR="002B7601" w:rsidRPr="00EF0E74">
        <w:t>(</w:t>
      </w:r>
      <w:r w:rsidR="00925A55" w:rsidRPr="00EF0E74">
        <w:t xml:space="preserve">b) those missing less than 10% of items (12 or less). A one-way ANOVA between groups was run to determine if subscale means differed significantly by amount of missing data. Out of 19 subscales, </w:t>
      </w:r>
      <w:r w:rsidR="002B7601" w:rsidRPr="00EF0E74">
        <w:t xml:space="preserve">only </w:t>
      </w:r>
      <w:r w:rsidR="00925A55" w:rsidRPr="00EF0E74">
        <w:t xml:space="preserve">two were statistically different from one another: anti-bisexual experiences related to sexual instability from heterosexuals, </w:t>
      </w:r>
      <w:r w:rsidR="00925A55" w:rsidRPr="00EF0E74">
        <w:rPr>
          <w:i/>
        </w:rPr>
        <w:t>F</w:t>
      </w:r>
      <w:r w:rsidR="00925A55" w:rsidRPr="00EF0E74">
        <w:t xml:space="preserve">(1, 520)=5.81, </w:t>
      </w:r>
      <w:r w:rsidR="00925A55" w:rsidRPr="00EF0E74">
        <w:rPr>
          <w:i/>
        </w:rPr>
        <w:t xml:space="preserve">p </w:t>
      </w:r>
      <w:r w:rsidR="00925A55" w:rsidRPr="00EF0E74">
        <w:t xml:space="preserve">&lt; .05 and perceptions of general health, </w:t>
      </w:r>
      <w:r w:rsidR="00925A55" w:rsidRPr="00EF0E74">
        <w:rPr>
          <w:i/>
        </w:rPr>
        <w:t>F</w:t>
      </w:r>
      <w:r w:rsidR="00925A55" w:rsidRPr="00EF0E74">
        <w:t xml:space="preserve">(1, 637)=5.09, </w:t>
      </w:r>
      <w:r w:rsidR="00925A55" w:rsidRPr="00EF0E74">
        <w:rPr>
          <w:i/>
        </w:rPr>
        <w:t xml:space="preserve">p </w:t>
      </w:r>
      <w:r w:rsidR="00925A55" w:rsidRPr="00EF0E74">
        <w:t xml:space="preserve">&lt; .05. According to Schlomer, Bauman, and Card (2010), this indicates that data are missing at the level of </w:t>
      </w:r>
      <w:r w:rsidR="00925A55" w:rsidRPr="00EF0E74">
        <w:rPr>
          <w:i/>
        </w:rPr>
        <w:t>missing at random</w:t>
      </w:r>
      <w:r w:rsidR="00925A55" w:rsidRPr="00EF0E74">
        <w:t xml:space="preserve">, which has implications for the type of imputation method that are appropriately accurate. However, this also opens up the possibility that the data is </w:t>
      </w:r>
      <w:r w:rsidR="00925A55" w:rsidRPr="00EF0E74">
        <w:rPr>
          <w:i/>
        </w:rPr>
        <w:t>missing not at random</w:t>
      </w:r>
      <w:r w:rsidR="00925A55" w:rsidRPr="00EF0E74">
        <w:t xml:space="preserve">, or MNAR. MNAR can only be assessed conceptually due to fact the association between missingess and how the participant would have responded cannot be established statistically. In the case of this data, there does not seem to be any theoretical or conceptual reason as to why there is an association between missingness and values on the subscale regarding sexual instability stereotypes against bisexuals from heterosexuals or general health, particularly when </w:t>
      </w:r>
      <w:r w:rsidR="00925A55" w:rsidRPr="00EF0E74">
        <w:lastRenderedPageBreak/>
        <w:t>subscales on the same measure are unrelated to missingness. For this reason, w</w:t>
      </w:r>
      <w:r w:rsidR="002B7601" w:rsidRPr="00EF0E74">
        <w:t xml:space="preserve">e </w:t>
      </w:r>
      <w:r w:rsidR="00925A55" w:rsidRPr="00EF0E74">
        <w:t>consider</w:t>
      </w:r>
      <w:r w:rsidR="002B7601" w:rsidRPr="00EF0E74">
        <w:t>ed</w:t>
      </w:r>
      <w:r w:rsidR="00925A55" w:rsidRPr="00EF0E74">
        <w:t xml:space="preserve"> the data MAR for the purposes of choosing imputation methods. </w:t>
      </w:r>
    </w:p>
    <w:p w:rsidR="001A42FA" w:rsidRPr="00EF0E74" w:rsidRDefault="00925A55" w:rsidP="00742EA8">
      <w:pPr>
        <w:spacing w:after="0" w:line="480" w:lineRule="auto"/>
        <w:ind w:firstLine="720"/>
        <w:contextualSpacing/>
      </w:pPr>
      <w:r w:rsidRPr="00EF0E74">
        <w:t>With type of missingness pattern established, the next step is to han</w:t>
      </w:r>
      <w:r w:rsidR="005B41AF" w:rsidRPr="00EF0E74">
        <w:t xml:space="preserve">dle the missing data. Schlomer et al. </w:t>
      </w:r>
      <w:r w:rsidRPr="00EF0E74">
        <w:t xml:space="preserve">(2010) showed that both multiple imputation (MI) and full information maximum likelihood (FIML) robustly impute missing data to up to 20% of the data missing. Using this as our cutoff, 470 participants were dropped from the total sample to create an analytic sample of </w:t>
      </w:r>
      <w:r w:rsidRPr="00EF0E74">
        <w:rPr>
          <w:i/>
        </w:rPr>
        <w:t xml:space="preserve">n </w:t>
      </w:r>
      <w:r w:rsidRPr="00EF0E74">
        <w:t xml:space="preserve">= 501. Finally, four participants were missing information about exposure to traumatic events, and because of the dichotomous nature of the items, the data was not imputed, leaving a final sample of </w:t>
      </w:r>
      <w:r w:rsidRPr="00EF0E74">
        <w:rPr>
          <w:i/>
        </w:rPr>
        <w:t xml:space="preserve">n </w:t>
      </w:r>
      <w:r w:rsidRPr="00EF0E74">
        <w:t>= 487 for modeling purposes. Thirty-six percent (</w:t>
      </w:r>
      <w:r w:rsidRPr="00EF0E74">
        <w:rPr>
          <w:i/>
        </w:rPr>
        <w:t xml:space="preserve">n </w:t>
      </w:r>
      <w:r w:rsidRPr="00EF0E74">
        <w:t>= 176) identified as male, 51% (</w:t>
      </w:r>
      <w:r w:rsidRPr="00EF0E74">
        <w:rPr>
          <w:i/>
        </w:rPr>
        <w:t xml:space="preserve">n </w:t>
      </w:r>
      <w:r w:rsidRPr="00EF0E74">
        <w:t>= 25</w:t>
      </w:r>
      <w:r w:rsidR="00425706" w:rsidRPr="00EF0E74">
        <w:t>0</w:t>
      </w:r>
      <w:r w:rsidRPr="00EF0E74">
        <w:t>) as female, 4% (</w:t>
      </w:r>
      <w:r w:rsidRPr="00EF0E74">
        <w:rPr>
          <w:i/>
        </w:rPr>
        <w:t xml:space="preserve">n </w:t>
      </w:r>
      <w:r w:rsidRPr="00EF0E74">
        <w:t>= 17) as transgender-only, 2% (</w:t>
      </w:r>
      <w:r w:rsidRPr="00EF0E74">
        <w:rPr>
          <w:i/>
        </w:rPr>
        <w:t xml:space="preserve">n </w:t>
      </w:r>
      <w:r w:rsidRPr="00EF0E74">
        <w:t xml:space="preserve">= 8) </w:t>
      </w:r>
      <w:r w:rsidR="00D94444" w:rsidRPr="00EF0E74">
        <w:t>as transgender male, 1% (</w:t>
      </w:r>
      <w:r w:rsidR="00D94444" w:rsidRPr="00EF0E74">
        <w:rPr>
          <w:i/>
        </w:rPr>
        <w:t xml:space="preserve">n </w:t>
      </w:r>
      <w:r w:rsidR="00D94444" w:rsidRPr="00EF0E74">
        <w:t>=6) as transgender female, 1% (</w:t>
      </w:r>
      <w:r w:rsidR="00D94444" w:rsidRPr="00EF0E74">
        <w:rPr>
          <w:i/>
        </w:rPr>
        <w:t xml:space="preserve">n </w:t>
      </w:r>
      <w:r w:rsidR="00D94444" w:rsidRPr="00EF0E74">
        <w:t>= 4) as male and female, and &lt; 1% (</w:t>
      </w:r>
      <w:r w:rsidR="00D94444" w:rsidRPr="00EF0E74">
        <w:rPr>
          <w:i/>
        </w:rPr>
        <w:t xml:space="preserve">n </w:t>
      </w:r>
      <w:r w:rsidR="00D94444" w:rsidRPr="00EF0E74">
        <w:t>= 2) as male and female and transgender, and 5% (</w:t>
      </w:r>
      <w:r w:rsidR="00D94444" w:rsidRPr="00EF0E74">
        <w:rPr>
          <w:i/>
        </w:rPr>
        <w:t xml:space="preserve">n </w:t>
      </w:r>
      <w:r w:rsidR="00D94444" w:rsidRPr="00EF0E74">
        <w:t>=</w:t>
      </w:r>
      <w:r w:rsidR="003349A8" w:rsidRPr="00EF0E74">
        <w:t xml:space="preserve"> 24) left</w:t>
      </w:r>
      <w:r w:rsidR="00D94444" w:rsidRPr="00EF0E74">
        <w:t xml:space="preserve"> the item blank. Regarding educational level, 2% (</w:t>
      </w:r>
      <w:r w:rsidR="00D94444" w:rsidRPr="00EF0E74">
        <w:rPr>
          <w:i/>
        </w:rPr>
        <w:t xml:space="preserve">n </w:t>
      </w:r>
      <w:r w:rsidR="00D94444" w:rsidRPr="00EF0E74">
        <w:t>= 9) of the sample did not have a high school diploma or equivalent degree, 34% (</w:t>
      </w:r>
      <w:r w:rsidR="00D94444" w:rsidRPr="00EF0E74">
        <w:rPr>
          <w:i/>
        </w:rPr>
        <w:t xml:space="preserve">n </w:t>
      </w:r>
      <w:r w:rsidR="00D94444" w:rsidRPr="00EF0E74">
        <w:t>= 164) had their high school diploma or equivalent degree, 11% (</w:t>
      </w:r>
      <w:r w:rsidR="00D94444" w:rsidRPr="00EF0E74">
        <w:rPr>
          <w:i/>
        </w:rPr>
        <w:t xml:space="preserve">n </w:t>
      </w:r>
      <w:r w:rsidR="00D94444" w:rsidRPr="00EF0E74">
        <w:t>= 54) had their associate's degree or similar, 31% (</w:t>
      </w:r>
      <w:r w:rsidR="00D94444" w:rsidRPr="00EF0E74">
        <w:rPr>
          <w:i/>
        </w:rPr>
        <w:t xml:space="preserve">n </w:t>
      </w:r>
      <w:r w:rsidR="00D94444" w:rsidRPr="00EF0E74">
        <w:t>= 151) had a bachelor's degree, 14% (</w:t>
      </w:r>
      <w:r w:rsidR="00D94444" w:rsidRPr="00EF0E74">
        <w:rPr>
          <w:i/>
        </w:rPr>
        <w:t xml:space="preserve">n </w:t>
      </w:r>
      <w:r w:rsidR="00D94444" w:rsidRPr="00EF0E74">
        <w:t>= 69) had their master's degree, and 8% (</w:t>
      </w:r>
      <w:r w:rsidR="00D94444" w:rsidRPr="00EF0E74">
        <w:rPr>
          <w:i/>
        </w:rPr>
        <w:t xml:space="preserve">n </w:t>
      </w:r>
      <w:r w:rsidR="00D94444" w:rsidRPr="00EF0E74">
        <w:t xml:space="preserve">= 39) had their doctoral degree. </w:t>
      </w:r>
      <w:r w:rsidR="00742EA8" w:rsidRPr="00EF0E74">
        <w:t>Regarding race/ethnicity</w:t>
      </w:r>
      <w:r w:rsidR="003349A8" w:rsidRPr="00EF0E74">
        <w:t>, 82% (</w:t>
      </w:r>
      <w:r w:rsidR="003349A8" w:rsidRPr="00EF0E74">
        <w:rPr>
          <w:i/>
        </w:rPr>
        <w:t xml:space="preserve">n </w:t>
      </w:r>
      <w:r w:rsidR="003349A8" w:rsidRPr="00EF0E74">
        <w:t>= 400) were White, 10% (</w:t>
      </w:r>
      <w:r w:rsidR="003349A8" w:rsidRPr="00EF0E74">
        <w:rPr>
          <w:i/>
        </w:rPr>
        <w:t xml:space="preserve">n </w:t>
      </w:r>
      <w:r w:rsidR="003349A8" w:rsidRPr="00EF0E74">
        <w:t>= 47) were bi/multiracial, 3% (</w:t>
      </w:r>
      <w:r w:rsidR="003349A8" w:rsidRPr="00EF0E74">
        <w:rPr>
          <w:i/>
        </w:rPr>
        <w:t xml:space="preserve">n </w:t>
      </w:r>
      <w:r w:rsidR="003349A8" w:rsidRPr="00EF0E74">
        <w:t>= 15) put themselves as "other", 2% (</w:t>
      </w:r>
      <w:r w:rsidR="003349A8" w:rsidRPr="00EF0E74">
        <w:rPr>
          <w:i/>
        </w:rPr>
        <w:t xml:space="preserve">n </w:t>
      </w:r>
      <w:r w:rsidR="003349A8" w:rsidRPr="00EF0E74">
        <w:t>= 8) were Asian-Americans, 2% (</w:t>
      </w:r>
      <w:r w:rsidR="003349A8" w:rsidRPr="00EF0E74">
        <w:rPr>
          <w:i/>
        </w:rPr>
        <w:t xml:space="preserve">n </w:t>
      </w:r>
      <w:r w:rsidR="003349A8" w:rsidRPr="00EF0E74">
        <w:t>= 8) were African-American/Black, 1% (</w:t>
      </w:r>
      <w:r w:rsidR="003349A8" w:rsidRPr="00EF0E74">
        <w:rPr>
          <w:i/>
        </w:rPr>
        <w:t xml:space="preserve">n </w:t>
      </w:r>
      <w:r w:rsidR="003349A8" w:rsidRPr="00EF0E74">
        <w:t>= 6) did not answer the question, and 1% (</w:t>
      </w:r>
      <w:r w:rsidR="003349A8" w:rsidRPr="00EF0E74">
        <w:rPr>
          <w:i/>
        </w:rPr>
        <w:t xml:space="preserve">n </w:t>
      </w:r>
      <w:r w:rsidR="003349A8" w:rsidRPr="00EF0E74">
        <w:t xml:space="preserve">= 3) were American Indian/Native American. In addition, </w:t>
      </w:r>
      <w:r w:rsidR="00742EA8" w:rsidRPr="00EF0E74">
        <w:t>9% (</w:t>
      </w:r>
      <w:r w:rsidR="00742EA8" w:rsidRPr="00EF0E74">
        <w:rPr>
          <w:i/>
        </w:rPr>
        <w:t xml:space="preserve">n </w:t>
      </w:r>
      <w:r w:rsidR="00742EA8" w:rsidRPr="00EF0E74">
        <w:t>= 43) identified as Hispanic or Latino/a.</w:t>
      </w:r>
      <w:r w:rsidR="003349A8" w:rsidRPr="00EF0E74">
        <w:t xml:space="preserve"> </w:t>
      </w:r>
      <w:r w:rsidR="00742EA8" w:rsidRPr="00EF0E74">
        <w:t>Lastly, 41 participants (8.4) chose "other" as an option for sexual orientation and put in a text box provided a sexual orientation that is regarded as an attraction to multiple genders (e.g. polysexual, pansexual, bi-romantic, etc.), and were included in the final sample.</w:t>
      </w:r>
    </w:p>
    <w:p w:rsidR="001A42FA" w:rsidRPr="00EF0E74" w:rsidRDefault="00925A55" w:rsidP="00925A55">
      <w:pPr>
        <w:spacing w:after="0" w:line="480" w:lineRule="auto"/>
        <w:contextualSpacing/>
      </w:pPr>
      <w:r w:rsidRPr="00EF0E74">
        <w:lastRenderedPageBreak/>
        <w:tab/>
      </w:r>
      <w:bookmarkStart w:id="8" w:name="_Toc425928345"/>
      <w:r w:rsidR="002B7601" w:rsidRPr="00EF0E74">
        <w:rPr>
          <w:rStyle w:val="Heading3Char"/>
          <w:rFonts w:cs="Times New Roman"/>
        </w:rPr>
        <w:t>Power a</w:t>
      </w:r>
      <w:r w:rsidR="004F20CB" w:rsidRPr="00EF0E74">
        <w:rPr>
          <w:rStyle w:val="Heading3Char"/>
          <w:rFonts w:cs="Times New Roman"/>
        </w:rPr>
        <w:t>nalysis</w:t>
      </w:r>
      <w:bookmarkEnd w:id="8"/>
      <w:r w:rsidR="008246E3" w:rsidRPr="00EF0E74">
        <w:rPr>
          <w:b/>
          <w:i/>
        </w:rPr>
        <w:t xml:space="preserve">. </w:t>
      </w:r>
      <w:r w:rsidR="00C57234" w:rsidRPr="00EF0E74">
        <w:t>Structural equation modeling requires large samples of over 20</w:t>
      </w:r>
      <w:r w:rsidR="002B7601" w:rsidRPr="00EF0E74">
        <w:t>0,</w:t>
      </w:r>
      <w:r w:rsidR="00C57234" w:rsidRPr="00EF0E74">
        <w:t xml:space="preserve"> even</w:t>
      </w:r>
      <w:r w:rsidR="002B7601" w:rsidRPr="00EF0E74">
        <w:t xml:space="preserve"> for</w:t>
      </w:r>
      <w:r w:rsidR="00C57234" w:rsidRPr="00EF0E74">
        <w:t xml:space="preserve"> fairly simple mo</w:t>
      </w:r>
      <w:r w:rsidR="004F20CB" w:rsidRPr="00EF0E74">
        <w:t>dels</w:t>
      </w:r>
      <w:r w:rsidR="008246E3" w:rsidRPr="00EF0E74">
        <w:t xml:space="preserve">.  </w:t>
      </w:r>
      <w:r w:rsidR="004F20CB" w:rsidRPr="00EF0E74">
        <w:t xml:space="preserve">Testing a model with </w:t>
      </w:r>
      <w:r w:rsidR="001A42FA" w:rsidRPr="00EF0E74">
        <w:t>five</w:t>
      </w:r>
      <w:r w:rsidR="00C57234" w:rsidRPr="00EF0E74">
        <w:t xml:space="preserve"> latent variables</w:t>
      </w:r>
      <w:r w:rsidR="001A42FA" w:rsidRPr="00EF0E74">
        <w:t xml:space="preserve"> (</w:t>
      </w:r>
      <w:r w:rsidR="004F20CB" w:rsidRPr="00EF0E74">
        <w:t>anti-bisexual prejudice, trauma-related symptoms,</w:t>
      </w:r>
      <w:r w:rsidR="00E400F8" w:rsidRPr="00EF0E74">
        <w:t xml:space="preserve"> internalized biphobia,</w:t>
      </w:r>
      <w:r w:rsidR="00FB224D" w:rsidRPr="00EF0E74">
        <w:t xml:space="preserve"> depression symptoms</w:t>
      </w:r>
      <w:r w:rsidR="0074511D" w:rsidRPr="00EF0E74">
        <w:t>,</w:t>
      </w:r>
      <w:r w:rsidR="004F20CB" w:rsidRPr="00EF0E74">
        <w:t xml:space="preserve"> and </w:t>
      </w:r>
      <w:r w:rsidR="00FB224D" w:rsidRPr="00EF0E74">
        <w:t xml:space="preserve">general </w:t>
      </w:r>
      <w:r w:rsidR="00E400F8" w:rsidRPr="00EF0E74">
        <w:t xml:space="preserve">physical </w:t>
      </w:r>
      <w:r w:rsidR="001A42FA" w:rsidRPr="00EF0E74">
        <w:t>health) measured with 20</w:t>
      </w:r>
      <w:r w:rsidR="00C57234" w:rsidRPr="00EF0E74">
        <w:t xml:space="preserve"> observed variables</w:t>
      </w:r>
      <w:r w:rsidR="004F20CB" w:rsidRPr="00EF0E74">
        <w:t xml:space="preserve"> (number of dimensions </w:t>
      </w:r>
      <w:r w:rsidR="00B44B2F" w:rsidRPr="00EF0E74">
        <w:t xml:space="preserve">and subscales </w:t>
      </w:r>
      <w:r w:rsidR="004F20CB" w:rsidRPr="00EF0E74">
        <w:t xml:space="preserve">across all </w:t>
      </w:r>
      <w:r w:rsidR="00B44B2F" w:rsidRPr="00EF0E74">
        <w:t>measures</w:t>
      </w:r>
      <w:r w:rsidR="001A42FA" w:rsidRPr="00EF0E74">
        <w:t xml:space="preserve"> and cov</w:t>
      </w:r>
      <w:r w:rsidR="002B7601" w:rsidRPr="00EF0E74">
        <w:t>ar</w:t>
      </w:r>
      <w:r w:rsidR="001A42FA" w:rsidRPr="00EF0E74">
        <w:t>iates</w:t>
      </w:r>
      <w:r w:rsidR="004F20CB" w:rsidRPr="00EF0E74">
        <w:t xml:space="preserve">) requires a minimum of </w:t>
      </w:r>
      <w:r w:rsidR="001A42FA" w:rsidRPr="00EF0E74">
        <w:t>463</w:t>
      </w:r>
      <w:r w:rsidR="00C57234" w:rsidRPr="00EF0E74">
        <w:t xml:space="preserve"> participants</w:t>
      </w:r>
      <w:r w:rsidR="001A42FA" w:rsidRPr="00EF0E74">
        <w:t xml:space="preserve"> to detect small effect sizes</w:t>
      </w:r>
      <w:r w:rsidR="00C57234" w:rsidRPr="00EF0E74">
        <w:t xml:space="preserve"> at a base power of </w:t>
      </w:r>
      <w:r w:rsidR="00AA4751" w:rsidRPr="00EF0E74">
        <w:rPr>
          <w:i/>
        </w:rPr>
        <w:t>β</w:t>
      </w:r>
      <w:r w:rsidR="00C57234" w:rsidRPr="00EF0E74">
        <w:t xml:space="preserve"> = .80</w:t>
      </w:r>
      <w:r w:rsidR="00FB224D" w:rsidRPr="00EF0E74">
        <w:t>, α = .05</w:t>
      </w:r>
      <w:r w:rsidR="00C57234" w:rsidRPr="00EF0E74">
        <w:t xml:space="preserve"> (</w:t>
      </w:r>
      <w:r w:rsidR="00E84EF5" w:rsidRPr="00EF0E74">
        <w:t>Cohen, 1988; Soper, 2013; Westland, 2010</w:t>
      </w:r>
      <w:r w:rsidR="00C57234" w:rsidRPr="00EF0E74">
        <w:t>)</w:t>
      </w:r>
      <w:r w:rsidR="001A42FA" w:rsidRPr="00EF0E74">
        <w:t xml:space="preserve">. </w:t>
      </w:r>
      <w:r w:rsidR="00C57234" w:rsidRPr="00EF0E74">
        <w:t>Based on the recommendations of Westland</w:t>
      </w:r>
      <w:r w:rsidR="004F20CB" w:rsidRPr="00EF0E74">
        <w:t xml:space="preserve"> (2010)</w:t>
      </w:r>
      <w:r w:rsidR="00C57234" w:rsidRPr="00EF0E74">
        <w:t>,</w:t>
      </w:r>
      <w:r w:rsidR="004F20CB" w:rsidRPr="00EF0E74">
        <w:t xml:space="preserve"> whose review of research studies using SEM revealed a severe lack of power and underestimation of </w:t>
      </w:r>
      <w:r w:rsidR="002B7601" w:rsidRPr="00EF0E74">
        <w:t xml:space="preserve">the </w:t>
      </w:r>
      <w:r w:rsidR="004F20CB" w:rsidRPr="00EF0E74">
        <w:t>number of subjects needed to detect effects,</w:t>
      </w:r>
      <w:r w:rsidR="001A42FA" w:rsidRPr="00EF0E74">
        <w:t xml:space="preserve"> we aim</w:t>
      </w:r>
      <w:r w:rsidR="002B7601" w:rsidRPr="00EF0E74">
        <w:t>ed</w:t>
      </w:r>
      <w:r w:rsidR="001A42FA" w:rsidRPr="00EF0E74">
        <w:t xml:space="preserve"> to collect a minimum of 463 participants.</w:t>
      </w:r>
      <w:r w:rsidR="008246E3" w:rsidRPr="00EF0E74">
        <w:t xml:space="preserve"> </w:t>
      </w:r>
      <w:r w:rsidR="00C57234" w:rsidRPr="00EF0E74">
        <w:t>Westland compared the suggested sample size based on an algorithm designed to compute the lower-bound for samples sizes to the actual sample sizes used in research papers</w:t>
      </w:r>
      <w:r w:rsidR="00C045A6" w:rsidRPr="00EF0E74">
        <w:t xml:space="preserve"> and </w:t>
      </w:r>
      <w:r w:rsidR="00C57234" w:rsidRPr="00EF0E74">
        <w:t>found that 80% drew their conclusion</w:t>
      </w:r>
      <w:r w:rsidR="00E529FF" w:rsidRPr="00EF0E74">
        <w:t>s</w:t>
      </w:r>
      <w:r w:rsidR="00C57234" w:rsidRPr="00EF0E74">
        <w:t xml:space="preserve"> from sample sizes too small</w:t>
      </w:r>
      <w:r w:rsidR="008246E3" w:rsidRPr="00EF0E74">
        <w:t xml:space="preserve">.  </w:t>
      </w:r>
      <w:r w:rsidR="00C57234" w:rsidRPr="00EF0E74">
        <w:t>Though it was reasoned that sample size should be determined using several sources of information (e.g.</w:t>
      </w:r>
      <w:r w:rsidR="00E529FF" w:rsidRPr="00EF0E74">
        <w:t>,</w:t>
      </w:r>
      <w:r w:rsidR="00C57234" w:rsidRPr="00EF0E74">
        <w:t xml:space="preserve"> normality, statistical tests used), recommendations for researchers were to meet the lower bound for number of participants.</w:t>
      </w:r>
      <w:r w:rsidR="001A42FA" w:rsidRPr="00EF0E74">
        <w:rPr>
          <w:b/>
        </w:rPr>
        <w:tab/>
      </w:r>
      <w:r w:rsidR="001A42FA" w:rsidRPr="00EF0E74">
        <w:t xml:space="preserve"> </w:t>
      </w:r>
    </w:p>
    <w:p w:rsidR="00C045A6" w:rsidRPr="00EF0E74" w:rsidRDefault="00C045A6" w:rsidP="00AB2D83">
      <w:pPr>
        <w:pStyle w:val="Heading2"/>
        <w:rPr>
          <w:rFonts w:cs="Times New Roman"/>
        </w:rPr>
      </w:pPr>
      <w:bookmarkStart w:id="9" w:name="_Toc425928346"/>
      <w:r w:rsidRPr="00EF0E74">
        <w:rPr>
          <w:rFonts w:cs="Times New Roman"/>
        </w:rPr>
        <w:t>Measures</w:t>
      </w:r>
      <w:bookmarkEnd w:id="9"/>
    </w:p>
    <w:p w:rsidR="00AA4751" w:rsidRPr="00EF0E74" w:rsidRDefault="00CE4821" w:rsidP="00AA4751">
      <w:pPr>
        <w:spacing w:after="0" w:line="480" w:lineRule="auto"/>
        <w:contextualSpacing/>
      </w:pPr>
      <w:r w:rsidRPr="00EF0E74">
        <w:rPr>
          <w:b/>
        </w:rPr>
        <w:tab/>
      </w:r>
      <w:bookmarkStart w:id="10" w:name="_Toc425928347"/>
      <w:r w:rsidR="008D17D6" w:rsidRPr="00EF0E74">
        <w:rPr>
          <w:rStyle w:val="Heading3Char"/>
          <w:rFonts w:cs="Times New Roman"/>
        </w:rPr>
        <w:t>General traumatic e</w:t>
      </w:r>
      <w:r w:rsidR="00FB224D" w:rsidRPr="00EF0E74">
        <w:rPr>
          <w:rStyle w:val="Heading3Char"/>
          <w:rFonts w:cs="Times New Roman"/>
        </w:rPr>
        <w:t>vents</w:t>
      </w:r>
      <w:bookmarkEnd w:id="10"/>
      <w:r w:rsidR="008246E3" w:rsidRPr="00EF0E74">
        <w:rPr>
          <w:b/>
        </w:rPr>
        <w:t>.</w:t>
      </w:r>
      <w:r w:rsidR="0094009F" w:rsidRPr="00EF0E74">
        <w:rPr>
          <w:b/>
        </w:rPr>
        <w:t xml:space="preserve"> </w:t>
      </w:r>
      <w:r w:rsidR="00FB224D" w:rsidRPr="00EF0E74">
        <w:t xml:space="preserve">Exposure the traumatic events </w:t>
      </w:r>
      <w:r w:rsidR="001A42FA" w:rsidRPr="00EF0E74">
        <w:t>was</w:t>
      </w:r>
      <w:r w:rsidR="00C045A6" w:rsidRPr="00EF0E74">
        <w:t xml:space="preserve"> </w:t>
      </w:r>
      <w:r w:rsidR="00FB224D" w:rsidRPr="00EF0E74">
        <w:t xml:space="preserve">measured using the </w:t>
      </w:r>
      <w:r w:rsidR="00E51B82" w:rsidRPr="00EF0E74">
        <w:t>Trauma History Screen (THS; Carlson et al, 2011)</w:t>
      </w:r>
      <w:r w:rsidR="008246E3" w:rsidRPr="00EF0E74">
        <w:t xml:space="preserve">.  </w:t>
      </w:r>
      <w:r w:rsidR="00E51B82" w:rsidRPr="00EF0E74">
        <w:t>The THS assesses tra</w:t>
      </w:r>
      <w:r w:rsidR="004A0EB0" w:rsidRPr="00EF0E74">
        <w:t>uma with 14 items that share in common traits such as suddenness, lack of contro</w:t>
      </w:r>
      <w:r w:rsidR="000C0D96" w:rsidRPr="00EF0E74">
        <w:t>l</w:t>
      </w:r>
      <w:r w:rsidR="004A0EB0" w:rsidRPr="00EF0E74">
        <w:t>lability, and strong negative valence</w:t>
      </w:r>
      <w:r w:rsidR="008246E3" w:rsidRPr="00EF0E74">
        <w:t xml:space="preserve">.   </w:t>
      </w:r>
      <w:r w:rsidR="004A0EB0" w:rsidRPr="00EF0E74">
        <w:t>Example items include</w:t>
      </w:r>
      <w:r w:rsidR="000C0D96" w:rsidRPr="00EF0E74">
        <w:t>,</w:t>
      </w:r>
      <w:r w:rsidR="00E51B82" w:rsidRPr="00EF0E74">
        <w:t>"</w:t>
      </w:r>
      <w:r w:rsidR="0094009F" w:rsidRPr="00EF0E74">
        <w:t xml:space="preserve"> </w:t>
      </w:r>
      <w:r w:rsidR="00E51B82" w:rsidRPr="00EF0E74">
        <w:t>A really bad car, boat, train, or airpla</w:t>
      </w:r>
      <w:r w:rsidR="00C045A6" w:rsidRPr="00EF0E74">
        <w:t>n</w:t>
      </w:r>
      <w:r w:rsidR="00E51B82" w:rsidRPr="00EF0E74">
        <w:t>e accident,"</w:t>
      </w:r>
      <w:r w:rsidR="004A0EB0" w:rsidRPr="00EF0E74">
        <w:t xml:space="preserve"> and</w:t>
      </w:r>
      <w:r w:rsidR="00E51B82" w:rsidRPr="00EF0E74">
        <w:t xml:space="preserve"> "Sudden death of a family member</w:t>
      </w:r>
      <w:r w:rsidR="00C045A6" w:rsidRPr="00EF0E74">
        <w:t>.</w:t>
      </w:r>
      <w:r w:rsidR="004A0EB0" w:rsidRPr="00EF0E74">
        <w:t xml:space="preserve">" </w:t>
      </w:r>
      <w:r w:rsidR="00C045A6" w:rsidRPr="00EF0E74">
        <w:t xml:space="preserve"> P</w:t>
      </w:r>
      <w:r w:rsidR="004A0EB0" w:rsidRPr="00EF0E74">
        <w:t xml:space="preserve">articipants indicate if the event has occurred by marking </w:t>
      </w:r>
      <w:r w:rsidR="00E51B82" w:rsidRPr="00EF0E74">
        <w:rPr>
          <w:i/>
        </w:rPr>
        <w:t xml:space="preserve">yes </w:t>
      </w:r>
      <w:r w:rsidR="00E51B82" w:rsidRPr="00EF0E74">
        <w:t xml:space="preserve">or </w:t>
      </w:r>
      <w:r w:rsidR="00E51B82" w:rsidRPr="00EF0E74">
        <w:rPr>
          <w:i/>
        </w:rPr>
        <w:t>no</w:t>
      </w:r>
      <w:r w:rsidR="008246E3" w:rsidRPr="00EF0E74">
        <w:t xml:space="preserve">.  </w:t>
      </w:r>
      <w:r w:rsidR="00E51B82" w:rsidRPr="00EF0E74">
        <w:t xml:space="preserve">Then, </w:t>
      </w:r>
      <w:r w:rsidR="00C045A6" w:rsidRPr="00EF0E74">
        <w:t xml:space="preserve">if they answered </w:t>
      </w:r>
      <w:r w:rsidR="00C045A6" w:rsidRPr="00EF0E74">
        <w:rPr>
          <w:i/>
        </w:rPr>
        <w:t xml:space="preserve">yes, </w:t>
      </w:r>
      <w:r w:rsidR="00E51B82" w:rsidRPr="00EF0E74">
        <w:t>respondents indicate how many times the event has happened to them</w:t>
      </w:r>
      <w:r w:rsidR="008246E3" w:rsidRPr="00EF0E74">
        <w:t xml:space="preserve">.  </w:t>
      </w:r>
      <w:r w:rsidR="00E51B82" w:rsidRPr="00EF0E74">
        <w:t xml:space="preserve">Participants then are asked, "Did any of these events bother you emotionally?" </w:t>
      </w:r>
      <w:r w:rsidR="00B550BA" w:rsidRPr="00EF0E74">
        <w:t xml:space="preserve">to which they </w:t>
      </w:r>
      <w:r w:rsidR="00E51B82" w:rsidRPr="00EF0E74">
        <w:t xml:space="preserve">respond </w:t>
      </w:r>
      <w:r w:rsidR="00E51B82" w:rsidRPr="00EF0E74">
        <w:rPr>
          <w:i/>
        </w:rPr>
        <w:t xml:space="preserve">yes </w:t>
      </w:r>
      <w:r w:rsidR="00E51B82" w:rsidRPr="00EF0E74">
        <w:t xml:space="preserve">or </w:t>
      </w:r>
      <w:r w:rsidR="00E51B82" w:rsidRPr="00EF0E74">
        <w:rPr>
          <w:i/>
        </w:rPr>
        <w:t>no</w:t>
      </w:r>
      <w:r w:rsidR="008246E3" w:rsidRPr="00EF0E74">
        <w:t xml:space="preserve">.  </w:t>
      </w:r>
      <w:r w:rsidR="004A0EB0" w:rsidRPr="00EF0E74">
        <w:t xml:space="preserve">Finally to assess for </w:t>
      </w:r>
      <w:r w:rsidR="004A0EB0" w:rsidRPr="00EF0E74">
        <w:rPr>
          <w:i/>
        </w:rPr>
        <w:t>persisting pos</w:t>
      </w:r>
      <w:r w:rsidR="001350D4" w:rsidRPr="00EF0E74">
        <w:rPr>
          <w:i/>
        </w:rPr>
        <w:t>t</w:t>
      </w:r>
      <w:r w:rsidR="004A0EB0" w:rsidRPr="00EF0E74">
        <w:rPr>
          <w:i/>
        </w:rPr>
        <w:t xml:space="preserve">traumatic </w:t>
      </w:r>
      <w:r w:rsidR="00611B8C" w:rsidRPr="00EF0E74">
        <w:rPr>
          <w:i/>
        </w:rPr>
        <w:t>di</w:t>
      </w:r>
      <w:r w:rsidR="004A0EB0" w:rsidRPr="00EF0E74">
        <w:rPr>
          <w:i/>
        </w:rPr>
        <w:t xml:space="preserve">stress </w:t>
      </w:r>
      <w:r w:rsidR="004A0EB0" w:rsidRPr="00EF0E74">
        <w:t>(PP</w:t>
      </w:r>
      <w:r w:rsidR="004575B8" w:rsidRPr="00EF0E74">
        <w:t>D</w:t>
      </w:r>
      <w:r w:rsidR="004A0EB0" w:rsidRPr="00EF0E74">
        <w:t xml:space="preserve">), participants </w:t>
      </w:r>
      <w:r w:rsidR="004A0EB0" w:rsidRPr="00EF0E74">
        <w:lastRenderedPageBreak/>
        <w:t>indicate how many of the events caused emotional distress for longer than month</w:t>
      </w:r>
      <w:r w:rsidR="008246E3" w:rsidRPr="00EF0E74">
        <w:t xml:space="preserve">.  </w:t>
      </w:r>
      <w:r w:rsidR="004A0EB0" w:rsidRPr="00EF0E74">
        <w:t xml:space="preserve">Events that are emotionally upsetting are labeled </w:t>
      </w:r>
      <w:r w:rsidR="004A0EB0" w:rsidRPr="00EF0E74">
        <w:rPr>
          <w:i/>
        </w:rPr>
        <w:t xml:space="preserve">traumatic stressors </w:t>
      </w:r>
      <w:r w:rsidR="004A0EB0" w:rsidRPr="00EF0E74">
        <w:t xml:space="preserve">(TS), while events that are not emotionally upsetting are labeled </w:t>
      </w:r>
      <w:r w:rsidR="004A0EB0" w:rsidRPr="00EF0E74">
        <w:rPr>
          <w:i/>
        </w:rPr>
        <w:t xml:space="preserve">high magnitude stressors </w:t>
      </w:r>
      <w:r w:rsidR="004A0EB0" w:rsidRPr="00EF0E74">
        <w:t>(HMS)</w:t>
      </w:r>
      <w:r w:rsidR="008246E3" w:rsidRPr="00EF0E74">
        <w:t>.</w:t>
      </w:r>
      <w:r w:rsidR="00611B8C" w:rsidRPr="00EF0E74">
        <w:t>Stressors that are both emotionally upsetting and persist longer than a month are labeled as PPDs</w:t>
      </w:r>
      <w:r w:rsidR="008246E3" w:rsidRPr="00EF0E74">
        <w:t xml:space="preserve">.  </w:t>
      </w:r>
      <w:r w:rsidR="006D4859" w:rsidRPr="00EF0E74">
        <w:t>To increase variability in possible scores while simultaneously accounting for extreme cases</w:t>
      </w:r>
      <w:r w:rsidR="00611B8C" w:rsidRPr="00EF0E74">
        <w:t xml:space="preserve">, </w:t>
      </w:r>
      <w:r w:rsidR="006D4859" w:rsidRPr="00EF0E74">
        <w:t xml:space="preserve">exposure to traumatic events will be operationalized as the sum of unique trauma experiencd. </w:t>
      </w:r>
      <w:r w:rsidR="00DF3717" w:rsidRPr="00EF0E74">
        <w:t>Test-retest reliability has been shown to be high for PPD scores, ranging from .73 to .</w:t>
      </w:r>
      <w:r w:rsidR="00481855" w:rsidRPr="00EF0E74">
        <w:t>95, and Kappa coefficients ranged from moderate (.55) to high (.84).</w:t>
      </w:r>
    </w:p>
    <w:p w:rsidR="00AA4751" w:rsidRPr="00EF0E74" w:rsidRDefault="00944E2B" w:rsidP="00AA4751">
      <w:pPr>
        <w:spacing w:after="0" w:line="480" w:lineRule="auto"/>
        <w:contextualSpacing/>
      </w:pPr>
      <w:r w:rsidRPr="00EF0E74">
        <w:rPr>
          <w:b/>
        </w:rPr>
        <w:tab/>
      </w:r>
      <w:bookmarkStart w:id="11" w:name="_Toc425928348"/>
      <w:r w:rsidR="008D17D6" w:rsidRPr="00EF0E74">
        <w:rPr>
          <w:rStyle w:val="Heading3Char"/>
          <w:rFonts w:cs="Times New Roman"/>
        </w:rPr>
        <w:t>Perceived anti-bisexual prejudice</w:t>
      </w:r>
      <w:bookmarkEnd w:id="11"/>
      <w:r w:rsidR="008246E3" w:rsidRPr="00EF0E74">
        <w:rPr>
          <w:b/>
        </w:rPr>
        <w:t>.</w:t>
      </w:r>
      <w:r w:rsidR="0094009F" w:rsidRPr="00EF0E74">
        <w:rPr>
          <w:b/>
        </w:rPr>
        <w:t xml:space="preserve"> </w:t>
      </w:r>
      <w:r w:rsidR="008D17D6" w:rsidRPr="00EF0E74">
        <w:t>Perceived anti-bisexual preju</w:t>
      </w:r>
      <w:r w:rsidR="006F2E04" w:rsidRPr="00EF0E74">
        <w:t>d</w:t>
      </w:r>
      <w:r w:rsidR="008D17D6" w:rsidRPr="00EF0E74">
        <w:t>i</w:t>
      </w:r>
      <w:r w:rsidR="006F2E04" w:rsidRPr="00EF0E74">
        <w:t>c</w:t>
      </w:r>
      <w:r w:rsidR="006D4859" w:rsidRPr="00EF0E74">
        <w:t>e was</w:t>
      </w:r>
      <w:r w:rsidR="008D17D6" w:rsidRPr="00EF0E74">
        <w:t xml:space="preserve"> assess</w:t>
      </w:r>
      <w:r w:rsidR="00DD1185" w:rsidRPr="00EF0E74">
        <w:t>ed</w:t>
      </w:r>
      <w:r w:rsidR="008D17D6" w:rsidRPr="00EF0E74">
        <w:t xml:space="preserve"> using the </w:t>
      </w:r>
      <w:r w:rsidR="004A3E07" w:rsidRPr="00EF0E74">
        <w:t>Anti-Bisexual Experiences Scale</w:t>
      </w:r>
      <w:r w:rsidR="00E84EF5" w:rsidRPr="00EF0E74">
        <w:t xml:space="preserve"> </w:t>
      </w:r>
      <w:r w:rsidR="00C57234" w:rsidRPr="00EF0E74">
        <w:t>(ABES; Brewster &amp;</w:t>
      </w:r>
      <w:r w:rsidR="0094009F" w:rsidRPr="00EF0E74">
        <w:t xml:space="preserve"> </w:t>
      </w:r>
      <w:r w:rsidR="00C57234" w:rsidRPr="00EF0E74">
        <w:t>Moradi, 2010)</w:t>
      </w:r>
      <w:r w:rsidR="008246E3" w:rsidRPr="00EF0E74">
        <w:t xml:space="preserve">.  </w:t>
      </w:r>
      <w:r w:rsidR="00C57234" w:rsidRPr="00EF0E74">
        <w:t>The ABES is a 17-item measure that assesses bisexual persons</w:t>
      </w:r>
      <w:r w:rsidR="000958D5" w:rsidRPr="00EF0E74">
        <w:t>’</w:t>
      </w:r>
      <w:r w:rsidR="00C57234" w:rsidRPr="00EF0E74">
        <w:t xml:space="preserve"> perceptions of prejudice from both heterosexual (ABES-H) and lesbian and gay </w:t>
      </w:r>
      <w:r w:rsidR="000958D5" w:rsidRPr="00EF0E74">
        <w:t xml:space="preserve">(ABES-LG) </w:t>
      </w:r>
      <w:r w:rsidR="00C57234" w:rsidRPr="00EF0E74">
        <w:t>people</w:t>
      </w:r>
      <w:r w:rsidR="008246E3" w:rsidRPr="00EF0E74">
        <w:t xml:space="preserve">.  </w:t>
      </w:r>
      <w:r w:rsidR="00292C7A" w:rsidRPr="00EF0E74">
        <w:t>Frequency of anti-</w:t>
      </w:r>
      <w:r w:rsidR="000958D5" w:rsidRPr="00EF0E74">
        <w:t xml:space="preserve">bisexual </w:t>
      </w:r>
      <w:r w:rsidR="00292C7A" w:rsidRPr="00EF0E74">
        <w:t>experiences are measured using a 6</w:t>
      </w:r>
      <w:r w:rsidR="000958D5" w:rsidRPr="00EF0E74">
        <w:t>-</w:t>
      </w:r>
      <w:r w:rsidR="00292C7A" w:rsidRPr="00EF0E74">
        <w:t>point scale</w:t>
      </w:r>
      <w:r w:rsidR="000958D5" w:rsidRPr="00EF0E74">
        <w:t xml:space="preserve">, ranging from </w:t>
      </w:r>
      <w:r w:rsidR="00292C7A" w:rsidRPr="00EF0E74">
        <w:t xml:space="preserve">1 </w:t>
      </w:r>
      <w:r w:rsidR="000958D5" w:rsidRPr="00EF0E74">
        <w:t>(</w:t>
      </w:r>
      <w:r w:rsidR="00292C7A" w:rsidRPr="00EF0E74">
        <w:rPr>
          <w:i/>
        </w:rPr>
        <w:t>never</w:t>
      </w:r>
      <w:r w:rsidR="000958D5" w:rsidRPr="00EF0E74">
        <w:t>)</w:t>
      </w:r>
      <w:r w:rsidR="00292C7A" w:rsidRPr="00EF0E74">
        <w:t xml:space="preserve">to 6 </w:t>
      </w:r>
      <w:r w:rsidR="000958D5" w:rsidRPr="00EF0E74">
        <w:t>(</w:t>
      </w:r>
      <w:r w:rsidR="00292C7A" w:rsidRPr="00EF0E74">
        <w:rPr>
          <w:i/>
        </w:rPr>
        <w:t>almost all of the time</w:t>
      </w:r>
      <w:r w:rsidR="00292C7A" w:rsidRPr="00EF0E74">
        <w:t>)</w:t>
      </w:r>
      <w:r w:rsidR="008246E3" w:rsidRPr="00EF0E74">
        <w:t xml:space="preserve">.  </w:t>
      </w:r>
      <w:r w:rsidR="00C57234" w:rsidRPr="00EF0E74">
        <w:t xml:space="preserve">Exploratory and confirmatory factor analyses from the original measure development study revealed three dimensions of </w:t>
      </w:r>
      <w:r w:rsidR="002B7601" w:rsidRPr="00EF0E74">
        <w:t>prejudicial</w:t>
      </w:r>
      <w:r w:rsidR="00C57234" w:rsidRPr="00EF0E74">
        <w:t xml:space="preserve"> treatment: sexual orientation instability</w:t>
      </w:r>
      <w:r w:rsidR="00292C7A" w:rsidRPr="00EF0E74">
        <w:t xml:space="preserve"> (</w:t>
      </w:r>
      <w:r w:rsidR="00D112BD" w:rsidRPr="00EF0E74">
        <w:t xml:space="preserve">e.g., </w:t>
      </w:r>
      <w:r w:rsidR="00292C7A" w:rsidRPr="00EF0E74">
        <w:t>"People have not taken my sexual orien</w:t>
      </w:r>
      <w:r w:rsidR="009E0446" w:rsidRPr="00EF0E74">
        <w:t>t</w:t>
      </w:r>
      <w:r w:rsidR="00292C7A" w:rsidRPr="00EF0E74">
        <w:t>ation seriously because I am bisexual")</w:t>
      </w:r>
      <w:r w:rsidR="00C57234" w:rsidRPr="00EF0E74">
        <w:t>, sexual irrespons</w:t>
      </w:r>
      <w:r w:rsidR="006F2E04" w:rsidRPr="00EF0E74">
        <w:t>i</w:t>
      </w:r>
      <w:r w:rsidR="00C57234" w:rsidRPr="00EF0E74">
        <w:t>bility</w:t>
      </w:r>
      <w:r w:rsidR="00292C7A" w:rsidRPr="00EF0E74">
        <w:t xml:space="preserve"> (</w:t>
      </w:r>
      <w:r w:rsidR="00D112BD" w:rsidRPr="00EF0E74">
        <w:t xml:space="preserve">e.g., </w:t>
      </w:r>
      <w:r w:rsidR="00292C7A" w:rsidRPr="00EF0E74">
        <w:t>"People have assumed that I will cheat in a relationship because I am bisexual)</w:t>
      </w:r>
      <w:r w:rsidR="00C57234" w:rsidRPr="00EF0E74">
        <w:t>, and interpersonal hostility</w:t>
      </w:r>
      <w:r w:rsidR="00292C7A" w:rsidRPr="00EF0E74">
        <w:t xml:space="preserve"> (</w:t>
      </w:r>
      <w:r w:rsidR="00D112BD" w:rsidRPr="00EF0E74">
        <w:t xml:space="preserve">e.g., </w:t>
      </w:r>
      <w:r w:rsidR="00292C7A" w:rsidRPr="00EF0E74">
        <w:t>"I have been excluded from social networks because I am bisexual")</w:t>
      </w:r>
      <w:r w:rsidR="008246E3" w:rsidRPr="00EF0E74">
        <w:t xml:space="preserve">.  </w:t>
      </w:r>
      <w:r w:rsidR="00C57234" w:rsidRPr="00EF0E74">
        <w:t>Test-retest reliability for a 2-3 week period was</w:t>
      </w:r>
      <w:r w:rsidR="00CD216B" w:rsidRPr="00EF0E74">
        <w:t xml:space="preserve"> above .70 for all subscales on both the heterosexual and lesbian/gay versions of the ABES, and Cronbach's alpha was above .80 for the entire 17-item</w:t>
      </w:r>
      <w:r w:rsidR="00000527" w:rsidRPr="00EF0E74">
        <w:t xml:space="preserve"> measure,</w:t>
      </w:r>
      <w:r w:rsidR="00CD216B" w:rsidRPr="00EF0E74">
        <w:t xml:space="preserve"> and for each subscale across versions</w:t>
      </w:r>
      <w:r w:rsidR="002B7601" w:rsidRPr="00EF0E74">
        <w:t xml:space="preserve"> (Brewster &amp; Moradi, 2010)</w:t>
      </w:r>
      <w:r w:rsidR="008246E3" w:rsidRPr="00EF0E74">
        <w:t xml:space="preserve">.  </w:t>
      </w:r>
      <w:r w:rsidR="00CD216B" w:rsidRPr="00EF0E74">
        <w:t>The validity of the scale was supported with positive correlations with stigma awareness, such that perceiving more anti-bisexual events was related to increased awareness that bisexuality is a stigmatized identity</w:t>
      </w:r>
      <w:r w:rsidR="008246E3" w:rsidRPr="00EF0E74">
        <w:t xml:space="preserve">. </w:t>
      </w:r>
      <w:r w:rsidR="000F0690" w:rsidRPr="00EF0E74">
        <w:lastRenderedPageBreak/>
        <w:t xml:space="preserve">For this study, the internal consistency for the heterosexual version of the survey was .94 for sexual orientation instability, .89 for sexual irresponsibility, and .91 for interpersonal hostility. For the lesbian/gay version of the scale, the internal consistency was reported to be .98 for sexual orientation instability, .91 for sexual </w:t>
      </w:r>
      <w:r w:rsidR="005926AB" w:rsidRPr="00EF0E74">
        <w:t>irresponsibility</w:t>
      </w:r>
      <w:r w:rsidR="000F0690" w:rsidRPr="00EF0E74">
        <w:t>, and .95 for interpersonal hostility.</w:t>
      </w:r>
      <w:r w:rsidR="008246E3" w:rsidRPr="00EF0E74">
        <w:t xml:space="preserve"> </w:t>
      </w:r>
    </w:p>
    <w:p w:rsidR="00AA4751" w:rsidRPr="00EF0E74" w:rsidRDefault="00E400F8" w:rsidP="00AA4751">
      <w:pPr>
        <w:spacing w:after="0" w:line="480" w:lineRule="auto"/>
        <w:contextualSpacing/>
      </w:pPr>
      <w:r w:rsidRPr="00EF0E74">
        <w:rPr>
          <w:iCs/>
        </w:rPr>
        <w:tab/>
      </w:r>
      <w:bookmarkStart w:id="12" w:name="_Toc425928349"/>
      <w:r w:rsidR="00FB224D" w:rsidRPr="00EF0E74">
        <w:rPr>
          <w:rStyle w:val="Heading3Char"/>
          <w:rFonts w:cs="Times New Roman"/>
        </w:rPr>
        <w:t xml:space="preserve">Internalized </w:t>
      </w:r>
      <w:r w:rsidR="007048B5" w:rsidRPr="00EF0E74">
        <w:rPr>
          <w:rStyle w:val="Heading3Char"/>
          <w:rFonts w:cs="Times New Roman"/>
        </w:rPr>
        <w:t>b</w:t>
      </w:r>
      <w:r w:rsidRPr="00EF0E74">
        <w:rPr>
          <w:rStyle w:val="Heading3Char"/>
          <w:rFonts w:cs="Times New Roman"/>
        </w:rPr>
        <w:t>iphobia</w:t>
      </w:r>
      <w:bookmarkEnd w:id="12"/>
      <w:r w:rsidR="008246E3" w:rsidRPr="00EF0E74">
        <w:rPr>
          <w:b/>
          <w:iCs/>
        </w:rPr>
        <w:t xml:space="preserve">.  </w:t>
      </w:r>
      <w:r w:rsidR="006D4859" w:rsidRPr="00EF0E74">
        <w:rPr>
          <w:iCs/>
        </w:rPr>
        <w:t>Internalized biphobia was</w:t>
      </w:r>
      <w:r w:rsidR="008D17D6" w:rsidRPr="00EF0E74">
        <w:rPr>
          <w:iCs/>
        </w:rPr>
        <w:t xml:space="preserve"> measured </w:t>
      </w:r>
      <w:r w:rsidR="008D17D6" w:rsidRPr="00EF0E74">
        <w:t xml:space="preserve">with five items from the </w:t>
      </w:r>
      <w:r w:rsidR="00137E50" w:rsidRPr="00EF0E74">
        <w:t>i</w:t>
      </w:r>
      <w:r w:rsidR="008D17D6" w:rsidRPr="00EF0E74">
        <w:t xml:space="preserve">nternalized </w:t>
      </w:r>
      <w:r w:rsidR="00137E50" w:rsidRPr="00EF0E74">
        <w:t>h</w:t>
      </w:r>
      <w:r w:rsidR="008D17D6" w:rsidRPr="00EF0E74">
        <w:t>omonegativity subscale of the Lesbian,</w:t>
      </w:r>
      <w:r w:rsidR="0094009F" w:rsidRPr="00EF0E74">
        <w:t xml:space="preserve"> </w:t>
      </w:r>
      <w:r w:rsidR="008D17D6" w:rsidRPr="00EF0E74">
        <w:t>Gay, and Bisexual Identity Scale (LGBIS; Mohr &amp;</w:t>
      </w:r>
      <w:r w:rsidR="00063046" w:rsidRPr="00EF0E74">
        <w:t xml:space="preserve"> </w:t>
      </w:r>
      <w:r w:rsidR="008D17D6" w:rsidRPr="00EF0E74">
        <w:t>Fassinger, 2000), which</w:t>
      </w:r>
      <w:r w:rsidR="0094009F" w:rsidRPr="00EF0E74">
        <w:t xml:space="preserve"> </w:t>
      </w:r>
      <w:r w:rsidRPr="00EF0E74">
        <w:rPr>
          <w:iCs/>
        </w:rPr>
        <w:t>measures</w:t>
      </w:r>
      <w:r w:rsidR="00063046" w:rsidRPr="00EF0E74">
        <w:rPr>
          <w:iCs/>
        </w:rPr>
        <w:t xml:space="preserve"> </w:t>
      </w:r>
      <w:r w:rsidRPr="00EF0E74">
        <w:t>respondents’ negative views and feelings about themselves as bisexual</w:t>
      </w:r>
      <w:r w:rsidR="008246E3" w:rsidRPr="00EF0E74">
        <w:t xml:space="preserve">.  </w:t>
      </w:r>
      <w:r w:rsidRPr="00EF0E74">
        <w:t>Sheets and Mohr (2009) reworked the LGBIS to be used with bisexual</w:t>
      </w:r>
      <w:r w:rsidR="0094009F" w:rsidRPr="00EF0E74">
        <w:t xml:space="preserve"> </w:t>
      </w:r>
      <w:r w:rsidRPr="00EF0E74">
        <w:t>individuals</w:t>
      </w:r>
      <w:r w:rsidR="008246E3" w:rsidRPr="00EF0E74">
        <w:t xml:space="preserve">.   </w:t>
      </w:r>
      <w:r w:rsidRPr="00EF0E74">
        <w:t>Items such as</w:t>
      </w:r>
      <w:r w:rsidR="00FE2963" w:rsidRPr="00EF0E74">
        <w:t>,</w:t>
      </w:r>
      <w:r w:rsidRPr="00EF0E74">
        <w:t xml:space="preserve"> “I am glad to be a bisexual person”(reverse coded) are rated on a Likert-type scale from 1 </w:t>
      </w:r>
      <w:r w:rsidR="00EC6196" w:rsidRPr="00EF0E74">
        <w:t>(</w:t>
      </w:r>
      <w:r w:rsidRPr="00EF0E74">
        <w:rPr>
          <w:i/>
          <w:iCs/>
        </w:rPr>
        <w:t>disagree</w:t>
      </w:r>
      <w:r w:rsidR="0094009F" w:rsidRPr="00EF0E74">
        <w:rPr>
          <w:i/>
          <w:iCs/>
        </w:rPr>
        <w:t xml:space="preserve"> </w:t>
      </w:r>
      <w:r w:rsidRPr="00EF0E74">
        <w:rPr>
          <w:i/>
          <w:iCs/>
        </w:rPr>
        <w:t>strongly</w:t>
      </w:r>
      <w:r w:rsidR="00EC6196" w:rsidRPr="00EF0E74">
        <w:rPr>
          <w:iCs/>
        </w:rPr>
        <w:t>)</w:t>
      </w:r>
      <w:r w:rsidRPr="00EF0E74">
        <w:t xml:space="preserve">to 7 </w:t>
      </w:r>
      <w:r w:rsidR="00EC6196" w:rsidRPr="00EF0E74">
        <w:t>(</w:t>
      </w:r>
      <w:r w:rsidRPr="00EF0E74">
        <w:rPr>
          <w:i/>
          <w:iCs/>
        </w:rPr>
        <w:t>agree strongly</w:t>
      </w:r>
      <w:r w:rsidRPr="00EF0E74">
        <w:t>)</w:t>
      </w:r>
      <w:r w:rsidR="008246E3" w:rsidRPr="00EF0E74">
        <w:t xml:space="preserve">.  </w:t>
      </w:r>
      <w:r w:rsidRPr="00EF0E74">
        <w:t xml:space="preserve">Appropriate items </w:t>
      </w:r>
      <w:r w:rsidR="002B7601" w:rsidRPr="00EF0E74">
        <w:t>were</w:t>
      </w:r>
      <w:r w:rsidRPr="00EF0E74">
        <w:t xml:space="preserve"> reverse</w:t>
      </w:r>
      <w:r w:rsidR="0094009F" w:rsidRPr="00EF0E74">
        <w:t xml:space="preserve"> </w:t>
      </w:r>
      <w:r w:rsidRPr="00EF0E74">
        <w:t>scored and item ratings averaged, with higher scores indicating</w:t>
      </w:r>
      <w:r w:rsidR="0094009F" w:rsidRPr="00EF0E74">
        <w:t xml:space="preserve"> </w:t>
      </w:r>
      <w:r w:rsidRPr="00EF0E74">
        <w:t>greater internalized biphobia</w:t>
      </w:r>
      <w:r w:rsidR="008246E3" w:rsidRPr="00EF0E74">
        <w:t xml:space="preserve">.   </w:t>
      </w:r>
      <w:r w:rsidRPr="00EF0E74">
        <w:t>Cronbach’s alphas of .77 and .85were found with samples of bisexual individuals (Brewster &amp;</w:t>
      </w:r>
      <w:r w:rsidR="00367328" w:rsidRPr="00EF0E74">
        <w:t xml:space="preserve"> </w:t>
      </w:r>
      <w:r w:rsidRPr="00EF0E74">
        <w:t>Moradi, 2010; Sheets &amp; Mohr, 2009)</w:t>
      </w:r>
      <w:r w:rsidR="008246E3" w:rsidRPr="00EF0E74">
        <w:t xml:space="preserve">.  </w:t>
      </w:r>
      <w:r w:rsidRPr="00EF0E74">
        <w:t xml:space="preserve">Regarding validity, </w:t>
      </w:r>
      <w:r w:rsidR="00137E50" w:rsidRPr="00EF0E74">
        <w:t>internalized homonegativity</w:t>
      </w:r>
      <w:r w:rsidR="0094009F" w:rsidRPr="00EF0E74">
        <w:t xml:space="preserve"> </w:t>
      </w:r>
      <w:r w:rsidRPr="00EF0E74">
        <w:t>scores were correlated negatively with bisexuality-specific social</w:t>
      </w:r>
      <w:r w:rsidR="0094009F" w:rsidRPr="00EF0E74">
        <w:t xml:space="preserve"> </w:t>
      </w:r>
      <w:r w:rsidRPr="00EF0E74">
        <w:t>support in a sample of bisexual individuals (Sheets &amp; Mohr, 2009)</w:t>
      </w:r>
      <w:r w:rsidR="00593241" w:rsidRPr="00EF0E74">
        <w:t>. For this sample, the items had good internal reliability (</w:t>
      </w:r>
      <w:r w:rsidR="00593241" w:rsidRPr="00EF0E74">
        <w:rPr>
          <w:i/>
        </w:rPr>
        <w:t xml:space="preserve">α </w:t>
      </w:r>
      <w:r w:rsidR="00593241" w:rsidRPr="00EF0E74">
        <w:t>= .81)</w:t>
      </w:r>
    </w:p>
    <w:p w:rsidR="00AA4751" w:rsidRPr="00EF0E74" w:rsidRDefault="00944E2B" w:rsidP="00AA4751">
      <w:pPr>
        <w:spacing w:after="0" w:line="480" w:lineRule="auto"/>
        <w:contextualSpacing/>
      </w:pPr>
      <w:r w:rsidRPr="00EF0E74">
        <w:rPr>
          <w:b/>
        </w:rPr>
        <w:tab/>
      </w:r>
      <w:bookmarkStart w:id="13" w:name="_Toc425928350"/>
      <w:r w:rsidR="008D17D6" w:rsidRPr="00EF0E74">
        <w:rPr>
          <w:rStyle w:val="Heading3Char"/>
          <w:rFonts w:cs="Times New Roman"/>
        </w:rPr>
        <w:t>Post-traumatic disorder symptoms</w:t>
      </w:r>
      <w:bookmarkEnd w:id="13"/>
      <w:r w:rsidR="008246E3" w:rsidRPr="00EF0E74">
        <w:rPr>
          <w:b/>
        </w:rPr>
        <w:t>.</w:t>
      </w:r>
      <w:r w:rsidR="0094009F" w:rsidRPr="00EF0E74">
        <w:rPr>
          <w:b/>
        </w:rPr>
        <w:t xml:space="preserve"> </w:t>
      </w:r>
      <w:r w:rsidR="002B7601" w:rsidRPr="00EF0E74">
        <w:t>PTSD symptoms were</w:t>
      </w:r>
      <w:r w:rsidR="008D17D6" w:rsidRPr="00EF0E74">
        <w:t xml:space="preserve"> measured with the </w:t>
      </w:r>
      <w:r w:rsidR="004A3E07" w:rsidRPr="00EF0E74">
        <w:t>PTSD Checklist - Civilian</w:t>
      </w:r>
      <w:r w:rsidR="0094009F" w:rsidRPr="00EF0E74">
        <w:t xml:space="preserve"> </w:t>
      </w:r>
      <w:r w:rsidR="008D17D6" w:rsidRPr="00EF0E74">
        <w:t>survey</w:t>
      </w:r>
      <w:r w:rsidR="006D4859" w:rsidRPr="00EF0E74">
        <w:t xml:space="preserve"> </w:t>
      </w:r>
      <w:r w:rsidR="00292C7A" w:rsidRPr="00EF0E74">
        <w:t>(PCL-C; Weathers, Litz, Herman, Huska, and Keane, 1993)</w:t>
      </w:r>
      <w:r w:rsidR="008246E3" w:rsidRPr="00EF0E74">
        <w:t xml:space="preserve">.  </w:t>
      </w:r>
      <w:r w:rsidR="00CD216B" w:rsidRPr="00EF0E74">
        <w:t xml:space="preserve">The PCL is a self-report measure assessing the 17 symptoms of PTSD based on diagnostic criteria from </w:t>
      </w:r>
      <w:r w:rsidR="00CD216B" w:rsidRPr="00EF0E74">
        <w:rPr>
          <w:i/>
        </w:rPr>
        <w:t>the Diagnostic and Statistical Manual of Mental Disorders</w:t>
      </w:r>
      <w:r w:rsidR="002B7601" w:rsidRPr="00EF0E74">
        <w:t>(4</w:t>
      </w:r>
      <w:r w:rsidR="002B7601" w:rsidRPr="00EF0E74">
        <w:rPr>
          <w:vertAlign w:val="superscript"/>
        </w:rPr>
        <w:t>th</w:t>
      </w:r>
      <w:r w:rsidR="00AE133E" w:rsidRPr="00EF0E74">
        <w:t xml:space="preserve"> ed., text rev.; </w:t>
      </w:r>
      <w:r w:rsidR="00AE133E" w:rsidRPr="00EF0E74">
        <w:rPr>
          <w:iCs/>
        </w:rPr>
        <w:t>DSM-IV-TR</w:t>
      </w:r>
      <w:r w:rsidR="00AE133E" w:rsidRPr="00EF0E74">
        <w:t>; American Psychiatric Association, 2000)</w:t>
      </w:r>
      <w:r w:rsidR="00FE2963" w:rsidRPr="00EF0E74">
        <w:t xml:space="preserve">. </w:t>
      </w:r>
      <w:r w:rsidR="00CD216B" w:rsidRPr="00EF0E74">
        <w:t>Responde</w:t>
      </w:r>
      <w:r w:rsidRPr="00EF0E74">
        <w:t>nts are asked to consider general, stressful experiences in their everyday li</w:t>
      </w:r>
      <w:r w:rsidR="001B5E67" w:rsidRPr="00EF0E74">
        <w:t>v</w:t>
      </w:r>
      <w:r w:rsidRPr="00EF0E74">
        <w:t>e</w:t>
      </w:r>
      <w:r w:rsidR="001B5E67" w:rsidRPr="00EF0E74">
        <w:t>s</w:t>
      </w:r>
      <w:r w:rsidR="0094009F" w:rsidRPr="00EF0E74">
        <w:t xml:space="preserve"> </w:t>
      </w:r>
      <w:r w:rsidR="00CD216B" w:rsidRPr="00EF0E74">
        <w:t xml:space="preserve">and </w:t>
      </w:r>
      <w:r w:rsidR="001B5E67" w:rsidRPr="00EF0E74">
        <w:t xml:space="preserve">to </w:t>
      </w:r>
      <w:r w:rsidR="00CD216B" w:rsidRPr="00EF0E74">
        <w:t>rate the degree to which they were bothered by each symptom in the past month</w:t>
      </w:r>
      <w:r w:rsidR="008246E3" w:rsidRPr="00EF0E74">
        <w:t xml:space="preserve">. </w:t>
      </w:r>
      <w:r w:rsidR="00CD216B" w:rsidRPr="00EF0E74">
        <w:t>Individual items are rated on a 5-point scale ranging from 1 (</w:t>
      </w:r>
      <w:r w:rsidR="00CD216B" w:rsidRPr="00EF0E74">
        <w:rPr>
          <w:i/>
        </w:rPr>
        <w:t xml:space="preserve">not at </w:t>
      </w:r>
      <w:r w:rsidR="00CD216B" w:rsidRPr="00EF0E74">
        <w:rPr>
          <w:i/>
        </w:rPr>
        <w:lastRenderedPageBreak/>
        <w:t>all</w:t>
      </w:r>
      <w:r w:rsidR="00CD216B" w:rsidRPr="00EF0E74">
        <w:t>)</w:t>
      </w:r>
      <w:r w:rsidR="00C72C57" w:rsidRPr="00EF0E74">
        <w:t xml:space="preserve"> </w:t>
      </w:r>
      <w:r w:rsidR="00CD216B" w:rsidRPr="00EF0E74">
        <w:t>to</w:t>
      </w:r>
      <w:r w:rsidR="00C72C57" w:rsidRPr="00EF0E74">
        <w:t xml:space="preserve"> </w:t>
      </w:r>
      <w:r w:rsidR="00CD216B" w:rsidRPr="00EF0E74">
        <w:t>5</w:t>
      </w:r>
      <w:r w:rsidR="00C72C57" w:rsidRPr="00EF0E74">
        <w:t xml:space="preserve"> </w:t>
      </w:r>
      <w:r w:rsidR="00CD216B" w:rsidRPr="00EF0E74">
        <w:t>(</w:t>
      </w:r>
      <w:r w:rsidR="00CD216B" w:rsidRPr="00EF0E74">
        <w:rPr>
          <w:i/>
        </w:rPr>
        <w:t>extremely</w:t>
      </w:r>
      <w:r w:rsidR="00CD216B" w:rsidRPr="00EF0E74">
        <w:t>), and item scores are summed for an overall score</w:t>
      </w:r>
      <w:r w:rsidR="008246E3" w:rsidRPr="00EF0E74">
        <w:t xml:space="preserve">. </w:t>
      </w:r>
      <w:r w:rsidR="00CD216B" w:rsidRPr="00EF0E74">
        <w:t>Scores</w:t>
      </w:r>
      <w:r w:rsidRPr="00EF0E74">
        <w:t xml:space="preserve"> for the three symptom clusters</w:t>
      </w:r>
      <w:r w:rsidR="001308B5" w:rsidRPr="00EF0E74">
        <w:t>,</w:t>
      </w:r>
      <w:r w:rsidRPr="00EF0E74">
        <w:t xml:space="preserve"> re</w:t>
      </w:r>
      <w:r w:rsidR="009A7365" w:rsidRPr="00EF0E74">
        <w:t>-</w:t>
      </w:r>
      <w:r w:rsidRPr="00EF0E74">
        <w:t>experiencing (</w:t>
      </w:r>
      <w:r w:rsidR="001308B5" w:rsidRPr="00EF0E74">
        <w:t xml:space="preserve">i.e., </w:t>
      </w:r>
      <w:r w:rsidR="00CD216B" w:rsidRPr="00EF0E74">
        <w:t>“repeated, disturbing memories, thoughts, or images of a</w:t>
      </w:r>
      <w:r w:rsidR="00292C7A" w:rsidRPr="00EF0E74">
        <w:t xml:space="preserve"> stressful experience”), avoid</w:t>
      </w:r>
      <w:r w:rsidRPr="00EF0E74">
        <w:t>ance and emotional numbing (</w:t>
      </w:r>
      <w:r w:rsidR="001308B5" w:rsidRPr="00EF0E74">
        <w:t xml:space="preserve">i.e., </w:t>
      </w:r>
      <w:r w:rsidR="00CD216B" w:rsidRPr="00EF0E74">
        <w:t>“avoiding thinking about or talking about a stressful experience or avoiding having feelings related to it</w:t>
      </w:r>
      <w:r w:rsidR="009F4BD8" w:rsidRPr="00EF0E74">
        <w:t>,</w:t>
      </w:r>
      <w:r w:rsidR="00CD216B" w:rsidRPr="00EF0E74">
        <w:t>” and “feeling emotionally numb or being unable to have loving feelings for those close to you since the e</w:t>
      </w:r>
      <w:r w:rsidRPr="00EF0E74">
        <w:t>vent”), and hyperarousal (</w:t>
      </w:r>
      <w:r w:rsidR="001308B5" w:rsidRPr="00EF0E74">
        <w:t xml:space="preserve">i.e., </w:t>
      </w:r>
      <w:r w:rsidR="00CD216B" w:rsidRPr="00EF0E74">
        <w:t>“feeling jumpy or easily startled since the event”)</w:t>
      </w:r>
      <w:r w:rsidR="001308B5" w:rsidRPr="00EF0E74">
        <w:t>,</w:t>
      </w:r>
      <w:r w:rsidR="009F4BD8" w:rsidRPr="00EF0E74">
        <w:t>are</w:t>
      </w:r>
      <w:r w:rsidR="0094009F" w:rsidRPr="00EF0E74">
        <w:t xml:space="preserve"> </w:t>
      </w:r>
      <w:r w:rsidR="00CD216B" w:rsidRPr="00EF0E74">
        <w:t>also calculated by summi</w:t>
      </w:r>
      <w:r w:rsidR="00292C7A" w:rsidRPr="00EF0E74">
        <w:t>ng the items in those clus</w:t>
      </w:r>
      <w:r w:rsidR="00CD216B" w:rsidRPr="00EF0E74">
        <w:t>ters</w:t>
      </w:r>
      <w:r w:rsidR="008246E3" w:rsidRPr="00EF0E74">
        <w:t xml:space="preserve">. </w:t>
      </w:r>
      <w:r w:rsidR="00CD216B" w:rsidRPr="00EF0E74">
        <w:t>This measure has been shown t</w:t>
      </w:r>
      <w:r w:rsidRPr="00EF0E74">
        <w:t>o exhibit high internal consis</w:t>
      </w:r>
      <w:r w:rsidR="00CD216B" w:rsidRPr="00EF0E74">
        <w:t>tency, high test-retest reliability, high convergent validity with other measures of trauma and PTSD, and good sensitivity and specificity (Weathers et al., 1993)</w:t>
      </w:r>
      <w:r w:rsidR="008246E3" w:rsidRPr="00EF0E74">
        <w:t xml:space="preserve">. </w:t>
      </w:r>
      <w:r w:rsidRPr="00EF0E74">
        <w:t>The scale has been used with sexual minority women (Szymanski &amp; Balsam, 2010), and exh</w:t>
      </w:r>
      <w:r w:rsidR="00593241" w:rsidRPr="00EF0E74">
        <w:t>ibited good internal consistency with this study's</w:t>
      </w:r>
      <w:r w:rsidR="00F8678E" w:rsidRPr="00EF0E74">
        <w:t xml:space="preserve"> sample (α = .85 for hyperarousal, </w:t>
      </w:r>
      <w:r w:rsidR="002B7601" w:rsidRPr="00EF0E74">
        <w:t>α =</w:t>
      </w:r>
      <w:r w:rsidR="00F8678E" w:rsidRPr="00EF0E74">
        <w:t xml:space="preserve">.88 for avoidance, and </w:t>
      </w:r>
      <w:r w:rsidR="002B7601" w:rsidRPr="00EF0E74">
        <w:t xml:space="preserve">α = </w:t>
      </w:r>
      <w:r w:rsidR="00F8678E" w:rsidRPr="00EF0E74">
        <w:t>.90 for re-experiencing symptoms</w:t>
      </w:r>
      <w:r w:rsidRPr="00EF0E74">
        <w:t>).</w:t>
      </w:r>
    </w:p>
    <w:p w:rsidR="005F7E12" w:rsidRPr="00EF0E74" w:rsidRDefault="00284276" w:rsidP="005F7E12">
      <w:pPr>
        <w:spacing w:after="0" w:line="480" w:lineRule="auto"/>
        <w:contextualSpacing/>
      </w:pPr>
      <w:r w:rsidRPr="00EF0E74">
        <w:rPr>
          <w:b/>
        </w:rPr>
        <w:tab/>
      </w:r>
      <w:bookmarkStart w:id="14" w:name="_Toc425928351"/>
      <w:r w:rsidR="005F7E12" w:rsidRPr="00EF0E74">
        <w:rPr>
          <w:rStyle w:val="Heading3Char"/>
          <w:rFonts w:cs="Times New Roman"/>
        </w:rPr>
        <w:t>Depressive symptoms</w:t>
      </w:r>
      <w:bookmarkEnd w:id="14"/>
      <w:r w:rsidR="005F7E12" w:rsidRPr="00EF0E74">
        <w:rPr>
          <w:b/>
        </w:rPr>
        <w:t xml:space="preserve">.  </w:t>
      </w:r>
      <w:r w:rsidR="005F7E12" w:rsidRPr="00EF0E74">
        <w:t>The Center for Epidemiologic Studies Depression Scale (CES–D; Radloff, 1977) is a 20-item self-report measure designed to assess symptoms of depression.    Respondents are presented with symptoms (e.g., “I was bothered by things that usually don’t bother me”) and asked to indicate how often they have felt that way during the past week.  Each item was rated on a 4-point Likert-type scale 0 (</w:t>
      </w:r>
      <w:r w:rsidR="005F7E12" w:rsidRPr="00EF0E74">
        <w:rPr>
          <w:i/>
        </w:rPr>
        <w:t>rarely or none of the time</w:t>
      </w:r>
      <w:r w:rsidR="005F7E12" w:rsidRPr="00EF0E74">
        <w:t>), 1 (</w:t>
      </w:r>
      <w:r w:rsidR="005F7E12" w:rsidRPr="00EF0E74">
        <w:rPr>
          <w:i/>
        </w:rPr>
        <w:t>some or a little of the time</w:t>
      </w:r>
      <w:r w:rsidR="005F7E12" w:rsidRPr="00EF0E74">
        <w:t>, 2 (</w:t>
      </w:r>
      <w:r w:rsidR="005F7E12" w:rsidRPr="00EF0E74">
        <w:rPr>
          <w:i/>
        </w:rPr>
        <w:t>occasionally or a moderate amount of time</w:t>
      </w:r>
      <w:r w:rsidR="005F7E12" w:rsidRPr="00EF0E74">
        <w:t>), and 3 (</w:t>
      </w:r>
      <w:r w:rsidR="005F7E12" w:rsidRPr="00EF0E74">
        <w:rPr>
          <w:i/>
        </w:rPr>
        <w:t>most or all of the time</w:t>
      </w:r>
      <w:r w:rsidR="002430BF" w:rsidRPr="00EF0E74">
        <w:t xml:space="preserve">).  Total scores were </w:t>
      </w:r>
      <w:r w:rsidR="005F7E12" w:rsidRPr="00EF0E74">
        <w:t xml:space="preserve">computed by summing the responses to each of the items (after reverse-scoring the </w:t>
      </w:r>
      <w:r w:rsidR="0094009F" w:rsidRPr="00EF0E74">
        <w:t>appropriate</w:t>
      </w:r>
      <w:r w:rsidR="005F7E12" w:rsidRPr="00EF0E74">
        <w:t xml:space="preserve"> items).  Total scores can range from 0 to 60, with higher scores indicating greater depressive symptoms. Good internal consistency and convergent and discriminant validity were reported</w:t>
      </w:r>
      <w:r w:rsidR="00B63EB1" w:rsidRPr="00EF0E74">
        <w:t>, and convergent v</w:t>
      </w:r>
      <w:r w:rsidR="005F7E12" w:rsidRPr="00EF0E74">
        <w:t>alidity was supported thr</w:t>
      </w:r>
      <w:r w:rsidR="00B63EB1" w:rsidRPr="00EF0E74">
        <w:t>ough predicted patterns of cor</w:t>
      </w:r>
      <w:r w:rsidR="005F7E12" w:rsidRPr="00EF0E74">
        <w:t xml:space="preserve">relations with </w:t>
      </w:r>
      <w:r w:rsidR="005F7E12" w:rsidRPr="00EF0E74">
        <w:lastRenderedPageBreak/>
        <w:t xml:space="preserve">other self-reported measures of depression, clinical ratings of depression, and other variables related to the construct (Radloff, 1977).  </w:t>
      </w:r>
      <w:r w:rsidR="00593241" w:rsidRPr="00EF0E74">
        <w:t xml:space="preserve">The internal consistency </w:t>
      </w:r>
      <w:r w:rsidR="000F0690" w:rsidRPr="00EF0E74">
        <w:t>was α = .94 for this study.</w:t>
      </w:r>
    </w:p>
    <w:p w:rsidR="00AA4751" w:rsidRPr="00EF0E74" w:rsidRDefault="004E0756" w:rsidP="00AA4751">
      <w:pPr>
        <w:spacing w:after="0" w:line="480" w:lineRule="auto"/>
        <w:contextualSpacing/>
      </w:pPr>
      <w:r w:rsidRPr="00EF0E74">
        <w:rPr>
          <w:b/>
        </w:rPr>
        <w:tab/>
      </w:r>
      <w:bookmarkStart w:id="15" w:name="_Toc425928352"/>
      <w:r w:rsidR="002430BF" w:rsidRPr="00EF0E74">
        <w:rPr>
          <w:rStyle w:val="Heading3Char"/>
          <w:rFonts w:cs="Times New Roman"/>
        </w:rPr>
        <w:t>General p</w:t>
      </w:r>
      <w:r w:rsidR="00AB2D83" w:rsidRPr="00EF0E74">
        <w:rPr>
          <w:rStyle w:val="Heading3Char"/>
          <w:rFonts w:cs="Times New Roman"/>
        </w:rPr>
        <w:t xml:space="preserve">hysical </w:t>
      </w:r>
      <w:r w:rsidR="002430BF" w:rsidRPr="00EF0E74">
        <w:rPr>
          <w:rStyle w:val="Heading3Char"/>
          <w:rFonts w:cs="Times New Roman"/>
        </w:rPr>
        <w:t>h</w:t>
      </w:r>
      <w:r w:rsidR="008D17D6" w:rsidRPr="00EF0E74">
        <w:rPr>
          <w:rStyle w:val="Heading3Char"/>
          <w:rFonts w:cs="Times New Roman"/>
        </w:rPr>
        <w:t>ealth</w:t>
      </w:r>
      <w:bookmarkEnd w:id="15"/>
      <w:r w:rsidR="008246E3" w:rsidRPr="00EF0E74">
        <w:rPr>
          <w:b/>
        </w:rPr>
        <w:t xml:space="preserve">.  </w:t>
      </w:r>
      <w:r w:rsidR="008D17D6" w:rsidRPr="00EF0E74">
        <w:t xml:space="preserve">The </w:t>
      </w:r>
      <w:r w:rsidR="004A3E07" w:rsidRPr="00EF0E74">
        <w:t>Short Form Health Survey</w:t>
      </w:r>
      <w:r w:rsidR="00944E2B" w:rsidRPr="00EF0E74">
        <w:t>(SF-36; Ware &amp;</w:t>
      </w:r>
      <w:r w:rsidR="00C72C57" w:rsidRPr="00EF0E74">
        <w:t xml:space="preserve"> </w:t>
      </w:r>
      <w:r w:rsidR="00944E2B" w:rsidRPr="00EF0E74">
        <w:t>Sherbourne, 1992)</w:t>
      </w:r>
      <w:r w:rsidR="008D17D6" w:rsidRPr="00EF0E74">
        <w:t xml:space="preserve"> measures is a</w:t>
      </w:r>
      <w:r w:rsidR="00944E2B" w:rsidRPr="00EF0E74">
        <w:t xml:space="preserve"> 36-item instrument used to assess health-related quality of life in eight domains: physical functioning, role limitations because of physical health problems, bodily pain, social functioning, general mental health, role limitations because of emotional problems, vitality, and general health perceptions</w:t>
      </w:r>
      <w:r w:rsidR="008246E3" w:rsidRPr="00EF0E74">
        <w:t>.</w:t>
      </w:r>
      <w:r w:rsidR="002430BF" w:rsidRPr="00EF0E74">
        <w:t xml:space="preserve"> Only those subscales pertaining to physical health were used for this study (physical functioning, role limitations due to physical health problems, bodily pain, and general health perceptions)</w:t>
      </w:r>
      <w:r w:rsidR="008246E3" w:rsidRPr="00EF0E74">
        <w:t xml:space="preserve">  </w:t>
      </w:r>
      <w:r w:rsidR="00944E2B" w:rsidRPr="00EF0E74">
        <w:t>E</w:t>
      </w:r>
      <w:r w:rsidR="00CE4821" w:rsidRPr="00EF0E74">
        <w:t>xamples of items include, “Dur</w:t>
      </w:r>
      <w:r w:rsidR="00944E2B" w:rsidRPr="00EF0E74">
        <w:t>ing a typical day, does your health now limit you in vigorous activities, such as running, lifting heavy objects, participating in strenuous sports,” and, “During a typical day, does your health now limit you in bending, kneeling, or stooping?” Overall scores are transformed into a scale ranging from 0 (</w:t>
      </w:r>
      <w:r w:rsidR="00E45A49" w:rsidRPr="00EF0E74">
        <w:rPr>
          <w:i/>
        </w:rPr>
        <w:t>least favorable health state</w:t>
      </w:r>
      <w:r w:rsidR="00944E2B" w:rsidRPr="00EF0E74">
        <w:t>) to 100 (</w:t>
      </w:r>
      <w:r w:rsidR="00E45A49" w:rsidRPr="00EF0E74">
        <w:rPr>
          <w:i/>
        </w:rPr>
        <w:t>most favorable health state</w:t>
      </w:r>
      <w:r w:rsidR="00944E2B" w:rsidRPr="00EF0E74">
        <w:t>)</w:t>
      </w:r>
      <w:r w:rsidR="008246E3" w:rsidRPr="00EF0E74">
        <w:t xml:space="preserve">.  </w:t>
      </w:r>
      <w:r w:rsidR="00944E2B" w:rsidRPr="00EF0E74">
        <w:t>Internal consistency and test-</w:t>
      </w:r>
      <w:r w:rsidR="00CE4821" w:rsidRPr="00EF0E74">
        <w:t>retest reliabil</w:t>
      </w:r>
      <w:r w:rsidR="00944E2B" w:rsidRPr="00EF0E74">
        <w:t>ity have been cited in the adequate range (Mendlowicz</w:t>
      </w:r>
      <w:r w:rsidR="0094009F" w:rsidRPr="00EF0E74">
        <w:t xml:space="preserve"> </w:t>
      </w:r>
      <w:r w:rsidR="00944E2B" w:rsidRPr="00EF0E74">
        <w:t>&amp; Stein, 2000).</w:t>
      </w:r>
      <w:r w:rsidR="00AE1620" w:rsidRPr="00EF0E74">
        <w:t xml:space="preserve"> The alpha's for the physical health subscales </w:t>
      </w:r>
      <w:r w:rsidR="00593241" w:rsidRPr="00EF0E74">
        <w:t>fell within the acceptable range,</w:t>
      </w:r>
      <w:r w:rsidR="00AE1620" w:rsidRPr="00EF0E74">
        <w:t xml:space="preserve"> from </w:t>
      </w:r>
      <w:r w:rsidR="002430BF" w:rsidRPr="00EF0E74">
        <w:t xml:space="preserve">α = </w:t>
      </w:r>
      <w:r w:rsidR="00AE1620" w:rsidRPr="00EF0E74">
        <w:t>.80 (general health perceptions) to</w:t>
      </w:r>
      <w:r w:rsidR="00593241" w:rsidRPr="00EF0E74">
        <w:t xml:space="preserve"> </w:t>
      </w:r>
      <w:r w:rsidR="002430BF" w:rsidRPr="00EF0E74">
        <w:t xml:space="preserve">α = </w:t>
      </w:r>
      <w:r w:rsidR="00593241" w:rsidRPr="00EF0E74">
        <w:t>.90 (role limitations due to physical health problems)</w:t>
      </w:r>
      <w:r w:rsidR="002430BF" w:rsidRPr="00EF0E74">
        <w:t xml:space="preserve"> for this study.</w:t>
      </w:r>
    </w:p>
    <w:p w:rsidR="00AA4751" w:rsidRPr="00EF0E74" w:rsidRDefault="009E0446" w:rsidP="00AB2D83">
      <w:pPr>
        <w:pStyle w:val="Heading2"/>
        <w:rPr>
          <w:rFonts w:cs="Times New Roman"/>
        </w:rPr>
      </w:pPr>
      <w:bookmarkStart w:id="16" w:name="_Toc425928353"/>
      <w:r w:rsidRPr="00EF0E74">
        <w:rPr>
          <w:rFonts w:cs="Times New Roman"/>
        </w:rPr>
        <w:t>Procedure</w:t>
      </w:r>
      <w:bookmarkEnd w:id="16"/>
    </w:p>
    <w:p w:rsidR="00925A55" w:rsidRPr="00EF0E74" w:rsidRDefault="009E0446" w:rsidP="00925A55">
      <w:pPr>
        <w:spacing w:after="0" w:line="480" w:lineRule="auto"/>
        <w:contextualSpacing/>
      </w:pPr>
      <w:r w:rsidRPr="00EF0E74">
        <w:tab/>
      </w:r>
      <w:r w:rsidR="00925A55" w:rsidRPr="00EF0E74">
        <w:t>Two forms of web-based sampl</w:t>
      </w:r>
      <w:r w:rsidR="002B7601" w:rsidRPr="00EF0E74">
        <w:t>ing were</w:t>
      </w:r>
      <w:r w:rsidR="00925A55" w:rsidRPr="00EF0E74">
        <w:t xml:space="preserve"> used to recruit participants for the current study.  First, emails describing the research and containing an invitation to participate and a link to t</w:t>
      </w:r>
      <w:r w:rsidR="002B7601" w:rsidRPr="00EF0E74">
        <w:t>he Internet-based survey were</w:t>
      </w:r>
      <w:r w:rsidR="00925A55" w:rsidRPr="00EF0E74">
        <w:t xml:space="preserve"> sent to professional organizations with an LGBT-interest (e.g., Division 44 of the American Psychological Association: The Society for the Psychological Study of Lesbian, Gay, B</w:t>
      </w:r>
      <w:r w:rsidR="002B7601" w:rsidRPr="00EF0E74">
        <w:t>isexual, and Transgender Issues</w:t>
      </w:r>
      <w:r w:rsidR="00925A55" w:rsidRPr="00EF0E74">
        <w:t xml:space="preserve">) and other online groups with a focus on bisexual and sexual minority issues (e.g., Reddit boards, Yahoo groups).  </w:t>
      </w:r>
      <w:r w:rsidR="002B7601" w:rsidRPr="00EF0E74">
        <w:t xml:space="preserve">Listserv managers or </w:t>
      </w:r>
      <w:r w:rsidR="002B7601" w:rsidRPr="00EF0E74">
        <w:lastRenderedPageBreak/>
        <w:t>l</w:t>
      </w:r>
      <w:r w:rsidR="00925A55" w:rsidRPr="00EF0E74">
        <w:t xml:space="preserve">eaders of the </w:t>
      </w:r>
      <w:r w:rsidR="002B7601" w:rsidRPr="00EF0E74">
        <w:t xml:space="preserve">groups </w:t>
      </w:r>
      <w:r w:rsidR="00925A55" w:rsidRPr="00EF0E74">
        <w:t>were asked to share the invitation to participate and the link to the survey with members of their organization via their electronic mailing list.  In addition, ads were posted on popular social media websites (e.g., www.facebook.com), inviting bisexual individuals age 18 and over to participate in a “Study on Stressful Events and Health” focusing on bisexual individuals' well-being.  Three separate ads were placed, one each targeting individuals who indicated</w:t>
      </w:r>
      <w:r w:rsidR="002B7601" w:rsidRPr="00EF0E74">
        <w:t xml:space="preserve"> on their profiles that they were</w:t>
      </w:r>
      <w:r w:rsidR="00925A55" w:rsidRPr="00EF0E74">
        <w:t xml:space="preserve"> women “interested in women” and "i</w:t>
      </w:r>
      <w:r w:rsidR="002B7601" w:rsidRPr="00EF0E74">
        <w:t>nterested in men," that they were</w:t>
      </w:r>
      <w:r w:rsidR="00925A55" w:rsidRPr="00EF0E74">
        <w:t xml:space="preserve"> men “interested in men” and "interested in women," or that they “like” </w:t>
      </w:r>
      <w:r w:rsidR="002B7601" w:rsidRPr="00EF0E74">
        <w:t>"</w:t>
      </w:r>
      <w:r w:rsidR="00925A55" w:rsidRPr="00EF0E74">
        <w:t>#LGBT.</w:t>
      </w:r>
      <w:r w:rsidR="002B7601" w:rsidRPr="00EF0E74">
        <w:t>"</w:t>
      </w:r>
      <w:r w:rsidR="00925A55" w:rsidRPr="00EF0E74">
        <w:t xml:space="preserve"> Interested participants recruited through the email announcements were provided with a link to a website with the online informed consent statement, followed by the survey.  Participants recruited through the ad on Facebook </w:t>
      </w:r>
      <w:r w:rsidR="002430BF" w:rsidRPr="00EF0E74">
        <w:t>clicked  the</w:t>
      </w:r>
      <w:r w:rsidR="00925A55" w:rsidRPr="00EF0E74">
        <w:t xml:space="preserve"> embedded hyperlink</w:t>
      </w:r>
      <w:r w:rsidR="002430BF" w:rsidRPr="00EF0E74">
        <w:t xml:space="preserve"> within the ad</w:t>
      </w:r>
      <w:r w:rsidR="00925A55" w:rsidRPr="00EF0E74">
        <w:t>, which took take them directly to the study. An item asking about sexual orientation in the demographi</w:t>
      </w:r>
      <w:r w:rsidR="002430BF" w:rsidRPr="00EF0E74">
        <w:t xml:space="preserve">c portion of the survey was </w:t>
      </w:r>
      <w:r w:rsidR="00925A55" w:rsidRPr="00EF0E74">
        <w:t xml:space="preserve">used to increase the likelihood </w:t>
      </w:r>
      <w:r w:rsidR="002430BF" w:rsidRPr="00EF0E74">
        <w:t>that only bisexual individuals</w:t>
      </w:r>
      <w:r w:rsidR="00925A55" w:rsidRPr="00EF0E74">
        <w:t xml:space="preserve"> complete</w:t>
      </w:r>
      <w:r w:rsidR="002430BF" w:rsidRPr="00EF0E74">
        <w:t>d</w:t>
      </w:r>
      <w:r w:rsidR="008468CE" w:rsidRPr="00EF0E74">
        <w:t xml:space="preserve"> the survey. The question </w:t>
      </w:r>
      <w:r w:rsidR="00925A55" w:rsidRPr="00EF0E74">
        <w:t>ask</w:t>
      </w:r>
      <w:r w:rsidR="002430BF" w:rsidRPr="00EF0E74">
        <w:t>ed</w:t>
      </w:r>
      <w:r w:rsidR="00925A55" w:rsidRPr="00EF0E74">
        <w:t xml:space="preserve"> participants to indicate which of six terms best describe their sexual orientation and gender identity: </w:t>
      </w:r>
      <w:r w:rsidR="00925A55" w:rsidRPr="00EF0E74">
        <w:rPr>
          <w:i/>
          <w:iCs/>
        </w:rPr>
        <w:t>bisexual woman</w:t>
      </w:r>
      <w:r w:rsidR="00925A55" w:rsidRPr="00EF0E74">
        <w:t xml:space="preserve">, </w:t>
      </w:r>
      <w:r w:rsidR="00925A55" w:rsidRPr="00EF0E74">
        <w:rPr>
          <w:i/>
          <w:iCs/>
        </w:rPr>
        <w:t>bisexual man</w:t>
      </w:r>
      <w:r w:rsidR="00925A55" w:rsidRPr="00EF0E74">
        <w:t xml:space="preserve">, </w:t>
      </w:r>
      <w:r w:rsidR="00925A55" w:rsidRPr="00EF0E74">
        <w:rPr>
          <w:i/>
          <w:iCs/>
        </w:rPr>
        <w:t>lesbian woman</w:t>
      </w:r>
      <w:r w:rsidR="00925A55" w:rsidRPr="00EF0E74">
        <w:t xml:space="preserve">, </w:t>
      </w:r>
      <w:r w:rsidR="00925A55" w:rsidRPr="00EF0E74">
        <w:rPr>
          <w:i/>
          <w:iCs/>
        </w:rPr>
        <w:t>gay man, heterosexual woman</w:t>
      </w:r>
      <w:r w:rsidR="00925A55" w:rsidRPr="00EF0E74">
        <w:t xml:space="preserve">, or </w:t>
      </w:r>
      <w:r w:rsidR="00925A55" w:rsidRPr="00EF0E74">
        <w:rPr>
          <w:i/>
          <w:iCs/>
        </w:rPr>
        <w:t xml:space="preserve">heterosexual man.   </w:t>
      </w:r>
      <w:r w:rsidR="00925A55" w:rsidRPr="00EF0E74">
        <w:t>Individuals who indicate</w:t>
      </w:r>
      <w:r w:rsidR="002430BF" w:rsidRPr="00EF0E74">
        <w:t>d that their identity sexual orientation was</w:t>
      </w:r>
      <w:r w:rsidR="00925A55" w:rsidRPr="00EF0E74">
        <w:t xml:space="preserve"> anything other than </w:t>
      </w:r>
      <w:r w:rsidR="00925A55" w:rsidRPr="00EF0E74">
        <w:rPr>
          <w:i/>
        </w:rPr>
        <w:t>bisexual</w:t>
      </w:r>
      <w:r w:rsidR="002430BF" w:rsidRPr="00EF0E74">
        <w:rPr>
          <w:i/>
        </w:rPr>
        <w:t xml:space="preserve"> </w:t>
      </w:r>
      <w:r w:rsidR="002430BF" w:rsidRPr="00EF0E74">
        <w:t>or similar sexual orientation that described an attraction to multiple genders (participants who indicated "other" were allowed to take the survey)</w:t>
      </w:r>
      <w:r w:rsidR="00925A55" w:rsidRPr="00EF0E74">
        <w:rPr>
          <w:i/>
        </w:rPr>
        <w:t xml:space="preserve"> </w:t>
      </w:r>
      <w:r w:rsidR="008468CE" w:rsidRPr="00EF0E74">
        <w:t>were</w:t>
      </w:r>
      <w:r w:rsidR="00925A55" w:rsidRPr="00EF0E74">
        <w:t xml:space="preserve"> thanked for their interest in survey, informed that it is intended for bisexual men and women only, and directed out of the survey.</w:t>
      </w:r>
      <w:r w:rsidR="002B7601" w:rsidRPr="00EF0E74">
        <w:t xml:space="preserve"> </w:t>
      </w:r>
      <w:r w:rsidR="00925A55" w:rsidRPr="00EF0E74">
        <w:t>Participants had a chance to enter a raffle for a gift card</w:t>
      </w:r>
      <w:r w:rsidR="002B7601" w:rsidRPr="00EF0E74">
        <w:t xml:space="preserve"> to a popular retailer in the amount of </w:t>
      </w:r>
      <w:r w:rsidR="00925A55" w:rsidRPr="00EF0E74">
        <w:t>$25.00</w:t>
      </w:r>
    </w:p>
    <w:p w:rsidR="00AB2D83" w:rsidRPr="00EF0E74" w:rsidRDefault="00AB2D83" w:rsidP="00893DB5">
      <w:pPr>
        <w:pStyle w:val="Heading2"/>
        <w:rPr>
          <w:rFonts w:cs="Times New Roman"/>
        </w:rPr>
      </w:pPr>
    </w:p>
    <w:p w:rsidR="00AB2D83" w:rsidRPr="00EF0E74" w:rsidRDefault="00AB2D83" w:rsidP="0025033C">
      <w:pPr>
        <w:spacing w:line="480" w:lineRule="auto"/>
        <w:ind w:firstLine="360"/>
        <w:contextualSpacing/>
        <w:jc w:val="center"/>
        <w:rPr>
          <w:b/>
        </w:rPr>
      </w:pPr>
    </w:p>
    <w:p w:rsidR="00893DB5" w:rsidRPr="00EF0E74" w:rsidRDefault="00893DB5">
      <w:pPr>
        <w:rPr>
          <w:rFonts w:eastAsiaTheme="majorEastAsia"/>
          <w:b/>
          <w:bCs/>
        </w:rPr>
      </w:pPr>
      <w:r w:rsidRPr="00EF0E74">
        <w:br w:type="page"/>
      </w:r>
    </w:p>
    <w:p w:rsidR="0025033C" w:rsidRPr="00EF0E74" w:rsidRDefault="00AB2D83" w:rsidP="00AB2D83">
      <w:pPr>
        <w:pStyle w:val="Heading1"/>
        <w:jc w:val="center"/>
        <w:rPr>
          <w:rFonts w:cs="Times New Roman"/>
          <w:szCs w:val="24"/>
        </w:rPr>
      </w:pPr>
      <w:bookmarkStart w:id="17" w:name="_Toc425928354"/>
      <w:r w:rsidRPr="00EF0E74">
        <w:rPr>
          <w:rFonts w:cs="Times New Roman"/>
          <w:szCs w:val="24"/>
        </w:rPr>
        <w:lastRenderedPageBreak/>
        <w:t xml:space="preserve">Chapter 3: </w:t>
      </w:r>
      <w:r w:rsidR="0025033C" w:rsidRPr="00EF0E74">
        <w:rPr>
          <w:rFonts w:cs="Times New Roman"/>
          <w:szCs w:val="24"/>
        </w:rPr>
        <w:t>Results</w:t>
      </w:r>
      <w:bookmarkEnd w:id="17"/>
    </w:p>
    <w:p w:rsidR="00893DB5" w:rsidRPr="00EF0E74" w:rsidRDefault="00893DB5" w:rsidP="00893DB5">
      <w:pPr>
        <w:spacing w:line="480" w:lineRule="auto"/>
        <w:ind w:firstLine="360"/>
        <w:contextualSpacing/>
      </w:pPr>
    </w:p>
    <w:p w:rsidR="00893DB5" w:rsidRPr="00EF0E74" w:rsidRDefault="00893DB5" w:rsidP="00893DB5">
      <w:pPr>
        <w:spacing w:line="480" w:lineRule="auto"/>
        <w:ind w:firstLine="360"/>
        <w:contextualSpacing/>
      </w:pPr>
      <w:r w:rsidRPr="00EF0E74">
        <w:t xml:space="preserve">Descriptive statistics for observed variables and correlations among primary study variables (observed and latent) as well as primary analyses were estimated using Mplus 7.2, which uses FIML to impute missing values.  Model fit for the confirmatory factor analysis and structural equation model was evaluated using the following criteria, CFI &gt; .90, RMSEA &lt; .08, and SRMR &lt; </w:t>
      </w:r>
      <w:r w:rsidR="00353636" w:rsidRPr="00EF0E74">
        <w:t>.08 (Bentler, 1990;</w:t>
      </w:r>
      <w:r w:rsidRPr="00EF0E74">
        <w:t xml:space="preserve"> Hu &amp; Bentler, 1999; Little &amp; Card, 2013).</w:t>
      </w:r>
    </w:p>
    <w:p w:rsidR="00AB2D83" w:rsidRPr="00EF0E74" w:rsidRDefault="00893DB5" w:rsidP="00893DB5">
      <w:pPr>
        <w:spacing w:line="480" w:lineRule="auto"/>
        <w:ind w:firstLine="360"/>
        <w:contextualSpacing/>
      </w:pPr>
      <w:r w:rsidRPr="00EF0E74">
        <w:t>Latent variables were created for anti-bisexual prejudice, internalized biphobia, trauma symptoms, perceptions of general health, and depression. For anti-bisexual prejudice, trauma symptoms, and perceptions</w:t>
      </w:r>
      <w:r w:rsidR="002430BF" w:rsidRPr="00EF0E74">
        <w:t xml:space="preserve"> of general health, the measure</w:t>
      </w:r>
      <w:r w:rsidRPr="00EF0E74">
        <w:t>s</w:t>
      </w:r>
      <w:r w:rsidR="002430BF" w:rsidRPr="00EF0E74">
        <w:t>'</w:t>
      </w:r>
      <w:r w:rsidRPr="00EF0E74">
        <w:t xml:space="preserve"> subscales served as the observed variables constructing the latent variables. For depression, three parcels were created using the serpentine method, collapsing high and low reliability items into each of the three parcels. For internalized biphobia, each item was loaded onto a single factor for the CFA. Age, education, and exposure to traumatic events were entered as covariates and as observed variables for the structural modeling portion of the analysis (traumatic events was only loaded onto traumatic symptoms). We first conducted a confirmatory factor analysis (CFA) to examine the measurement properties of the proposed model. We used the factor identification method and set the scale of each latent variance to 1 (Little, Slegers, &amp; Card, 2006) to obtain standardized estimates. The CFA contained the full set of study variables, including covariates (i.e.</w:t>
      </w:r>
      <w:r w:rsidR="002430BF" w:rsidRPr="00EF0E74">
        <w:t>,</w:t>
      </w:r>
      <w:r w:rsidRPr="00EF0E74">
        <w:t xml:space="preserve"> age and education) revealed poor model fit (CFI = .89, TFI = .86 RMSEA = .094, CI = 0.088 - .100). Modification indices showed that having the subscale </w:t>
      </w:r>
      <w:r w:rsidRPr="00EF0E74">
        <w:rPr>
          <w:i/>
        </w:rPr>
        <w:t xml:space="preserve">general health </w:t>
      </w:r>
      <w:r w:rsidRPr="00EF0E74">
        <w:t>load onto the depression latent variable would improve model fit by Δχ</w:t>
      </w:r>
      <w:r w:rsidRPr="00EF0E74">
        <w:rPr>
          <w:vertAlign w:val="superscript"/>
        </w:rPr>
        <w:t>2</w:t>
      </w:r>
      <w:r w:rsidRPr="00EF0E74">
        <w:t>=119.73, and correlating the error variances between items 1 and 5 and items 2 and 4 on the internalized biphobia scale would improve model fit by Δχ</w:t>
      </w:r>
      <w:r w:rsidRPr="00EF0E74">
        <w:rPr>
          <w:vertAlign w:val="superscript"/>
        </w:rPr>
        <w:t>2</w:t>
      </w:r>
      <w:r w:rsidRPr="00EF0E74">
        <w:t>= 140.70 and Δχ</w:t>
      </w:r>
      <w:r w:rsidRPr="00EF0E74">
        <w:rPr>
          <w:vertAlign w:val="superscript"/>
        </w:rPr>
        <w:t>2</w:t>
      </w:r>
      <w:r w:rsidRPr="00EF0E74">
        <w:t xml:space="preserve">= 217.96, respectively. Rerunning the CFA with these changes </w:t>
      </w:r>
      <w:r w:rsidR="002430BF" w:rsidRPr="00EF0E74">
        <w:lastRenderedPageBreak/>
        <w:t>yielded</w:t>
      </w:r>
      <w:r w:rsidRPr="00EF0E74">
        <w:t xml:space="preserve"> good model fit (CFI = .95, TFI = .94, RMSEA = .061, CI = .055 - .068). Correlations among study variables were estimated in the CFA model. Next, in the context of a single model, we examined between all variables </w:t>
      </w:r>
      <w:r w:rsidR="002430BF" w:rsidRPr="00EF0E74">
        <w:t xml:space="preserve">in the hypothesized model (see Figure </w:t>
      </w:r>
      <w:r w:rsidRPr="00EF0E74">
        <w:t>1</w:t>
      </w:r>
      <w:r w:rsidR="002430BF" w:rsidRPr="00EF0E74">
        <w:t>)</w:t>
      </w:r>
      <w:r w:rsidRPr="00EF0E74">
        <w:t>.</w:t>
      </w:r>
    </w:p>
    <w:p w:rsidR="0090603B" w:rsidRPr="00EF0E74" w:rsidRDefault="0025033C" w:rsidP="00AB2D83">
      <w:pPr>
        <w:spacing w:line="480" w:lineRule="auto"/>
        <w:ind w:firstLine="720"/>
      </w:pPr>
      <w:r w:rsidRPr="00EF0E74">
        <w:t xml:space="preserve">Table 1 presents mean scores, standard deviations, ranges, skewness, and kurtosis for observed predictor and outcome variables. Correlations among primary study variables are presented in Table 2. Notably, scores on all three subscales of the </w:t>
      </w:r>
      <w:r w:rsidR="002430BF" w:rsidRPr="00EF0E74">
        <w:t xml:space="preserve">ABES </w:t>
      </w:r>
      <w:r w:rsidRPr="00EF0E74">
        <w:t xml:space="preserve">were positively correlated with all three subscales on the </w:t>
      </w:r>
      <w:r w:rsidR="002430BF" w:rsidRPr="00EF0E74">
        <w:t xml:space="preserve">PCL-C </w:t>
      </w:r>
      <w:r w:rsidRPr="00EF0E74">
        <w:t xml:space="preserve">(range </w:t>
      </w:r>
      <w:r w:rsidRPr="00EF0E74">
        <w:rPr>
          <w:i/>
        </w:rPr>
        <w:t xml:space="preserve">r </w:t>
      </w:r>
      <w:r w:rsidRPr="00EF0E74">
        <w:t xml:space="preserve">= </w:t>
      </w:r>
      <w:r w:rsidR="002430BF" w:rsidRPr="00EF0E74">
        <w:t>.</w:t>
      </w:r>
      <w:r w:rsidRPr="00EF0E74">
        <w:t xml:space="preserve">25 to </w:t>
      </w:r>
      <w:r w:rsidRPr="00EF0E74">
        <w:rPr>
          <w:i/>
        </w:rPr>
        <w:t xml:space="preserve">r </w:t>
      </w:r>
      <w:r w:rsidRPr="00EF0E74">
        <w:t xml:space="preserve">=.33, </w:t>
      </w:r>
      <w:r w:rsidRPr="00EF0E74">
        <w:rPr>
          <w:i/>
        </w:rPr>
        <w:t xml:space="preserve">p </w:t>
      </w:r>
      <w:r w:rsidR="002430BF" w:rsidRPr="00EF0E74">
        <w:t xml:space="preserve">&lt; .01). Scores on the LGBIS </w:t>
      </w:r>
      <w:r w:rsidRPr="00EF0E74">
        <w:t>correlated positive with two subscales on the ABES, sexual orientation instability and interpersonal hostility (</w:t>
      </w:r>
      <w:r w:rsidRPr="00EF0E74">
        <w:rPr>
          <w:i/>
        </w:rPr>
        <w:t xml:space="preserve"> r =.</w:t>
      </w:r>
      <w:r w:rsidRPr="00EF0E74">
        <w:t xml:space="preserve">11 and </w:t>
      </w:r>
      <w:r w:rsidRPr="00EF0E74">
        <w:rPr>
          <w:i/>
        </w:rPr>
        <w:t xml:space="preserve">r </w:t>
      </w:r>
      <w:r w:rsidRPr="00EF0E74">
        <w:t>= .10,</w:t>
      </w:r>
      <w:r w:rsidRPr="00EF0E74">
        <w:rPr>
          <w:i/>
        </w:rPr>
        <w:t xml:space="preserve"> p </w:t>
      </w:r>
      <w:r w:rsidRPr="00EF0E74">
        <w:t>&lt; .05), and with depression scores (</w:t>
      </w:r>
      <w:r w:rsidRPr="00EF0E74">
        <w:rPr>
          <w:i/>
        </w:rPr>
        <w:t xml:space="preserve">r </w:t>
      </w:r>
      <w:r w:rsidRPr="00EF0E74">
        <w:t xml:space="preserve">= .21, </w:t>
      </w:r>
      <w:r w:rsidRPr="00EF0E74">
        <w:rPr>
          <w:i/>
        </w:rPr>
        <w:t xml:space="preserve">p </w:t>
      </w:r>
      <w:r w:rsidRPr="00EF0E74">
        <w:t xml:space="preserve">&lt; .01). Lastly, scores on </w:t>
      </w:r>
      <w:r w:rsidR="002430BF" w:rsidRPr="00EF0E74">
        <w:t xml:space="preserve">the PCL-C </w:t>
      </w:r>
      <w:r w:rsidRPr="00EF0E74">
        <w:t xml:space="preserve">and </w:t>
      </w:r>
      <w:r w:rsidR="002430BF" w:rsidRPr="00EF0E74">
        <w:t xml:space="preserve">CES-D </w:t>
      </w:r>
      <w:r w:rsidRPr="00EF0E74">
        <w:t xml:space="preserve">significantly correlated with the physical health outcome measure, with the absolute value of correlations ranging from </w:t>
      </w:r>
      <w:r w:rsidRPr="00EF0E74">
        <w:rPr>
          <w:i/>
        </w:rPr>
        <w:t xml:space="preserve">r </w:t>
      </w:r>
      <w:r w:rsidRPr="00EF0E74">
        <w:t xml:space="preserve">= .15 to </w:t>
      </w:r>
      <w:r w:rsidRPr="00EF0E74">
        <w:rPr>
          <w:i/>
        </w:rPr>
        <w:t xml:space="preserve">r = </w:t>
      </w:r>
      <w:r w:rsidRPr="00EF0E74">
        <w:t>.59. All correlations were significant in the expected direction.</w:t>
      </w:r>
    </w:p>
    <w:p w:rsidR="0025033C" w:rsidRPr="00EF0E74" w:rsidRDefault="0025033C" w:rsidP="00AB2D83">
      <w:pPr>
        <w:pStyle w:val="Heading2"/>
        <w:rPr>
          <w:rFonts w:cs="Times New Roman"/>
        </w:rPr>
      </w:pPr>
      <w:bookmarkStart w:id="18" w:name="_Toc425928355"/>
      <w:r w:rsidRPr="00EF0E74">
        <w:rPr>
          <w:rFonts w:cs="Times New Roman"/>
        </w:rPr>
        <w:t>Primary Analyses</w:t>
      </w:r>
      <w:bookmarkEnd w:id="18"/>
    </w:p>
    <w:p w:rsidR="0025033C" w:rsidRPr="00EF0E74" w:rsidRDefault="0025033C" w:rsidP="0025033C">
      <w:pPr>
        <w:spacing w:line="480" w:lineRule="auto"/>
        <w:ind w:firstLine="720"/>
        <w:contextualSpacing/>
        <w:rPr>
          <w:b/>
        </w:rPr>
      </w:pPr>
      <w:r w:rsidRPr="00EF0E74">
        <w:t xml:space="preserve">Results from the structural equation model </w:t>
      </w:r>
      <w:r w:rsidR="002430BF" w:rsidRPr="00EF0E74">
        <w:t xml:space="preserve">were tested for the model hypothesized in Figure 1. </w:t>
      </w:r>
      <w:r w:rsidRPr="00EF0E74">
        <w:t>Overall, the model fit met standards for good model fit (CFI = .94, TFI = .93, RMSEA = .066, CI = .059 - .072). Anti-bisexual experiences emerged as a significant predictor of trauma symptoms and internalized biphobia (</w:t>
      </w:r>
      <w:r w:rsidRPr="00EF0E74">
        <w:rPr>
          <w:i/>
        </w:rPr>
        <w:t>β</w:t>
      </w:r>
      <w:r w:rsidRPr="00EF0E74">
        <w:t xml:space="preserve"> = .33, </w:t>
      </w:r>
      <w:r w:rsidRPr="00EF0E74">
        <w:rPr>
          <w:i/>
        </w:rPr>
        <w:t xml:space="preserve">p </w:t>
      </w:r>
      <w:r w:rsidRPr="00EF0E74">
        <w:t xml:space="preserve">&lt; .001; </w:t>
      </w:r>
      <w:r w:rsidRPr="00EF0E74">
        <w:rPr>
          <w:i/>
        </w:rPr>
        <w:t>β</w:t>
      </w:r>
      <w:r w:rsidRPr="00EF0E74">
        <w:t xml:space="preserve"> =.16, </w:t>
      </w:r>
      <w:r w:rsidRPr="00EF0E74">
        <w:rPr>
          <w:i/>
        </w:rPr>
        <w:t xml:space="preserve">p </w:t>
      </w:r>
      <w:r w:rsidRPr="00EF0E74">
        <w:t>&lt; .01</w:t>
      </w:r>
      <w:r w:rsidR="002430BF" w:rsidRPr="00EF0E74">
        <w:t>, respectively</w:t>
      </w:r>
      <w:r w:rsidRPr="00EF0E74">
        <w:t>) , but was not a significant predictor of depressive symptoms or perceptions of health (</w:t>
      </w:r>
      <w:r w:rsidRPr="00EF0E74">
        <w:rPr>
          <w:i/>
        </w:rPr>
        <w:t>β</w:t>
      </w:r>
      <w:r w:rsidRPr="00EF0E74">
        <w:t xml:space="preserve"> = .04, </w:t>
      </w:r>
      <w:r w:rsidRPr="00EF0E74">
        <w:rPr>
          <w:i/>
        </w:rPr>
        <w:t xml:space="preserve">p </w:t>
      </w:r>
      <w:r w:rsidRPr="00EF0E74">
        <w:t xml:space="preserve">= .18; </w:t>
      </w:r>
      <w:r w:rsidRPr="00EF0E74">
        <w:rPr>
          <w:i/>
        </w:rPr>
        <w:t>β</w:t>
      </w:r>
      <w:r w:rsidRPr="00EF0E74">
        <w:t xml:space="preserve"> = -.04, </w:t>
      </w:r>
      <w:r w:rsidRPr="00EF0E74">
        <w:rPr>
          <w:i/>
        </w:rPr>
        <w:t xml:space="preserve">p </w:t>
      </w:r>
      <w:r w:rsidRPr="00EF0E74">
        <w:t>= .50</w:t>
      </w:r>
      <w:r w:rsidR="0058330F" w:rsidRPr="00EF0E74">
        <w:t>, respectively</w:t>
      </w:r>
      <w:r w:rsidRPr="00EF0E74">
        <w:t xml:space="preserve">). Internalized biphobia was </w:t>
      </w:r>
      <w:r w:rsidR="00F95A86" w:rsidRPr="00EF0E74">
        <w:t>signif</w:t>
      </w:r>
      <w:r w:rsidR="00960851" w:rsidRPr="00EF0E74">
        <w:t>i</w:t>
      </w:r>
      <w:r w:rsidR="00F95A86" w:rsidRPr="00EF0E74">
        <w:t>cantly related to trauma symptoms (</w:t>
      </w:r>
      <w:r w:rsidR="00F95A86" w:rsidRPr="00EF0E74">
        <w:rPr>
          <w:i/>
        </w:rPr>
        <w:t>β</w:t>
      </w:r>
      <w:r w:rsidR="00F95A86" w:rsidRPr="00EF0E74">
        <w:t xml:space="preserve"> =  17, </w:t>
      </w:r>
      <w:r w:rsidR="00F95A86" w:rsidRPr="00EF0E74">
        <w:rPr>
          <w:i/>
        </w:rPr>
        <w:t xml:space="preserve">p </w:t>
      </w:r>
      <w:r w:rsidR="00F95A86" w:rsidRPr="00EF0E74">
        <w:t>&lt; .01), but</w:t>
      </w:r>
      <w:r w:rsidR="0058330F" w:rsidRPr="00EF0E74">
        <w:t xml:space="preserve"> </w:t>
      </w:r>
      <w:r w:rsidRPr="00EF0E74">
        <w:t xml:space="preserve">not significantly related to any </w:t>
      </w:r>
      <w:r w:rsidR="00F95A86" w:rsidRPr="00EF0E74">
        <w:t xml:space="preserve">to </w:t>
      </w:r>
      <w:r w:rsidRPr="00EF0E74">
        <w:t>depressive symptoms or reported physical health (</w:t>
      </w:r>
      <w:r w:rsidRPr="00EF0E74">
        <w:rPr>
          <w:i/>
        </w:rPr>
        <w:t>β</w:t>
      </w:r>
      <w:r w:rsidRPr="00EF0E74">
        <w:t xml:space="preserve"> = .04, </w:t>
      </w:r>
      <w:r w:rsidRPr="00EF0E74">
        <w:rPr>
          <w:i/>
        </w:rPr>
        <w:t xml:space="preserve">p </w:t>
      </w:r>
      <w:r w:rsidRPr="00EF0E74">
        <w:t xml:space="preserve">= .26; </w:t>
      </w:r>
      <w:r w:rsidRPr="00EF0E74">
        <w:rPr>
          <w:i/>
        </w:rPr>
        <w:t>β</w:t>
      </w:r>
      <w:r w:rsidRPr="00EF0E74">
        <w:t xml:space="preserve"> = .09, </w:t>
      </w:r>
      <w:r w:rsidRPr="00EF0E74">
        <w:rPr>
          <w:i/>
        </w:rPr>
        <w:t xml:space="preserve">p </w:t>
      </w:r>
      <w:r w:rsidRPr="00EF0E74">
        <w:t>= .12</w:t>
      </w:r>
      <w:r w:rsidR="0058330F" w:rsidRPr="00EF0E74">
        <w:t>, respectively</w:t>
      </w:r>
      <w:r w:rsidRPr="00EF0E74">
        <w:t>). Trauma symptoms were significantly to related to depressive symptoms and physical health (</w:t>
      </w:r>
      <w:r w:rsidRPr="00EF0E74">
        <w:rPr>
          <w:i/>
        </w:rPr>
        <w:t>β</w:t>
      </w:r>
      <w:r w:rsidRPr="00EF0E74">
        <w:t xml:space="preserve"> =.89, </w:t>
      </w:r>
      <w:r w:rsidRPr="00EF0E74">
        <w:rPr>
          <w:i/>
        </w:rPr>
        <w:t xml:space="preserve">p </w:t>
      </w:r>
      <w:r w:rsidRPr="00EF0E74">
        <w:t xml:space="preserve">&lt; .001; </w:t>
      </w:r>
      <w:r w:rsidRPr="00EF0E74">
        <w:rPr>
          <w:i/>
        </w:rPr>
        <w:t>β</w:t>
      </w:r>
      <w:r w:rsidRPr="00EF0E74">
        <w:t xml:space="preserve"> = -.31, </w:t>
      </w:r>
      <w:r w:rsidRPr="00EF0E74">
        <w:rPr>
          <w:i/>
        </w:rPr>
        <w:t xml:space="preserve">p </w:t>
      </w:r>
      <w:r w:rsidRPr="00EF0E74">
        <w:lastRenderedPageBreak/>
        <w:t>&lt; .05</w:t>
      </w:r>
      <w:r w:rsidR="0058330F" w:rsidRPr="00EF0E74">
        <w:t>, respectively</w:t>
      </w:r>
      <w:r w:rsidRPr="00EF0E74">
        <w:t>), and, lastly, depressive symptoms were not significantly related to physical health outcomes (</w:t>
      </w:r>
      <w:r w:rsidRPr="00EF0E74">
        <w:rPr>
          <w:i/>
        </w:rPr>
        <w:t>β</w:t>
      </w:r>
      <w:r w:rsidRPr="00EF0E74">
        <w:t xml:space="preserve"> = -.13, </w:t>
      </w:r>
      <w:r w:rsidRPr="00EF0E74">
        <w:rPr>
          <w:i/>
        </w:rPr>
        <w:t xml:space="preserve">p </w:t>
      </w:r>
      <w:r w:rsidRPr="00EF0E74">
        <w:t xml:space="preserve">=.30). </w:t>
      </w:r>
    </w:p>
    <w:p w:rsidR="0025033C" w:rsidRPr="00EF0E74" w:rsidRDefault="0025033C" w:rsidP="0025033C">
      <w:pPr>
        <w:spacing w:after="0" w:line="480" w:lineRule="auto"/>
        <w:contextualSpacing/>
      </w:pPr>
      <w:r w:rsidRPr="00EF0E74">
        <w:tab/>
        <w:t xml:space="preserve">Since the initial model revealed a mixture of significant and nonsignificant regression weights, the model was pruned to create a more parsimonious working model. The direct paths from anti-bisexual experiences and internalized biphobia to self-reported physical health were nonsignificant and the direct path from anti-bisexual experiences to depressive symptoms was nonsignificant as well; as such, they were pruned from the model. The other nonsignificant paths (e.g. internalized biphobia on depressive symptoms) were kept in the model for conceptual reasons discussed later in the discussion section. The indirect effects of anti-bisexual experiences </w:t>
      </w:r>
      <w:r w:rsidR="00F95A86" w:rsidRPr="00EF0E74">
        <w:t>and internalized bip</w:t>
      </w:r>
      <w:r w:rsidR="008468CE" w:rsidRPr="00EF0E74">
        <w:t>h</w:t>
      </w:r>
      <w:r w:rsidR="00F95A86" w:rsidRPr="00EF0E74">
        <w:t xml:space="preserve">obia </w:t>
      </w:r>
      <w:r w:rsidRPr="00EF0E74">
        <w:t>on physical health were also computed using the Sobel test. This sec</w:t>
      </w:r>
      <w:r w:rsidR="0058330F" w:rsidRPr="00EF0E74">
        <w:t>ond model, presented in Figure 2</w:t>
      </w:r>
      <w:r w:rsidRPr="00EF0E74">
        <w:t>, had good fit statistics overall (CFI = .94, TF</w:t>
      </w:r>
      <w:r w:rsidR="00F95A86" w:rsidRPr="00EF0E74">
        <w:t>I = .93, RMSEA = .065, CI = .058 - .071</w:t>
      </w:r>
      <w:r w:rsidRPr="00EF0E74">
        <w:t>), and all of the paths retained their respective significance or nonsignificance from the first model.</w:t>
      </w:r>
      <w:r w:rsidR="008549FA" w:rsidRPr="00EF0E74">
        <w:t xml:space="preserve"> In this final model, 20% of the variance was accou</w:t>
      </w:r>
      <w:r w:rsidR="008468CE" w:rsidRPr="00EF0E74">
        <w:t xml:space="preserve">nted for </w:t>
      </w:r>
      <w:r w:rsidR="00F95A86" w:rsidRPr="00EF0E74">
        <w:t>physical health, 30% for trauma symptoms, 3</w:t>
      </w:r>
      <w:r w:rsidR="008549FA" w:rsidRPr="00EF0E74">
        <w:t xml:space="preserve">% for internalized biphobia, and 77% for depressive symptoms. </w:t>
      </w:r>
      <w:r w:rsidRPr="00EF0E74">
        <w:t xml:space="preserve"> The Sobel test for indirect effects yielded an overall significant total indirect effect for anti-bisexual experiences on reported physical health and depression through trauma symptoms (</w:t>
      </w:r>
      <w:r w:rsidRPr="00EF0E74">
        <w:rPr>
          <w:i/>
        </w:rPr>
        <w:t xml:space="preserve">z </w:t>
      </w:r>
      <w:r w:rsidRPr="00EF0E74">
        <w:t xml:space="preserve">= -.14, </w:t>
      </w:r>
      <w:r w:rsidRPr="00EF0E74">
        <w:rPr>
          <w:i/>
        </w:rPr>
        <w:t xml:space="preserve">p </w:t>
      </w:r>
      <w:r w:rsidRPr="00EF0E74">
        <w:t xml:space="preserve">&lt; .001; </w:t>
      </w:r>
      <w:r w:rsidRPr="00EF0E74">
        <w:rPr>
          <w:i/>
        </w:rPr>
        <w:t xml:space="preserve">z </w:t>
      </w:r>
      <w:r w:rsidRPr="00EF0E74">
        <w:t xml:space="preserve">= .29, </w:t>
      </w:r>
      <w:r w:rsidRPr="00EF0E74">
        <w:rPr>
          <w:i/>
        </w:rPr>
        <w:t xml:space="preserve">p </w:t>
      </w:r>
      <w:r w:rsidRPr="00EF0E74">
        <w:t>&lt; .001). The specific significant pathway for physical health included the pathway from anti-bisexual experiences through trauma</w:t>
      </w:r>
      <w:r w:rsidR="008549FA" w:rsidRPr="00EF0E74">
        <w:t xml:space="preserve"> symptoms</w:t>
      </w:r>
      <w:r w:rsidRPr="00EF0E74">
        <w:t xml:space="preserve"> (</w:t>
      </w:r>
      <w:r w:rsidRPr="00EF0E74">
        <w:rPr>
          <w:i/>
        </w:rPr>
        <w:t xml:space="preserve">z </w:t>
      </w:r>
      <w:r w:rsidRPr="00EF0E74">
        <w:t xml:space="preserve">= -.11, </w:t>
      </w:r>
      <w:r w:rsidRPr="00EF0E74">
        <w:rPr>
          <w:i/>
        </w:rPr>
        <w:t xml:space="preserve">p </w:t>
      </w:r>
      <w:r w:rsidRPr="00EF0E74">
        <w:t xml:space="preserve">&lt; .05), and the specific significant pathway for depression was anti-bisexual experiences through trauma as well ( </w:t>
      </w:r>
      <w:r w:rsidRPr="00EF0E74">
        <w:rPr>
          <w:i/>
        </w:rPr>
        <w:t xml:space="preserve">z </w:t>
      </w:r>
      <w:r w:rsidRPr="00EF0E74">
        <w:t xml:space="preserve">=.29, </w:t>
      </w:r>
      <w:r w:rsidRPr="00EF0E74">
        <w:rPr>
          <w:i/>
        </w:rPr>
        <w:t xml:space="preserve">p </w:t>
      </w:r>
      <w:r w:rsidRPr="00EF0E74">
        <w:t>&lt; .001 ).</w:t>
      </w:r>
      <w:r w:rsidR="00F95A86" w:rsidRPr="00EF0E74">
        <w:t xml:space="preserve"> Internalized biphobia also had a significant effect on physical health through trauma symptoms (</w:t>
      </w:r>
      <w:r w:rsidR="00F95A86" w:rsidRPr="00EF0E74">
        <w:rPr>
          <w:i/>
        </w:rPr>
        <w:t xml:space="preserve">z </w:t>
      </w:r>
      <w:r w:rsidR="00F95A86" w:rsidRPr="00EF0E74">
        <w:t xml:space="preserve">= -.06, </w:t>
      </w:r>
      <w:r w:rsidR="00F95A86" w:rsidRPr="00EF0E74">
        <w:rPr>
          <w:i/>
        </w:rPr>
        <w:t xml:space="preserve">p </w:t>
      </w:r>
      <w:r w:rsidR="00F95A86" w:rsidRPr="00EF0E74">
        <w:t>&lt; .05).</w:t>
      </w:r>
      <w:r w:rsidRPr="00EF0E74">
        <w:t xml:space="preserve"> The indirect effects for anti-bisexual experiences on physical health were nonsignificant through trauma and depression (</w:t>
      </w:r>
      <w:r w:rsidRPr="00EF0E74">
        <w:rPr>
          <w:i/>
        </w:rPr>
        <w:t xml:space="preserve">z </w:t>
      </w:r>
      <w:r w:rsidRPr="00EF0E74">
        <w:t xml:space="preserve">= -.03, </w:t>
      </w:r>
      <w:r w:rsidRPr="00EF0E74">
        <w:rPr>
          <w:i/>
        </w:rPr>
        <w:t xml:space="preserve">p </w:t>
      </w:r>
      <w:r w:rsidR="00F95A86" w:rsidRPr="00EF0E74">
        <w:t>= .38) but</w:t>
      </w:r>
      <w:r w:rsidR="008468CE" w:rsidRPr="00EF0E74">
        <w:t xml:space="preserve"> significant when acting </w:t>
      </w:r>
      <w:r w:rsidRPr="00EF0E74">
        <w:t xml:space="preserve">through internalized biphobia and </w:t>
      </w:r>
      <w:r w:rsidRPr="00EF0E74">
        <w:lastRenderedPageBreak/>
        <w:t>depression</w:t>
      </w:r>
      <w:r w:rsidR="00F95A86" w:rsidRPr="00EF0E74">
        <w:t xml:space="preserve"> </w:t>
      </w:r>
      <w:r w:rsidRPr="00EF0E74">
        <w:t>(</w:t>
      </w:r>
      <w:r w:rsidRPr="00EF0E74">
        <w:rPr>
          <w:i/>
        </w:rPr>
        <w:t xml:space="preserve">z </w:t>
      </w:r>
      <w:r w:rsidR="00F95A86" w:rsidRPr="00EF0E74">
        <w:t>= .02</w:t>
      </w:r>
      <w:r w:rsidRPr="00EF0E74">
        <w:t xml:space="preserve">, </w:t>
      </w:r>
      <w:r w:rsidRPr="00EF0E74">
        <w:rPr>
          <w:i/>
        </w:rPr>
        <w:t xml:space="preserve">p </w:t>
      </w:r>
      <w:r w:rsidR="00F95A86" w:rsidRPr="00EF0E74">
        <w:t>&lt; .05</w:t>
      </w:r>
      <w:r w:rsidRPr="00EF0E74">
        <w:t>). Lastly, the specific indirect effect for anti-bisexual experience on depression was nonsignificant when mediated by internalized biphobia (</w:t>
      </w:r>
      <w:r w:rsidRPr="00EF0E74">
        <w:rPr>
          <w:i/>
        </w:rPr>
        <w:t xml:space="preserve">z </w:t>
      </w:r>
      <w:r w:rsidRPr="00EF0E74">
        <w:t xml:space="preserve">= .01, </w:t>
      </w:r>
      <w:r w:rsidRPr="00EF0E74">
        <w:rPr>
          <w:i/>
        </w:rPr>
        <w:t xml:space="preserve">p </w:t>
      </w:r>
      <w:r w:rsidRPr="00EF0E74">
        <w:t xml:space="preserve">= .29).     </w:t>
      </w:r>
    </w:p>
    <w:p w:rsidR="00464E9C" w:rsidRPr="00EF0E74" w:rsidRDefault="00464E9C">
      <w:pPr>
        <w:rPr>
          <w:rFonts w:eastAsiaTheme="majorEastAsia"/>
          <w:b/>
          <w:bCs/>
        </w:rPr>
      </w:pPr>
      <w:r w:rsidRPr="00EF0E74">
        <w:br w:type="page"/>
      </w:r>
    </w:p>
    <w:p w:rsidR="00C72C57" w:rsidRPr="00EF0E74" w:rsidRDefault="00AB2D83" w:rsidP="00AB2D83">
      <w:pPr>
        <w:pStyle w:val="Heading1"/>
        <w:jc w:val="center"/>
        <w:rPr>
          <w:rFonts w:cs="Times New Roman"/>
          <w:szCs w:val="24"/>
        </w:rPr>
      </w:pPr>
      <w:bookmarkStart w:id="19" w:name="_Toc425928356"/>
      <w:r w:rsidRPr="00EF0E74">
        <w:rPr>
          <w:rFonts w:cs="Times New Roman"/>
          <w:szCs w:val="24"/>
        </w:rPr>
        <w:lastRenderedPageBreak/>
        <w:t xml:space="preserve">Chapter 4: </w:t>
      </w:r>
      <w:r w:rsidR="00C72C57" w:rsidRPr="00EF0E74">
        <w:rPr>
          <w:rFonts w:cs="Times New Roman"/>
          <w:szCs w:val="24"/>
        </w:rPr>
        <w:t>Discussion</w:t>
      </w:r>
      <w:bookmarkEnd w:id="19"/>
    </w:p>
    <w:p w:rsidR="00AB2D83" w:rsidRPr="00EF0E74" w:rsidRDefault="00AB2D83" w:rsidP="00AB2D83"/>
    <w:p w:rsidR="00C54CDE" w:rsidRPr="00EF0E74" w:rsidRDefault="00520C86" w:rsidP="00C72C57">
      <w:pPr>
        <w:spacing w:after="0" w:line="480" w:lineRule="auto"/>
        <w:contextualSpacing/>
      </w:pPr>
      <w:r w:rsidRPr="00EF0E74">
        <w:tab/>
        <w:t>The results of the study partially support the theoretical model that minority stress (e.g. anti-bisexual prejudice and internalized biphobia) affects mental health which, in turn, impacts physical health. These results provide support for the notion of</w:t>
      </w:r>
      <w:r w:rsidR="00712C54" w:rsidRPr="00EF0E74">
        <w:t xml:space="preserve"> discrimination-as-traumatic, also labeled</w:t>
      </w:r>
      <w:r w:rsidRPr="00EF0E74">
        <w:t xml:space="preserve"> insidious trauma</w:t>
      </w:r>
      <w:r w:rsidR="0058330F" w:rsidRPr="00EF0E74">
        <w:t xml:space="preserve"> (Root, 1992)</w:t>
      </w:r>
      <w:r w:rsidRPr="00EF0E74">
        <w:t>, wherein experiencing discrimination and prejudice can elicit responses in some individuals that mirror responses to life-threatening events (Jenifer, 2010, Swift, 2010, Szymanski &amp; Balsam</w:t>
      </w:r>
      <w:r w:rsidR="00373DD9" w:rsidRPr="00EF0E74">
        <w:t>, 2010</w:t>
      </w:r>
      <w:r w:rsidRPr="00EF0E74">
        <w:t>).</w:t>
      </w:r>
      <w:r w:rsidR="00532518" w:rsidRPr="00EF0E74">
        <w:t xml:space="preserve"> This study was the first to look at </w:t>
      </w:r>
      <w:r w:rsidR="0058330F" w:rsidRPr="00EF0E74">
        <w:t>prejudicial</w:t>
      </w:r>
      <w:r w:rsidR="00532518" w:rsidRPr="00EF0E74">
        <w:t xml:space="preserve"> events experienced by a</w:t>
      </w:r>
      <w:r w:rsidR="0058330F" w:rsidRPr="00EF0E74">
        <w:t>n all bisexual sample and their</w:t>
      </w:r>
      <w:r w:rsidR="00532518" w:rsidRPr="00EF0E74">
        <w:t xml:space="preserve"> relationship</w:t>
      </w:r>
      <w:r w:rsidR="0058330F" w:rsidRPr="00EF0E74">
        <w:t>s with trauma-related symptoms</w:t>
      </w:r>
      <w:r w:rsidR="00532518" w:rsidRPr="00EF0E74">
        <w:t xml:space="preserve"> </w:t>
      </w:r>
      <w:r w:rsidR="00F0377E" w:rsidRPr="00EF0E74">
        <w:t>and physical health.</w:t>
      </w:r>
      <w:r w:rsidR="00464E9C" w:rsidRPr="00EF0E74">
        <w:t xml:space="preserve"> In addition, it was found that internalized biphobia also impacts physical health</w:t>
      </w:r>
      <w:r w:rsidR="005C68E0" w:rsidRPr="00EF0E74">
        <w:t xml:space="preserve"> by increasing trauma-related stress, which coincides with similar findings (Dragowski, et al</w:t>
      </w:r>
      <w:r w:rsidR="00353636" w:rsidRPr="00EF0E74">
        <w:t>., 2011</w:t>
      </w:r>
      <w:r w:rsidR="002F4919" w:rsidRPr="00EF0E74">
        <w:t>).</w:t>
      </w:r>
      <w:r w:rsidR="00F0377E" w:rsidRPr="00EF0E74">
        <w:t xml:space="preserve"> Furthermore, this study investigated the applicability of minority stress theory</w:t>
      </w:r>
      <w:r w:rsidR="00353636" w:rsidRPr="00EF0E74">
        <w:t xml:space="preserve"> (Meyer, 200</w:t>
      </w:r>
      <w:r w:rsidR="0058330F" w:rsidRPr="00EF0E74">
        <w:t>3)</w:t>
      </w:r>
      <w:r w:rsidR="00F0377E" w:rsidRPr="00EF0E74">
        <w:t xml:space="preserve"> to bisexuals' experiences of prejudice and discrimination, and </w:t>
      </w:r>
      <w:r w:rsidR="00712C54" w:rsidRPr="00EF0E74">
        <w:t>the framework proposed by Lick et al.</w:t>
      </w:r>
      <w:r w:rsidR="00F0377E" w:rsidRPr="00EF0E74">
        <w:t>(2013)</w:t>
      </w:r>
      <w:r w:rsidR="0058330F" w:rsidRPr="00EF0E74">
        <w:t xml:space="preserve">, which </w:t>
      </w:r>
      <w:r w:rsidR="009F600A" w:rsidRPr="00EF0E74">
        <w:t xml:space="preserve">states that the </w:t>
      </w:r>
      <w:r w:rsidR="00712C54" w:rsidRPr="00EF0E74">
        <w:t>deleterious</w:t>
      </w:r>
      <w:r w:rsidR="009F600A" w:rsidRPr="00EF0E74">
        <w:t xml:space="preserve"> mental health consequences of minority stress</w:t>
      </w:r>
      <w:r w:rsidR="0058330F" w:rsidRPr="00EF0E74">
        <w:t>,</w:t>
      </w:r>
      <w:r w:rsidR="00712C54" w:rsidRPr="00EF0E74">
        <w:t xml:space="preserve"> and </w:t>
      </w:r>
      <w:r w:rsidR="0058330F" w:rsidRPr="00EF0E74">
        <w:t xml:space="preserve">the </w:t>
      </w:r>
      <w:r w:rsidR="00712C54" w:rsidRPr="00EF0E74">
        <w:t xml:space="preserve">connection </w:t>
      </w:r>
      <w:r w:rsidR="0058330F" w:rsidRPr="00EF0E74">
        <w:t>between mental and</w:t>
      </w:r>
      <w:r w:rsidR="00712C54" w:rsidRPr="00EF0E74">
        <w:t xml:space="preserve"> physical health</w:t>
      </w:r>
      <w:r w:rsidR="009F600A" w:rsidRPr="00EF0E74">
        <w:t xml:space="preserve"> may explain physical health disparities between the LGB and heterosexual population.</w:t>
      </w:r>
    </w:p>
    <w:p w:rsidR="006F31AB" w:rsidRPr="00EF0E74" w:rsidRDefault="006F31AB" w:rsidP="00C72C57">
      <w:pPr>
        <w:spacing w:after="0" w:line="480" w:lineRule="auto"/>
        <w:contextualSpacing/>
      </w:pPr>
      <w:r w:rsidRPr="00EF0E74">
        <w:tab/>
        <w:t xml:space="preserve">The hypothesized model </w:t>
      </w:r>
      <w:r w:rsidR="003C757F" w:rsidRPr="00EF0E74">
        <w:t>examining</w:t>
      </w:r>
      <w:r w:rsidR="00712C54" w:rsidRPr="00EF0E74">
        <w:t xml:space="preserve"> anti-bisexual experiences, internalized biphobia, traumatic stress, depressive symptoms, and physical</w:t>
      </w:r>
      <w:r w:rsidR="003C757F" w:rsidRPr="00EF0E74">
        <w:t xml:space="preserve"> outcomes was mostly supported. In the final model, anti-bisexual experiences was associated with more reported symptoms of post-traumatic stress disorder and higher levels of internalized biphobia. Trauma symptoms, in turn, were positively associated with depressive symptoms and negatively associated with self-reported physical health. Internalized biphobia</w:t>
      </w:r>
      <w:r w:rsidR="005C68E0" w:rsidRPr="00EF0E74">
        <w:t xml:space="preserve"> was also significantly related to physical health through trauma symptoms, albeit a much smaller effect size than the impact of anti-bisexual experiences. Internalized biphobia</w:t>
      </w:r>
      <w:r w:rsidR="003C757F" w:rsidRPr="00EF0E74">
        <w:t xml:space="preserve"> was not significantly related to depressive symptoms in the final model, </w:t>
      </w:r>
      <w:r w:rsidR="003C757F" w:rsidRPr="00EF0E74">
        <w:lastRenderedPageBreak/>
        <w:t xml:space="preserve">and in addition, depressive symptoms were not significantly related to reported physical health. Lastly, the indirect effects of anti-bisexual experiences on both depressive symptoms and physical health were significant when considering </w:t>
      </w:r>
      <w:r w:rsidR="00712C54" w:rsidRPr="00EF0E74">
        <w:t>trauma-related stress as a mediator variable.</w:t>
      </w:r>
      <w:r w:rsidR="00C54CDE" w:rsidRPr="00EF0E74">
        <w:t xml:space="preserve"> </w:t>
      </w:r>
    </w:p>
    <w:p w:rsidR="00712C54" w:rsidRPr="00EF0E74" w:rsidRDefault="000C0AD5" w:rsidP="000C0AD5">
      <w:pPr>
        <w:spacing w:after="0" w:line="480" w:lineRule="auto"/>
        <w:ind w:firstLine="720"/>
        <w:contextualSpacing/>
      </w:pPr>
      <w:r w:rsidRPr="00EF0E74">
        <w:t>One contribution of this study is that</w:t>
      </w:r>
      <w:r w:rsidR="0058330F" w:rsidRPr="00EF0E74">
        <w:t xml:space="preserve"> we found that</w:t>
      </w:r>
      <w:r w:rsidRPr="00EF0E74">
        <w:t xml:space="preserve"> experiences of biphobia significantly relate to trauma symptoms, even when accounting for "typical" traumatic experiences (e.g. car crashes, physical and/or sexual abuse). Prior research, both quantitative and qualitative, in this area had begun to reveal the connection between racist (Jenifer, 2010; Swift, 2010) and heterosexist devalu</w:t>
      </w:r>
      <w:r w:rsidR="00373DD9" w:rsidRPr="00EF0E74">
        <w:t>ations (Szymanski &amp; Balsam, 2010</w:t>
      </w:r>
      <w:r w:rsidRPr="00EF0E74">
        <w:t>)</w:t>
      </w:r>
      <w:r w:rsidR="00712C54" w:rsidRPr="00EF0E74">
        <w:t xml:space="preserve"> </w:t>
      </w:r>
      <w:r w:rsidR="0058330F" w:rsidRPr="00EF0E74">
        <w:t xml:space="preserve">and </w:t>
      </w:r>
      <w:r w:rsidR="00712C54" w:rsidRPr="00EF0E74">
        <w:t>traumatic stress</w:t>
      </w:r>
      <w:r w:rsidRPr="00EF0E74">
        <w:t>. This study e</w:t>
      </w:r>
      <w:r w:rsidR="00712C54" w:rsidRPr="00EF0E74">
        <w:t>xtends our understanding of the</w:t>
      </w:r>
      <w:r w:rsidRPr="00EF0E74">
        <w:t xml:space="preserve"> relationship </w:t>
      </w:r>
      <w:r w:rsidR="00712C54" w:rsidRPr="00EF0E74">
        <w:t xml:space="preserve">between discrimination and trauma </w:t>
      </w:r>
      <w:r w:rsidR="0058330F" w:rsidRPr="00EF0E74">
        <w:t>to bisexual men and women</w:t>
      </w:r>
      <w:r w:rsidR="00712C54" w:rsidRPr="00EF0E74">
        <w:t>, a population that has</w:t>
      </w:r>
      <w:r w:rsidRPr="00EF0E74">
        <w:t xml:space="preserve"> received little </w:t>
      </w:r>
      <w:r w:rsidR="0058330F" w:rsidRPr="00EF0E74">
        <w:t xml:space="preserve">individualized </w:t>
      </w:r>
      <w:r w:rsidRPr="00EF0E74">
        <w:t xml:space="preserve">attention with respect to minority stressors and mental health. In addition, this study reaffirms the link </w:t>
      </w:r>
      <w:r w:rsidR="0058330F" w:rsidRPr="00EF0E74">
        <w:t>between</w:t>
      </w:r>
      <w:r w:rsidRPr="00EF0E74">
        <w:t xml:space="preserve"> prejudice and discrimination </w:t>
      </w:r>
      <w:r w:rsidR="00712C54" w:rsidRPr="00EF0E74">
        <w:t xml:space="preserve">and </w:t>
      </w:r>
      <w:r w:rsidRPr="00EF0E74">
        <w:t>inter</w:t>
      </w:r>
      <w:r w:rsidR="0058330F" w:rsidRPr="00EF0E74">
        <w:t>nalization heterosexism</w:t>
      </w:r>
      <w:r w:rsidRPr="00EF0E74">
        <w:t>/biphobia. As Meyer (2003) proposed and subsequent studies</w:t>
      </w:r>
      <w:r w:rsidR="005C68E0" w:rsidRPr="00EF0E74">
        <w:t xml:space="preserve"> (e.g.</w:t>
      </w:r>
      <w:r w:rsidR="00353636" w:rsidRPr="00EF0E74">
        <w:t>,</w:t>
      </w:r>
      <w:r w:rsidR="005C68E0" w:rsidRPr="00EF0E74">
        <w:t xml:space="preserve"> </w:t>
      </w:r>
      <w:r w:rsidR="00353636" w:rsidRPr="00EF0E74">
        <w:t xml:space="preserve">Hatzenbuehler et al., 2008; Lehavot &amp; Simoni, 2011; </w:t>
      </w:r>
      <w:r w:rsidR="005C68E0" w:rsidRPr="00EF0E74">
        <w:t>Szymanski &amp; Ikizler</w:t>
      </w:r>
      <w:r w:rsidR="00500F8B" w:rsidRPr="00EF0E74">
        <w:t xml:space="preserve">, 2013) supported, </w:t>
      </w:r>
      <w:r w:rsidRPr="00EF0E74">
        <w:t xml:space="preserve">distal stressors (e.g. experiencing discrimination) lead to the formation of proximal stressors (e.g. concealment, internalized </w:t>
      </w:r>
      <w:r w:rsidR="00712C54" w:rsidRPr="00EF0E74">
        <w:t>homonegativity), and this study supports notion by the significant finding that anti-bisexual experiences and internalized biphobia covary.</w:t>
      </w:r>
    </w:p>
    <w:p w:rsidR="00052E8C" w:rsidRPr="00EF0E74" w:rsidRDefault="00052E8C" w:rsidP="00052E8C">
      <w:pPr>
        <w:spacing w:after="0" w:line="480" w:lineRule="auto"/>
        <w:ind w:firstLine="720"/>
        <w:contextualSpacing/>
      </w:pPr>
      <w:r w:rsidRPr="00EF0E74">
        <w:t>Another contribution of this study was the significant indirect effect of anti-bisexual experiences on physical health through trauma-r</w:t>
      </w:r>
      <w:r w:rsidR="0058330F" w:rsidRPr="00EF0E74">
        <w:t>elated symptoms. Specifically, bisexual men and women</w:t>
      </w:r>
      <w:r w:rsidRPr="00EF0E74">
        <w:t xml:space="preserve"> who frequently encounter stereotypes and interpersonal hostility regarding their sexual orientation also report more negative coping responses in the form of trauma-related symptoms, which include hyperarousal, avoidance, and re-experiencing. This uptick in traumatic stress then has</w:t>
      </w:r>
      <w:r w:rsidR="0058330F" w:rsidRPr="00EF0E74">
        <w:t xml:space="preserve"> negative consequences on</w:t>
      </w:r>
      <w:r w:rsidRPr="00EF0E74">
        <w:t xml:space="preserve"> physical health, compromising perceptions of general health, ability to perform physical tasks, and amount of pain experienced. The results of this study are </w:t>
      </w:r>
      <w:r w:rsidRPr="00EF0E74">
        <w:lastRenderedPageBreak/>
        <w:t xml:space="preserve">consistent with a component of Lick et al.'s (2013) conceptual model that situate sociocultural stressors as the cause of worse health in the LGB population, mediated partly by psychological health. </w:t>
      </w:r>
      <w:r w:rsidR="0058330F" w:rsidRPr="00EF0E74">
        <w:t>Also, it is important to</w:t>
      </w:r>
      <w:r w:rsidR="0058330F" w:rsidRPr="00EF0E74">
        <w:tab/>
      </w:r>
      <w:r w:rsidRPr="00EF0E74">
        <w:t xml:space="preserve"> note that anti-bisexual experiences, as </w:t>
      </w:r>
      <w:r w:rsidR="0058330F" w:rsidRPr="00EF0E74">
        <w:t>measured in this study, excluded</w:t>
      </w:r>
      <w:r w:rsidRPr="00EF0E74">
        <w:t xml:space="preserve"> </w:t>
      </w:r>
      <w:r w:rsidR="0058330F" w:rsidRPr="00EF0E74">
        <w:t xml:space="preserve">some </w:t>
      </w:r>
      <w:r w:rsidRPr="00EF0E74">
        <w:t>types of distal minority stressors, including physical violence and employment discrimination, which likely</w:t>
      </w:r>
      <w:r w:rsidR="0058330F" w:rsidRPr="00EF0E74">
        <w:t xml:space="preserve"> also</w:t>
      </w:r>
      <w:r w:rsidRPr="00EF0E74">
        <w:t xml:space="preserve"> play a role  in physical health as well. This study supports </w:t>
      </w:r>
      <w:r w:rsidR="0058330F" w:rsidRPr="00EF0E74">
        <w:t xml:space="preserve">the need for </w:t>
      </w:r>
      <w:r w:rsidRPr="00EF0E74">
        <w:t>further exploration in the area of minority stress' impact on physical health, and is it encouraged that future research examines multiple forms of minority stress simultaneously to determine the cumulative impact of stigma.</w:t>
      </w:r>
    </w:p>
    <w:p w:rsidR="003B0F2D" w:rsidRPr="00EF0E74" w:rsidRDefault="0058330F" w:rsidP="000C0AD5">
      <w:pPr>
        <w:spacing w:after="0" w:line="480" w:lineRule="auto"/>
        <w:ind w:firstLine="720"/>
        <w:contextualSpacing/>
      </w:pPr>
      <w:r w:rsidRPr="00EF0E74">
        <w:t>In t</w:t>
      </w:r>
      <w:r w:rsidR="003B0F2D" w:rsidRPr="00EF0E74">
        <w:t>his study</w:t>
      </w:r>
      <w:r w:rsidRPr="00EF0E74">
        <w:t>, we</w:t>
      </w:r>
      <w:r w:rsidR="003B0F2D" w:rsidRPr="00EF0E74">
        <w:t xml:space="preserve"> did not find </w:t>
      </w:r>
      <w:r w:rsidR="0009429E" w:rsidRPr="00EF0E74">
        <w:t>the hypothesized indirect effect of</w:t>
      </w:r>
      <w:r w:rsidR="003B0F2D" w:rsidRPr="00EF0E74">
        <w:t xml:space="preserve"> anti-bisexual experiences on physical health through depressive symptoms</w:t>
      </w:r>
      <w:r w:rsidR="0009429E" w:rsidRPr="00EF0E74">
        <w:t>, nor the hypothesized direct effect of</w:t>
      </w:r>
      <w:r w:rsidR="00D10EB6" w:rsidRPr="00EF0E74">
        <w:t xml:space="preserve"> depressive symptoms on physical health</w:t>
      </w:r>
      <w:r w:rsidR="00973261" w:rsidRPr="00EF0E74">
        <w:t xml:space="preserve">. One </w:t>
      </w:r>
      <w:r w:rsidR="00D10EB6" w:rsidRPr="00EF0E74">
        <w:t xml:space="preserve">significant </w:t>
      </w:r>
      <w:r w:rsidR="003B0F2D" w:rsidRPr="00EF0E74">
        <w:t>contributing factor to this was the dual-loading of percepti</w:t>
      </w:r>
      <w:r w:rsidR="00973261" w:rsidRPr="00EF0E74">
        <w:t xml:space="preserve">ons of general health onto the </w:t>
      </w:r>
      <w:r w:rsidR="003B0F2D" w:rsidRPr="00EF0E74">
        <w:t>latent constr</w:t>
      </w:r>
      <w:r w:rsidR="00973261" w:rsidRPr="00EF0E74">
        <w:t xml:space="preserve">ucts </w:t>
      </w:r>
      <w:r w:rsidR="0009429E" w:rsidRPr="00EF0E74">
        <w:t>of</w:t>
      </w:r>
      <w:r w:rsidR="003B0F2D" w:rsidRPr="00EF0E74">
        <w:t xml:space="preserve"> overall physical health and depressive symptoms. Conceptually, it follows that an aspec</w:t>
      </w:r>
      <w:r w:rsidR="00973261" w:rsidRPr="00EF0E74">
        <w:t>t of depressed mood</w:t>
      </w:r>
      <w:r w:rsidR="00052E8C" w:rsidRPr="00EF0E74">
        <w:t xml:space="preserve"> is a negative view-of-</w:t>
      </w:r>
      <w:r w:rsidR="003B0F2D" w:rsidRPr="00EF0E74">
        <w:t xml:space="preserve">self, </w:t>
      </w:r>
      <w:r w:rsidR="00973261" w:rsidRPr="00EF0E74">
        <w:t>which would include</w:t>
      </w:r>
      <w:r w:rsidR="003B0F2D" w:rsidRPr="00EF0E74">
        <w:t xml:space="preserve"> </w:t>
      </w:r>
      <w:r w:rsidR="00973261" w:rsidRPr="00EF0E74">
        <w:t xml:space="preserve">physical health, and supports the notion that psychological and physical </w:t>
      </w:r>
      <w:r w:rsidR="00D10EB6" w:rsidRPr="00EF0E74">
        <w:t>functioning</w:t>
      </w:r>
      <w:r w:rsidR="00973261" w:rsidRPr="00EF0E74">
        <w:t xml:space="preserve"> are intertwined.</w:t>
      </w:r>
      <w:r w:rsidR="003B0F2D" w:rsidRPr="00EF0E74">
        <w:t xml:space="preserve"> </w:t>
      </w:r>
      <w:r w:rsidR="00973261" w:rsidRPr="00EF0E74">
        <w:t>In addition to negative self-perceptions, d</w:t>
      </w:r>
      <w:r w:rsidR="003B0F2D" w:rsidRPr="00EF0E74">
        <w:t>iagnostic criteria for</w:t>
      </w:r>
      <w:r w:rsidR="00973261" w:rsidRPr="00EF0E74">
        <w:t xml:space="preserve"> depression </w:t>
      </w:r>
      <w:r w:rsidR="0009429E" w:rsidRPr="00EF0E74">
        <w:t>include</w:t>
      </w:r>
      <w:r w:rsidR="003B0F2D" w:rsidRPr="00EF0E74">
        <w:t xml:space="preserve"> </w:t>
      </w:r>
      <w:r w:rsidR="00973261" w:rsidRPr="00EF0E74">
        <w:t xml:space="preserve">behaviors that could directly impact a person's health, such as hypersomnia/insomnia, </w:t>
      </w:r>
      <w:r w:rsidR="00052E8C" w:rsidRPr="00EF0E74">
        <w:t>unhealthy</w:t>
      </w:r>
      <w:r w:rsidR="00973261" w:rsidRPr="00EF0E74">
        <w:t xml:space="preserve"> eating habits, or suicidal behavior</w:t>
      </w:r>
      <w:r w:rsidR="0009429E" w:rsidRPr="00EF0E74">
        <w:t>, assessed by the CES-D</w:t>
      </w:r>
      <w:r w:rsidR="00973261" w:rsidRPr="00EF0E74">
        <w:t xml:space="preserve">. It is important to note that the dual loading of this factor did have an overall positive effect on model fit, and </w:t>
      </w:r>
      <w:r w:rsidR="00052E8C" w:rsidRPr="00EF0E74">
        <w:t xml:space="preserve">did </w:t>
      </w:r>
      <w:r w:rsidR="00973261" w:rsidRPr="00EF0E74">
        <w:t>me</w:t>
      </w:r>
      <w:r w:rsidR="00052E8C" w:rsidRPr="00EF0E74">
        <w:t>e</w:t>
      </w:r>
      <w:r w:rsidR="00973261" w:rsidRPr="00EF0E74">
        <w:t>t minimal statistical standards for the size of the factor loading (&gt;.40). Nonetheless, future researchers should be mindf</w:t>
      </w:r>
      <w:r w:rsidR="00D10EB6" w:rsidRPr="00EF0E74">
        <w:t xml:space="preserve">ul of the overlap that could occur between measures of psychological and physical well-being. </w:t>
      </w:r>
      <w:r w:rsidR="00973261" w:rsidRPr="00EF0E74">
        <w:t xml:space="preserve"> </w:t>
      </w:r>
    </w:p>
    <w:p w:rsidR="000C0AD5" w:rsidRPr="00EF0E74" w:rsidRDefault="00052E8C" w:rsidP="000C0AD5">
      <w:pPr>
        <w:spacing w:after="0" w:line="480" w:lineRule="auto"/>
        <w:ind w:firstLine="720"/>
        <w:contextualSpacing/>
      </w:pPr>
      <w:r w:rsidRPr="00EF0E74">
        <w:t xml:space="preserve">Lastly, this study </w:t>
      </w:r>
      <w:r w:rsidR="000C0AD5" w:rsidRPr="00EF0E74">
        <w:t>examined the</w:t>
      </w:r>
      <w:r w:rsidR="00283F6E" w:rsidRPr="00EF0E74">
        <w:t xml:space="preserve"> relationships between minority stress</w:t>
      </w:r>
      <w:r w:rsidR="000C0AD5" w:rsidRPr="00EF0E74">
        <w:t>, traumatic stress, and depression</w:t>
      </w:r>
      <w:r w:rsidR="00283F6E" w:rsidRPr="00EF0E74">
        <w:t xml:space="preserve"> that had not been explored with a sexua</w:t>
      </w:r>
      <w:r w:rsidR="0009429E" w:rsidRPr="00EF0E74">
        <w:t xml:space="preserve">l minority sample, but had been examined </w:t>
      </w:r>
      <w:r w:rsidR="0009429E" w:rsidRPr="00EF0E74">
        <w:lastRenderedPageBreak/>
        <w:t xml:space="preserve">in </w:t>
      </w:r>
      <w:r w:rsidR="00283F6E" w:rsidRPr="00EF0E74">
        <w:t xml:space="preserve">studies examining racial/ethnic minority discrimination and trauma and/or depressive symptoms. Notably, Torres and Taknint (2015) found that ethnic discrimination experienced by Latino adults significantly related to traumatic stress symptoms, and </w:t>
      </w:r>
      <w:r w:rsidR="00915A6C" w:rsidRPr="00EF0E74">
        <w:t xml:space="preserve">that higher rates of traumatic stress predicted higher rates of reported depressive symptoms. The results of this study mirror those results within the context of biphobia and heterosexism, with a significant indirect relationship between anti-bisexual experiences and depression symptoms through traumatic stress. </w:t>
      </w:r>
      <w:r w:rsidR="0036773B" w:rsidRPr="00EF0E74">
        <w:t xml:space="preserve"> However, contrary to the hypothesized model, internalize</w:t>
      </w:r>
      <w:r w:rsidRPr="00EF0E74">
        <w:t>d biphobia did not</w:t>
      </w:r>
      <w:r w:rsidR="0036773B" w:rsidRPr="00EF0E74">
        <w:t xml:space="preserve"> directly relate to depressive symptoms, nor did internalized biphobia mediate the relationship between anti-bisexual experiences</w:t>
      </w:r>
      <w:r w:rsidRPr="00EF0E74">
        <w:t xml:space="preserve"> and depressed mood</w:t>
      </w:r>
      <w:r w:rsidR="0036773B" w:rsidRPr="00EF0E74">
        <w:t>. This is not consistent with a prior meta-analysis that found an overall small-to-moderate effect size between internalized biphobia and depressive symptomatology</w:t>
      </w:r>
      <w:r w:rsidR="00367328" w:rsidRPr="00EF0E74">
        <w:t xml:space="preserve"> (c.f. Newcomb &amp; Mustanski, 2010</w:t>
      </w:r>
      <w:r w:rsidR="0036773B" w:rsidRPr="00EF0E74">
        <w:t>)</w:t>
      </w:r>
      <w:r w:rsidR="00267249" w:rsidRPr="00EF0E74">
        <w:t xml:space="preserve">. We offer a few explanations as to why this might have occurred in this study. First, the scale used to assess internalized biphobia, a subscale of the LGBIS (Mohr and Fassinger, 2000), was </w:t>
      </w:r>
      <w:r w:rsidR="007B6706" w:rsidRPr="00EF0E74">
        <w:t>originally</w:t>
      </w:r>
      <w:r w:rsidRPr="00EF0E74">
        <w:t xml:space="preserve"> constructed for use with gay men and lesbian women. S</w:t>
      </w:r>
      <w:r w:rsidR="00267249" w:rsidRPr="00EF0E74">
        <w:t>ubsequent articles</w:t>
      </w:r>
      <w:r w:rsidRPr="00EF0E74">
        <w:t xml:space="preserve"> looking at internalized</w:t>
      </w:r>
      <w:r w:rsidR="00A05CB8" w:rsidRPr="00EF0E74">
        <w:t xml:space="preserve"> biphobia with this scale </w:t>
      </w:r>
      <w:r w:rsidR="00267249" w:rsidRPr="00EF0E74">
        <w:t>reword</w:t>
      </w:r>
      <w:r w:rsidR="00A05CB8" w:rsidRPr="00EF0E74">
        <w:t>ed</w:t>
      </w:r>
      <w:r w:rsidR="00267249" w:rsidRPr="00EF0E74">
        <w:t xml:space="preserve"> the language of the items for </w:t>
      </w:r>
      <w:r w:rsidR="00A05CB8" w:rsidRPr="00EF0E74">
        <w:t xml:space="preserve">a bisexual sample (Sheets &amp; </w:t>
      </w:r>
      <w:r w:rsidR="00267249" w:rsidRPr="00EF0E74">
        <w:t xml:space="preserve">Mohr, 2009). </w:t>
      </w:r>
      <w:r w:rsidRPr="00EF0E74">
        <w:t>However, s</w:t>
      </w:r>
      <w:r w:rsidR="007B6706" w:rsidRPr="00EF0E74">
        <w:t xml:space="preserve">hame about one's </w:t>
      </w:r>
      <w:r w:rsidR="007B6706" w:rsidRPr="00EF0E74">
        <w:rPr>
          <w:i/>
        </w:rPr>
        <w:t>bi</w:t>
      </w:r>
      <w:r w:rsidR="007B6706" w:rsidRPr="00EF0E74">
        <w:t xml:space="preserve">sexual orientation may qualitatively differ than shame regarding gay/lesbian identity, </w:t>
      </w:r>
      <w:r w:rsidR="004B1F4A" w:rsidRPr="00EF0E74">
        <w:t xml:space="preserve">which is supported by the </w:t>
      </w:r>
      <w:r w:rsidRPr="00EF0E74">
        <w:t xml:space="preserve">underwhelming </w:t>
      </w:r>
      <w:r w:rsidR="004B1F4A" w:rsidRPr="00EF0E74">
        <w:t>factor loadings</w:t>
      </w:r>
      <w:r w:rsidRPr="00EF0E74">
        <w:t xml:space="preserve"> (range of .48 to .76)</w:t>
      </w:r>
      <w:r w:rsidR="004B1F4A" w:rsidRPr="00EF0E74">
        <w:t xml:space="preserve"> of the five items onto an internalized biphobia latent construct.</w:t>
      </w:r>
      <w:r w:rsidR="00A05CB8" w:rsidRPr="00EF0E74">
        <w:t xml:space="preserve"> For example, some bisexuals may wish to be either straight </w:t>
      </w:r>
      <w:r w:rsidR="00A05CB8" w:rsidRPr="00EF0E74">
        <w:rPr>
          <w:i/>
        </w:rPr>
        <w:t>or</w:t>
      </w:r>
      <w:r w:rsidR="00A05CB8" w:rsidRPr="00EF0E74">
        <w:t xml:space="preserve"> gay/lesbian, feel like they are betraying the LG community by being in heterosexual relationship, or feel a sense identity confusion about themselves on a  general level because of messages that bisexuals are confused or "don't know what they want."  </w:t>
      </w:r>
      <w:r w:rsidR="004B1F4A" w:rsidRPr="00EF0E74">
        <w:t xml:space="preserve"> F</w:t>
      </w:r>
      <w:r w:rsidR="007B6706" w:rsidRPr="00EF0E74">
        <w:t>uture researchers should displ</w:t>
      </w:r>
      <w:r w:rsidR="004B1F4A" w:rsidRPr="00EF0E74">
        <w:t>ay caution when rewording a scale created to capture a type of minority stress for bisexuals when the original scale was developed with</w:t>
      </w:r>
      <w:r w:rsidRPr="00EF0E74">
        <w:t xml:space="preserve"> an LG sample</w:t>
      </w:r>
      <w:r w:rsidR="007B6706" w:rsidRPr="00EF0E74">
        <w:t>. Second, the average age</w:t>
      </w:r>
      <w:r w:rsidR="00A05CB8" w:rsidRPr="00EF0E74">
        <w:t xml:space="preserve"> (</w:t>
      </w:r>
      <w:r w:rsidR="00A05CB8" w:rsidRPr="00EF0E74">
        <w:rPr>
          <w:i/>
        </w:rPr>
        <w:t xml:space="preserve">M </w:t>
      </w:r>
      <w:r w:rsidR="00A05CB8" w:rsidRPr="00EF0E74">
        <w:lastRenderedPageBreak/>
        <w:t>= 29.2)</w:t>
      </w:r>
      <w:r w:rsidR="007B6706" w:rsidRPr="00EF0E74">
        <w:t xml:space="preserve"> of participants was low, and younger sexual minorities generally assess with</w:t>
      </w:r>
      <w:r w:rsidR="004B1F4A" w:rsidRPr="00EF0E74">
        <w:t xml:space="preserve"> lower amounts of</w:t>
      </w:r>
      <w:r w:rsidR="007B6706" w:rsidRPr="00EF0E74">
        <w:t xml:space="preserve"> internalized homo/biphobia than older cohorts (</w:t>
      </w:r>
      <w:r w:rsidR="004B1F4A" w:rsidRPr="00EF0E74">
        <w:t>Newcomb &amp; Mustanski, 2010). It is possible that we lacked inadequate variance to analyze the relationships between internal</w:t>
      </w:r>
      <w:r w:rsidRPr="00EF0E74">
        <w:t>ized biphobia with depressed mood</w:t>
      </w:r>
      <w:r w:rsidR="004B1F4A" w:rsidRPr="00EF0E74">
        <w:t xml:space="preserve"> and physical health. </w:t>
      </w:r>
      <w:r w:rsidR="00A05CB8" w:rsidRPr="00EF0E74">
        <w:t>It might be that y</w:t>
      </w:r>
      <w:r w:rsidRPr="00EF0E74">
        <w:t>ounger bisexuals may internalize messages differently and less severely than older bisexual adults.</w:t>
      </w:r>
      <w:r w:rsidR="00CD04BC" w:rsidRPr="00EF0E74">
        <w:t xml:space="preserve"> </w:t>
      </w:r>
      <w:r w:rsidR="00247439" w:rsidRPr="00EF0E74">
        <w:t>Despite the nonsignifcant finding for these pathways involving this scale, these results do illustrate</w:t>
      </w:r>
      <w:r w:rsidR="00915A6C" w:rsidRPr="00EF0E74">
        <w:t xml:space="preserve"> the role minority stress plays in negative mental health outcomes for a sexual mi</w:t>
      </w:r>
      <w:r w:rsidR="0036773B" w:rsidRPr="00EF0E74">
        <w:t>nority sample, and advances understanding of the mechanisms through which discrimination may impact one's psychological well-being.</w:t>
      </w:r>
      <w:r w:rsidR="00915A6C" w:rsidRPr="00EF0E74">
        <w:t xml:space="preserve"> </w:t>
      </w:r>
      <w:r w:rsidR="00695611" w:rsidRPr="00EF0E74">
        <w:t>Future researchers would be behooved to</w:t>
      </w:r>
      <w:r w:rsidR="00CD04BC" w:rsidRPr="00EF0E74">
        <w:t>:</w:t>
      </w:r>
      <w:r w:rsidR="004B1F4A" w:rsidRPr="00EF0E74">
        <w:t xml:space="preserve"> </w:t>
      </w:r>
      <w:r w:rsidR="00CD04BC" w:rsidRPr="00EF0E74">
        <w:t>(</w:t>
      </w:r>
      <w:r w:rsidR="004B1F4A" w:rsidRPr="00EF0E74">
        <w:t xml:space="preserve">a) develop a scale of internalized biphobia constructed and validated with and for bisexuals, and </w:t>
      </w:r>
      <w:r w:rsidR="00CD04BC" w:rsidRPr="00EF0E74">
        <w:t>(</w:t>
      </w:r>
      <w:r w:rsidR="004B1F4A" w:rsidRPr="00EF0E74">
        <w:t>b) use recruitment methods that increase the likelihood of a study reaching older bisexuals adults.</w:t>
      </w:r>
    </w:p>
    <w:p w:rsidR="002B028D" w:rsidRPr="00EF0E74" w:rsidRDefault="002B028D" w:rsidP="00AB2D83">
      <w:pPr>
        <w:pStyle w:val="Heading2"/>
        <w:rPr>
          <w:rFonts w:cs="Times New Roman"/>
        </w:rPr>
      </w:pPr>
      <w:bookmarkStart w:id="20" w:name="_Toc425928357"/>
      <w:r w:rsidRPr="00EF0E74">
        <w:rPr>
          <w:rFonts w:cs="Times New Roman"/>
        </w:rPr>
        <w:t>Limitations</w:t>
      </w:r>
      <w:bookmarkEnd w:id="20"/>
    </w:p>
    <w:p w:rsidR="002B028D" w:rsidRPr="00EF0E74" w:rsidRDefault="00247439" w:rsidP="000C0AD5">
      <w:pPr>
        <w:spacing w:after="0" w:line="480" w:lineRule="auto"/>
        <w:ind w:firstLine="720"/>
        <w:contextualSpacing/>
      </w:pPr>
      <w:r w:rsidRPr="00EF0E74">
        <w:t>One limitation o</w:t>
      </w:r>
      <w:r w:rsidR="002B028D" w:rsidRPr="00EF0E74">
        <w:t xml:space="preserve">f the current study was the use of convenience sampling through the Internet as a recruitment strategy, affecting the generalizability of the results. Though </w:t>
      </w:r>
      <w:r w:rsidR="00CD04BC" w:rsidRPr="00EF0E74">
        <w:t xml:space="preserve">recruiting </w:t>
      </w:r>
      <w:r w:rsidR="002B028D" w:rsidRPr="00EF0E74">
        <w:t>participants onl</w:t>
      </w:r>
      <w:r w:rsidR="00CD04BC" w:rsidRPr="00EF0E74">
        <w:t>ine can help researchers reach</w:t>
      </w:r>
      <w:r w:rsidR="002B028D" w:rsidRPr="00EF0E74">
        <w:t xml:space="preserve"> LGB participants who typically are hard-to-reach,(Epstein</w:t>
      </w:r>
      <w:r w:rsidR="00353636" w:rsidRPr="00EF0E74">
        <w:t xml:space="preserve"> &amp;</w:t>
      </w:r>
      <w:r w:rsidR="002B028D" w:rsidRPr="00EF0E74">
        <w:t xml:space="preserve"> Klickenberg, 2002; Meyer &amp; Wilson, 2009) Internet users tend to be younger, </w:t>
      </w:r>
      <w:r w:rsidR="00CD04BC" w:rsidRPr="00EF0E74">
        <w:t xml:space="preserve">be </w:t>
      </w:r>
      <w:r w:rsidR="002B028D" w:rsidRPr="00EF0E74">
        <w:t>more educated, have higher socioeconomic status, and White (Fox, 2005; Gosling, Vazire, Srivastava,</w:t>
      </w:r>
      <w:r w:rsidR="00353636" w:rsidRPr="00EF0E74">
        <w:t xml:space="preserve"> </w:t>
      </w:r>
      <w:r w:rsidR="002B028D" w:rsidRPr="00EF0E74">
        <w:t>&amp;</w:t>
      </w:r>
      <w:r w:rsidR="00CD04BC" w:rsidRPr="00EF0E74">
        <w:t xml:space="preserve"> </w:t>
      </w:r>
      <w:r w:rsidR="002B028D" w:rsidRPr="00EF0E74">
        <w:t>John, 2004</w:t>
      </w:r>
      <w:r w:rsidRPr="00EF0E74">
        <w:t xml:space="preserve">). </w:t>
      </w:r>
      <w:r w:rsidR="00091A8D" w:rsidRPr="00EF0E74">
        <w:t xml:space="preserve">This has implications for whom the results of this study can and should </w:t>
      </w:r>
      <w:r w:rsidRPr="00EF0E74">
        <w:t xml:space="preserve">be </w:t>
      </w:r>
      <w:r w:rsidR="00CD04BC" w:rsidRPr="00EF0E74">
        <w:t>generalized</w:t>
      </w:r>
      <w:r w:rsidR="00091A8D" w:rsidRPr="00EF0E74">
        <w:t>, since there are well-documented racial/ethnic</w:t>
      </w:r>
      <w:r w:rsidR="005B41AF" w:rsidRPr="00EF0E74">
        <w:t xml:space="preserve"> (Dolezar, McGrath, Herzig, &amp; Miller, 2014)</w:t>
      </w:r>
      <w:r w:rsidR="00091A8D" w:rsidRPr="00EF0E74">
        <w:t>, age-related</w:t>
      </w:r>
      <w:r w:rsidR="005B41AF" w:rsidRPr="00EF0E74">
        <w:t xml:space="preserve"> (Shephard, 1997)</w:t>
      </w:r>
      <w:r w:rsidR="00091A8D" w:rsidRPr="00EF0E74">
        <w:t>, and socioeconomic disparities</w:t>
      </w:r>
      <w:r w:rsidR="00CD04BC" w:rsidRPr="00EF0E74">
        <w:t xml:space="preserve"> (Lichtenstein, Harris, Pedersen, &amp; McClearn, 1993)</w:t>
      </w:r>
      <w:r w:rsidR="00091A8D" w:rsidRPr="00EF0E74">
        <w:t xml:space="preserve"> in physical and mental health as well. Though it was possible to account for the effects of age and education</w:t>
      </w:r>
      <w:r w:rsidRPr="00EF0E74">
        <w:t xml:space="preserve">  </w:t>
      </w:r>
      <w:r w:rsidR="00091A8D" w:rsidRPr="00EF0E74">
        <w:t xml:space="preserve">in this study, the lack of racial </w:t>
      </w:r>
      <w:r w:rsidR="00CD04BC" w:rsidRPr="00EF0E74">
        <w:t xml:space="preserve">and gender </w:t>
      </w:r>
      <w:r w:rsidR="00091A8D" w:rsidRPr="00EF0E74">
        <w:t>diversity</w:t>
      </w:r>
      <w:r w:rsidR="002650E9" w:rsidRPr="00EF0E74">
        <w:t xml:space="preserve"> </w:t>
      </w:r>
      <w:r w:rsidR="00091A8D" w:rsidRPr="00EF0E74">
        <w:t xml:space="preserve">in this sample disallowed appropriate between-group analyses. In addition to </w:t>
      </w:r>
      <w:r w:rsidR="00091A8D" w:rsidRPr="00EF0E74">
        <w:lastRenderedPageBreak/>
        <w:t xml:space="preserve">affecting the generalizability of the study, the online recruitment strategy likely explains the high percentage of missingness in our sample. Because clicking on a Facebook ad requires low investment and a participant can easily drop out whenever they want to, many participants left the survey, particularly towards the beginning. </w:t>
      </w:r>
      <w:r w:rsidR="00041380" w:rsidRPr="00EF0E74">
        <w:t>To address some of the missingness, we used listwise deletion</w:t>
      </w:r>
      <w:r w:rsidR="00836E2F" w:rsidRPr="00EF0E74">
        <w:t xml:space="preserve"> due to the fact that imputation methods produce biased results when the percentage missing reaches 50%, and it is known that these imputation methods can handle 20% missingness when MAR. (Schlomer et al., 2010)</w:t>
      </w:r>
      <w:r w:rsidR="00041380" w:rsidRPr="00EF0E74">
        <w:t xml:space="preserve">. However, the possibility exists that participants who were </w:t>
      </w:r>
      <w:r w:rsidR="00836E2F" w:rsidRPr="00EF0E74">
        <w:t xml:space="preserve">deleted listwise </w:t>
      </w:r>
      <w:r w:rsidR="00041380" w:rsidRPr="00EF0E74">
        <w:t>differ in meaningful ways than those who data was complete or imputed. We urge future researchers in this area to diversify their locations of recruitment so that their studies may include diverse demographic characteristics</w:t>
      </w:r>
      <w:r w:rsidR="00162A4D" w:rsidRPr="00EF0E74">
        <w:t>, and to plan for large am</w:t>
      </w:r>
      <w:r w:rsidRPr="00EF0E74">
        <w:t>ount of missingness when using</w:t>
      </w:r>
      <w:r w:rsidR="00162A4D" w:rsidRPr="00EF0E74">
        <w:t xml:space="preserve"> online recruiting methods.</w:t>
      </w:r>
    </w:p>
    <w:p w:rsidR="00162A4D" w:rsidRPr="00EF0E74" w:rsidRDefault="00CD29AA" w:rsidP="000C0AD5">
      <w:pPr>
        <w:spacing w:after="0" w:line="480" w:lineRule="auto"/>
        <w:ind w:firstLine="720"/>
        <w:contextualSpacing/>
      </w:pPr>
      <w:r w:rsidRPr="00EF0E74">
        <w:t xml:space="preserve">Another limitation of the study includes its cross-sectional design, which prevents causal inference to be made about the relationships between variables. However, previous longitudinal studies have supported the directional impact of perceived discrimination and internalized homophobia on psychological well-being </w:t>
      </w:r>
      <w:r w:rsidR="00836E2F" w:rsidRPr="00EF0E74">
        <w:t>(c.f. Newcomb &amp; Mustanski, 2010;</w:t>
      </w:r>
      <w:r w:rsidRPr="00EF0E74">
        <w:t xml:space="preserve"> Schmitt, Brans</w:t>
      </w:r>
      <w:r w:rsidR="00247439" w:rsidRPr="00EF0E74">
        <w:t>combe, Postmes, &amp; Garcia, 2014</w:t>
      </w:r>
      <w:r w:rsidR="00836E2F" w:rsidRPr="00EF0E74">
        <w:t>)</w:t>
      </w:r>
      <w:r w:rsidR="00247439" w:rsidRPr="00EF0E74">
        <w:t>. It is certain, though, that</w:t>
      </w:r>
      <w:r w:rsidR="00FF729B" w:rsidRPr="00EF0E74">
        <w:t xml:space="preserve"> a longitudinal design would more sufficiently elucidate the cause and effect relationship between distal and proximal forms of minority stress for bisexuals, negative psychological outcomes, and physical health. Experimental research designs could also test some</w:t>
      </w:r>
      <w:r w:rsidR="00924942" w:rsidRPr="00EF0E74">
        <w:t xml:space="preserve"> basic assumptions of minority stress models</w:t>
      </w:r>
      <w:r w:rsidR="00241485" w:rsidRPr="00EF0E74">
        <w:t>.</w:t>
      </w:r>
      <w:r w:rsidR="00247439" w:rsidRPr="00EF0E74">
        <w:t xml:space="preserve"> For example, a study could compare</w:t>
      </w:r>
      <w:r w:rsidR="00FF729B" w:rsidRPr="00EF0E74">
        <w:t xml:space="preserve"> LGB participants cortisol levels in response to stressful situations that are unrelated or related to their sexual orientation</w:t>
      </w:r>
      <w:r w:rsidR="00247439" w:rsidRPr="00EF0E74">
        <w:t>, while also</w:t>
      </w:r>
      <w:r w:rsidR="00FF729B" w:rsidRPr="00EF0E74">
        <w:t xml:space="preserve"> measuring psychological constructs that</w:t>
      </w:r>
      <w:r w:rsidR="00247439" w:rsidRPr="00EF0E74">
        <w:t xml:space="preserve"> could</w:t>
      </w:r>
      <w:r w:rsidR="00FF729B" w:rsidRPr="00EF0E74">
        <w:t xml:space="preserve"> moderate or mediate differences between groups (e.g.</w:t>
      </w:r>
      <w:r w:rsidR="00241485" w:rsidRPr="00EF0E74">
        <w:t>,</w:t>
      </w:r>
      <w:r w:rsidR="00FF729B" w:rsidRPr="00EF0E74">
        <w:t xml:space="preserve"> prior experiences with discrimination, LGB identity saliency, appraisal style, etc).</w:t>
      </w:r>
      <w:r w:rsidR="00924942" w:rsidRPr="00EF0E74">
        <w:t xml:space="preserve"> With cross-</w:t>
      </w:r>
      <w:r w:rsidR="00924942" w:rsidRPr="00EF0E74">
        <w:lastRenderedPageBreak/>
        <w:t xml:space="preserve">sectional research laying the </w:t>
      </w:r>
      <w:r w:rsidR="00241485" w:rsidRPr="00EF0E74">
        <w:t>groundwork, we hope future (</w:t>
      </w:r>
      <w:r w:rsidR="00924942" w:rsidRPr="00EF0E74">
        <w:t xml:space="preserve">better funded) studies begin </w:t>
      </w:r>
      <w:r w:rsidR="00241485" w:rsidRPr="00EF0E74">
        <w:t>the task of</w:t>
      </w:r>
      <w:r w:rsidR="00924942" w:rsidRPr="00EF0E74">
        <w:t xml:space="preserve"> thorough exploration of minority stress, mental, and physical health.</w:t>
      </w:r>
    </w:p>
    <w:p w:rsidR="00E052AE" w:rsidRPr="00EF0E74" w:rsidRDefault="00E052AE" w:rsidP="00AB2D83">
      <w:pPr>
        <w:pStyle w:val="Heading2"/>
        <w:rPr>
          <w:rFonts w:cs="Times New Roman"/>
        </w:rPr>
      </w:pPr>
      <w:bookmarkStart w:id="21" w:name="_Toc425928358"/>
      <w:r w:rsidRPr="00EF0E74">
        <w:rPr>
          <w:rFonts w:cs="Times New Roman"/>
        </w:rPr>
        <w:t>Practical Implications and Conclusion</w:t>
      </w:r>
      <w:bookmarkEnd w:id="21"/>
    </w:p>
    <w:p w:rsidR="00A4075C" w:rsidRPr="00EF0E74" w:rsidRDefault="003C757F" w:rsidP="00C72C57">
      <w:pPr>
        <w:spacing w:after="0" w:line="480" w:lineRule="auto"/>
        <w:contextualSpacing/>
      </w:pPr>
      <w:r w:rsidRPr="00EF0E74">
        <w:tab/>
      </w:r>
      <w:r w:rsidR="004C64BF" w:rsidRPr="00EF0E74">
        <w:t>Understanding and addressing health disparities, both mental and physical, are critical to the role</w:t>
      </w:r>
      <w:r w:rsidR="00241485" w:rsidRPr="00EF0E74">
        <w:t>s</w:t>
      </w:r>
      <w:r w:rsidR="004C64BF" w:rsidRPr="00EF0E74">
        <w:t xml:space="preserve"> of psychologists. Practicing </w:t>
      </w:r>
      <w:r w:rsidR="00A4075C" w:rsidRPr="00EF0E74">
        <w:t>clinicians</w:t>
      </w:r>
      <w:r w:rsidR="004C64BF" w:rsidRPr="00EF0E74">
        <w:t xml:space="preserve"> and medical personnel need to conside</w:t>
      </w:r>
      <w:r w:rsidR="001F30E1" w:rsidRPr="00EF0E74">
        <w:t>r the potentially traumatizing nature</w:t>
      </w:r>
      <w:r w:rsidR="004C64BF" w:rsidRPr="00EF0E74">
        <w:t xml:space="preserve"> that prejudice and discrimination may </w:t>
      </w:r>
      <w:r w:rsidR="001F30E1" w:rsidRPr="00EF0E74">
        <w:t xml:space="preserve">have for </w:t>
      </w:r>
      <w:r w:rsidR="004C64BF" w:rsidRPr="00EF0E74">
        <w:t xml:space="preserve">LGB patients. Additionally, the fact that bisexuals encounter rejection and stereotypes from heterosexuals </w:t>
      </w:r>
      <w:r w:rsidR="004C64BF" w:rsidRPr="00EF0E74">
        <w:rPr>
          <w:i/>
        </w:rPr>
        <w:t xml:space="preserve">and </w:t>
      </w:r>
      <w:r w:rsidR="004C64BF" w:rsidRPr="00EF0E74">
        <w:t xml:space="preserve">gays and lesbians means that psychologists working with bisexual clients should familiarize themselves with bisexual-specific support groups and resources, including those online. Professionals should also guard themselves against making stereotyped judgments and remarks to clients based on their bisexual identity. It cannot be emphasized enough that the majority of the </w:t>
      </w:r>
      <w:r w:rsidR="00A4075C" w:rsidRPr="00EF0E74">
        <w:t>items on the ABES were "simply" statements spoken by others, and not physical harm or homo/biphobic slurs.</w:t>
      </w:r>
      <w:r w:rsidR="004C64BF" w:rsidRPr="00EF0E74">
        <w:t xml:space="preserve"> </w:t>
      </w:r>
      <w:r w:rsidR="001F30E1" w:rsidRPr="00EF0E74">
        <w:t>Further multicultural training may be necessary for psychologists and others with who</w:t>
      </w:r>
      <w:r w:rsidR="00241485" w:rsidRPr="00EF0E74">
        <w:t>m they work with to make themselves</w:t>
      </w:r>
      <w:r w:rsidR="001F30E1" w:rsidRPr="00EF0E74">
        <w:t xml:space="preserve"> aware of</w:t>
      </w:r>
      <w:r w:rsidR="00241485" w:rsidRPr="00EF0E74">
        <w:t xml:space="preserve"> potentially anti-bisexual biases (separate from anti-lesbian and/or gay biases)</w:t>
      </w:r>
      <w:r w:rsidR="001F30E1" w:rsidRPr="00EF0E74">
        <w:t xml:space="preserve">. </w:t>
      </w:r>
      <w:r w:rsidR="00A4075C" w:rsidRPr="00EF0E74">
        <w:t xml:space="preserve">Psychologists who find themselves in the role of advocate should consider the possible institutional and societal needs </w:t>
      </w:r>
      <w:r w:rsidR="001F30E1" w:rsidRPr="00EF0E74">
        <w:t xml:space="preserve">where they are competent to intervene </w:t>
      </w:r>
      <w:r w:rsidR="00A4075C" w:rsidRPr="00EF0E74">
        <w:t xml:space="preserve">to increase the acceptance of bisexuals and decrease the likelihood of encountering prejudice. </w:t>
      </w:r>
    </w:p>
    <w:p w:rsidR="00BD3FC6" w:rsidRPr="00EF0E74" w:rsidRDefault="00F349E1" w:rsidP="00C72C57">
      <w:pPr>
        <w:spacing w:after="0" w:line="480" w:lineRule="auto"/>
        <w:contextualSpacing/>
      </w:pPr>
      <w:r w:rsidRPr="00EF0E74">
        <w:tab/>
        <w:t>In conclusion, this study highlights how minority stress, notably anti-bisexual exper</w:t>
      </w:r>
      <w:r w:rsidR="00241485" w:rsidRPr="00EF0E74">
        <w:t>iences, acts on trauma-related symptoms</w:t>
      </w:r>
      <w:r w:rsidRPr="00EF0E74">
        <w:t>, depressive symptoms, and physical heal</w:t>
      </w:r>
      <w:r w:rsidR="00241485" w:rsidRPr="00EF0E74">
        <w:t>th. Mediated by traumatic-related symptoms</w:t>
      </w:r>
      <w:r w:rsidRPr="00EF0E74">
        <w:t>, prejudicial experiences deleteriously impac</w:t>
      </w:r>
      <w:r w:rsidR="00B138AA" w:rsidRPr="00EF0E74">
        <w:t>ted the self-reported health in</w:t>
      </w:r>
      <w:r w:rsidRPr="00EF0E74">
        <w:t xml:space="preserve"> a sample of bisexuals, bolstering theoretical models that name minority stress as</w:t>
      </w:r>
      <w:r w:rsidR="001F30E1" w:rsidRPr="00EF0E74">
        <w:t xml:space="preserve"> the cause of health disparities</w:t>
      </w:r>
      <w:r w:rsidRPr="00EF0E74">
        <w:t xml:space="preserve">. This study also addresses a research disparity </w:t>
      </w:r>
      <w:r w:rsidR="001F30E1" w:rsidRPr="00EF0E74">
        <w:t xml:space="preserve">of sorts, </w:t>
      </w:r>
      <w:r w:rsidR="001F30E1" w:rsidRPr="00EF0E74">
        <w:lastRenderedPageBreak/>
        <w:t xml:space="preserve">bringing </w:t>
      </w:r>
      <w:r w:rsidR="00B138AA" w:rsidRPr="00EF0E74">
        <w:t xml:space="preserve">attention to the concerns and needs of bisexuals, who must sometimes navigate hostile environments in heterosexual and LG spaces. </w:t>
      </w:r>
      <w:r w:rsidR="00241485" w:rsidRPr="00EF0E74">
        <w:t xml:space="preserve">It is important that psychologists, both researchers and practitioners continue to examine the insidious nature of anti-bisexual discrimination, and the health and well-being of bisexual men and women in order to begin to address existing health disparities and to work toward social justice. </w:t>
      </w:r>
    </w:p>
    <w:p w:rsidR="00BD3FC6" w:rsidRPr="00EF0E74" w:rsidRDefault="00BD3FC6">
      <w:r w:rsidRPr="00EF0E74">
        <w:br w:type="page"/>
      </w:r>
    </w:p>
    <w:p w:rsidR="00AB2D83" w:rsidRPr="00EF0E74" w:rsidRDefault="00BD3FC6" w:rsidP="00BD3FC6">
      <w:pPr>
        <w:pStyle w:val="Heading1"/>
        <w:jc w:val="center"/>
        <w:rPr>
          <w:rFonts w:cs="Times New Roman"/>
          <w:szCs w:val="24"/>
        </w:rPr>
      </w:pPr>
      <w:bookmarkStart w:id="22" w:name="_Toc425928359"/>
      <w:r w:rsidRPr="00EF0E74">
        <w:rPr>
          <w:rFonts w:cs="Times New Roman"/>
          <w:szCs w:val="24"/>
        </w:rPr>
        <w:lastRenderedPageBreak/>
        <w:t>References</w:t>
      </w:r>
      <w:bookmarkEnd w:id="22"/>
    </w:p>
    <w:p w:rsidR="00CD04BC" w:rsidRPr="00EF0E74" w:rsidRDefault="00CD04BC">
      <w:pPr>
        <w:rPr>
          <w:b/>
        </w:rPr>
      </w:pPr>
      <w:r w:rsidRPr="00EF0E74">
        <w:rPr>
          <w:b/>
        </w:rPr>
        <w:br w:type="page"/>
      </w:r>
    </w:p>
    <w:p w:rsidR="00AB2D83" w:rsidRPr="00EF0E74" w:rsidRDefault="00AB2D83" w:rsidP="00AB2D83">
      <w:pPr>
        <w:spacing w:after="0" w:line="480" w:lineRule="auto"/>
        <w:contextualSpacing/>
      </w:pPr>
      <w:r w:rsidRPr="00EF0E74">
        <w:lastRenderedPageBreak/>
        <w:t>Alessi, E. J., Martin, J. I., Gyamerah, A., &amp;</w:t>
      </w:r>
      <w:r w:rsidR="002169A4" w:rsidRPr="00EF0E74">
        <w:t xml:space="preserve"> </w:t>
      </w:r>
      <w:r w:rsidRPr="00EF0E74">
        <w:t xml:space="preserve">Meyer, I. H. (2013). Prejudice events and traumatic </w:t>
      </w:r>
      <w:r w:rsidRPr="00EF0E74">
        <w:tab/>
        <w:t xml:space="preserve">stress among heterosexuals and lesbians, gay men, and bisexuals. </w:t>
      </w:r>
      <w:r w:rsidRPr="00EF0E74">
        <w:rPr>
          <w:i/>
          <w:iCs/>
        </w:rPr>
        <w:t xml:space="preserve">Journal of </w:t>
      </w:r>
      <w:r w:rsidRPr="00EF0E74">
        <w:rPr>
          <w:i/>
          <w:iCs/>
        </w:rPr>
        <w:tab/>
        <w:t>Aggression, Maltreatment &amp; Trauma</w:t>
      </w:r>
      <w:r w:rsidRPr="00EF0E74">
        <w:t xml:space="preserve">, </w:t>
      </w:r>
      <w:r w:rsidRPr="00EF0E74">
        <w:rPr>
          <w:i/>
          <w:iCs/>
        </w:rPr>
        <w:t>22</w:t>
      </w:r>
      <w:r w:rsidRPr="00EF0E74">
        <w:t xml:space="preserve">, 510–526. </w:t>
      </w:r>
      <w:r w:rsidRPr="00EF0E74">
        <w:tab/>
        <w:t>doi:10.1080/10926771.2013.785455</w:t>
      </w:r>
    </w:p>
    <w:p w:rsidR="00AB2D83" w:rsidRPr="00EF0E74" w:rsidRDefault="00AB2D83" w:rsidP="00AB2D83">
      <w:pPr>
        <w:spacing w:after="0" w:line="480" w:lineRule="auto"/>
        <w:contextualSpacing/>
      </w:pPr>
      <w:r w:rsidRPr="00EF0E74">
        <w:t xml:space="preserve">Alessi, E. J., Meyer, I. H., &amp; Martin, J. I. (2013). PTSD and sexual orientation: An examination </w:t>
      </w:r>
      <w:r w:rsidRPr="00EF0E74">
        <w:tab/>
        <w:t xml:space="preserve">of criterion A1 and non-criterion A1 events. </w:t>
      </w:r>
      <w:r w:rsidRPr="00EF0E74">
        <w:rPr>
          <w:i/>
          <w:iCs/>
        </w:rPr>
        <w:t xml:space="preserve">Psychological Trauma: Theory, Research, </w:t>
      </w:r>
      <w:r w:rsidRPr="00EF0E74">
        <w:rPr>
          <w:i/>
          <w:iCs/>
        </w:rPr>
        <w:tab/>
        <w:t>Practice, and Policy</w:t>
      </w:r>
      <w:r w:rsidRPr="00EF0E74">
        <w:t xml:space="preserve">, </w:t>
      </w:r>
      <w:r w:rsidRPr="00EF0E74">
        <w:rPr>
          <w:i/>
          <w:iCs/>
        </w:rPr>
        <w:t>5</w:t>
      </w:r>
      <w:r w:rsidRPr="00EF0E74">
        <w:t>, 149–157. doi:10.1037/a0026642</w:t>
      </w:r>
    </w:p>
    <w:p w:rsidR="00AB2D83" w:rsidRPr="00EF0E74" w:rsidRDefault="00AB2D83" w:rsidP="00AB2D83">
      <w:pPr>
        <w:spacing w:after="0" w:line="480" w:lineRule="auto"/>
        <w:contextualSpacing/>
      </w:pPr>
      <w:r w:rsidRPr="00EF0E74">
        <w:t xml:space="preserve">American Psychiatric Association. (2013). </w:t>
      </w:r>
      <w:r w:rsidRPr="00EF0E74">
        <w:rPr>
          <w:i/>
          <w:iCs/>
        </w:rPr>
        <w:t>Diagnostic and statistical manual of mental disorders</w:t>
      </w:r>
      <w:r w:rsidRPr="00EF0E74">
        <w:tab/>
        <w:t>(5th ed.). Arlington, VA: American Psychiatric Publishing.</w:t>
      </w:r>
    </w:p>
    <w:p w:rsidR="00AB2D83" w:rsidRPr="00EF0E74" w:rsidRDefault="00AB2D83" w:rsidP="00AB2D83">
      <w:pPr>
        <w:spacing w:after="0" w:line="480" w:lineRule="auto"/>
        <w:contextualSpacing/>
      </w:pPr>
      <w:r w:rsidRPr="00EF0E74">
        <w:t xml:space="preserve">American Psychiatric Association. (2000). </w:t>
      </w:r>
      <w:r w:rsidRPr="00EF0E74">
        <w:rPr>
          <w:i/>
          <w:iCs/>
        </w:rPr>
        <w:t>Diagnostic and statistical manual of mental disorders</w:t>
      </w:r>
      <w:r w:rsidRPr="00EF0E74">
        <w:tab/>
        <w:t>(4th ed., text rev.). Washington, DC: Author.</w:t>
      </w:r>
    </w:p>
    <w:p w:rsidR="00AB2D83" w:rsidRPr="00EF0E74" w:rsidRDefault="00AB2D83" w:rsidP="00AB2D83">
      <w:pPr>
        <w:spacing w:after="0" w:line="480" w:lineRule="auto"/>
        <w:contextualSpacing/>
      </w:pPr>
      <w:r w:rsidRPr="00EF0E74">
        <w:t>American Psychiatric Association (1980).</w:t>
      </w:r>
      <w:r w:rsidRPr="00EF0E74">
        <w:rPr>
          <w:i/>
          <w:iCs/>
        </w:rPr>
        <w:t>Diagnostic and statistical manual of mental disorders</w:t>
      </w:r>
      <w:r w:rsidRPr="00EF0E74">
        <w:tab/>
        <w:t>(3rd ed., text rev.). Washington, DC: Author.</w:t>
      </w:r>
    </w:p>
    <w:p w:rsidR="00AB2D83" w:rsidRPr="00EF0E74" w:rsidRDefault="00AB2D83" w:rsidP="00AB2D83">
      <w:pPr>
        <w:spacing w:after="0" w:line="480" w:lineRule="auto"/>
        <w:contextualSpacing/>
      </w:pPr>
      <w:r w:rsidRPr="00EF0E74">
        <w:t xml:space="preserve">Balsam, K. F. (2003). Traumatic victimization in the lives of lesbian and bisexual women: A </w:t>
      </w:r>
      <w:r w:rsidRPr="00EF0E74">
        <w:tab/>
        <w:t>contextual approach</w:t>
      </w:r>
      <w:r w:rsidRPr="00EF0E74">
        <w:rPr>
          <w:i/>
        </w:rPr>
        <w:t>. Journal of Lesbian Studies, 7</w:t>
      </w:r>
      <w:r w:rsidRPr="00EF0E74">
        <w:t>, 1-14.</w:t>
      </w:r>
    </w:p>
    <w:p w:rsidR="00AB2D83" w:rsidRPr="00EF0E74" w:rsidRDefault="00AB2D83" w:rsidP="00AB2D83">
      <w:pPr>
        <w:spacing w:after="0" w:line="480" w:lineRule="auto"/>
        <w:contextualSpacing/>
      </w:pPr>
      <w:r w:rsidRPr="00EF0E74">
        <w:t xml:space="preserve">Bandermann, K. M., &amp; Szymanski, D. M. (2014). Exploring coping mediators between </w:t>
      </w:r>
    </w:p>
    <w:p w:rsidR="00AB2D83" w:rsidRPr="00EF0E74" w:rsidRDefault="00AB2D83" w:rsidP="002650E9">
      <w:pPr>
        <w:spacing w:after="0" w:line="480" w:lineRule="auto"/>
        <w:ind w:left="720"/>
        <w:contextualSpacing/>
      </w:pPr>
      <w:r w:rsidRPr="00EF0E74">
        <w:t xml:space="preserve">heterosexist oppression and posttraumatic stress symptoms among lesbian , gay , and bisexual Persons. </w:t>
      </w:r>
      <w:r w:rsidRPr="00EF0E74">
        <w:rPr>
          <w:i/>
        </w:rPr>
        <w:t>Psychology of Sexual Orientation and Gender Diversity</w:t>
      </w:r>
      <w:r w:rsidRPr="00EF0E74">
        <w:t xml:space="preserve">, </w:t>
      </w:r>
      <w:r w:rsidRPr="00EF0E74">
        <w:rPr>
          <w:i/>
        </w:rPr>
        <w:t>1</w:t>
      </w:r>
      <w:r w:rsidRPr="00EF0E74">
        <w:t>, 213–224.</w:t>
      </w:r>
    </w:p>
    <w:p w:rsidR="00AB2D83" w:rsidRPr="00EF0E74" w:rsidRDefault="00AB2D83" w:rsidP="00AB2D83">
      <w:pPr>
        <w:spacing w:after="0" w:line="480" w:lineRule="auto"/>
        <w:contextualSpacing/>
      </w:pPr>
      <w:r w:rsidRPr="00EF0E74">
        <w:t xml:space="preserve">Bentler, P. M. (1990). Comparative fit indexes in structural models. </w:t>
      </w:r>
      <w:r w:rsidRPr="00EF0E74">
        <w:rPr>
          <w:i/>
        </w:rPr>
        <w:t>Psychological Bulletin</w:t>
      </w:r>
      <w:r w:rsidRPr="00EF0E74">
        <w:t xml:space="preserve">, 107, </w:t>
      </w:r>
    </w:p>
    <w:p w:rsidR="00AB2D83" w:rsidRPr="00EF0E74" w:rsidRDefault="00AB2D83" w:rsidP="00AB2D83">
      <w:pPr>
        <w:spacing w:after="0" w:line="480" w:lineRule="auto"/>
        <w:contextualSpacing/>
      </w:pPr>
      <w:r w:rsidRPr="00EF0E74">
        <w:tab/>
        <w:t>238–246.</w:t>
      </w:r>
    </w:p>
    <w:p w:rsidR="00B74747" w:rsidRPr="00EF0E74" w:rsidRDefault="00B74747" w:rsidP="00AB2D83">
      <w:pPr>
        <w:spacing w:after="0" w:line="480" w:lineRule="auto"/>
        <w:contextualSpacing/>
      </w:pPr>
      <w:r w:rsidRPr="00EF0E74">
        <w:t xml:space="preserve">Breslau, N., Chilcoat, H., Kessler, R., &amp; Davis, G. (1998). Previous exposure to trauma and </w:t>
      </w:r>
      <w:r w:rsidRPr="00EF0E74">
        <w:tab/>
        <w:t xml:space="preserve">PTSD effect of subsequent trauma: Results from the Detroit Area Survey of Trauma. </w:t>
      </w:r>
      <w:r w:rsidRPr="00EF0E74">
        <w:tab/>
      </w:r>
      <w:r w:rsidRPr="00EF0E74">
        <w:rPr>
          <w:i/>
        </w:rPr>
        <w:t>American Journal of Psychiatry</w:t>
      </w:r>
      <w:r w:rsidRPr="00EF0E74">
        <w:t xml:space="preserve">, </w:t>
      </w:r>
      <w:r w:rsidRPr="00EF0E74">
        <w:rPr>
          <w:i/>
        </w:rPr>
        <w:t>156</w:t>
      </w:r>
      <w:r w:rsidRPr="00EF0E74">
        <w:t>, 902-907</w:t>
      </w:r>
    </w:p>
    <w:p w:rsidR="00AB2D83" w:rsidRPr="00EF0E74" w:rsidRDefault="00AB2D83" w:rsidP="00AB2D83">
      <w:pPr>
        <w:spacing w:after="0" w:line="480" w:lineRule="auto"/>
        <w:contextualSpacing/>
      </w:pPr>
      <w:r w:rsidRPr="00EF0E74">
        <w:lastRenderedPageBreak/>
        <w:t xml:space="preserve">Brewster, M. E., &amp; Moradi, B. (2010). Perceived experiences of anti-bisexual prejudice: </w:t>
      </w:r>
      <w:r w:rsidR="00B74747" w:rsidRPr="00EF0E74">
        <w:tab/>
      </w:r>
      <w:r w:rsidRPr="00EF0E74">
        <w:t xml:space="preserve">Instrument development and evaluation. </w:t>
      </w:r>
      <w:r w:rsidRPr="00EF0E74">
        <w:rPr>
          <w:i/>
          <w:iCs/>
        </w:rPr>
        <w:t>Journal of Counseling Psychology</w:t>
      </w:r>
      <w:r w:rsidRPr="00EF0E74">
        <w:t xml:space="preserve">, </w:t>
      </w:r>
      <w:r w:rsidRPr="00EF0E74">
        <w:rPr>
          <w:i/>
          <w:iCs/>
        </w:rPr>
        <w:t>57</w:t>
      </w:r>
      <w:r w:rsidRPr="00EF0E74">
        <w:t>, 451–</w:t>
      </w:r>
      <w:r w:rsidRPr="00EF0E74">
        <w:tab/>
        <w:t>468.doi:10.1037/a0021116</w:t>
      </w:r>
    </w:p>
    <w:p w:rsidR="00AB2D83" w:rsidRPr="00EF0E74" w:rsidRDefault="00AB2D83" w:rsidP="00AB2D83">
      <w:pPr>
        <w:spacing w:after="0" w:line="480" w:lineRule="auto"/>
        <w:contextualSpacing/>
      </w:pPr>
      <w:r w:rsidRPr="00EF0E74">
        <w:t xml:space="preserve">Burleson, W. E. (2005). </w:t>
      </w:r>
      <w:r w:rsidRPr="00EF0E74">
        <w:rPr>
          <w:i/>
        </w:rPr>
        <w:t>Bi America: Myths, truths, and struggles of an invisible community</w:t>
      </w:r>
      <w:r w:rsidRPr="00EF0E74">
        <w:t xml:space="preserve">. </w:t>
      </w:r>
      <w:r w:rsidRPr="00EF0E74">
        <w:tab/>
        <w:t>New York, NY: Harrington Park Press.</w:t>
      </w:r>
    </w:p>
    <w:p w:rsidR="00AB2D83" w:rsidRPr="00EF0E74" w:rsidRDefault="00AB2D83" w:rsidP="00AB2D83">
      <w:pPr>
        <w:spacing w:after="0" w:line="480" w:lineRule="auto"/>
        <w:contextualSpacing/>
      </w:pPr>
      <w:r w:rsidRPr="00EF0E74">
        <w:t xml:space="preserve">Carlson, E. </w:t>
      </w:r>
      <w:r w:rsidR="00E84EF5" w:rsidRPr="00EF0E74">
        <w:t>B., Smith, S. R., Palmieri, P. A.</w:t>
      </w:r>
      <w:r w:rsidRPr="00EF0E74">
        <w:t xml:space="preserve">, Dalenberg, C., Ruzek, J. I., Kimerling, R., … Spain, </w:t>
      </w:r>
      <w:r w:rsidRPr="00EF0E74">
        <w:tab/>
      </w:r>
      <w:r w:rsidR="00E84EF5" w:rsidRPr="00EF0E74">
        <w:t>D. A</w:t>
      </w:r>
      <w:r w:rsidRPr="00EF0E74">
        <w:t xml:space="preserve">. (2011). Development and validation of a brief self-report measure of trauma </w:t>
      </w:r>
      <w:r w:rsidRPr="00EF0E74">
        <w:tab/>
        <w:t xml:space="preserve">exposure: the Trauma History Screen. </w:t>
      </w:r>
      <w:r w:rsidRPr="00EF0E74">
        <w:rPr>
          <w:i/>
          <w:iCs/>
        </w:rPr>
        <w:t>Psychological assessment</w:t>
      </w:r>
      <w:r w:rsidRPr="00EF0E74">
        <w:t xml:space="preserve">, </w:t>
      </w:r>
      <w:r w:rsidRPr="00EF0E74">
        <w:rPr>
          <w:i/>
          <w:iCs/>
        </w:rPr>
        <w:t>23</w:t>
      </w:r>
      <w:r w:rsidRPr="00EF0E74">
        <w:t>, 463–</w:t>
      </w:r>
      <w:r w:rsidR="00994392" w:rsidRPr="00EF0E74">
        <w:t>4</w:t>
      </w:r>
      <w:r w:rsidRPr="00EF0E74">
        <w:t xml:space="preserve">77. </w:t>
      </w:r>
      <w:r w:rsidRPr="00EF0E74">
        <w:tab/>
        <w:t>doi:10.1037/a0022294</w:t>
      </w:r>
    </w:p>
    <w:p w:rsidR="00380C59" w:rsidRPr="00EF0E74" w:rsidRDefault="00380C59" w:rsidP="00AB2D83">
      <w:pPr>
        <w:spacing w:after="0" w:line="480" w:lineRule="auto"/>
        <w:contextualSpacing/>
      </w:pPr>
      <w:r w:rsidRPr="00EF0E74">
        <w:t xml:space="preserve">Cheng, H., &amp; Mallinckrodt, B. (2015). Racial/ethnic discrimination, posttraumatic stress </w:t>
      </w:r>
      <w:r w:rsidRPr="00EF0E74">
        <w:tab/>
        <w:t xml:space="preserve">symptoms, and alcohol problems in a longitudinal study of Hispanic/Latino college </w:t>
      </w:r>
      <w:r w:rsidRPr="00EF0E74">
        <w:tab/>
        <w:t>students.</w:t>
      </w:r>
      <w:r w:rsidRPr="00EF0E74">
        <w:rPr>
          <w:i/>
          <w:iCs/>
        </w:rPr>
        <w:t> Journal of Counseling Psychology, 62</w:t>
      </w:r>
      <w:r w:rsidRPr="00EF0E74">
        <w:t xml:space="preserve">, 38-49. </w:t>
      </w:r>
      <w:r w:rsidRPr="00EF0E74">
        <w:tab/>
        <w:t>doi:http://dx.doi.org/10.1037/cou0000052</w:t>
      </w:r>
    </w:p>
    <w:p w:rsidR="00E84EF5" w:rsidRPr="00EF0E74" w:rsidRDefault="00E84EF5" w:rsidP="00AB2D83">
      <w:pPr>
        <w:spacing w:after="0" w:line="480" w:lineRule="auto"/>
        <w:contextualSpacing/>
      </w:pPr>
      <w:r w:rsidRPr="00EF0E74">
        <w:t xml:space="preserve">Cohen, J. (1988). </w:t>
      </w:r>
      <w:r w:rsidRPr="00EF0E74">
        <w:rPr>
          <w:i/>
        </w:rPr>
        <w:t>Statistical power analysis for the behavioral sciences</w:t>
      </w:r>
      <w:r w:rsidRPr="00EF0E74">
        <w:t xml:space="preserve"> (2nd ed.), Hillsdale, NJ: </w:t>
      </w:r>
      <w:r w:rsidRPr="00EF0E74">
        <w:tab/>
        <w:t>Erlbaum.</w:t>
      </w:r>
    </w:p>
    <w:p w:rsidR="00CD04BC" w:rsidRPr="00EF0E74" w:rsidRDefault="00CD04BC" w:rsidP="00AB2D83">
      <w:pPr>
        <w:spacing w:after="0" w:line="480" w:lineRule="auto"/>
        <w:contextualSpacing/>
      </w:pPr>
      <w:r w:rsidRPr="00EF0E74">
        <w:t>Dolezsar, C. M., Mcgrath, J. J., Herzig, A. J. M., &amp; M</w:t>
      </w:r>
      <w:r w:rsidR="005B41AF" w:rsidRPr="00EF0E74">
        <w:t>iller, S. B. (2014). Perceived r</w:t>
      </w:r>
      <w:r w:rsidRPr="00EF0E74">
        <w:t xml:space="preserve">acial </w:t>
      </w:r>
    </w:p>
    <w:p w:rsidR="005B41AF" w:rsidRPr="00EF0E74" w:rsidRDefault="00CD04BC" w:rsidP="00AB2D83">
      <w:pPr>
        <w:spacing w:after="0" w:line="480" w:lineRule="auto"/>
        <w:contextualSpacing/>
        <w:rPr>
          <w:i/>
        </w:rPr>
      </w:pPr>
      <w:r w:rsidRPr="00EF0E74">
        <w:tab/>
      </w:r>
      <w:r w:rsidR="005B41AF" w:rsidRPr="00EF0E74">
        <w:t xml:space="preserve">discrimination and hypertension : A comprehensive systematic review. </w:t>
      </w:r>
    </w:p>
    <w:p w:rsidR="00CD04BC" w:rsidRPr="00EF0E74" w:rsidRDefault="005B41AF" w:rsidP="00AB2D83">
      <w:pPr>
        <w:spacing w:after="0" w:line="480" w:lineRule="auto"/>
        <w:contextualSpacing/>
      </w:pPr>
      <w:r w:rsidRPr="00EF0E74">
        <w:rPr>
          <w:i/>
        </w:rPr>
        <w:tab/>
        <w:t>Health Psychology</w:t>
      </w:r>
      <w:r w:rsidRPr="00EF0E74">
        <w:t>,</w:t>
      </w:r>
      <w:r w:rsidR="00CD04BC" w:rsidRPr="00EF0E74">
        <w:t xml:space="preserve"> </w:t>
      </w:r>
      <w:r w:rsidR="00CD04BC" w:rsidRPr="00EF0E74">
        <w:rPr>
          <w:i/>
          <w:iCs/>
        </w:rPr>
        <w:t>33</w:t>
      </w:r>
      <w:r w:rsidR="00CD04BC" w:rsidRPr="00EF0E74">
        <w:t>, 20–34.</w:t>
      </w:r>
    </w:p>
    <w:p w:rsidR="00AB2D83" w:rsidRPr="00EF0E74" w:rsidRDefault="00AB2D83" w:rsidP="00AB2D83">
      <w:pPr>
        <w:spacing w:after="0" w:line="480" w:lineRule="auto"/>
        <w:contextualSpacing/>
      </w:pPr>
      <w:r w:rsidRPr="00EF0E74">
        <w:t xml:space="preserve">Deihl, M. &amp; Ochs, O. (2010). Biphobia. In M. Adams, W. J. Blumenfeld, C. R. Casteñeda, H. W. </w:t>
      </w:r>
    </w:p>
    <w:p w:rsidR="00AB2D83" w:rsidRPr="00EF0E74" w:rsidRDefault="00AB2D83" w:rsidP="00AB2D83">
      <w:pPr>
        <w:spacing w:after="0" w:line="480" w:lineRule="auto"/>
        <w:contextualSpacing/>
      </w:pPr>
      <w:r w:rsidRPr="00EF0E74">
        <w:tab/>
        <w:t xml:space="preserve">Hackman, M. L. Peters, &amp;X. Zúñiga (Eds.), </w:t>
      </w:r>
      <w:r w:rsidRPr="00EF0E74">
        <w:rPr>
          <w:i/>
        </w:rPr>
        <w:t>Readings for diversity and social justice</w:t>
      </w:r>
      <w:r w:rsidRPr="00EF0E74">
        <w:tab/>
        <w:t xml:space="preserve">(2nd ed., pp. 276-280). New York, NY: Routledge. </w:t>
      </w:r>
    </w:p>
    <w:p w:rsidR="00AB2D83" w:rsidRPr="00EF0E74" w:rsidRDefault="00576888" w:rsidP="00AB2D83">
      <w:pPr>
        <w:spacing w:after="0" w:line="480" w:lineRule="auto"/>
        <w:contextualSpacing/>
      </w:pPr>
      <w:r w:rsidRPr="00EF0E74">
        <w:t>Dragowski, E. A</w:t>
      </w:r>
      <w:r w:rsidR="00AB2D83" w:rsidRPr="00EF0E74">
        <w:t xml:space="preserve">., Halkitis, P. N., Grossman, A. H., &amp;D’Augelli, A. R. (2011). Sexual </w:t>
      </w:r>
      <w:r w:rsidR="00AB2D83" w:rsidRPr="00EF0E74">
        <w:tab/>
        <w:t xml:space="preserve">orientation victimization and posttraumatic stress symptoms among lesbian, gay, and </w:t>
      </w:r>
      <w:r w:rsidR="00AB2D83" w:rsidRPr="00EF0E74">
        <w:lastRenderedPageBreak/>
        <w:tab/>
        <w:t xml:space="preserve">bisexual youth. </w:t>
      </w:r>
      <w:r w:rsidR="00AB2D83" w:rsidRPr="00EF0E74">
        <w:rPr>
          <w:i/>
          <w:iCs/>
        </w:rPr>
        <w:t>Journal of Gay &amp; Lesbian Social Services</w:t>
      </w:r>
      <w:r w:rsidR="00AB2D83" w:rsidRPr="00EF0E74">
        <w:t xml:space="preserve">, </w:t>
      </w:r>
      <w:r w:rsidR="00AB2D83" w:rsidRPr="00EF0E74">
        <w:rPr>
          <w:i/>
          <w:iCs/>
        </w:rPr>
        <w:t>23</w:t>
      </w:r>
      <w:r w:rsidR="00AB2D83" w:rsidRPr="00EF0E74">
        <w:t xml:space="preserve">, 226–249. </w:t>
      </w:r>
      <w:r w:rsidR="00AB2D83" w:rsidRPr="00EF0E74">
        <w:tab/>
        <w:t>doi:10.1080/10538720.2010.541028</w:t>
      </w:r>
    </w:p>
    <w:p w:rsidR="00576888" w:rsidRPr="00EF0E74" w:rsidRDefault="00576888" w:rsidP="00AB2D83">
      <w:pPr>
        <w:spacing w:after="0" w:line="480" w:lineRule="auto"/>
        <w:contextualSpacing/>
      </w:pPr>
      <w:r w:rsidRPr="00EF0E74">
        <w:t>Denton, F. N., Rostosky, S. S., &amp; Danner, F. (2014). Stigma-related stressors, coping self-</w:t>
      </w:r>
    </w:p>
    <w:p w:rsidR="00576888" w:rsidRPr="00EF0E74" w:rsidRDefault="00576888" w:rsidP="00AB2D83">
      <w:pPr>
        <w:spacing w:after="0" w:line="480" w:lineRule="auto"/>
        <w:contextualSpacing/>
      </w:pPr>
      <w:r w:rsidRPr="00EF0E74">
        <w:tab/>
        <w:t xml:space="preserve">efficacy , and physical health in lesbian, gay, and bisexual individuals. </w:t>
      </w:r>
      <w:r w:rsidRPr="00EF0E74">
        <w:rPr>
          <w:i/>
        </w:rPr>
        <w:t xml:space="preserve">Journal of </w:t>
      </w:r>
      <w:r w:rsidRPr="00EF0E74">
        <w:rPr>
          <w:i/>
        </w:rPr>
        <w:tab/>
        <w:t>Counseling Psychology</w:t>
      </w:r>
      <w:r w:rsidRPr="00EF0E74">
        <w:t xml:space="preserve">, </w:t>
      </w:r>
      <w:r w:rsidRPr="00EF0E74">
        <w:rPr>
          <w:i/>
          <w:iCs/>
        </w:rPr>
        <w:t>61</w:t>
      </w:r>
      <w:r w:rsidRPr="00EF0E74">
        <w:t>, 383–391.</w:t>
      </w:r>
    </w:p>
    <w:p w:rsidR="00AB2D83" w:rsidRPr="00EF0E74" w:rsidRDefault="00576888" w:rsidP="00AB2D83">
      <w:pPr>
        <w:spacing w:after="0" w:line="480" w:lineRule="auto"/>
        <w:contextualSpacing/>
      </w:pPr>
      <w:r w:rsidRPr="00EF0E74">
        <w:t xml:space="preserve"> </w:t>
      </w:r>
      <w:r w:rsidR="00AB2D83" w:rsidRPr="00EF0E74">
        <w:t xml:space="preserve">Dyar, C., Feinstein, B. A., &amp; London, B. (2014). Dimensions of sexual identity and minority </w:t>
      </w:r>
    </w:p>
    <w:p w:rsidR="00AB2D83" w:rsidRPr="00EF0E74" w:rsidRDefault="00AB2D83" w:rsidP="00AB2D83">
      <w:pPr>
        <w:spacing w:after="0" w:line="480" w:lineRule="auto"/>
        <w:contextualSpacing/>
        <w:rPr>
          <w:i/>
        </w:rPr>
      </w:pPr>
      <w:r w:rsidRPr="00EF0E74">
        <w:tab/>
        <w:t xml:space="preserve">stress among bisexual women : The role of partner gender. </w:t>
      </w:r>
      <w:r w:rsidRPr="00EF0E74">
        <w:rPr>
          <w:i/>
        </w:rPr>
        <w:t>Psychology</w:t>
      </w:r>
      <w:r w:rsidRPr="00EF0E74">
        <w:t xml:space="preserve"> </w:t>
      </w:r>
      <w:r w:rsidRPr="00EF0E74">
        <w:rPr>
          <w:i/>
        </w:rPr>
        <w:t>of Sexual</w:t>
      </w:r>
    </w:p>
    <w:p w:rsidR="00AB2D83" w:rsidRPr="00EF0E74" w:rsidRDefault="00AB2D83" w:rsidP="00AB2D83">
      <w:pPr>
        <w:spacing w:after="0" w:line="480" w:lineRule="auto"/>
        <w:ind w:firstLine="720"/>
        <w:contextualSpacing/>
      </w:pPr>
      <w:r w:rsidRPr="00EF0E74">
        <w:rPr>
          <w:i/>
          <w:iCs/>
        </w:rPr>
        <w:t>Orientation and Gender Diversity, 1</w:t>
      </w:r>
      <w:r w:rsidRPr="00EF0E74">
        <w:t>, 441–451.</w:t>
      </w:r>
    </w:p>
    <w:p w:rsidR="00AB2D83" w:rsidRPr="00EF0E74" w:rsidRDefault="00AB2D83" w:rsidP="00AB2D83">
      <w:pPr>
        <w:spacing w:after="0" w:line="480" w:lineRule="auto"/>
        <w:contextualSpacing/>
      </w:pPr>
      <w:r w:rsidRPr="00EF0E74">
        <w:t xml:space="preserve">Eliason, M. (2001). Bi-negativity: The stigma facing bisexual men. </w:t>
      </w:r>
      <w:r w:rsidRPr="00EF0E74">
        <w:rPr>
          <w:i/>
        </w:rPr>
        <w:t>Journal of Bisexuality, 1</w:t>
      </w:r>
      <w:r w:rsidRPr="00EF0E74">
        <w:t xml:space="preserve">, </w:t>
      </w:r>
      <w:r w:rsidRPr="00EF0E74">
        <w:tab/>
        <w:t>137–154.doi:10.1300/J159v01n02_05</w:t>
      </w:r>
    </w:p>
    <w:p w:rsidR="00AB2D83" w:rsidRPr="00EF0E74" w:rsidRDefault="00AB2D83" w:rsidP="00AB2D83">
      <w:pPr>
        <w:spacing w:after="0" w:line="480" w:lineRule="auto"/>
        <w:contextualSpacing/>
      </w:pPr>
      <w:r w:rsidRPr="00EF0E74">
        <w:t xml:space="preserve">Epstein, J., &amp; Klikenberg, W. D. (2002). Collecting data via the Internet: The development and </w:t>
      </w:r>
    </w:p>
    <w:p w:rsidR="00AB2D83" w:rsidRPr="00EF0E74" w:rsidRDefault="00AB2D83" w:rsidP="00AB2D83">
      <w:pPr>
        <w:spacing w:after="0" w:line="480" w:lineRule="auto"/>
        <w:ind w:left="720"/>
        <w:contextualSpacing/>
      </w:pPr>
      <w:r w:rsidRPr="00EF0E74">
        <w:t xml:space="preserve">deployment of a Web-based survey. </w:t>
      </w:r>
      <w:r w:rsidRPr="00EF0E74">
        <w:rPr>
          <w:i/>
        </w:rPr>
        <w:t>Journal of Technology in Human Services</w:t>
      </w:r>
      <w:r w:rsidRPr="00EF0E74">
        <w:t xml:space="preserve">, </w:t>
      </w:r>
      <w:r w:rsidRPr="00EF0E74">
        <w:rPr>
          <w:i/>
        </w:rPr>
        <w:t>19</w:t>
      </w:r>
      <w:r w:rsidRPr="00EF0E74">
        <w:t>, 33–47. doi:10.1300/J017v19n02_04</w:t>
      </w:r>
    </w:p>
    <w:p w:rsidR="00AB2D83" w:rsidRPr="00EF0E74" w:rsidRDefault="002169A4" w:rsidP="00AB2D83">
      <w:pPr>
        <w:spacing w:after="0" w:line="480" w:lineRule="auto"/>
        <w:contextualSpacing/>
      </w:pPr>
      <w:r w:rsidRPr="00EF0E74">
        <w:t>Feinstein, B. A.</w:t>
      </w:r>
      <w:r w:rsidR="00AB2D83" w:rsidRPr="00EF0E74">
        <w:t xml:space="preserve">, Goldfried, M. R., &amp; Davila, J. (2012). The relationship between experiences of </w:t>
      </w:r>
      <w:r w:rsidR="00AB2D83" w:rsidRPr="00EF0E74">
        <w:tab/>
        <w:t xml:space="preserve">discrimination and mental health among lesbians and gay men: An examination of </w:t>
      </w:r>
      <w:r w:rsidR="00AB2D83" w:rsidRPr="00EF0E74">
        <w:tab/>
        <w:t xml:space="preserve">internalized homonegativity and rejection sensitivity as potential mechanisms. </w:t>
      </w:r>
      <w:r w:rsidR="00AB2D83" w:rsidRPr="00EF0E74">
        <w:rPr>
          <w:i/>
          <w:iCs/>
        </w:rPr>
        <w:t xml:space="preserve">Journal of </w:t>
      </w:r>
      <w:r w:rsidR="00AB2D83" w:rsidRPr="00EF0E74">
        <w:rPr>
          <w:i/>
          <w:iCs/>
        </w:rPr>
        <w:tab/>
        <w:t>consulting and clinical psychology</w:t>
      </w:r>
      <w:r w:rsidR="00AB2D83" w:rsidRPr="00EF0E74">
        <w:t xml:space="preserve">, </w:t>
      </w:r>
      <w:r w:rsidR="00AB2D83" w:rsidRPr="00EF0E74">
        <w:rPr>
          <w:i/>
          <w:iCs/>
        </w:rPr>
        <w:t>80</w:t>
      </w:r>
      <w:r w:rsidR="00AB2D83" w:rsidRPr="00EF0E74">
        <w:t>, 917–</w:t>
      </w:r>
      <w:r w:rsidR="00994392" w:rsidRPr="00EF0E74">
        <w:t>9</w:t>
      </w:r>
      <w:r w:rsidR="00AB2D83" w:rsidRPr="00EF0E74">
        <w:t>27. doi:10.1037/a0029425</w:t>
      </w:r>
    </w:p>
    <w:p w:rsidR="00AB2D83" w:rsidRPr="00EF0E74" w:rsidRDefault="00AB2D83" w:rsidP="00AB2D83">
      <w:pPr>
        <w:spacing w:after="0" w:line="480" w:lineRule="auto"/>
        <w:contextualSpacing/>
      </w:pPr>
      <w:r w:rsidRPr="00EF0E74">
        <w:t xml:space="preserve">Flores, E., Tschann, J. M., Dimas, J. M., Pasch, L. a, &amp; de Groat, C. L. (2010). Perceived </w:t>
      </w:r>
      <w:r w:rsidRPr="00EF0E74">
        <w:tab/>
        <w:t xml:space="preserve">racial/ethnic discrimination, posttraumatic stress symptoms, and health risk behaviors </w:t>
      </w:r>
      <w:r w:rsidRPr="00EF0E74">
        <w:tab/>
        <w:t xml:space="preserve">among Mexican American adolescents. </w:t>
      </w:r>
      <w:r w:rsidR="00994392" w:rsidRPr="00EF0E74">
        <w:rPr>
          <w:i/>
          <w:iCs/>
        </w:rPr>
        <w:t>Journal of Counseling P</w:t>
      </w:r>
      <w:r w:rsidRPr="00EF0E74">
        <w:rPr>
          <w:i/>
          <w:iCs/>
        </w:rPr>
        <w:t>sychology</w:t>
      </w:r>
      <w:r w:rsidRPr="00EF0E74">
        <w:t xml:space="preserve">, </w:t>
      </w:r>
      <w:r w:rsidRPr="00EF0E74">
        <w:rPr>
          <w:i/>
          <w:iCs/>
        </w:rPr>
        <w:t>57</w:t>
      </w:r>
      <w:r w:rsidRPr="00EF0E74">
        <w:t xml:space="preserve">, 264–73. </w:t>
      </w:r>
      <w:r w:rsidRPr="00EF0E74">
        <w:tab/>
        <w:t>doi:10.1037/a0020026</w:t>
      </w:r>
    </w:p>
    <w:p w:rsidR="00AB2D83" w:rsidRPr="00EF0E74" w:rsidRDefault="00AB2D83" w:rsidP="00AB2D83">
      <w:pPr>
        <w:spacing w:after="0" w:line="480" w:lineRule="auto"/>
        <w:contextualSpacing/>
        <w:rPr>
          <w:i/>
        </w:rPr>
      </w:pPr>
      <w:r w:rsidRPr="00EF0E74">
        <w:t xml:space="preserve">Fox, S. (2005). </w:t>
      </w:r>
      <w:r w:rsidRPr="00EF0E74">
        <w:rPr>
          <w:i/>
        </w:rPr>
        <w:t xml:space="preserve">Digital divisions: There are clear differences among those with broadband </w:t>
      </w:r>
    </w:p>
    <w:p w:rsidR="00AB2D83" w:rsidRPr="00EF0E74" w:rsidRDefault="00AB2D83" w:rsidP="00AB2D83">
      <w:pPr>
        <w:spacing w:after="0" w:line="480" w:lineRule="auto"/>
        <w:ind w:left="720"/>
        <w:contextualSpacing/>
      </w:pPr>
      <w:r w:rsidRPr="00EF0E74">
        <w:rPr>
          <w:i/>
        </w:rPr>
        <w:lastRenderedPageBreak/>
        <w:t>connections, dial-up connections, and no connections at all to the internet</w:t>
      </w:r>
      <w:r w:rsidRPr="00EF0E74">
        <w:t>. Washington, DC: Pew.</w:t>
      </w:r>
    </w:p>
    <w:p w:rsidR="00AB2D83" w:rsidRPr="00EF0E74" w:rsidRDefault="00AB2D83" w:rsidP="00AB2D83">
      <w:pPr>
        <w:spacing w:after="0" w:line="480" w:lineRule="auto"/>
        <w:contextualSpacing/>
      </w:pPr>
      <w:r w:rsidRPr="00EF0E74">
        <w:t xml:space="preserve">Frost, D. M., Lehavot, K., &amp; Meyer, I. H. (2013). Minority stress and physical health among </w:t>
      </w:r>
      <w:r w:rsidRPr="00EF0E74">
        <w:tab/>
        <w:t xml:space="preserve">sexual minority individuals. </w:t>
      </w:r>
      <w:r w:rsidRPr="00EF0E74">
        <w:rPr>
          <w:i/>
          <w:iCs/>
        </w:rPr>
        <w:t>Journal of Behavioral Medicine</w:t>
      </w:r>
      <w:r w:rsidR="00994392" w:rsidRPr="00EF0E74">
        <w:t xml:space="preserve">, </w:t>
      </w:r>
      <w:r w:rsidR="00994392" w:rsidRPr="00EF0E74">
        <w:rPr>
          <w:i/>
        </w:rPr>
        <w:t>38</w:t>
      </w:r>
      <w:r w:rsidR="00994392" w:rsidRPr="00EF0E74">
        <w:t xml:space="preserve">, 1-8. </w:t>
      </w:r>
      <w:r w:rsidR="00994392" w:rsidRPr="00EF0E74">
        <w:tab/>
      </w:r>
      <w:r w:rsidRPr="00EF0E74">
        <w:t>doi:10.1007/s10865-013-9523-8</w:t>
      </w:r>
    </w:p>
    <w:p w:rsidR="00AB2D83" w:rsidRPr="00EF0E74" w:rsidRDefault="00AB2D83" w:rsidP="00AB2D83">
      <w:pPr>
        <w:spacing w:after="0" w:line="480" w:lineRule="auto"/>
        <w:contextualSpacing/>
      </w:pPr>
      <w:r w:rsidRPr="00EF0E74">
        <w:t xml:space="preserve">Gosling, S. D., Vazire, S., Srivastava, S., &amp; John, O. (2004). Should we trust Web-based studies? </w:t>
      </w:r>
    </w:p>
    <w:p w:rsidR="00AB2D83" w:rsidRPr="00EF0E74" w:rsidRDefault="00AB2D83" w:rsidP="00AB2D83">
      <w:pPr>
        <w:spacing w:after="0" w:line="480" w:lineRule="auto"/>
        <w:ind w:left="720"/>
        <w:contextualSpacing/>
      </w:pPr>
      <w:r w:rsidRPr="00EF0E74">
        <w:t xml:space="preserve">A comparative analysis of six preconceptions about Internet questionnaires. </w:t>
      </w:r>
      <w:r w:rsidRPr="00EF0E74">
        <w:rPr>
          <w:i/>
        </w:rPr>
        <w:t>American Psychologist</w:t>
      </w:r>
      <w:r w:rsidRPr="00EF0E74">
        <w:t xml:space="preserve">, </w:t>
      </w:r>
      <w:r w:rsidRPr="00EF0E74">
        <w:rPr>
          <w:i/>
        </w:rPr>
        <w:t>59</w:t>
      </w:r>
      <w:r w:rsidRPr="00EF0E74">
        <w:t>, 93–104.</w:t>
      </w:r>
    </w:p>
    <w:p w:rsidR="00AB2D83" w:rsidRPr="00EF0E74" w:rsidRDefault="00AB2D83" w:rsidP="00AB2D83">
      <w:pPr>
        <w:spacing w:after="0" w:line="480" w:lineRule="auto"/>
        <w:contextualSpacing/>
      </w:pPr>
      <w:r w:rsidRPr="00EF0E74">
        <w:t>Hatzenbeuhler, M. L. (2009). How does sexual minority stigma "Get under the skin"? A</w:t>
      </w:r>
      <w:r w:rsidRPr="00EF0E74">
        <w:tab/>
        <w:t xml:space="preserve">psychological mediation framework. </w:t>
      </w:r>
      <w:r w:rsidRPr="00EF0E74">
        <w:rPr>
          <w:i/>
        </w:rPr>
        <w:t>Psychological Bulletin</w:t>
      </w:r>
      <w:r w:rsidRPr="00EF0E74">
        <w:t xml:space="preserve">, </w:t>
      </w:r>
      <w:r w:rsidRPr="00EF0E74">
        <w:rPr>
          <w:i/>
        </w:rPr>
        <w:t>135</w:t>
      </w:r>
      <w:r w:rsidRPr="00EF0E74">
        <w:t>, 707-730.</w:t>
      </w:r>
    </w:p>
    <w:p w:rsidR="00AB2D83" w:rsidRPr="00EF0E74" w:rsidRDefault="00AB2D83" w:rsidP="00AB2D83">
      <w:pPr>
        <w:spacing w:after="0" w:line="480" w:lineRule="auto"/>
        <w:contextualSpacing/>
      </w:pPr>
      <w:r w:rsidRPr="00EF0E74">
        <w:t xml:space="preserve">Hatzenbuehler, M. L., Nolen-Hoeksema, S., &amp; Erickson, S. J. (2008). Minority stress predictors </w:t>
      </w:r>
    </w:p>
    <w:p w:rsidR="00AB2D83" w:rsidRPr="00EF0E74" w:rsidRDefault="00AB2D83" w:rsidP="00AB2D83">
      <w:pPr>
        <w:spacing w:after="0" w:line="480" w:lineRule="auto"/>
        <w:ind w:left="720"/>
        <w:contextualSpacing/>
      </w:pPr>
      <w:r w:rsidRPr="00EF0E74">
        <w:t xml:space="preserve">of HIV risk behavior, substance use, and depressive symptoms: results from a prospective study of bereaved gay men. </w:t>
      </w:r>
      <w:r w:rsidRPr="00EF0E74">
        <w:rPr>
          <w:i/>
        </w:rPr>
        <w:t>Health Psychology : Official Journal of the Division of Health Psychology, American Psychological Association</w:t>
      </w:r>
      <w:r w:rsidRPr="00EF0E74">
        <w:t xml:space="preserve">, </w:t>
      </w:r>
      <w:r w:rsidRPr="00EF0E74">
        <w:rPr>
          <w:i/>
        </w:rPr>
        <w:t>27</w:t>
      </w:r>
      <w:r w:rsidRPr="00EF0E74">
        <w:t>, 455–</w:t>
      </w:r>
      <w:r w:rsidR="00994392" w:rsidRPr="00EF0E74">
        <w:t>4</w:t>
      </w:r>
      <w:r w:rsidRPr="00EF0E74">
        <w:t>62. doi:10.1037/0278-6133.27.4.455</w:t>
      </w:r>
    </w:p>
    <w:p w:rsidR="00AB2D83" w:rsidRPr="00EF0E74" w:rsidRDefault="00AB2D83" w:rsidP="00AB2D83">
      <w:pPr>
        <w:spacing w:after="0" w:line="480" w:lineRule="auto"/>
        <w:contextualSpacing/>
      </w:pPr>
      <w:r w:rsidRPr="00EF0E74">
        <w:t xml:space="preserve">Herek, G. M., Gillis, J. R., &amp; Cogan, J. C. (1999).Psychological sequelae of hate-crime </w:t>
      </w:r>
      <w:r w:rsidRPr="00EF0E74">
        <w:tab/>
        <w:t xml:space="preserve">victimization among lesbian, gay, and bisexual adults. </w:t>
      </w:r>
      <w:r w:rsidRPr="00EF0E74">
        <w:rPr>
          <w:i/>
          <w:iCs/>
        </w:rPr>
        <w:t xml:space="preserve">Journal of Consulting and Clinical </w:t>
      </w:r>
      <w:r w:rsidRPr="00EF0E74">
        <w:rPr>
          <w:i/>
          <w:iCs/>
        </w:rPr>
        <w:tab/>
        <w:t>Psychology</w:t>
      </w:r>
      <w:r w:rsidRPr="00EF0E74">
        <w:t xml:space="preserve">, </w:t>
      </w:r>
      <w:r w:rsidRPr="00EF0E74">
        <w:rPr>
          <w:i/>
          <w:iCs/>
        </w:rPr>
        <w:t>67</w:t>
      </w:r>
      <w:r w:rsidR="00994392" w:rsidRPr="00EF0E74">
        <w:t xml:space="preserve">, 945–951. Retrieved from </w:t>
      </w:r>
      <w:r w:rsidRPr="00EF0E74">
        <w:t>http://www.ncbi.nlm.</w:t>
      </w:r>
      <w:r w:rsidR="00994392" w:rsidRPr="00EF0E74">
        <w:t xml:space="preserve"> </w:t>
      </w:r>
      <w:r w:rsidR="00994392" w:rsidRPr="00EF0E74">
        <w:tab/>
      </w:r>
      <w:r w:rsidRPr="00EF0E74">
        <w:t>nih.gov/pubmed/10596515</w:t>
      </w:r>
    </w:p>
    <w:p w:rsidR="00AB2D83" w:rsidRPr="00EF0E74" w:rsidRDefault="00AB2D83" w:rsidP="00AB2D83">
      <w:pPr>
        <w:spacing w:after="0" w:line="480" w:lineRule="auto"/>
        <w:contextualSpacing/>
      </w:pPr>
      <w:r w:rsidRPr="00EF0E74">
        <w:t>Hu, L.,</w:t>
      </w:r>
      <w:r w:rsidRPr="00EF0E74">
        <w:tab/>
        <w:t xml:space="preserve">&amp; Bentler, P. M. (1999). Cutoff criteria for fit indexes in covariance structure analysis: </w:t>
      </w:r>
      <w:r w:rsidRPr="00EF0E74">
        <w:tab/>
        <w:t xml:space="preserve">Conventional criteria versus new alternatives. </w:t>
      </w:r>
      <w:r w:rsidRPr="00EF0E74">
        <w:rPr>
          <w:i/>
        </w:rPr>
        <w:t>Structural Equation Modeling</w:t>
      </w:r>
      <w:r w:rsidRPr="00EF0E74">
        <w:t>,</w:t>
      </w:r>
      <w:r w:rsidRPr="00EF0E74">
        <w:rPr>
          <w:i/>
        </w:rPr>
        <w:t xml:space="preserve"> 6</w:t>
      </w:r>
      <w:r w:rsidRPr="00EF0E74">
        <w:t xml:space="preserve">, 1–55. </w:t>
      </w:r>
      <w:r w:rsidRPr="00EF0E74">
        <w:tab/>
        <w:t>doi:10.1080/10705519909540118</w:t>
      </w:r>
    </w:p>
    <w:p w:rsidR="00AB2D83" w:rsidRPr="00EF0E74" w:rsidRDefault="00AB2D83" w:rsidP="00AB2D83">
      <w:pPr>
        <w:spacing w:after="0" w:line="480" w:lineRule="auto"/>
        <w:contextualSpacing/>
      </w:pPr>
      <w:r w:rsidRPr="00EF0E74">
        <w:lastRenderedPageBreak/>
        <w:t xml:space="preserve">Huebner, D. M., &amp; Davis, M. C. (2007).Perceived antigay discrimination and physical health </w:t>
      </w:r>
      <w:r w:rsidRPr="00EF0E74">
        <w:tab/>
        <w:t xml:space="preserve">outcomes. </w:t>
      </w:r>
      <w:r w:rsidRPr="00EF0E74">
        <w:rPr>
          <w:i/>
          <w:iCs/>
        </w:rPr>
        <w:t>Health psychology</w:t>
      </w:r>
      <w:r w:rsidRPr="00EF0E74">
        <w:t xml:space="preserve">, </w:t>
      </w:r>
      <w:r w:rsidRPr="00EF0E74">
        <w:rPr>
          <w:i/>
          <w:iCs/>
        </w:rPr>
        <w:t>26</w:t>
      </w:r>
      <w:r w:rsidRPr="00EF0E74">
        <w:t>(5), 627–34. doi:10.1037/0278-6133.26.5.627</w:t>
      </w:r>
    </w:p>
    <w:p w:rsidR="00AC59E5" w:rsidRPr="00EF0E74" w:rsidRDefault="00AC59E5" w:rsidP="00AB2D83">
      <w:pPr>
        <w:spacing w:after="0" w:line="480" w:lineRule="auto"/>
        <w:contextualSpacing/>
      </w:pPr>
      <w:r w:rsidRPr="00EF0E74">
        <w:t xml:space="preserve">Institute of Medicine. (2011). </w:t>
      </w:r>
      <w:r w:rsidRPr="00EF0E74">
        <w:rPr>
          <w:i/>
        </w:rPr>
        <w:t>The</w:t>
      </w:r>
      <w:r w:rsidR="00994392" w:rsidRPr="00EF0E74">
        <w:rPr>
          <w:i/>
        </w:rPr>
        <w:t xml:space="preserve"> health of lesbian, gay, bisex</w:t>
      </w:r>
      <w:r w:rsidRPr="00EF0E74">
        <w:rPr>
          <w:i/>
        </w:rPr>
        <w:t xml:space="preserve">ual, and transgender people: </w:t>
      </w:r>
      <w:r w:rsidRPr="00EF0E74">
        <w:rPr>
          <w:i/>
        </w:rPr>
        <w:tab/>
        <w:t>Building a foundation for better understanding</w:t>
      </w:r>
      <w:r w:rsidRPr="00EF0E74">
        <w:t>. Washington, DC: Author.</w:t>
      </w:r>
    </w:p>
    <w:p w:rsidR="00AB2D83" w:rsidRPr="00EF0E74" w:rsidRDefault="002169A4" w:rsidP="00AB2D83">
      <w:pPr>
        <w:spacing w:after="0" w:line="480" w:lineRule="auto"/>
        <w:contextualSpacing/>
      </w:pPr>
      <w:r w:rsidRPr="00EF0E74">
        <w:t>Jenifer, E. S. (2010</w:t>
      </w:r>
      <w:r w:rsidR="00AB2D83" w:rsidRPr="00EF0E74">
        <w:t xml:space="preserve">). Anger , racism , caste discrimination , and posttraumatic stress disorder in </w:t>
      </w:r>
    </w:p>
    <w:p w:rsidR="00AB2D83" w:rsidRPr="00EF0E74" w:rsidRDefault="00AB2D83" w:rsidP="00AB2D83">
      <w:pPr>
        <w:spacing w:after="0" w:line="480" w:lineRule="auto"/>
        <w:contextualSpacing/>
      </w:pPr>
      <w:r w:rsidRPr="00EF0E74">
        <w:tab/>
        <w:t xml:space="preserve">African-American and Indian college students (unpublished doctoral dissertation). </w:t>
      </w:r>
    </w:p>
    <w:p w:rsidR="00AB2D83" w:rsidRPr="00EF0E74" w:rsidRDefault="00AB2D83" w:rsidP="00AB2D83">
      <w:pPr>
        <w:spacing w:after="0" w:line="480" w:lineRule="auto"/>
        <w:contextualSpacing/>
      </w:pPr>
      <w:r w:rsidRPr="00EF0E74">
        <w:tab/>
        <w:t>Howard University, Washington, DC.</w:t>
      </w:r>
    </w:p>
    <w:p w:rsidR="008431B3" w:rsidRPr="00EF0E74" w:rsidRDefault="008431B3" w:rsidP="00AB2D83">
      <w:pPr>
        <w:spacing w:after="0" w:line="480" w:lineRule="auto"/>
        <w:contextualSpacing/>
      </w:pPr>
      <w:r w:rsidRPr="00EF0E74">
        <w:t xml:space="preserve">Krieger, N &amp; Sidney, S. (1996). Racial discrimination and blood pressure: The CARDIA study </w:t>
      </w:r>
      <w:r w:rsidRPr="00EF0E74">
        <w:tab/>
        <w:t>of young Black and White adults</w:t>
      </w:r>
      <w:r w:rsidRPr="00EF0E74">
        <w:rPr>
          <w:i/>
        </w:rPr>
        <w:t>. American Journal of Public Health</w:t>
      </w:r>
      <w:r w:rsidRPr="00EF0E74">
        <w:t xml:space="preserve">, </w:t>
      </w:r>
      <w:r w:rsidRPr="00EF0E74">
        <w:rPr>
          <w:i/>
        </w:rPr>
        <w:t>86</w:t>
      </w:r>
      <w:r w:rsidRPr="00EF0E74">
        <w:t>, 1370–1378.</w:t>
      </w:r>
    </w:p>
    <w:p w:rsidR="00AB2D83" w:rsidRPr="00EF0E74" w:rsidRDefault="00AB2D83" w:rsidP="00AB2D83">
      <w:pPr>
        <w:spacing w:after="0" w:line="480" w:lineRule="auto"/>
        <w:contextualSpacing/>
      </w:pPr>
      <w:r w:rsidRPr="00EF0E74">
        <w:t xml:space="preserve">Kline, R. B. (2004). </w:t>
      </w:r>
      <w:r w:rsidRPr="00EF0E74">
        <w:rPr>
          <w:i/>
        </w:rPr>
        <w:t>Principles and practice of structural equation modeling</w:t>
      </w:r>
      <w:r w:rsidRPr="00EF0E74">
        <w:t xml:space="preserve"> (2nd ed.). New </w:t>
      </w:r>
      <w:r w:rsidRPr="00EF0E74">
        <w:tab/>
        <w:t>York, NY: Guilford Press.</w:t>
      </w:r>
    </w:p>
    <w:p w:rsidR="00A35DD3" w:rsidRPr="00EF0E74" w:rsidRDefault="00A35DD3" w:rsidP="00A35DD3">
      <w:pPr>
        <w:spacing w:after="0" w:line="480" w:lineRule="auto"/>
        <w:contextualSpacing/>
      </w:pPr>
      <w:r w:rsidRPr="00EF0E74">
        <w:t xml:space="preserve">La Bash, H., &amp; Papa, A. (2013). Shame and PTSD symptoms. </w:t>
      </w:r>
      <w:r w:rsidRPr="00EF0E74">
        <w:rPr>
          <w:i/>
          <w:iCs/>
        </w:rPr>
        <w:t xml:space="preserve">Psychological Trauma: Theory, </w:t>
      </w:r>
      <w:r w:rsidRPr="00EF0E74">
        <w:rPr>
          <w:i/>
          <w:iCs/>
        </w:rPr>
        <w:tab/>
        <w:t>Research, Practice, and Policy</w:t>
      </w:r>
      <w:r w:rsidRPr="00EF0E74">
        <w:t xml:space="preserve">, </w:t>
      </w:r>
      <w:r w:rsidRPr="00EF0E74">
        <w:rPr>
          <w:i/>
          <w:iCs/>
        </w:rPr>
        <w:t>6</w:t>
      </w:r>
      <w:r w:rsidRPr="00EF0E74">
        <w:t>(2), 159–166. doi:10.1037/a0032637</w:t>
      </w:r>
    </w:p>
    <w:p w:rsidR="00F560CB" w:rsidRPr="00EF0E74" w:rsidRDefault="00F560CB" w:rsidP="00AB2D83">
      <w:pPr>
        <w:spacing w:after="0" w:line="480" w:lineRule="auto"/>
        <w:contextualSpacing/>
      </w:pPr>
      <w:r w:rsidRPr="00EF0E74">
        <w:t xml:space="preserve">Lehavot, K., &amp; Simoni, J. M. (2011). The Impact of Minority Stress on Mental Health and </w:t>
      </w:r>
      <w:r w:rsidRPr="00EF0E74">
        <w:tab/>
      </w:r>
      <w:r w:rsidRPr="00EF0E74">
        <w:rPr>
          <w:i/>
        </w:rPr>
        <w:t>Substance Use Among Sexual Minority Women</w:t>
      </w:r>
      <w:r w:rsidRPr="00EF0E74">
        <w:t xml:space="preserve">, </w:t>
      </w:r>
      <w:r w:rsidRPr="00EF0E74">
        <w:rPr>
          <w:i/>
          <w:iCs/>
        </w:rPr>
        <w:t>79</w:t>
      </w:r>
      <w:r w:rsidRPr="00EF0E74">
        <w:t>(2), 159–170. doi:10.1037/a0022839</w:t>
      </w:r>
    </w:p>
    <w:p w:rsidR="00AB2D83" w:rsidRPr="00EF0E74" w:rsidRDefault="00AB2D83" w:rsidP="00AB2D83">
      <w:pPr>
        <w:spacing w:after="0" w:line="480" w:lineRule="auto"/>
        <w:contextualSpacing/>
      </w:pPr>
      <w:r w:rsidRPr="00EF0E74">
        <w:t xml:space="preserve">Lehavot, K., &amp; Simpson, T. L. (2014). Trauma, posttraumatic stress disorder, and depression </w:t>
      </w:r>
    </w:p>
    <w:p w:rsidR="00AB2D83" w:rsidRPr="00EF0E74" w:rsidRDefault="00AB2D83" w:rsidP="00AB2D83">
      <w:pPr>
        <w:spacing w:after="0" w:line="480" w:lineRule="auto"/>
        <w:ind w:left="720"/>
        <w:contextualSpacing/>
      </w:pPr>
      <w:r w:rsidRPr="00EF0E74">
        <w:t xml:space="preserve">among sexual minority and heterosexual women veterans. </w:t>
      </w:r>
      <w:r w:rsidRPr="00EF0E74">
        <w:rPr>
          <w:i/>
        </w:rPr>
        <w:t>Journal of Counseling  Psychology</w:t>
      </w:r>
      <w:r w:rsidRPr="00EF0E74">
        <w:t xml:space="preserve">, </w:t>
      </w:r>
      <w:r w:rsidRPr="00EF0E74">
        <w:rPr>
          <w:i/>
        </w:rPr>
        <w:t>61</w:t>
      </w:r>
      <w:r w:rsidRPr="00EF0E74">
        <w:t>, 392–403. doi:10.1037/cou0000019</w:t>
      </w:r>
    </w:p>
    <w:p w:rsidR="00AB2D83" w:rsidRPr="00EF0E74" w:rsidRDefault="00AB2D83" w:rsidP="00AB2D83">
      <w:pPr>
        <w:spacing w:after="0" w:line="480" w:lineRule="auto"/>
        <w:contextualSpacing/>
      </w:pPr>
      <w:r w:rsidRPr="00EF0E74">
        <w:t>Lehavot, K, Walters, K. L., &amp;</w:t>
      </w:r>
      <w:r w:rsidR="007E499C" w:rsidRPr="00EF0E74">
        <w:t xml:space="preserve"> </w:t>
      </w:r>
      <w:r w:rsidRPr="00EF0E74">
        <w:t xml:space="preserve">Simoni, J. M. (2010). Abuse, mastery, and health among lesbian, </w:t>
      </w:r>
      <w:r w:rsidRPr="00EF0E74">
        <w:tab/>
        <w:t xml:space="preserve">bisexual, and two-spirit American Indian and Alaska Native women. </w:t>
      </w:r>
      <w:r w:rsidRPr="00EF0E74">
        <w:rPr>
          <w:i/>
        </w:rPr>
        <w:t>Cultural Diversity</w:t>
      </w:r>
      <w:r w:rsidRPr="00EF0E74">
        <w:rPr>
          <w:i/>
        </w:rPr>
        <w:tab/>
      </w:r>
      <w:r w:rsidRPr="00EF0E74">
        <w:rPr>
          <w:i/>
        </w:rPr>
        <w:tab/>
        <w:t>and Ethnic Minority Psychology, 15</w:t>
      </w:r>
      <w:r w:rsidRPr="00EF0E74">
        <w:t>, 274-285. doi: 10.1037/a0013458</w:t>
      </w:r>
    </w:p>
    <w:p w:rsidR="00CD04BC" w:rsidRPr="00EF0E74" w:rsidRDefault="00CD04BC" w:rsidP="00AB2D83">
      <w:pPr>
        <w:spacing w:after="0" w:line="480" w:lineRule="auto"/>
        <w:contextualSpacing/>
      </w:pPr>
      <w:r w:rsidRPr="00EF0E74">
        <w:t xml:space="preserve">Lichtenstein, P, Harris, J. R., Pedersen, N. L., &amp; McClearn, G. E. (1993). Socioeconomic status </w:t>
      </w:r>
    </w:p>
    <w:p w:rsidR="00CD04BC" w:rsidRPr="00EF0E74" w:rsidRDefault="00CD04BC" w:rsidP="00AB2D83">
      <w:pPr>
        <w:spacing w:after="0" w:line="480" w:lineRule="auto"/>
        <w:contextualSpacing/>
      </w:pPr>
      <w:r w:rsidRPr="00EF0E74">
        <w:tab/>
        <w:t>and physical health, how are they related? An empirical study based on twins reared apart</w:t>
      </w:r>
    </w:p>
    <w:p w:rsidR="00CD04BC" w:rsidRPr="00EF0E74" w:rsidRDefault="00CD04BC" w:rsidP="00AB2D83">
      <w:pPr>
        <w:spacing w:after="0" w:line="480" w:lineRule="auto"/>
        <w:contextualSpacing/>
      </w:pPr>
      <w:r w:rsidRPr="00EF0E74">
        <w:lastRenderedPageBreak/>
        <w:tab/>
        <w:t xml:space="preserve">and twins reared together. </w:t>
      </w:r>
      <w:r w:rsidRPr="00EF0E74">
        <w:rPr>
          <w:i/>
        </w:rPr>
        <w:t>Social Science and Medicine</w:t>
      </w:r>
      <w:r w:rsidRPr="00EF0E74">
        <w:t xml:space="preserve">, </w:t>
      </w:r>
      <w:r w:rsidRPr="00EF0E74">
        <w:rPr>
          <w:i/>
        </w:rPr>
        <w:t>36</w:t>
      </w:r>
      <w:r w:rsidRPr="00EF0E74">
        <w:t>, 441-450.</w:t>
      </w:r>
    </w:p>
    <w:p w:rsidR="00AB2D83" w:rsidRPr="00EF0E74" w:rsidRDefault="00AB2D83" w:rsidP="00AB2D83">
      <w:pPr>
        <w:spacing w:after="0" w:line="480" w:lineRule="auto"/>
        <w:contextualSpacing/>
      </w:pPr>
      <w:r w:rsidRPr="00EF0E74">
        <w:t xml:space="preserve">Lick, D. J., Durso, L. E., &amp; Johnson, K. L. (2013). Minority stress and the health of sexual </w:t>
      </w:r>
    </w:p>
    <w:p w:rsidR="00994392" w:rsidRPr="00EF0E74" w:rsidRDefault="00AB2D83" w:rsidP="00AB2D83">
      <w:pPr>
        <w:spacing w:after="0" w:line="480" w:lineRule="auto"/>
        <w:ind w:left="720"/>
        <w:contextualSpacing/>
        <w:rPr>
          <w:i/>
        </w:rPr>
      </w:pPr>
      <w:r w:rsidRPr="00EF0E74">
        <w:t>minorities. communities and contextual i</w:t>
      </w:r>
      <w:r w:rsidR="00994392" w:rsidRPr="00EF0E74">
        <w:t xml:space="preserve">ssues. </w:t>
      </w:r>
      <w:r w:rsidR="00994392" w:rsidRPr="00EF0E74">
        <w:rPr>
          <w:i/>
        </w:rPr>
        <w:t>Perspectives on Psychological</w:t>
      </w:r>
    </w:p>
    <w:p w:rsidR="00AB2D83" w:rsidRPr="00EF0E74" w:rsidRDefault="00994392" w:rsidP="00AB2D83">
      <w:pPr>
        <w:spacing w:after="0" w:line="480" w:lineRule="auto"/>
        <w:ind w:left="720"/>
        <w:contextualSpacing/>
      </w:pPr>
      <w:r w:rsidRPr="00EF0E74">
        <w:rPr>
          <w:i/>
        </w:rPr>
        <w:t>Science</w:t>
      </w:r>
      <w:r w:rsidRPr="00EF0E74">
        <w:t xml:space="preserve">, </w:t>
      </w:r>
      <w:r w:rsidRPr="00EF0E74">
        <w:rPr>
          <w:i/>
        </w:rPr>
        <w:t>8</w:t>
      </w:r>
      <w:r w:rsidRPr="00EF0E74">
        <w:t>,</w:t>
      </w:r>
      <w:r w:rsidR="00AB2D83" w:rsidRPr="00EF0E74">
        <w:t xml:space="preserve"> 252–266. doi:10.1177/1745691613497965</w:t>
      </w:r>
    </w:p>
    <w:p w:rsidR="00AB2D83" w:rsidRPr="00EF0E74" w:rsidRDefault="00AB2D83" w:rsidP="00AB2D83">
      <w:pPr>
        <w:spacing w:after="0" w:line="480" w:lineRule="auto"/>
        <w:contextualSpacing/>
      </w:pPr>
      <w:r w:rsidRPr="00EF0E74">
        <w:t>Little</w:t>
      </w:r>
      <w:r w:rsidR="00353636" w:rsidRPr="00EF0E74">
        <w:t>,</w:t>
      </w:r>
      <w:r w:rsidRPr="00EF0E74">
        <w:t xml:space="preserve"> T</w:t>
      </w:r>
      <w:r w:rsidR="00353636" w:rsidRPr="00EF0E74">
        <w:t>.</w:t>
      </w:r>
      <w:r w:rsidRPr="00EF0E74">
        <w:t xml:space="preserve">, </w:t>
      </w:r>
      <w:r w:rsidR="00353636" w:rsidRPr="00EF0E74">
        <w:t xml:space="preserve">&amp; </w:t>
      </w:r>
      <w:r w:rsidRPr="00EF0E74">
        <w:t>Card</w:t>
      </w:r>
      <w:r w:rsidR="00353636" w:rsidRPr="00EF0E74">
        <w:t>,</w:t>
      </w:r>
      <w:r w:rsidRPr="00EF0E74">
        <w:t xml:space="preserve"> N</w:t>
      </w:r>
      <w:r w:rsidR="00353636" w:rsidRPr="00EF0E74">
        <w:t>.</w:t>
      </w:r>
      <w:r w:rsidRPr="00EF0E74">
        <w:t xml:space="preserve"> (2013). </w:t>
      </w:r>
      <w:r w:rsidRPr="00EF0E74">
        <w:rPr>
          <w:i/>
        </w:rPr>
        <w:t>Longitudinal Structural Equation Modeling</w:t>
      </w:r>
      <w:r w:rsidRPr="00EF0E74">
        <w:t>. New York City</w:t>
      </w:r>
      <w:r w:rsidR="00353636" w:rsidRPr="00EF0E74">
        <w:t>, NY</w:t>
      </w:r>
      <w:r w:rsidRPr="00EF0E74">
        <w:t xml:space="preserve">: </w:t>
      </w:r>
      <w:r w:rsidR="000F5BEE" w:rsidRPr="00EF0E74">
        <w:tab/>
      </w:r>
      <w:r w:rsidRPr="00EF0E74">
        <w:t>The Guilford Press.</w:t>
      </w:r>
    </w:p>
    <w:p w:rsidR="00AB2D83" w:rsidRPr="00EF0E74" w:rsidRDefault="00AB2D83" w:rsidP="00AB2D83">
      <w:pPr>
        <w:spacing w:after="0" w:line="480" w:lineRule="auto"/>
        <w:contextualSpacing/>
      </w:pPr>
      <w:r w:rsidRPr="00EF0E74">
        <w:t xml:space="preserve">Little, T. D., Slegers, D. W., Card, N. A. (2006). A non-arbitrary method of identifying and </w:t>
      </w:r>
    </w:p>
    <w:p w:rsidR="00AB2D83" w:rsidRPr="00EF0E74" w:rsidRDefault="00AB2D83" w:rsidP="00AB2D83">
      <w:pPr>
        <w:spacing w:after="0" w:line="480" w:lineRule="auto"/>
        <w:contextualSpacing/>
      </w:pPr>
      <w:r w:rsidRPr="00EF0E74">
        <w:tab/>
        <w:t xml:space="preserve">scaling latent in SEM and MACS models. </w:t>
      </w:r>
      <w:r w:rsidRPr="00EF0E74">
        <w:rPr>
          <w:i/>
        </w:rPr>
        <w:t>Structural Equation Modeling</w:t>
      </w:r>
      <w:r w:rsidRPr="00EF0E74">
        <w:t xml:space="preserve">, </w:t>
      </w:r>
      <w:r w:rsidRPr="00EF0E74">
        <w:rPr>
          <w:i/>
        </w:rPr>
        <w:t>13</w:t>
      </w:r>
      <w:r w:rsidRPr="00EF0E74">
        <w:t>, 59-</w:t>
      </w:r>
    </w:p>
    <w:p w:rsidR="00AB2D83" w:rsidRPr="00EF0E74" w:rsidRDefault="00AB2D83" w:rsidP="00AB2D83">
      <w:pPr>
        <w:spacing w:after="0" w:line="480" w:lineRule="auto"/>
        <w:contextualSpacing/>
      </w:pPr>
      <w:r w:rsidRPr="00EF0E74">
        <w:tab/>
        <w:t>72.</w:t>
      </w:r>
    </w:p>
    <w:p w:rsidR="00AB2D83" w:rsidRPr="00EF0E74" w:rsidRDefault="00AB2D83" w:rsidP="00AB2D83">
      <w:pPr>
        <w:spacing w:after="0" w:line="480" w:lineRule="auto"/>
        <w:contextualSpacing/>
      </w:pPr>
      <w:r w:rsidRPr="00EF0E74">
        <w:t xml:space="preserve">Lowe, S. M., </w:t>
      </w:r>
      <w:r w:rsidR="002169A4" w:rsidRPr="00EF0E74">
        <w:t>Okubo, Y., &amp; Reilly, M. F. (2013</w:t>
      </w:r>
      <w:r w:rsidRPr="00EF0E74">
        <w:t xml:space="preserve">). A qualitative inquiry into racism, trauma, and </w:t>
      </w:r>
      <w:r w:rsidRPr="00EF0E74">
        <w:tab/>
        <w:t xml:space="preserve">coping: Implications for supporting victims of racism. </w:t>
      </w:r>
      <w:r w:rsidRPr="00EF0E74">
        <w:rPr>
          <w:i/>
          <w:iCs/>
        </w:rPr>
        <w:t xml:space="preserve">Professional Psychology: </w:t>
      </w:r>
      <w:r w:rsidRPr="00EF0E74">
        <w:rPr>
          <w:i/>
          <w:iCs/>
        </w:rPr>
        <w:tab/>
        <w:t>Research and Practice</w:t>
      </w:r>
      <w:r w:rsidRPr="00EF0E74">
        <w:t xml:space="preserve">, </w:t>
      </w:r>
      <w:r w:rsidRPr="00EF0E74">
        <w:rPr>
          <w:i/>
          <w:iCs/>
        </w:rPr>
        <w:t>43</w:t>
      </w:r>
      <w:r w:rsidRPr="00EF0E74">
        <w:t>, 190–198. doi:10.1037/a0026501</w:t>
      </w:r>
    </w:p>
    <w:p w:rsidR="00AB2D83" w:rsidRPr="00EF0E74" w:rsidRDefault="00AB2D83" w:rsidP="00AB2D83">
      <w:pPr>
        <w:spacing w:after="0" w:line="480" w:lineRule="auto"/>
        <w:contextualSpacing/>
      </w:pPr>
      <w:r w:rsidRPr="00EF0E74">
        <w:t>Mendlowicz, M. V., &amp; Stein, M. B. (2000). Quality of life in individuals with anxiety disorders.</w:t>
      </w:r>
      <w:r w:rsidRPr="00EF0E74">
        <w:tab/>
      </w:r>
      <w:r w:rsidRPr="00EF0E74">
        <w:rPr>
          <w:i/>
        </w:rPr>
        <w:t>The American Journal of Psychiatry, 157</w:t>
      </w:r>
      <w:r w:rsidRPr="00EF0E74">
        <w:t>(5), 669–682.</w:t>
      </w:r>
    </w:p>
    <w:p w:rsidR="00AB2D83" w:rsidRPr="00EF0E74" w:rsidRDefault="00AB2D83" w:rsidP="00AB2D83">
      <w:pPr>
        <w:spacing w:after="0" w:line="480" w:lineRule="auto"/>
        <w:ind w:left="720" w:hanging="720"/>
        <w:contextualSpacing/>
        <w:rPr>
          <w:i/>
          <w:iCs/>
        </w:rPr>
      </w:pPr>
      <w:r w:rsidRPr="00EF0E74">
        <w:t xml:space="preserve">Meyer, I. H. (1995).Minority stress and mental health in gay men. </w:t>
      </w:r>
      <w:r w:rsidRPr="00EF0E74">
        <w:rPr>
          <w:i/>
          <w:iCs/>
        </w:rPr>
        <w:t xml:space="preserve">Journal of Health and </w:t>
      </w:r>
      <w:r w:rsidRPr="00EF0E74">
        <w:rPr>
          <w:i/>
          <w:iCs/>
        </w:rPr>
        <w:tab/>
        <w:t xml:space="preserve">Social Behavior, 36, </w:t>
      </w:r>
      <w:r w:rsidRPr="00EF0E74">
        <w:t>38–56.</w:t>
      </w:r>
    </w:p>
    <w:p w:rsidR="00AB2D83" w:rsidRPr="00EF0E74" w:rsidRDefault="00AB2D83" w:rsidP="00AB2D83">
      <w:pPr>
        <w:spacing w:after="0" w:line="480" w:lineRule="auto"/>
        <w:contextualSpacing/>
      </w:pPr>
      <w:r w:rsidRPr="00EF0E74">
        <w:t xml:space="preserve">Meyer, I. H. (2003). Prejudice, social stress, and mental health in lesbian, gay, and </w:t>
      </w:r>
      <w:r w:rsidRPr="00EF0E74">
        <w:tab/>
        <w:t xml:space="preserve">bisexual populations: Conceptual issues and research evidence. </w:t>
      </w:r>
      <w:r w:rsidRPr="00EF0E74">
        <w:rPr>
          <w:i/>
        </w:rPr>
        <w:t xml:space="preserve">Psychological </w:t>
      </w:r>
      <w:r w:rsidRPr="00EF0E74">
        <w:rPr>
          <w:i/>
        </w:rPr>
        <w:tab/>
        <w:t>Bulletin, 129</w:t>
      </w:r>
      <w:r w:rsidRPr="00EF0E74">
        <w:t>, 674-697.</w:t>
      </w:r>
    </w:p>
    <w:p w:rsidR="00AB2D83" w:rsidRPr="00EF0E74" w:rsidRDefault="00AB2D83" w:rsidP="00AB2D83">
      <w:pPr>
        <w:spacing w:after="0" w:line="480" w:lineRule="auto"/>
        <w:contextualSpacing/>
      </w:pPr>
      <w:r w:rsidRPr="00EF0E74">
        <w:t xml:space="preserve">Meyer, I. H., Schwartz, S., &amp; Frost, D. M. (2008). Social patterning of stress and coping: Does </w:t>
      </w:r>
      <w:r w:rsidRPr="00EF0E74">
        <w:tab/>
        <w:t xml:space="preserve">disadvantaged status confer more stress and fewer coping resources? </w:t>
      </w:r>
      <w:r w:rsidRPr="00EF0E74">
        <w:rPr>
          <w:i/>
        </w:rPr>
        <w:t xml:space="preserve">Social Science and </w:t>
      </w:r>
      <w:r w:rsidRPr="00EF0E74">
        <w:rPr>
          <w:i/>
        </w:rPr>
        <w:tab/>
        <w:t>Medicine, 67</w:t>
      </w:r>
      <w:r w:rsidRPr="00EF0E74">
        <w:t>, 368–379.</w:t>
      </w:r>
    </w:p>
    <w:p w:rsidR="00353636" w:rsidRPr="00EF0E74" w:rsidRDefault="00353636" w:rsidP="00353636">
      <w:pPr>
        <w:spacing w:after="0" w:line="480" w:lineRule="auto"/>
        <w:contextualSpacing/>
      </w:pPr>
      <w:r w:rsidRPr="00EF0E74">
        <w:lastRenderedPageBreak/>
        <w:t xml:space="preserve">Meyer, I. H., &amp; Wilson, P. a. (2009). Sampling lesbian, gay, and bisexual populations. </w:t>
      </w:r>
      <w:r w:rsidRPr="00EF0E74">
        <w:rPr>
          <w:i/>
          <w:iCs/>
        </w:rPr>
        <w:t xml:space="preserve">Journal of </w:t>
      </w:r>
      <w:r w:rsidRPr="00EF0E74">
        <w:rPr>
          <w:i/>
          <w:iCs/>
        </w:rPr>
        <w:tab/>
        <w:t>Counseling Psychology</w:t>
      </w:r>
      <w:r w:rsidRPr="00EF0E74">
        <w:t xml:space="preserve">, </w:t>
      </w:r>
      <w:r w:rsidRPr="00EF0E74">
        <w:rPr>
          <w:i/>
          <w:iCs/>
        </w:rPr>
        <w:t>56</w:t>
      </w:r>
      <w:r w:rsidRPr="00EF0E74">
        <w:t>, 23–31. doi:10.1037/a0014587</w:t>
      </w:r>
    </w:p>
    <w:p w:rsidR="00AB2D83" w:rsidRPr="00EF0E74" w:rsidRDefault="00AB2D83" w:rsidP="00AB2D83">
      <w:pPr>
        <w:spacing w:after="0" w:line="480" w:lineRule="auto"/>
        <w:contextualSpacing/>
      </w:pPr>
      <w:r w:rsidRPr="00EF0E74">
        <w:t xml:space="preserve">Mohr, J. J., &amp; Fassinger, R. E. (2000). Measuring dimensions of lesbian and gay male </w:t>
      </w:r>
    </w:p>
    <w:p w:rsidR="00AB2D83" w:rsidRPr="00EF0E74" w:rsidRDefault="00AB2D83" w:rsidP="00AB2D83">
      <w:pPr>
        <w:spacing w:after="0" w:line="480" w:lineRule="auto"/>
        <w:contextualSpacing/>
      </w:pPr>
      <w:r w:rsidRPr="00EF0E74">
        <w:tab/>
        <w:t xml:space="preserve">experience. </w:t>
      </w:r>
      <w:r w:rsidRPr="00EF0E74">
        <w:rPr>
          <w:i/>
        </w:rPr>
        <w:t>Measurement and Evaluation in Counseling and Development</w:t>
      </w:r>
      <w:r w:rsidRPr="00EF0E74">
        <w:t xml:space="preserve">, </w:t>
      </w:r>
      <w:r w:rsidRPr="00EF0E74">
        <w:rPr>
          <w:i/>
        </w:rPr>
        <w:t>33</w:t>
      </w:r>
      <w:r w:rsidRPr="00EF0E74">
        <w:t>, 66-90</w:t>
      </w:r>
      <w:r w:rsidR="00895D5F" w:rsidRPr="00EF0E74">
        <w:t>.</w:t>
      </w:r>
    </w:p>
    <w:p w:rsidR="00AB2D83" w:rsidRPr="00EF0E74" w:rsidRDefault="00AB2D83" w:rsidP="00AB2D83">
      <w:pPr>
        <w:spacing w:after="0" w:line="480" w:lineRule="auto"/>
        <w:contextualSpacing/>
      </w:pPr>
      <w:r w:rsidRPr="00EF0E74">
        <w:t xml:space="preserve">Neisen, J. H. (1993). Healing from cultural victimization: Recovery from shame due to </w:t>
      </w:r>
      <w:r w:rsidRPr="00EF0E74">
        <w:tab/>
        <w:t xml:space="preserve">heterosexism. </w:t>
      </w:r>
      <w:r w:rsidRPr="00EF0E74">
        <w:rPr>
          <w:i/>
        </w:rPr>
        <w:t>Journal of Gay and Lesbian Psychotherapy, 2</w:t>
      </w:r>
      <w:r w:rsidRPr="00EF0E74">
        <w:t>, 49-63.</w:t>
      </w:r>
    </w:p>
    <w:p w:rsidR="00AB2D83" w:rsidRPr="00EF0E74" w:rsidRDefault="00AB2D83" w:rsidP="00AB2D83">
      <w:pPr>
        <w:spacing w:after="0" w:line="480" w:lineRule="auto"/>
        <w:contextualSpacing/>
      </w:pPr>
      <w:r w:rsidRPr="00EF0E74">
        <w:t xml:space="preserve">Newcomb, M. E., &amp; Mustanski, B. (2010). Internalized homophobia and internalizing mental </w:t>
      </w:r>
      <w:r w:rsidRPr="00EF0E74">
        <w:tab/>
        <w:t xml:space="preserve">health problems: a meta-analytic review. </w:t>
      </w:r>
      <w:r w:rsidRPr="00EF0E74">
        <w:rPr>
          <w:i/>
          <w:iCs/>
        </w:rPr>
        <w:t>Clinical Psychology Review</w:t>
      </w:r>
      <w:r w:rsidRPr="00EF0E74">
        <w:t xml:space="preserve">, </w:t>
      </w:r>
      <w:r w:rsidRPr="00EF0E74">
        <w:rPr>
          <w:i/>
          <w:iCs/>
        </w:rPr>
        <w:t>30</w:t>
      </w:r>
      <w:r w:rsidRPr="00EF0E74">
        <w:t xml:space="preserve">, 1019–29. </w:t>
      </w:r>
      <w:r w:rsidRPr="00EF0E74">
        <w:tab/>
        <w:t>doi:10.1016/j.cpr.2010.07.003</w:t>
      </w:r>
    </w:p>
    <w:p w:rsidR="00AB2D83" w:rsidRPr="00EF0E74" w:rsidRDefault="00AB2D83" w:rsidP="00AB2D83">
      <w:pPr>
        <w:spacing w:after="0" w:line="480" w:lineRule="auto"/>
        <w:contextualSpacing/>
      </w:pPr>
      <w:r w:rsidRPr="00EF0E74">
        <w:t xml:space="preserve">Radloff, L. S. (1977). The CES-D scale: A self-report depression scale for research in the general </w:t>
      </w:r>
      <w:r w:rsidRPr="00EF0E74">
        <w:tab/>
        <w:t xml:space="preserve">population. </w:t>
      </w:r>
      <w:r w:rsidRPr="00EF0E74">
        <w:rPr>
          <w:i/>
        </w:rPr>
        <w:t>Applied Psychological Measurement, 1</w:t>
      </w:r>
      <w:r w:rsidRPr="00EF0E74">
        <w:t xml:space="preserve">, 385–401. </w:t>
      </w:r>
      <w:r w:rsidRPr="00EF0E74">
        <w:tab/>
        <w:t>doi:10.1177/014662167700100306</w:t>
      </w:r>
    </w:p>
    <w:p w:rsidR="00F77FB8" w:rsidRPr="00EF0E74" w:rsidRDefault="00F77FB8" w:rsidP="00AB2D83">
      <w:pPr>
        <w:spacing w:after="0" w:line="480" w:lineRule="auto"/>
        <w:contextualSpacing/>
      </w:pPr>
      <w:r w:rsidRPr="00EF0E74">
        <w:t xml:space="preserve">Rutter, L. A., Weatherill, R. P., Krill, S. C., Orazem, R., &amp; Taft, C. T. (2013). Posttraumatic </w:t>
      </w:r>
      <w:r w:rsidRPr="00EF0E74">
        <w:tab/>
        <w:t xml:space="preserve">stress disorder symptoms, depressive symptoms, exercise, and health in college students. </w:t>
      </w:r>
      <w:r w:rsidRPr="00EF0E74">
        <w:tab/>
      </w:r>
      <w:r w:rsidRPr="00EF0E74">
        <w:rPr>
          <w:i/>
          <w:iCs/>
        </w:rPr>
        <w:t>Psychological Trauma: Theory, Research, Practice, and Policy</w:t>
      </w:r>
      <w:r w:rsidRPr="00EF0E74">
        <w:t xml:space="preserve">, </w:t>
      </w:r>
      <w:r w:rsidRPr="00EF0E74">
        <w:rPr>
          <w:i/>
          <w:iCs/>
        </w:rPr>
        <w:t>5</w:t>
      </w:r>
      <w:r w:rsidRPr="00EF0E74">
        <w:t xml:space="preserve">(1), 56–61. </w:t>
      </w:r>
      <w:r w:rsidRPr="00EF0E74">
        <w:tab/>
        <w:t>doi:10.1037/a0021996</w:t>
      </w:r>
    </w:p>
    <w:p w:rsidR="005B41AF" w:rsidRPr="00EF0E74" w:rsidRDefault="005B41AF" w:rsidP="00AB2D83">
      <w:pPr>
        <w:spacing w:after="0" w:line="480" w:lineRule="auto"/>
        <w:contextualSpacing/>
      </w:pPr>
      <w:r w:rsidRPr="00EF0E74">
        <w:t xml:space="preserve">Schlomer, G. L., Bauman, S., Card, N. A. </w:t>
      </w:r>
      <w:r w:rsidR="00E84EF5" w:rsidRPr="00EF0E74">
        <w:t xml:space="preserve">(2010). </w:t>
      </w:r>
      <w:r w:rsidRPr="00EF0E74">
        <w:t xml:space="preserve">Best practices for missing data management </w:t>
      </w:r>
    </w:p>
    <w:p w:rsidR="005B41AF" w:rsidRPr="00EF0E74" w:rsidRDefault="005B41AF" w:rsidP="00AB2D83">
      <w:pPr>
        <w:spacing w:after="0" w:line="480" w:lineRule="auto"/>
        <w:contextualSpacing/>
      </w:pPr>
      <w:r w:rsidRPr="00EF0E74">
        <w:tab/>
        <w:t xml:space="preserve">in counseling psychology. </w:t>
      </w:r>
      <w:r w:rsidRPr="00EF0E74">
        <w:rPr>
          <w:i/>
        </w:rPr>
        <w:t>Journal of Counseling Psychology</w:t>
      </w:r>
      <w:r w:rsidRPr="00EF0E74">
        <w:t xml:space="preserve">, </w:t>
      </w:r>
      <w:r w:rsidRPr="00EF0E74">
        <w:rPr>
          <w:i/>
        </w:rPr>
        <w:t>57</w:t>
      </w:r>
      <w:r w:rsidRPr="00EF0E74">
        <w:t>, 1-10.</w:t>
      </w:r>
    </w:p>
    <w:p w:rsidR="00AB2D83" w:rsidRPr="00EF0E74" w:rsidRDefault="00AB2D83" w:rsidP="00AB2D83">
      <w:pPr>
        <w:spacing w:after="0" w:line="480" w:lineRule="auto"/>
        <w:contextualSpacing/>
      </w:pPr>
      <w:r w:rsidRPr="00EF0E74">
        <w:t xml:space="preserve">Schmidt, W. C. (1997).World-wide web survey research: Benefits, potential problems, and </w:t>
      </w:r>
      <w:r w:rsidRPr="00EF0E74">
        <w:tab/>
        <w:t xml:space="preserve">solutions. </w:t>
      </w:r>
      <w:r w:rsidRPr="00EF0E74">
        <w:rPr>
          <w:i/>
        </w:rPr>
        <w:t>Behavior Research Methods</w:t>
      </w:r>
      <w:r w:rsidRPr="00EF0E74">
        <w:t xml:space="preserve">, </w:t>
      </w:r>
      <w:r w:rsidRPr="00EF0E74">
        <w:rPr>
          <w:i/>
        </w:rPr>
        <w:t>29</w:t>
      </w:r>
      <w:r w:rsidRPr="00EF0E74">
        <w:t>, 274-279.</w:t>
      </w:r>
    </w:p>
    <w:p w:rsidR="00AB2D83" w:rsidRPr="00EF0E74" w:rsidRDefault="00AB2D83" w:rsidP="00AB2D83">
      <w:pPr>
        <w:spacing w:after="0" w:line="480" w:lineRule="auto"/>
        <w:contextualSpacing/>
      </w:pPr>
      <w:r w:rsidRPr="00EF0E74">
        <w:t xml:space="preserve">Schmitt, M. T., Branscombe, N. R., Postmes, T., &amp; Garcia, A. (2014). The consequences of </w:t>
      </w:r>
    </w:p>
    <w:p w:rsidR="00AB2D83" w:rsidRPr="00EF0E74" w:rsidRDefault="00AB2D83" w:rsidP="00AB2D83">
      <w:pPr>
        <w:spacing w:after="0" w:line="480" w:lineRule="auto"/>
        <w:ind w:left="720"/>
        <w:contextualSpacing/>
      </w:pPr>
      <w:r w:rsidRPr="00EF0E74">
        <w:t xml:space="preserve">perceived discrimination for psychological well-being: A meta-analytic review. </w:t>
      </w:r>
      <w:r w:rsidRPr="00EF0E74">
        <w:rPr>
          <w:i/>
        </w:rPr>
        <w:t>Psychological Bulletin</w:t>
      </w:r>
      <w:r w:rsidRPr="00EF0E74">
        <w:t xml:space="preserve">, </w:t>
      </w:r>
      <w:r w:rsidRPr="00EF0E74">
        <w:rPr>
          <w:i/>
        </w:rPr>
        <w:t>140</w:t>
      </w:r>
      <w:r w:rsidRPr="00EF0E74">
        <w:t>, 921–</w:t>
      </w:r>
      <w:r w:rsidR="00895D5F" w:rsidRPr="00EF0E74">
        <w:t>9</w:t>
      </w:r>
      <w:r w:rsidRPr="00EF0E74">
        <w:t>48. doi:10.1037/a0035754</w:t>
      </w:r>
    </w:p>
    <w:p w:rsidR="00AB2D83" w:rsidRPr="00EF0E74" w:rsidRDefault="00AB2D83" w:rsidP="00AB2D83">
      <w:pPr>
        <w:spacing w:after="0" w:line="480" w:lineRule="auto"/>
        <w:contextualSpacing/>
      </w:pPr>
      <w:r w:rsidRPr="00EF0E74">
        <w:lastRenderedPageBreak/>
        <w:t xml:space="preserve">Sheets, R. L., &amp; Mohr, J. J. (2009). Perceived social support from friends and family and </w:t>
      </w:r>
    </w:p>
    <w:p w:rsidR="005B41AF" w:rsidRPr="00EF0E74" w:rsidRDefault="00AB2D83" w:rsidP="00AB2D83">
      <w:pPr>
        <w:spacing w:after="0" w:line="480" w:lineRule="auto"/>
        <w:ind w:left="720"/>
        <w:contextualSpacing/>
      </w:pPr>
      <w:r w:rsidRPr="00EF0E74">
        <w:t xml:space="preserve">psychosocial functioning in bisexual young adult college students. </w:t>
      </w:r>
      <w:r w:rsidRPr="00EF0E74">
        <w:rPr>
          <w:i/>
        </w:rPr>
        <w:t>Journal of Counseling Psychology</w:t>
      </w:r>
      <w:r w:rsidRPr="00EF0E74">
        <w:t xml:space="preserve">, </w:t>
      </w:r>
      <w:r w:rsidRPr="00EF0E74">
        <w:rPr>
          <w:i/>
        </w:rPr>
        <w:t>56</w:t>
      </w:r>
      <w:r w:rsidRPr="00EF0E74">
        <w:t>(1), 152–163. doi:10.1037/0022-0167.56.1.152</w:t>
      </w:r>
    </w:p>
    <w:p w:rsidR="005B41AF" w:rsidRPr="00EF0E74" w:rsidRDefault="005B41AF" w:rsidP="005B41AF">
      <w:r w:rsidRPr="00EF0E74">
        <w:t xml:space="preserve">Shephard, R. J. (1997). </w:t>
      </w:r>
      <w:r w:rsidRPr="00EF0E74">
        <w:rPr>
          <w:i/>
        </w:rPr>
        <w:t>Aging, Physical Activity, and Health</w:t>
      </w:r>
      <w:r w:rsidRPr="00EF0E74">
        <w:t>. Human Kinetics Publishers.</w:t>
      </w:r>
    </w:p>
    <w:p w:rsidR="005B41AF" w:rsidRPr="00EF0E74" w:rsidRDefault="005B41AF" w:rsidP="005B41AF">
      <w:r w:rsidRPr="00EF0E74">
        <w:tab/>
        <w:t>Champaign, IL.</w:t>
      </w:r>
    </w:p>
    <w:p w:rsidR="00AB2D83" w:rsidRPr="00EF0E74" w:rsidRDefault="00AB2D83" w:rsidP="00AB2D83">
      <w:pPr>
        <w:spacing w:after="0" w:line="480" w:lineRule="auto"/>
        <w:contextualSpacing/>
      </w:pPr>
      <w:r w:rsidRPr="00EF0E74">
        <w:t xml:space="preserve">Soper, D.S. (2013). A-priori Sample Size Calculator for Structural Equation Models </w:t>
      </w:r>
      <w:r w:rsidRPr="00EF0E74">
        <w:tab/>
        <w:t>[Software].Available from http://www.danielsoper.com/statcalc.</w:t>
      </w:r>
    </w:p>
    <w:p w:rsidR="00AB2D83" w:rsidRPr="00EF0E74" w:rsidRDefault="00AB2D83" w:rsidP="00AB2D83">
      <w:pPr>
        <w:spacing w:after="0" w:line="480" w:lineRule="auto"/>
        <w:contextualSpacing/>
      </w:pPr>
      <w:r w:rsidRPr="00EF0E74">
        <w:t>Spalding, L. R., &amp;</w:t>
      </w:r>
      <w:r w:rsidR="002169A4" w:rsidRPr="00EF0E74">
        <w:t xml:space="preserve"> </w:t>
      </w:r>
      <w:r w:rsidRPr="00EF0E74">
        <w:t xml:space="preserve">Peplau, L. A. (1997). The unfaithful lover: Heterosexuals’ perceptions of </w:t>
      </w:r>
      <w:r w:rsidRPr="00EF0E74">
        <w:tab/>
        <w:t xml:space="preserve">bisexuals and their relationships. </w:t>
      </w:r>
      <w:r w:rsidRPr="00EF0E74">
        <w:rPr>
          <w:i/>
        </w:rPr>
        <w:t>Psychology of Women Quarterly, 21</w:t>
      </w:r>
      <w:r w:rsidRPr="00EF0E74">
        <w:t>, 611–624.</w:t>
      </w:r>
      <w:r w:rsidRPr="00EF0E74">
        <w:tab/>
        <w:t>doi:10.1111/j.1471-6402.1997.tb00134.x</w:t>
      </w:r>
    </w:p>
    <w:p w:rsidR="00AB2D83" w:rsidRPr="00EF0E74" w:rsidRDefault="00AB2D83" w:rsidP="00AB2D83">
      <w:pPr>
        <w:spacing w:after="0" w:line="480" w:lineRule="auto"/>
        <w:contextualSpacing/>
      </w:pPr>
      <w:r w:rsidRPr="00EF0E74">
        <w:t xml:space="preserve">Swift, M. D. (2010). Oppression and trauma: Examining the relationship between perceptions of </w:t>
      </w:r>
    </w:p>
    <w:p w:rsidR="00AB2D83" w:rsidRPr="00EF0E74" w:rsidRDefault="00AB2D83" w:rsidP="00AB2D83">
      <w:pPr>
        <w:spacing w:after="0" w:line="480" w:lineRule="auto"/>
        <w:contextualSpacing/>
      </w:pPr>
      <w:r w:rsidRPr="00EF0E74">
        <w:tab/>
        <w:t xml:space="preserve">racial oppression and the presence of trauma symptoms on Black Americans </w:t>
      </w:r>
    </w:p>
    <w:p w:rsidR="00AB2D83" w:rsidRPr="00EF0E74" w:rsidRDefault="00AB2D83" w:rsidP="00AB2D83">
      <w:pPr>
        <w:spacing w:after="0" w:line="480" w:lineRule="auto"/>
        <w:contextualSpacing/>
      </w:pPr>
      <w:r w:rsidRPr="00EF0E74">
        <w:tab/>
        <w:t>(unpublished doctoral dissertation). Capella University, Minneapolis, MN.</w:t>
      </w:r>
    </w:p>
    <w:p w:rsidR="00AB2D83" w:rsidRPr="00EF0E74" w:rsidRDefault="00AB2D83" w:rsidP="00AB2D83">
      <w:pPr>
        <w:spacing w:after="0" w:line="480" w:lineRule="auto"/>
        <w:contextualSpacing/>
      </w:pPr>
      <w:r w:rsidRPr="00EF0E74">
        <w:t xml:space="preserve">Root, M. P. (1992). Reconstructing the impact of trauma on personality. In L. S. Brown &amp; M. </w:t>
      </w:r>
      <w:r w:rsidRPr="00EF0E74">
        <w:tab/>
        <w:t xml:space="preserve">Ballou (Eds.), </w:t>
      </w:r>
      <w:r w:rsidRPr="00EF0E74">
        <w:rPr>
          <w:i/>
        </w:rPr>
        <w:t>Personality and Psychopathology: Feminist Reappraisals</w:t>
      </w:r>
      <w:r w:rsidRPr="00EF0E74">
        <w:t xml:space="preserve"> (pp. 229-265). </w:t>
      </w:r>
      <w:r w:rsidRPr="00EF0E74">
        <w:tab/>
        <w:t>New York: Guilford.</w:t>
      </w:r>
    </w:p>
    <w:p w:rsidR="00AB2D83" w:rsidRPr="00EF0E74" w:rsidRDefault="00AB2D83" w:rsidP="00AB2D83">
      <w:pPr>
        <w:spacing w:after="0" w:line="480" w:lineRule="auto"/>
        <w:contextualSpacing/>
      </w:pPr>
      <w:r w:rsidRPr="00EF0E74">
        <w:t xml:space="preserve">Sanchez-Hucles, J. V. (1998). Racism: Emotional abusiveness and psychological trauma for </w:t>
      </w:r>
      <w:r w:rsidRPr="00EF0E74">
        <w:tab/>
        <w:t xml:space="preserve">ethnic minorities. </w:t>
      </w:r>
      <w:r w:rsidRPr="00EF0E74">
        <w:rPr>
          <w:i/>
        </w:rPr>
        <w:t>Journal of Emotional Abuse, 1</w:t>
      </w:r>
      <w:r w:rsidRPr="00EF0E74">
        <w:t>, 69-87.</w:t>
      </w:r>
    </w:p>
    <w:p w:rsidR="009A1A01" w:rsidRPr="00EF0E74" w:rsidRDefault="009A1A01" w:rsidP="009A1A01">
      <w:pPr>
        <w:spacing w:after="0" w:line="480" w:lineRule="auto"/>
        <w:contextualSpacing/>
      </w:pPr>
      <w:r w:rsidRPr="00EF0E74">
        <w:t xml:space="preserve">Segerstrom, S. C., &amp; Miller, G. E. (2004). Psychological stress and the human immune system: a </w:t>
      </w:r>
    </w:p>
    <w:p w:rsidR="009A1A01" w:rsidRPr="00EF0E74" w:rsidRDefault="009A1A01" w:rsidP="009A1A01">
      <w:pPr>
        <w:spacing w:after="0" w:line="480" w:lineRule="auto"/>
        <w:contextualSpacing/>
      </w:pPr>
      <w:r w:rsidRPr="00EF0E74">
        <w:tab/>
        <w:t xml:space="preserve">meta-analytic study of 30 years of inquiry. </w:t>
      </w:r>
      <w:r w:rsidRPr="00EF0E74">
        <w:rPr>
          <w:i/>
          <w:iCs/>
        </w:rPr>
        <w:t>Psychological Bulletin</w:t>
      </w:r>
      <w:r w:rsidRPr="00EF0E74">
        <w:t xml:space="preserve">, </w:t>
      </w:r>
      <w:r w:rsidRPr="00EF0E74">
        <w:rPr>
          <w:i/>
          <w:iCs/>
        </w:rPr>
        <w:t>130</w:t>
      </w:r>
      <w:r w:rsidRPr="00EF0E74">
        <w:t xml:space="preserve">, 601–630. </w:t>
      </w:r>
      <w:r w:rsidRPr="00EF0E74">
        <w:tab/>
        <w:t>doi:10.1037/0033-2909.130.4.601</w:t>
      </w:r>
    </w:p>
    <w:p w:rsidR="000B199D" w:rsidRPr="00EF0E74" w:rsidRDefault="000B199D" w:rsidP="009A1A01">
      <w:pPr>
        <w:spacing w:after="0" w:line="480" w:lineRule="auto"/>
        <w:contextualSpacing/>
      </w:pPr>
      <w:r w:rsidRPr="00EF0E74">
        <w:t xml:space="preserve">Shah, R., Shah, A., &amp; Links, P. (2012). Post-traumatic stress disorder and depression </w:t>
      </w:r>
      <w:r w:rsidRPr="00EF0E74">
        <w:tab/>
        <w:t xml:space="preserve">comorbidity: Severity across different populations. </w:t>
      </w:r>
      <w:r w:rsidRPr="00EF0E74">
        <w:rPr>
          <w:i/>
        </w:rPr>
        <w:t>Neuropsychiatry</w:t>
      </w:r>
      <w:r w:rsidRPr="00EF0E74">
        <w:t xml:space="preserve">, </w:t>
      </w:r>
      <w:r w:rsidRPr="00EF0E74">
        <w:rPr>
          <w:i/>
        </w:rPr>
        <w:t>2</w:t>
      </w:r>
      <w:r w:rsidRPr="00EF0E74">
        <w:t xml:space="preserve">, 521–529. </w:t>
      </w:r>
      <w:r w:rsidRPr="00EF0E74">
        <w:tab/>
        <w:t>doi:10.2217/npy.12.56</w:t>
      </w:r>
    </w:p>
    <w:p w:rsidR="00F560CB" w:rsidRPr="00EF0E74" w:rsidRDefault="00F560CB" w:rsidP="009A1A01">
      <w:pPr>
        <w:spacing w:after="0" w:line="480" w:lineRule="auto"/>
        <w:contextualSpacing/>
      </w:pPr>
      <w:r w:rsidRPr="00EF0E74">
        <w:lastRenderedPageBreak/>
        <w:t xml:space="preserve">Szymanski, D. M., &amp; Balsam, K. F. (2010). Insidious Trauma: Examining the Relationship </w:t>
      </w:r>
      <w:r w:rsidRPr="00EF0E74">
        <w:tab/>
        <w:t xml:space="preserve">Between Heterosexism and Lesbians’ PTSD Symptoms. </w:t>
      </w:r>
      <w:r w:rsidRPr="00EF0E74">
        <w:rPr>
          <w:i/>
          <w:iCs/>
        </w:rPr>
        <w:t>Traumatology</w:t>
      </w:r>
      <w:r w:rsidRPr="00EF0E74">
        <w:t xml:space="preserve">, </w:t>
      </w:r>
      <w:r w:rsidRPr="00EF0E74">
        <w:rPr>
          <w:i/>
          <w:iCs/>
        </w:rPr>
        <w:t>17</w:t>
      </w:r>
      <w:r w:rsidRPr="00EF0E74">
        <w:t xml:space="preserve">(2), 4–13. </w:t>
      </w:r>
      <w:r w:rsidRPr="00EF0E74">
        <w:tab/>
        <w:t>doi:10.1177/1534765609358464</w:t>
      </w:r>
    </w:p>
    <w:p w:rsidR="00AB2D83" w:rsidRPr="00EF0E74" w:rsidRDefault="00AB2D83" w:rsidP="00AB2D83">
      <w:pPr>
        <w:spacing w:after="0" w:line="480" w:lineRule="auto"/>
        <w:contextualSpacing/>
      </w:pPr>
      <w:r w:rsidRPr="00EF0E74">
        <w:t xml:space="preserve">Szymanski, D. M., &amp; Ikizler, A. S. (2013). Internalized heterosexism as a mediator in the </w:t>
      </w:r>
    </w:p>
    <w:p w:rsidR="00AB2D83" w:rsidRPr="00EF0E74" w:rsidRDefault="00AB2D83" w:rsidP="00AB2D83">
      <w:pPr>
        <w:spacing w:after="0" w:line="480" w:lineRule="auto"/>
        <w:contextualSpacing/>
      </w:pPr>
      <w:r w:rsidRPr="00EF0E74">
        <w:tab/>
        <w:t xml:space="preserve">relationship between gender role conflict, heterosexist discrimination, and depression </w:t>
      </w:r>
    </w:p>
    <w:p w:rsidR="00AB2D83" w:rsidRPr="00EF0E74" w:rsidRDefault="00AB2D83" w:rsidP="00AB2D83">
      <w:pPr>
        <w:spacing w:after="0" w:line="480" w:lineRule="auto"/>
        <w:contextualSpacing/>
      </w:pPr>
      <w:r w:rsidRPr="00EF0E74">
        <w:tab/>
        <w:t xml:space="preserve">among sexual minority men. </w:t>
      </w:r>
      <w:r w:rsidRPr="00EF0E74">
        <w:rPr>
          <w:i/>
        </w:rPr>
        <w:t>Psychology of Men &amp; Masculinity</w:t>
      </w:r>
      <w:r w:rsidRPr="00EF0E74">
        <w:t xml:space="preserve">, </w:t>
      </w:r>
      <w:r w:rsidRPr="00EF0E74">
        <w:rPr>
          <w:i/>
        </w:rPr>
        <w:t>14</w:t>
      </w:r>
      <w:r w:rsidRPr="00EF0E74">
        <w:t xml:space="preserve">, 211–219. </w:t>
      </w:r>
    </w:p>
    <w:p w:rsidR="00AB2D83" w:rsidRPr="00EF0E74" w:rsidRDefault="00AB2D83" w:rsidP="00AB2D83">
      <w:pPr>
        <w:spacing w:after="0" w:line="480" w:lineRule="auto"/>
        <w:contextualSpacing/>
      </w:pPr>
      <w:r w:rsidRPr="00EF0E74">
        <w:tab/>
        <w:t>doi:10.1037/a0027787</w:t>
      </w:r>
    </w:p>
    <w:p w:rsidR="00F560CB" w:rsidRPr="00EF0E74" w:rsidRDefault="00F560CB" w:rsidP="00AB2D83">
      <w:pPr>
        <w:spacing w:after="0" w:line="480" w:lineRule="auto"/>
        <w:contextualSpacing/>
      </w:pPr>
      <w:r w:rsidRPr="00EF0E74">
        <w:t xml:space="preserve">Szymanski, D. M., Kashubeck-West, S., &amp; Meyer, J. (2008). Internalized heterosexism: </w:t>
      </w:r>
      <w:r w:rsidRPr="00EF0E74">
        <w:tab/>
        <w:t xml:space="preserve">Measurement, psychosocial correlates, and research directions. </w:t>
      </w:r>
      <w:r w:rsidRPr="00EF0E74">
        <w:rPr>
          <w:i/>
        </w:rPr>
        <w:t xml:space="preserve">The Counseling </w:t>
      </w:r>
      <w:r w:rsidRPr="00EF0E74">
        <w:rPr>
          <w:i/>
        </w:rPr>
        <w:tab/>
        <w:t>Psychologist, 36</w:t>
      </w:r>
      <w:r w:rsidRPr="00EF0E74">
        <w:t>, 525-574.</w:t>
      </w:r>
    </w:p>
    <w:p w:rsidR="00B909BE" w:rsidRPr="00EF0E74" w:rsidRDefault="00B909BE" w:rsidP="00AB2D83">
      <w:pPr>
        <w:spacing w:after="0" w:line="480" w:lineRule="auto"/>
        <w:contextualSpacing/>
      </w:pPr>
      <w:r w:rsidRPr="00EF0E74">
        <w:t>Torres, L., Taknint, J. T. (2015). Ethnic microaggressions, trauma stress symptoms, and Latino</w:t>
      </w:r>
    </w:p>
    <w:p w:rsidR="00B909BE" w:rsidRPr="00EF0E74" w:rsidRDefault="00B909BE" w:rsidP="00AB2D83">
      <w:pPr>
        <w:spacing w:after="0" w:line="480" w:lineRule="auto"/>
        <w:contextualSpacing/>
      </w:pPr>
      <w:r w:rsidRPr="00EF0E74">
        <w:tab/>
        <w:t xml:space="preserve">depression: A moderated mediated model. </w:t>
      </w:r>
      <w:r w:rsidRPr="00EF0E74">
        <w:rPr>
          <w:i/>
        </w:rPr>
        <w:t>Journal of Counseling Psychology</w:t>
      </w:r>
      <w:r w:rsidRPr="00EF0E74">
        <w:t>. Advance</w:t>
      </w:r>
    </w:p>
    <w:p w:rsidR="00B909BE" w:rsidRPr="00EF0E74" w:rsidRDefault="00B909BE" w:rsidP="00AB2D83">
      <w:pPr>
        <w:spacing w:after="0" w:line="480" w:lineRule="auto"/>
        <w:contextualSpacing/>
        <w:rPr>
          <w:i/>
        </w:rPr>
      </w:pPr>
      <w:r w:rsidRPr="00EF0E74">
        <w:tab/>
        <w:t xml:space="preserve">online publication. </w:t>
      </w:r>
      <w:r w:rsidRPr="00EF0E74">
        <w:rPr>
          <w:i/>
          <w:iCs/>
        </w:rPr>
        <w:t> </w:t>
      </w:r>
      <w:r w:rsidRPr="00EF0E74">
        <w:t xml:space="preserve">doi:http://dx.doi.org/10.1037/cou0000077 </w:t>
      </w:r>
    </w:p>
    <w:p w:rsidR="00AB2D83" w:rsidRPr="00EF0E74" w:rsidRDefault="00AB2D83" w:rsidP="00AB2D83">
      <w:pPr>
        <w:spacing w:after="0" w:line="480" w:lineRule="auto"/>
        <w:contextualSpacing/>
      </w:pPr>
      <w:r w:rsidRPr="00EF0E74">
        <w:t xml:space="preserve">Ware, J. E., &amp; Sherbourne, C. D. (1992). The MOS 36-item short-form health survey (SF-36): I. </w:t>
      </w:r>
      <w:r w:rsidRPr="00EF0E74">
        <w:tab/>
        <w:t xml:space="preserve">Conceptual framework and item selection. </w:t>
      </w:r>
      <w:r w:rsidRPr="00EF0E74">
        <w:rPr>
          <w:i/>
        </w:rPr>
        <w:t>Medical Care, 30</w:t>
      </w:r>
      <w:r w:rsidRPr="00EF0E74">
        <w:t>, 473–483.</w:t>
      </w:r>
    </w:p>
    <w:p w:rsidR="00AB2D83" w:rsidRPr="00EF0E74" w:rsidRDefault="00AB2D83" w:rsidP="00AB2D83">
      <w:pPr>
        <w:spacing w:after="0" w:line="480" w:lineRule="auto"/>
        <w:contextualSpacing/>
      </w:pPr>
      <w:r w:rsidRPr="00EF0E74">
        <w:t xml:space="preserve">Weathers, F. W., Litz, B. T., Herman, D. S., Huska, J. A., &amp; Keane, T. M. (1993, October). The </w:t>
      </w:r>
      <w:r w:rsidRPr="00EF0E74">
        <w:tab/>
        <w:t xml:space="preserve">PTSD Checklist (PCL): Reliability, validity, and diagnostic utility. Paper presented at the </w:t>
      </w:r>
      <w:r w:rsidRPr="00EF0E74">
        <w:tab/>
        <w:t>International Society for Traumatic Stress Studies, San Antonio, TX.</w:t>
      </w:r>
    </w:p>
    <w:p w:rsidR="00AB2D83" w:rsidRPr="00EF0E74" w:rsidRDefault="00AB2D83" w:rsidP="00AB2D83">
      <w:pPr>
        <w:spacing w:after="0" w:line="480" w:lineRule="auto"/>
        <w:contextualSpacing/>
      </w:pPr>
      <w:r w:rsidRPr="00EF0E74">
        <w:t xml:space="preserve">Wei, M., Wang, K. T., Heppner, P. P., &amp; Du, Y. (2012). Ethnic and mainstream social  </w:t>
      </w:r>
    </w:p>
    <w:p w:rsidR="00AB2D83" w:rsidRPr="00EF0E74" w:rsidRDefault="00AB2D83" w:rsidP="00AB2D83">
      <w:pPr>
        <w:spacing w:after="0" w:line="480" w:lineRule="auto"/>
        <w:ind w:left="720"/>
        <w:contextualSpacing/>
      </w:pPr>
      <w:r w:rsidRPr="00EF0E74">
        <w:t xml:space="preserve">connectedness, perceived racial discrimination, and posttraumatic stress symptoms. </w:t>
      </w:r>
      <w:r w:rsidRPr="00EF0E74">
        <w:rPr>
          <w:i/>
          <w:iCs/>
        </w:rPr>
        <w:t>Journal of Counseling Psychology</w:t>
      </w:r>
      <w:r w:rsidRPr="00EF0E74">
        <w:t xml:space="preserve">, </w:t>
      </w:r>
      <w:r w:rsidRPr="00EF0E74">
        <w:rPr>
          <w:i/>
          <w:iCs/>
        </w:rPr>
        <w:t>59</w:t>
      </w:r>
      <w:r w:rsidRPr="00EF0E74">
        <w:t>, 486–93. doi:10.1037/a0028000.</w:t>
      </w:r>
    </w:p>
    <w:p w:rsidR="00AB2D83" w:rsidRPr="00EF0E74" w:rsidRDefault="00AB2D83" w:rsidP="00AB2D83">
      <w:pPr>
        <w:spacing w:after="0" w:line="480" w:lineRule="auto"/>
        <w:contextualSpacing/>
      </w:pPr>
      <w:r w:rsidRPr="00EF0E74">
        <w:t>Westland, J.C. (2010). Lower bounds on sample size in structural equation modeling.</w:t>
      </w:r>
      <w:r w:rsidRPr="00EF0E74">
        <w:tab/>
      </w:r>
      <w:r w:rsidRPr="00EF0E74">
        <w:rPr>
          <w:i/>
        </w:rPr>
        <w:t>Electronic Commerce Research and Applications, 9</w:t>
      </w:r>
      <w:r w:rsidRPr="00EF0E74">
        <w:t>, 476-487.</w:t>
      </w:r>
    </w:p>
    <w:p w:rsidR="00AB2D83" w:rsidRPr="00EF0E74" w:rsidRDefault="00AB2D83" w:rsidP="00AB2D83">
      <w:pPr>
        <w:spacing w:after="0" w:line="480" w:lineRule="auto"/>
        <w:contextualSpacing/>
      </w:pPr>
      <w:r w:rsidRPr="00EF0E74">
        <w:lastRenderedPageBreak/>
        <w:t xml:space="preserve">Williamson, I. (2000). Internalized homophobia and health issues affecting lesbians and gay </w:t>
      </w:r>
      <w:r w:rsidRPr="00EF0E74">
        <w:tab/>
        <w:t xml:space="preserve">men. </w:t>
      </w:r>
      <w:r w:rsidRPr="00EF0E74">
        <w:rPr>
          <w:i/>
        </w:rPr>
        <w:t>Health Education Research, 15</w:t>
      </w:r>
      <w:r w:rsidRPr="00EF0E74">
        <w:t>, 97–107.</w:t>
      </w:r>
    </w:p>
    <w:p w:rsidR="00AB2D83" w:rsidRPr="00EF0E74" w:rsidRDefault="00AB2D83" w:rsidP="00AB2D83">
      <w:pPr>
        <w:spacing w:after="0" w:line="480" w:lineRule="auto"/>
        <w:contextualSpacing/>
      </w:pPr>
      <w:r w:rsidRPr="00EF0E74">
        <w:t xml:space="preserve">Woodford, M. R., Howell, M. L., Kulick, A., &amp; Silverschanz, P. (2012). “That’s so gay!”: </w:t>
      </w:r>
    </w:p>
    <w:p w:rsidR="00AB2D83" w:rsidRPr="00EF0E74" w:rsidRDefault="00AB2D83" w:rsidP="00AB2D83">
      <w:pPr>
        <w:spacing w:after="0" w:line="480" w:lineRule="auto"/>
        <w:ind w:left="720"/>
        <w:contextualSpacing/>
      </w:pPr>
      <w:r w:rsidRPr="00EF0E74">
        <w:t xml:space="preserve">Examining the covariates of hear- ing this expression among gay, lesbian, and bisexual college students. </w:t>
      </w:r>
      <w:r w:rsidRPr="00EF0E74">
        <w:rPr>
          <w:i/>
        </w:rPr>
        <w:t>Journal of American College Health</w:t>
      </w:r>
      <w:r w:rsidRPr="00EF0E74">
        <w:t xml:space="preserve">, </w:t>
      </w:r>
      <w:r w:rsidRPr="00EF0E74">
        <w:rPr>
          <w:i/>
        </w:rPr>
        <w:t>60</w:t>
      </w:r>
      <w:r w:rsidRPr="00EF0E74">
        <w:t>, 429–434.</w:t>
      </w:r>
    </w:p>
    <w:p w:rsidR="00AB2D83" w:rsidRPr="00EF0E74" w:rsidRDefault="00AB2D83" w:rsidP="00AB2D83">
      <w:pPr>
        <w:spacing w:after="0" w:line="480" w:lineRule="auto"/>
        <w:contextualSpacing/>
      </w:pPr>
      <w:r w:rsidRPr="00EF0E74">
        <w:t xml:space="preserve">Zakalik, R. A., &amp; Wei, M. (2006). Adult Attachment , Perceived Discrimination Based on Sexual </w:t>
      </w:r>
    </w:p>
    <w:p w:rsidR="00AB2D83" w:rsidRPr="00EF0E74" w:rsidRDefault="00AB2D83" w:rsidP="00AB2D83">
      <w:pPr>
        <w:spacing w:after="0" w:line="480" w:lineRule="auto"/>
        <w:ind w:left="720"/>
        <w:contextualSpacing/>
      </w:pPr>
      <w:r w:rsidRPr="00EF0E74">
        <w:t xml:space="preserve">Orientation , and Depression in Gay Males : Examining the Mediation and Moderation Effects, </w:t>
      </w:r>
      <w:r w:rsidRPr="00EF0E74">
        <w:rPr>
          <w:i/>
          <w:iCs/>
        </w:rPr>
        <w:t>53</w:t>
      </w:r>
      <w:r w:rsidRPr="00EF0E74">
        <w:t>(3), 302–313. doi:10.1037/0022-0167.53.3.302.</w:t>
      </w:r>
    </w:p>
    <w:p w:rsidR="00B223F4" w:rsidRPr="00EF0E74" w:rsidRDefault="00B223F4" w:rsidP="00AB2D83">
      <w:pPr>
        <w:spacing w:after="0" w:line="480" w:lineRule="auto"/>
        <w:ind w:left="720"/>
        <w:contextualSpacing/>
      </w:pPr>
    </w:p>
    <w:p w:rsidR="00B223F4" w:rsidRPr="00EF0E74" w:rsidRDefault="00B223F4">
      <w:r w:rsidRPr="00EF0E74">
        <w:br w:type="page"/>
      </w:r>
    </w:p>
    <w:p w:rsidR="00B223F4" w:rsidRPr="00EF0E74" w:rsidRDefault="00B223F4" w:rsidP="00B223F4">
      <w:pPr>
        <w:pStyle w:val="Heading1"/>
        <w:jc w:val="center"/>
        <w:rPr>
          <w:rFonts w:cs="Times New Roman"/>
          <w:szCs w:val="24"/>
        </w:rPr>
      </w:pPr>
      <w:bookmarkStart w:id="23" w:name="_Toc425928360"/>
      <w:r w:rsidRPr="00EF0E74">
        <w:rPr>
          <w:rFonts w:cs="Times New Roman"/>
          <w:szCs w:val="24"/>
        </w:rPr>
        <w:lastRenderedPageBreak/>
        <w:t>Appendices</w:t>
      </w:r>
      <w:bookmarkEnd w:id="23"/>
    </w:p>
    <w:p w:rsidR="0025033C" w:rsidRPr="00EF0E74" w:rsidRDefault="0025033C"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p w:rsidR="00B223F4" w:rsidRPr="00EF0E74" w:rsidRDefault="00B223F4" w:rsidP="00B223F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15"/>
        <w:gridCol w:w="720"/>
        <w:gridCol w:w="946"/>
        <w:gridCol w:w="1096"/>
        <w:gridCol w:w="954"/>
        <w:gridCol w:w="1602"/>
        <w:gridCol w:w="1455"/>
        <w:gridCol w:w="1288"/>
      </w:tblGrid>
      <w:tr w:rsidR="00136D8A" w:rsidRPr="00EF0E74" w:rsidTr="00E33919">
        <w:trPr>
          <w:trHeight w:val="572"/>
        </w:trPr>
        <w:tc>
          <w:tcPr>
            <w:tcW w:w="0" w:type="auto"/>
            <w:gridSpan w:val="8"/>
            <w:tcBorders>
              <w:bottom w:val="single" w:sz="18" w:space="0" w:color="auto"/>
            </w:tcBorders>
            <w:hideMark/>
          </w:tcPr>
          <w:p w:rsidR="00136D8A" w:rsidRPr="00EF0E74" w:rsidRDefault="00136D8A" w:rsidP="00136D8A">
            <w:pPr>
              <w:spacing w:after="200" w:line="276" w:lineRule="auto"/>
              <w:contextualSpacing/>
            </w:pPr>
            <w:r w:rsidRPr="00EF0E74">
              <w:lastRenderedPageBreak/>
              <w:t>Table 1. Descriptive Statistics for Predictor, Outcome, and Control Variables</w:t>
            </w:r>
          </w:p>
        </w:tc>
      </w:tr>
      <w:tr w:rsidR="00136D8A" w:rsidRPr="00EF0E74" w:rsidTr="00E33919">
        <w:trPr>
          <w:trHeight w:val="410"/>
        </w:trPr>
        <w:tc>
          <w:tcPr>
            <w:tcW w:w="0" w:type="auto"/>
            <w:tcBorders>
              <w:top w:val="single" w:sz="18" w:space="0" w:color="auto"/>
              <w:bottom w:val="single" w:sz="8" w:space="0" w:color="auto"/>
            </w:tcBorders>
            <w:hideMark/>
          </w:tcPr>
          <w:p w:rsidR="00136D8A" w:rsidRPr="00EF0E74" w:rsidRDefault="00136D8A" w:rsidP="00136D8A">
            <w:pPr>
              <w:spacing w:after="200"/>
              <w:contextualSpacing/>
            </w:pPr>
          </w:p>
        </w:tc>
        <w:tc>
          <w:tcPr>
            <w:tcW w:w="0" w:type="auto"/>
            <w:tcBorders>
              <w:top w:val="single" w:sz="18" w:space="0" w:color="auto"/>
              <w:bottom w:val="single" w:sz="8" w:space="0" w:color="auto"/>
            </w:tcBorders>
            <w:hideMark/>
          </w:tcPr>
          <w:p w:rsidR="00136D8A" w:rsidRPr="00EF0E74" w:rsidRDefault="00136D8A" w:rsidP="00136D8A">
            <w:pPr>
              <w:spacing w:after="200"/>
              <w:contextualSpacing/>
            </w:pPr>
            <w:r w:rsidRPr="00EF0E74">
              <w:t>N</w:t>
            </w:r>
          </w:p>
        </w:tc>
        <w:tc>
          <w:tcPr>
            <w:tcW w:w="0" w:type="auto"/>
            <w:tcBorders>
              <w:top w:val="single" w:sz="18" w:space="0" w:color="auto"/>
              <w:bottom w:val="single" w:sz="8" w:space="0" w:color="auto"/>
            </w:tcBorders>
            <w:hideMark/>
          </w:tcPr>
          <w:p w:rsidR="00136D8A" w:rsidRPr="00EF0E74" w:rsidRDefault="00136D8A" w:rsidP="00136D8A">
            <w:pPr>
              <w:spacing w:after="200"/>
              <w:contextualSpacing/>
              <w:jc w:val="center"/>
            </w:pPr>
            <w:r w:rsidRPr="00EF0E74">
              <w:t>Min</w:t>
            </w:r>
          </w:p>
        </w:tc>
        <w:tc>
          <w:tcPr>
            <w:tcW w:w="0" w:type="auto"/>
            <w:tcBorders>
              <w:top w:val="single" w:sz="18" w:space="0" w:color="auto"/>
              <w:bottom w:val="single" w:sz="8" w:space="0" w:color="auto"/>
            </w:tcBorders>
            <w:hideMark/>
          </w:tcPr>
          <w:p w:rsidR="00136D8A" w:rsidRPr="00EF0E74" w:rsidRDefault="00136D8A" w:rsidP="00136D8A">
            <w:pPr>
              <w:spacing w:after="200"/>
              <w:contextualSpacing/>
              <w:jc w:val="center"/>
            </w:pPr>
            <w:r w:rsidRPr="00EF0E74">
              <w:t>Max</w:t>
            </w:r>
          </w:p>
        </w:tc>
        <w:tc>
          <w:tcPr>
            <w:tcW w:w="0" w:type="auto"/>
            <w:tcBorders>
              <w:top w:val="single" w:sz="18" w:space="0" w:color="auto"/>
              <w:bottom w:val="single" w:sz="8" w:space="0" w:color="auto"/>
            </w:tcBorders>
            <w:hideMark/>
          </w:tcPr>
          <w:p w:rsidR="00136D8A" w:rsidRPr="00EF0E74" w:rsidRDefault="00136D8A" w:rsidP="00136D8A">
            <w:pPr>
              <w:spacing w:after="200"/>
              <w:contextualSpacing/>
              <w:jc w:val="center"/>
            </w:pPr>
            <w:r w:rsidRPr="00EF0E74">
              <w:t>Mean</w:t>
            </w:r>
          </w:p>
        </w:tc>
        <w:tc>
          <w:tcPr>
            <w:tcW w:w="0" w:type="auto"/>
            <w:tcBorders>
              <w:top w:val="single" w:sz="18" w:space="0" w:color="auto"/>
              <w:bottom w:val="single" w:sz="8" w:space="0" w:color="auto"/>
            </w:tcBorders>
            <w:hideMark/>
          </w:tcPr>
          <w:p w:rsidR="00136D8A" w:rsidRPr="00EF0E74" w:rsidRDefault="00136D8A" w:rsidP="00136D8A">
            <w:pPr>
              <w:spacing w:after="200"/>
              <w:contextualSpacing/>
              <w:jc w:val="center"/>
            </w:pPr>
            <w:r w:rsidRPr="00EF0E74">
              <w:t>Std. Deviation</w:t>
            </w:r>
          </w:p>
        </w:tc>
        <w:tc>
          <w:tcPr>
            <w:tcW w:w="0" w:type="auto"/>
            <w:tcBorders>
              <w:top w:val="single" w:sz="18" w:space="0" w:color="auto"/>
              <w:bottom w:val="single" w:sz="8" w:space="0" w:color="auto"/>
            </w:tcBorders>
            <w:hideMark/>
          </w:tcPr>
          <w:p w:rsidR="00136D8A" w:rsidRPr="00EF0E74" w:rsidRDefault="00136D8A" w:rsidP="00136D8A">
            <w:pPr>
              <w:spacing w:after="200"/>
              <w:contextualSpacing/>
              <w:jc w:val="center"/>
            </w:pPr>
            <w:r w:rsidRPr="00EF0E74">
              <w:t>Skewness</w:t>
            </w:r>
          </w:p>
        </w:tc>
        <w:tc>
          <w:tcPr>
            <w:tcW w:w="0" w:type="auto"/>
            <w:tcBorders>
              <w:top w:val="single" w:sz="18" w:space="0" w:color="auto"/>
              <w:bottom w:val="single" w:sz="8" w:space="0" w:color="auto"/>
            </w:tcBorders>
            <w:hideMark/>
          </w:tcPr>
          <w:p w:rsidR="00136D8A" w:rsidRPr="00EF0E74" w:rsidRDefault="00136D8A" w:rsidP="00136D8A">
            <w:pPr>
              <w:spacing w:after="200"/>
              <w:contextualSpacing/>
              <w:jc w:val="center"/>
            </w:pPr>
            <w:r w:rsidRPr="00EF0E74">
              <w:t>Kurtosis</w:t>
            </w:r>
          </w:p>
        </w:tc>
      </w:tr>
      <w:tr w:rsidR="00136D8A" w:rsidRPr="00EF0E74" w:rsidTr="00E33919">
        <w:trPr>
          <w:trHeight w:val="410"/>
        </w:trPr>
        <w:tc>
          <w:tcPr>
            <w:tcW w:w="0" w:type="auto"/>
            <w:tcBorders>
              <w:top w:val="single" w:sz="8" w:space="0" w:color="auto"/>
            </w:tcBorders>
            <w:hideMark/>
          </w:tcPr>
          <w:p w:rsidR="00136D8A" w:rsidRPr="00EF0E74" w:rsidRDefault="00136D8A" w:rsidP="00136D8A">
            <w:pPr>
              <w:spacing w:after="200"/>
              <w:contextualSpacing/>
            </w:pPr>
            <w:r w:rsidRPr="00EF0E74">
              <w:t>GTE-Total</w:t>
            </w:r>
          </w:p>
        </w:tc>
        <w:tc>
          <w:tcPr>
            <w:tcW w:w="0" w:type="auto"/>
            <w:tcBorders>
              <w:top w:val="single" w:sz="8" w:space="0" w:color="auto"/>
            </w:tcBorders>
            <w:hideMark/>
          </w:tcPr>
          <w:p w:rsidR="00136D8A" w:rsidRPr="00EF0E74" w:rsidRDefault="00136D8A" w:rsidP="00136D8A">
            <w:pPr>
              <w:spacing w:after="200"/>
              <w:contextualSpacing/>
              <w:jc w:val="center"/>
            </w:pPr>
            <w:r w:rsidRPr="00EF0E74">
              <w:t>487</w:t>
            </w:r>
          </w:p>
        </w:tc>
        <w:tc>
          <w:tcPr>
            <w:tcW w:w="0" w:type="auto"/>
            <w:tcBorders>
              <w:top w:val="single" w:sz="8" w:space="0" w:color="auto"/>
            </w:tcBorders>
            <w:hideMark/>
          </w:tcPr>
          <w:p w:rsidR="00136D8A" w:rsidRPr="00EF0E74" w:rsidRDefault="00136D8A" w:rsidP="00136D8A">
            <w:pPr>
              <w:spacing w:after="200"/>
              <w:contextualSpacing/>
              <w:jc w:val="center"/>
            </w:pPr>
            <w:r w:rsidRPr="00EF0E74">
              <w:t>0.00</w:t>
            </w:r>
          </w:p>
        </w:tc>
        <w:tc>
          <w:tcPr>
            <w:tcW w:w="0" w:type="auto"/>
            <w:tcBorders>
              <w:top w:val="single" w:sz="8" w:space="0" w:color="auto"/>
            </w:tcBorders>
            <w:hideMark/>
          </w:tcPr>
          <w:p w:rsidR="00136D8A" w:rsidRPr="00EF0E74" w:rsidRDefault="00136D8A" w:rsidP="00136D8A">
            <w:pPr>
              <w:spacing w:after="200"/>
              <w:contextualSpacing/>
              <w:jc w:val="center"/>
            </w:pPr>
            <w:r w:rsidRPr="00EF0E74">
              <w:t>12.00</w:t>
            </w:r>
          </w:p>
        </w:tc>
        <w:tc>
          <w:tcPr>
            <w:tcW w:w="0" w:type="auto"/>
            <w:tcBorders>
              <w:top w:val="single" w:sz="8" w:space="0" w:color="auto"/>
            </w:tcBorders>
            <w:hideMark/>
          </w:tcPr>
          <w:p w:rsidR="00136D8A" w:rsidRPr="00EF0E74" w:rsidRDefault="00136D8A" w:rsidP="00136D8A">
            <w:pPr>
              <w:spacing w:after="200"/>
              <w:contextualSpacing/>
              <w:jc w:val="center"/>
            </w:pPr>
            <w:r w:rsidRPr="00EF0E74">
              <w:t>3.38</w:t>
            </w:r>
          </w:p>
        </w:tc>
        <w:tc>
          <w:tcPr>
            <w:tcW w:w="0" w:type="auto"/>
            <w:tcBorders>
              <w:top w:val="single" w:sz="8" w:space="0" w:color="auto"/>
            </w:tcBorders>
            <w:hideMark/>
          </w:tcPr>
          <w:p w:rsidR="00136D8A" w:rsidRPr="00EF0E74" w:rsidRDefault="00136D8A" w:rsidP="00136D8A">
            <w:pPr>
              <w:spacing w:after="200"/>
              <w:contextualSpacing/>
              <w:jc w:val="center"/>
            </w:pPr>
            <w:r w:rsidRPr="00EF0E74">
              <w:t>2.44</w:t>
            </w:r>
          </w:p>
        </w:tc>
        <w:tc>
          <w:tcPr>
            <w:tcW w:w="0" w:type="auto"/>
            <w:tcBorders>
              <w:top w:val="single" w:sz="8" w:space="0" w:color="auto"/>
            </w:tcBorders>
            <w:hideMark/>
          </w:tcPr>
          <w:p w:rsidR="00136D8A" w:rsidRPr="00EF0E74" w:rsidRDefault="00136D8A" w:rsidP="00136D8A">
            <w:pPr>
              <w:spacing w:after="200"/>
              <w:contextualSpacing/>
              <w:jc w:val="center"/>
            </w:pPr>
            <w:r w:rsidRPr="00EF0E74">
              <w:t>0.85</w:t>
            </w:r>
          </w:p>
        </w:tc>
        <w:tc>
          <w:tcPr>
            <w:tcW w:w="0" w:type="auto"/>
            <w:tcBorders>
              <w:top w:val="single" w:sz="8" w:space="0" w:color="auto"/>
            </w:tcBorders>
            <w:hideMark/>
          </w:tcPr>
          <w:p w:rsidR="00136D8A" w:rsidRPr="00EF0E74" w:rsidRDefault="00136D8A" w:rsidP="00136D8A">
            <w:pPr>
              <w:spacing w:after="200"/>
              <w:contextualSpacing/>
              <w:jc w:val="center"/>
            </w:pPr>
            <w:r w:rsidRPr="00EF0E74">
              <w:t>0.52</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ABP-SOI</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6.00</w:t>
            </w:r>
          </w:p>
        </w:tc>
        <w:tc>
          <w:tcPr>
            <w:tcW w:w="0" w:type="auto"/>
            <w:hideMark/>
          </w:tcPr>
          <w:p w:rsidR="00136D8A" w:rsidRPr="00EF0E74" w:rsidRDefault="00136D8A" w:rsidP="00136D8A">
            <w:pPr>
              <w:spacing w:after="200"/>
              <w:contextualSpacing/>
              <w:jc w:val="center"/>
            </w:pPr>
            <w:r w:rsidRPr="00EF0E74">
              <w:t>3.01</w:t>
            </w:r>
          </w:p>
        </w:tc>
        <w:tc>
          <w:tcPr>
            <w:tcW w:w="0" w:type="auto"/>
            <w:hideMark/>
          </w:tcPr>
          <w:p w:rsidR="00136D8A" w:rsidRPr="00EF0E74" w:rsidRDefault="00136D8A" w:rsidP="00136D8A">
            <w:pPr>
              <w:spacing w:after="200"/>
              <w:contextualSpacing/>
              <w:jc w:val="center"/>
            </w:pPr>
            <w:r w:rsidRPr="00EF0E74">
              <w:t>1.26</w:t>
            </w:r>
          </w:p>
        </w:tc>
        <w:tc>
          <w:tcPr>
            <w:tcW w:w="0" w:type="auto"/>
            <w:hideMark/>
          </w:tcPr>
          <w:p w:rsidR="00136D8A" w:rsidRPr="00EF0E74" w:rsidRDefault="00136D8A" w:rsidP="00136D8A">
            <w:pPr>
              <w:spacing w:after="200"/>
              <w:contextualSpacing/>
              <w:jc w:val="center"/>
            </w:pPr>
            <w:r w:rsidRPr="00EF0E74">
              <w:t>0.35</w:t>
            </w:r>
          </w:p>
        </w:tc>
        <w:tc>
          <w:tcPr>
            <w:tcW w:w="0" w:type="auto"/>
            <w:hideMark/>
          </w:tcPr>
          <w:p w:rsidR="00136D8A" w:rsidRPr="00EF0E74" w:rsidRDefault="00136D8A" w:rsidP="00136D8A">
            <w:pPr>
              <w:spacing w:after="200"/>
              <w:contextualSpacing/>
              <w:jc w:val="center"/>
            </w:pPr>
            <w:r w:rsidRPr="00EF0E74">
              <w:t>-0.71</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ABP-SI</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6.00</w:t>
            </w:r>
          </w:p>
        </w:tc>
        <w:tc>
          <w:tcPr>
            <w:tcW w:w="0" w:type="auto"/>
            <w:hideMark/>
          </w:tcPr>
          <w:p w:rsidR="00136D8A" w:rsidRPr="00EF0E74" w:rsidRDefault="00136D8A" w:rsidP="00136D8A">
            <w:pPr>
              <w:spacing w:after="200"/>
              <w:contextualSpacing/>
              <w:jc w:val="center"/>
            </w:pPr>
            <w:r w:rsidRPr="00EF0E74">
              <w:t>2.39</w:t>
            </w:r>
          </w:p>
        </w:tc>
        <w:tc>
          <w:tcPr>
            <w:tcW w:w="0" w:type="auto"/>
            <w:hideMark/>
          </w:tcPr>
          <w:p w:rsidR="00136D8A" w:rsidRPr="00EF0E74" w:rsidRDefault="00136D8A" w:rsidP="00136D8A">
            <w:pPr>
              <w:spacing w:after="200"/>
              <w:contextualSpacing/>
              <w:jc w:val="center"/>
            </w:pPr>
            <w:r w:rsidRPr="00EF0E74">
              <w:t>1.24</w:t>
            </w:r>
          </w:p>
        </w:tc>
        <w:tc>
          <w:tcPr>
            <w:tcW w:w="0" w:type="auto"/>
            <w:hideMark/>
          </w:tcPr>
          <w:p w:rsidR="00136D8A" w:rsidRPr="00EF0E74" w:rsidRDefault="00136D8A" w:rsidP="00136D8A">
            <w:pPr>
              <w:spacing w:after="200"/>
              <w:contextualSpacing/>
              <w:jc w:val="center"/>
            </w:pPr>
            <w:r w:rsidRPr="00EF0E74">
              <w:t>0.76</w:t>
            </w:r>
          </w:p>
        </w:tc>
        <w:tc>
          <w:tcPr>
            <w:tcW w:w="0" w:type="auto"/>
            <w:hideMark/>
          </w:tcPr>
          <w:p w:rsidR="00136D8A" w:rsidRPr="00EF0E74" w:rsidRDefault="00136D8A" w:rsidP="00136D8A">
            <w:pPr>
              <w:spacing w:after="200"/>
              <w:contextualSpacing/>
              <w:jc w:val="center"/>
            </w:pPr>
            <w:r w:rsidRPr="00EF0E74">
              <w:t>-0.21</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ABP-IH</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6.00</w:t>
            </w:r>
          </w:p>
        </w:tc>
        <w:tc>
          <w:tcPr>
            <w:tcW w:w="0" w:type="auto"/>
            <w:hideMark/>
          </w:tcPr>
          <w:p w:rsidR="00136D8A" w:rsidRPr="00EF0E74" w:rsidRDefault="00136D8A" w:rsidP="00136D8A">
            <w:pPr>
              <w:spacing w:after="200"/>
              <w:contextualSpacing/>
              <w:jc w:val="center"/>
            </w:pPr>
            <w:r w:rsidRPr="00EF0E74">
              <w:t>2.29</w:t>
            </w:r>
          </w:p>
        </w:tc>
        <w:tc>
          <w:tcPr>
            <w:tcW w:w="0" w:type="auto"/>
            <w:hideMark/>
          </w:tcPr>
          <w:p w:rsidR="00136D8A" w:rsidRPr="00EF0E74" w:rsidRDefault="00136D8A" w:rsidP="00136D8A">
            <w:pPr>
              <w:spacing w:after="200"/>
              <w:contextualSpacing/>
              <w:jc w:val="center"/>
            </w:pPr>
            <w:r w:rsidRPr="00EF0E74">
              <w:t>1.15</w:t>
            </w:r>
          </w:p>
        </w:tc>
        <w:tc>
          <w:tcPr>
            <w:tcW w:w="0" w:type="auto"/>
            <w:hideMark/>
          </w:tcPr>
          <w:p w:rsidR="00136D8A" w:rsidRPr="00EF0E74" w:rsidRDefault="00136D8A" w:rsidP="00136D8A">
            <w:pPr>
              <w:spacing w:after="200"/>
              <w:contextualSpacing/>
              <w:jc w:val="center"/>
            </w:pPr>
            <w:r w:rsidRPr="00EF0E74">
              <w:t>0.98</w:t>
            </w:r>
          </w:p>
        </w:tc>
        <w:tc>
          <w:tcPr>
            <w:tcW w:w="0" w:type="auto"/>
            <w:hideMark/>
          </w:tcPr>
          <w:p w:rsidR="00136D8A" w:rsidRPr="00EF0E74" w:rsidRDefault="00136D8A" w:rsidP="00136D8A">
            <w:pPr>
              <w:spacing w:after="200"/>
              <w:contextualSpacing/>
              <w:jc w:val="center"/>
            </w:pPr>
            <w:r w:rsidRPr="00EF0E74">
              <w:t>0.41</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SF-P</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0.00</w:t>
            </w:r>
          </w:p>
        </w:tc>
        <w:tc>
          <w:tcPr>
            <w:tcW w:w="0" w:type="auto"/>
            <w:hideMark/>
          </w:tcPr>
          <w:p w:rsidR="00136D8A" w:rsidRPr="00EF0E74" w:rsidRDefault="00136D8A" w:rsidP="00136D8A">
            <w:pPr>
              <w:spacing w:after="200"/>
              <w:contextualSpacing/>
              <w:jc w:val="center"/>
            </w:pPr>
            <w:r w:rsidRPr="00EF0E74">
              <w:t>100.00</w:t>
            </w:r>
          </w:p>
        </w:tc>
        <w:tc>
          <w:tcPr>
            <w:tcW w:w="0" w:type="auto"/>
            <w:hideMark/>
          </w:tcPr>
          <w:p w:rsidR="00136D8A" w:rsidRPr="00EF0E74" w:rsidRDefault="00136D8A" w:rsidP="00136D8A">
            <w:pPr>
              <w:spacing w:after="200"/>
              <w:contextualSpacing/>
              <w:jc w:val="center"/>
            </w:pPr>
            <w:r w:rsidRPr="00EF0E74">
              <w:t>74.08</w:t>
            </w:r>
          </w:p>
        </w:tc>
        <w:tc>
          <w:tcPr>
            <w:tcW w:w="0" w:type="auto"/>
            <w:hideMark/>
          </w:tcPr>
          <w:p w:rsidR="00136D8A" w:rsidRPr="00EF0E74" w:rsidRDefault="00136D8A" w:rsidP="00136D8A">
            <w:pPr>
              <w:spacing w:after="200"/>
              <w:contextualSpacing/>
              <w:jc w:val="center"/>
            </w:pPr>
            <w:r w:rsidRPr="00EF0E74">
              <w:t>21.20</w:t>
            </w:r>
          </w:p>
        </w:tc>
        <w:tc>
          <w:tcPr>
            <w:tcW w:w="0" w:type="auto"/>
            <w:hideMark/>
          </w:tcPr>
          <w:p w:rsidR="00136D8A" w:rsidRPr="00EF0E74" w:rsidRDefault="00136D8A" w:rsidP="00136D8A">
            <w:pPr>
              <w:spacing w:after="200"/>
              <w:contextualSpacing/>
              <w:jc w:val="center"/>
            </w:pPr>
            <w:r w:rsidRPr="00EF0E74">
              <w:t>-0.85</w:t>
            </w:r>
          </w:p>
        </w:tc>
        <w:tc>
          <w:tcPr>
            <w:tcW w:w="0" w:type="auto"/>
            <w:hideMark/>
          </w:tcPr>
          <w:p w:rsidR="00136D8A" w:rsidRPr="00EF0E74" w:rsidRDefault="00136D8A" w:rsidP="00136D8A">
            <w:pPr>
              <w:spacing w:after="200"/>
              <w:contextualSpacing/>
              <w:jc w:val="center"/>
            </w:pPr>
            <w:r w:rsidRPr="00EF0E74">
              <w:t>0.44</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SF-GH</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0.00</w:t>
            </w:r>
          </w:p>
        </w:tc>
        <w:tc>
          <w:tcPr>
            <w:tcW w:w="0" w:type="auto"/>
            <w:hideMark/>
          </w:tcPr>
          <w:p w:rsidR="00136D8A" w:rsidRPr="00EF0E74" w:rsidRDefault="00136D8A" w:rsidP="00136D8A">
            <w:pPr>
              <w:spacing w:after="200"/>
              <w:contextualSpacing/>
              <w:jc w:val="center"/>
            </w:pPr>
            <w:r w:rsidRPr="00EF0E74">
              <w:t>95.00</w:t>
            </w:r>
          </w:p>
        </w:tc>
        <w:tc>
          <w:tcPr>
            <w:tcW w:w="0" w:type="auto"/>
            <w:hideMark/>
          </w:tcPr>
          <w:p w:rsidR="00136D8A" w:rsidRPr="00EF0E74" w:rsidRDefault="00136D8A" w:rsidP="00136D8A">
            <w:pPr>
              <w:spacing w:after="200"/>
              <w:contextualSpacing/>
              <w:jc w:val="center"/>
            </w:pPr>
            <w:r w:rsidRPr="00EF0E74">
              <w:t>39.14</w:t>
            </w:r>
          </w:p>
        </w:tc>
        <w:tc>
          <w:tcPr>
            <w:tcW w:w="0" w:type="auto"/>
            <w:hideMark/>
          </w:tcPr>
          <w:p w:rsidR="00136D8A" w:rsidRPr="00EF0E74" w:rsidRDefault="00136D8A" w:rsidP="00136D8A">
            <w:pPr>
              <w:spacing w:after="200"/>
              <w:contextualSpacing/>
              <w:jc w:val="center"/>
            </w:pPr>
            <w:r w:rsidRPr="00EF0E74">
              <w:t>21.12</w:t>
            </w:r>
          </w:p>
        </w:tc>
        <w:tc>
          <w:tcPr>
            <w:tcW w:w="0" w:type="auto"/>
            <w:hideMark/>
          </w:tcPr>
          <w:p w:rsidR="00136D8A" w:rsidRPr="00EF0E74" w:rsidRDefault="00136D8A" w:rsidP="00136D8A">
            <w:pPr>
              <w:spacing w:after="200"/>
              <w:contextualSpacing/>
              <w:jc w:val="center"/>
            </w:pPr>
            <w:r w:rsidRPr="00EF0E74">
              <w:t>0.33</w:t>
            </w:r>
          </w:p>
        </w:tc>
        <w:tc>
          <w:tcPr>
            <w:tcW w:w="0" w:type="auto"/>
            <w:hideMark/>
          </w:tcPr>
          <w:p w:rsidR="00136D8A" w:rsidRPr="00EF0E74" w:rsidRDefault="00136D8A" w:rsidP="00136D8A">
            <w:pPr>
              <w:spacing w:after="200"/>
              <w:contextualSpacing/>
              <w:jc w:val="center"/>
            </w:pPr>
            <w:r w:rsidRPr="00EF0E74">
              <w:t>-0.59</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SF-PF</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0.00</w:t>
            </w:r>
          </w:p>
        </w:tc>
        <w:tc>
          <w:tcPr>
            <w:tcW w:w="0" w:type="auto"/>
            <w:hideMark/>
          </w:tcPr>
          <w:p w:rsidR="00136D8A" w:rsidRPr="00EF0E74" w:rsidRDefault="00136D8A" w:rsidP="00136D8A">
            <w:pPr>
              <w:spacing w:after="200"/>
              <w:contextualSpacing/>
              <w:jc w:val="center"/>
            </w:pPr>
            <w:r w:rsidRPr="00EF0E74">
              <w:t>100.00</w:t>
            </w:r>
          </w:p>
        </w:tc>
        <w:tc>
          <w:tcPr>
            <w:tcW w:w="0" w:type="auto"/>
            <w:hideMark/>
          </w:tcPr>
          <w:p w:rsidR="00136D8A" w:rsidRPr="00EF0E74" w:rsidRDefault="00136D8A" w:rsidP="00136D8A">
            <w:pPr>
              <w:spacing w:after="200"/>
              <w:contextualSpacing/>
              <w:jc w:val="center"/>
            </w:pPr>
            <w:r w:rsidRPr="00EF0E74">
              <w:t>87.41</w:t>
            </w:r>
          </w:p>
        </w:tc>
        <w:tc>
          <w:tcPr>
            <w:tcW w:w="0" w:type="auto"/>
            <w:hideMark/>
          </w:tcPr>
          <w:p w:rsidR="00136D8A" w:rsidRPr="00EF0E74" w:rsidRDefault="00136D8A" w:rsidP="00136D8A">
            <w:pPr>
              <w:spacing w:after="200"/>
              <w:contextualSpacing/>
              <w:jc w:val="center"/>
            </w:pPr>
            <w:r w:rsidRPr="00EF0E74">
              <w:t>17.66</w:t>
            </w:r>
          </w:p>
        </w:tc>
        <w:tc>
          <w:tcPr>
            <w:tcW w:w="0" w:type="auto"/>
            <w:hideMark/>
          </w:tcPr>
          <w:p w:rsidR="00136D8A" w:rsidRPr="00EF0E74" w:rsidRDefault="00136D8A" w:rsidP="00136D8A">
            <w:pPr>
              <w:spacing w:after="200"/>
              <w:contextualSpacing/>
              <w:jc w:val="center"/>
            </w:pPr>
            <w:r w:rsidRPr="00EF0E74">
              <w:t>-2.26</w:t>
            </w:r>
          </w:p>
        </w:tc>
        <w:tc>
          <w:tcPr>
            <w:tcW w:w="0" w:type="auto"/>
            <w:hideMark/>
          </w:tcPr>
          <w:p w:rsidR="00136D8A" w:rsidRPr="00EF0E74" w:rsidRDefault="00136D8A" w:rsidP="00136D8A">
            <w:pPr>
              <w:spacing w:after="200"/>
              <w:contextualSpacing/>
              <w:jc w:val="center"/>
            </w:pPr>
            <w:r w:rsidRPr="00EF0E74">
              <w:t>5.70</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SF-RLPH</w:t>
            </w:r>
          </w:p>
        </w:tc>
        <w:tc>
          <w:tcPr>
            <w:tcW w:w="0" w:type="auto"/>
            <w:hideMark/>
          </w:tcPr>
          <w:p w:rsidR="00136D8A" w:rsidRPr="00EF0E74" w:rsidRDefault="00136D8A" w:rsidP="00136D8A">
            <w:pPr>
              <w:spacing w:after="200"/>
              <w:contextualSpacing/>
              <w:jc w:val="center"/>
            </w:pPr>
            <w:r w:rsidRPr="00EF0E74">
              <w:t>486</w:t>
            </w:r>
          </w:p>
        </w:tc>
        <w:tc>
          <w:tcPr>
            <w:tcW w:w="0" w:type="auto"/>
            <w:hideMark/>
          </w:tcPr>
          <w:p w:rsidR="00136D8A" w:rsidRPr="00EF0E74" w:rsidRDefault="00136D8A" w:rsidP="00136D8A">
            <w:pPr>
              <w:spacing w:after="200"/>
              <w:contextualSpacing/>
              <w:jc w:val="center"/>
            </w:pPr>
            <w:r w:rsidRPr="00EF0E74">
              <w:t>0.00</w:t>
            </w:r>
          </w:p>
        </w:tc>
        <w:tc>
          <w:tcPr>
            <w:tcW w:w="0" w:type="auto"/>
            <w:hideMark/>
          </w:tcPr>
          <w:p w:rsidR="00136D8A" w:rsidRPr="00EF0E74" w:rsidRDefault="00136D8A" w:rsidP="00136D8A">
            <w:pPr>
              <w:spacing w:after="200"/>
              <w:contextualSpacing/>
              <w:jc w:val="center"/>
            </w:pPr>
            <w:r w:rsidRPr="00EF0E74">
              <w:t>100.00</w:t>
            </w:r>
          </w:p>
        </w:tc>
        <w:tc>
          <w:tcPr>
            <w:tcW w:w="0" w:type="auto"/>
            <w:hideMark/>
          </w:tcPr>
          <w:p w:rsidR="00136D8A" w:rsidRPr="00EF0E74" w:rsidRDefault="00136D8A" w:rsidP="00136D8A">
            <w:pPr>
              <w:spacing w:after="200"/>
              <w:contextualSpacing/>
              <w:jc w:val="center"/>
            </w:pPr>
            <w:r w:rsidRPr="00EF0E74">
              <w:t>77.93</w:t>
            </w:r>
          </w:p>
        </w:tc>
        <w:tc>
          <w:tcPr>
            <w:tcW w:w="0" w:type="auto"/>
            <w:hideMark/>
          </w:tcPr>
          <w:p w:rsidR="00136D8A" w:rsidRPr="00EF0E74" w:rsidRDefault="00136D8A" w:rsidP="00136D8A">
            <w:pPr>
              <w:spacing w:after="200"/>
              <w:contextualSpacing/>
              <w:jc w:val="center"/>
            </w:pPr>
            <w:r w:rsidRPr="00EF0E74">
              <w:t>34.88</w:t>
            </w:r>
          </w:p>
        </w:tc>
        <w:tc>
          <w:tcPr>
            <w:tcW w:w="0" w:type="auto"/>
            <w:hideMark/>
          </w:tcPr>
          <w:p w:rsidR="00136D8A" w:rsidRPr="00EF0E74" w:rsidRDefault="00136D8A" w:rsidP="00136D8A">
            <w:pPr>
              <w:spacing w:after="200"/>
              <w:contextualSpacing/>
              <w:jc w:val="center"/>
            </w:pPr>
            <w:r w:rsidRPr="00EF0E74">
              <w:t>-1.34</w:t>
            </w:r>
          </w:p>
        </w:tc>
        <w:tc>
          <w:tcPr>
            <w:tcW w:w="0" w:type="auto"/>
            <w:hideMark/>
          </w:tcPr>
          <w:p w:rsidR="00136D8A" w:rsidRPr="00EF0E74" w:rsidRDefault="00136D8A" w:rsidP="00136D8A">
            <w:pPr>
              <w:spacing w:after="200"/>
              <w:contextualSpacing/>
              <w:jc w:val="center"/>
            </w:pPr>
            <w:r w:rsidRPr="00EF0E74">
              <w:t>0.28</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CESD</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3.80</w:t>
            </w:r>
          </w:p>
        </w:tc>
        <w:tc>
          <w:tcPr>
            <w:tcW w:w="0" w:type="auto"/>
            <w:hideMark/>
          </w:tcPr>
          <w:p w:rsidR="00136D8A" w:rsidRPr="00EF0E74" w:rsidRDefault="00136D8A" w:rsidP="00136D8A">
            <w:pPr>
              <w:spacing w:after="200"/>
              <w:contextualSpacing/>
              <w:jc w:val="center"/>
            </w:pPr>
            <w:r w:rsidRPr="00EF0E74">
              <w:t>2.07</w:t>
            </w:r>
          </w:p>
        </w:tc>
        <w:tc>
          <w:tcPr>
            <w:tcW w:w="0" w:type="auto"/>
            <w:hideMark/>
          </w:tcPr>
          <w:p w:rsidR="00136D8A" w:rsidRPr="00EF0E74" w:rsidRDefault="00136D8A" w:rsidP="00136D8A">
            <w:pPr>
              <w:spacing w:after="200"/>
              <w:contextualSpacing/>
              <w:jc w:val="center"/>
            </w:pPr>
            <w:r w:rsidRPr="00EF0E74">
              <w:t>0.68</w:t>
            </w:r>
          </w:p>
        </w:tc>
        <w:tc>
          <w:tcPr>
            <w:tcW w:w="0" w:type="auto"/>
            <w:hideMark/>
          </w:tcPr>
          <w:p w:rsidR="00136D8A" w:rsidRPr="00EF0E74" w:rsidRDefault="00136D8A" w:rsidP="00136D8A">
            <w:pPr>
              <w:spacing w:after="200"/>
              <w:contextualSpacing/>
              <w:jc w:val="center"/>
            </w:pPr>
            <w:r w:rsidRPr="00EF0E74">
              <w:t>0.35</w:t>
            </w:r>
          </w:p>
        </w:tc>
        <w:tc>
          <w:tcPr>
            <w:tcW w:w="0" w:type="auto"/>
            <w:hideMark/>
          </w:tcPr>
          <w:p w:rsidR="00136D8A" w:rsidRPr="00EF0E74" w:rsidRDefault="00136D8A" w:rsidP="00136D8A">
            <w:pPr>
              <w:spacing w:after="200"/>
              <w:contextualSpacing/>
              <w:jc w:val="center"/>
            </w:pPr>
            <w:r w:rsidRPr="00EF0E74">
              <w:t>-0.78</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IB</w:t>
            </w:r>
          </w:p>
        </w:tc>
        <w:tc>
          <w:tcPr>
            <w:tcW w:w="0" w:type="auto"/>
            <w:hideMark/>
          </w:tcPr>
          <w:p w:rsidR="00136D8A" w:rsidRPr="00EF0E74" w:rsidRDefault="00136D8A" w:rsidP="00136D8A">
            <w:pPr>
              <w:spacing w:after="200"/>
              <w:contextualSpacing/>
              <w:jc w:val="center"/>
            </w:pPr>
            <w:r w:rsidRPr="00EF0E74">
              <w:t>491</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5.00</w:t>
            </w:r>
          </w:p>
        </w:tc>
        <w:tc>
          <w:tcPr>
            <w:tcW w:w="0" w:type="auto"/>
            <w:hideMark/>
          </w:tcPr>
          <w:p w:rsidR="00136D8A" w:rsidRPr="00EF0E74" w:rsidRDefault="00136D8A" w:rsidP="00136D8A">
            <w:pPr>
              <w:spacing w:after="200"/>
              <w:contextualSpacing/>
              <w:jc w:val="center"/>
            </w:pPr>
            <w:r w:rsidRPr="00EF0E74">
              <w:t>1.86</w:t>
            </w:r>
          </w:p>
        </w:tc>
        <w:tc>
          <w:tcPr>
            <w:tcW w:w="0" w:type="auto"/>
            <w:hideMark/>
          </w:tcPr>
          <w:p w:rsidR="00136D8A" w:rsidRPr="00EF0E74" w:rsidRDefault="00136D8A" w:rsidP="00136D8A">
            <w:pPr>
              <w:spacing w:after="200"/>
              <w:contextualSpacing/>
              <w:jc w:val="center"/>
            </w:pPr>
            <w:r w:rsidRPr="00EF0E74">
              <w:t>0.78</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0.96</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PCL-Re</w:t>
            </w:r>
          </w:p>
        </w:tc>
        <w:tc>
          <w:tcPr>
            <w:tcW w:w="0" w:type="auto"/>
            <w:hideMark/>
          </w:tcPr>
          <w:p w:rsidR="00136D8A" w:rsidRPr="00EF0E74" w:rsidRDefault="00136D8A" w:rsidP="00136D8A">
            <w:pPr>
              <w:spacing w:after="200"/>
              <w:contextualSpacing/>
              <w:jc w:val="center"/>
            </w:pPr>
            <w:r w:rsidRPr="00EF0E74">
              <w:t>490</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5.00</w:t>
            </w:r>
          </w:p>
        </w:tc>
        <w:tc>
          <w:tcPr>
            <w:tcW w:w="0" w:type="auto"/>
            <w:hideMark/>
          </w:tcPr>
          <w:p w:rsidR="00136D8A" w:rsidRPr="00EF0E74" w:rsidRDefault="00136D8A" w:rsidP="00136D8A">
            <w:pPr>
              <w:spacing w:after="200"/>
              <w:contextualSpacing/>
              <w:jc w:val="center"/>
            </w:pPr>
            <w:r w:rsidRPr="00EF0E74">
              <w:t>2.10</w:t>
            </w:r>
          </w:p>
        </w:tc>
        <w:tc>
          <w:tcPr>
            <w:tcW w:w="0" w:type="auto"/>
            <w:hideMark/>
          </w:tcPr>
          <w:p w:rsidR="00136D8A" w:rsidRPr="00EF0E74" w:rsidRDefault="00136D8A" w:rsidP="00136D8A">
            <w:pPr>
              <w:spacing w:after="200"/>
              <w:contextualSpacing/>
              <w:jc w:val="center"/>
            </w:pPr>
            <w:r w:rsidRPr="00EF0E74">
              <w:t>1.04</w:t>
            </w:r>
          </w:p>
        </w:tc>
        <w:tc>
          <w:tcPr>
            <w:tcW w:w="0" w:type="auto"/>
            <w:hideMark/>
          </w:tcPr>
          <w:p w:rsidR="00136D8A" w:rsidRPr="00EF0E74" w:rsidRDefault="00136D8A" w:rsidP="00136D8A">
            <w:pPr>
              <w:spacing w:after="200"/>
              <w:contextualSpacing/>
              <w:jc w:val="center"/>
            </w:pPr>
            <w:r w:rsidRPr="00EF0E74">
              <w:t>0.89</w:t>
            </w:r>
          </w:p>
        </w:tc>
        <w:tc>
          <w:tcPr>
            <w:tcW w:w="0" w:type="auto"/>
            <w:hideMark/>
          </w:tcPr>
          <w:p w:rsidR="00136D8A" w:rsidRPr="00EF0E74" w:rsidRDefault="00136D8A" w:rsidP="00136D8A">
            <w:pPr>
              <w:spacing w:after="200"/>
              <w:contextualSpacing/>
              <w:jc w:val="center"/>
            </w:pPr>
            <w:r w:rsidRPr="00EF0E74">
              <w:t>-0.19</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PCL-Av</w:t>
            </w:r>
          </w:p>
        </w:tc>
        <w:tc>
          <w:tcPr>
            <w:tcW w:w="0" w:type="auto"/>
            <w:hideMark/>
          </w:tcPr>
          <w:p w:rsidR="00136D8A" w:rsidRPr="00EF0E74" w:rsidRDefault="00136D8A" w:rsidP="00136D8A">
            <w:pPr>
              <w:spacing w:after="200"/>
              <w:contextualSpacing/>
              <w:jc w:val="center"/>
            </w:pPr>
            <w:r w:rsidRPr="00EF0E74">
              <w:t>489</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5.00</w:t>
            </w:r>
          </w:p>
        </w:tc>
        <w:tc>
          <w:tcPr>
            <w:tcW w:w="0" w:type="auto"/>
            <w:hideMark/>
          </w:tcPr>
          <w:p w:rsidR="00136D8A" w:rsidRPr="00EF0E74" w:rsidRDefault="00136D8A" w:rsidP="00136D8A">
            <w:pPr>
              <w:spacing w:after="200"/>
              <w:contextualSpacing/>
              <w:jc w:val="center"/>
            </w:pPr>
            <w:r w:rsidRPr="00EF0E74">
              <w:t>2.27</w:t>
            </w:r>
          </w:p>
        </w:tc>
        <w:tc>
          <w:tcPr>
            <w:tcW w:w="0" w:type="auto"/>
            <w:hideMark/>
          </w:tcPr>
          <w:p w:rsidR="00136D8A" w:rsidRPr="00EF0E74" w:rsidRDefault="00136D8A" w:rsidP="00136D8A">
            <w:pPr>
              <w:spacing w:after="200"/>
              <w:contextualSpacing/>
              <w:jc w:val="center"/>
            </w:pPr>
            <w:r w:rsidRPr="00EF0E74">
              <w:t>1.07</w:t>
            </w:r>
          </w:p>
        </w:tc>
        <w:tc>
          <w:tcPr>
            <w:tcW w:w="0" w:type="auto"/>
            <w:hideMark/>
          </w:tcPr>
          <w:p w:rsidR="00136D8A" w:rsidRPr="00EF0E74" w:rsidRDefault="00136D8A" w:rsidP="00136D8A">
            <w:pPr>
              <w:spacing w:after="200"/>
              <w:contextualSpacing/>
              <w:jc w:val="center"/>
            </w:pPr>
            <w:r w:rsidRPr="00EF0E74">
              <w:t>0.63</w:t>
            </w:r>
          </w:p>
        </w:tc>
        <w:tc>
          <w:tcPr>
            <w:tcW w:w="0" w:type="auto"/>
            <w:hideMark/>
          </w:tcPr>
          <w:p w:rsidR="00136D8A" w:rsidRPr="00EF0E74" w:rsidRDefault="00136D8A" w:rsidP="00136D8A">
            <w:pPr>
              <w:spacing w:after="200"/>
              <w:contextualSpacing/>
              <w:jc w:val="center"/>
            </w:pPr>
            <w:r w:rsidRPr="00EF0E74">
              <w:t>-0.62</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PCL-Hy</w:t>
            </w:r>
          </w:p>
        </w:tc>
        <w:tc>
          <w:tcPr>
            <w:tcW w:w="0" w:type="auto"/>
            <w:hideMark/>
          </w:tcPr>
          <w:p w:rsidR="00136D8A" w:rsidRPr="00EF0E74" w:rsidRDefault="00136D8A" w:rsidP="00136D8A">
            <w:pPr>
              <w:spacing w:after="200"/>
              <w:contextualSpacing/>
              <w:jc w:val="center"/>
            </w:pPr>
            <w:r w:rsidRPr="00EF0E74">
              <w:t>489</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5.00</w:t>
            </w:r>
          </w:p>
        </w:tc>
        <w:tc>
          <w:tcPr>
            <w:tcW w:w="0" w:type="auto"/>
            <w:hideMark/>
          </w:tcPr>
          <w:p w:rsidR="00136D8A" w:rsidRPr="00EF0E74" w:rsidRDefault="00136D8A" w:rsidP="00136D8A">
            <w:pPr>
              <w:spacing w:after="200"/>
              <w:contextualSpacing/>
              <w:jc w:val="center"/>
            </w:pPr>
            <w:r w:rsidRPr="00EF0E74">
              <w:t>2.40</w:t>
            </w:r>
          </w:p>
        </w:tc>
        <w:tc>
          <w:tcPr>
            <w:tcW w:w="0" w:type="auto"/>
            <w:hideMark/>
          </w:tcPr>
          <w:p w:rsidR="00136D8A" w:rsidRPr="00EF0E74" w:rsidRDefault="00136D8A" w:rsidP="00136D8A">
            <w:pPr>
              <w:spacing w:after="200"/>
              <w:contextualSpacing/>
              <w:jc w:val="center"/>
            </w:pPr>
            <w:r w:rsidRPr="00EF0E74">
              <w:t>1.02</w:t>
            </w:r>
          </w:p>
        </w:tc>
        <w:tc>
          <w:tcPr>
            <w:tcW w:w="0" w:type="auto"/>
            <w:hideMark/>
          </w:tcPr>
          <w:p w:rsidR="00136D8A" w:rsidRPr="00EF0E74" w:rsidRDefault="00136D8A" w:rsidP="00136D8A">
            <w:pPr>
              <w:spacing w:after="200"/>
              <w:contextualSpacing/>
              <w:jc w:val="center"/>
            </w:pPr>
            <w:r w:rsidRPr="00EF0E74">
              <w:t>0.59</w:t>
            </w:r>
          </w:p>
        </w:tc>
        <w:tc>
          <w:tcPr>
            <w:tcW w:w="0" w:type="auto"/>
            <w:hideMark/>
          </w:tcPr>
          <w:p w:rsidR="00136D8A" w:rsidRPr="00EF0E74" w:rsidRDefault="00136D8A" w:rsidP="00136D8A">
            <w:pPr>
              <w:spacing w:after="200"/>
              <w:contextualSpacing/>
              <w:jc w:val="center"/>
            </w:pPr>
            <w:r w:rsidRPr="00EF0E74">
              <w:t>-0.48</w:t>
            </w:r>
          </w:p>
        </w:tc>
      </w:tr>
      <w:tr w:rsidR="00136D8A" w:rsidRPr="00EF0E74" w:rsidTr="00E33919">
        <w:trPr>
          <w:trHeight w:val="410"/>
        </w:trPr>
        <w:tc>
          <w:tcPr>
            <w:tcW w:w="0" w:type="auto"/>
            <w:hideMark/>
          </w:tcPr>
          <w:p w:rsidR="00136D8A" w:rsidRPr="00EF0E74" w:rsidRDefault="00136D8A" w:rsidP="00136D8A">
            <w:pPr>
              <w:spacing w:after="200"/>
              <w:contextualSpacing/>
            </w:pPr>
            <w:r w:rsidRPr="00EF0E74">
              <w:t>Education</w:t>
            </w:r>
          </w:p>
        </w:tc>
        <w:tc>
          <w:tcPr>
            <w:tcW w:w="0" w:type="auto"/>
            <w:hideMark/>
          </w:tcPr>
          <w:p w:rsidR="00136D8A" w:rsidRPr="00EF0E74" w:rsidRDefault="00136D8A" w:rsidP="00136D8A">
            <w:pPr>
              <w:spacing w:after="200"/>
              <w:contextualSpacing/>
              <w:jc w:val="center"/>
            </w:pPr>
            <w:r w:rsidRPr="00EF0E74">
              <w:t>490</w:t>
            </w:r>
          </w:p>
        </w:tc>
        <w:tc>
          <w:tcPr>
            <w:tcW w:w="0" w:type="auto"/>
            <w:hideMark/>
          </w:tcPr>
          <w:p w:rsidR="00136D8A" w:rsidRPr="00EF0E74" w:rsidRDefault="00136D8A" w:rsidP="00136D8A">
            <w:pPr>
              <w:spacing w:after="200"/>
              <w:contextualSpacing/>
              <w:jc w:val="center"/>
            </w:pPr>
            <w:r w:rsidRPr="00EF0E74">
              <w:t>1.00</w:t>
            </w:r>
          </w:p>
        </w:tc>
        <w:tc>
          <w:tcPr>
            <w:tcW w:w="0" w:type="auto"/>
            <w:hideMark/>
          </w:tcPr>
          <w:p w:rsidR="00136D8A" w:rsidRPr="00EF0E74" w:rsidRDefault="00136D8A" w:rsidP="00136D8A">
            <w:pPr>
              <w:spacing w:after="200"/>
              <w:contextualSpacing/>
              <w:jc w:val="center"/>
            </w:pPr>
            <w:r w:rsidRPr="00EF0E74">
              <w:t>6.00</w:t>
            </w:r>
          </w:p>
        </w:tc>
        <w:tc>
          <w:tcPr>
            <w:tcW w:w="0" w:type="auto"/>
            <w:hideMark/>
          </w:tcPr>
          <w:p w:rsidR="00136D8A" w:rsidRPr="00EF0E74" w:rsidRDefault="00136D8A" w:rsidP="00136D8A">
            <w:pPr>
              <w:spacing w:after="200"/>
              <w:contextualSpacing/>
              <w:jc w:val="center"/>
            </w:pPr>
            <w:r w:rsidRPr="00EF0E74">
              <w:t>3.45</w:t>
            </w:r>
          </w:p>
        </w:tc>
        <w:tc>
          <w:tcPr>
            <w:tcW w:w="0" w:type="auto"/>
            <w:hideMark/>
          </w:tcPr>
          <w:p w:rsidR="00136D8A" w:rsidRPr="00EF0E74" w:rsidRDefault="00136D8A" w:rsidP="00136D8A">
            <w:pPr>
              <w:spacing w:after="200"/>
              <w:contextualSpacing/>
              <w:jc w:val="center"/>
            </w:pPr>
            <w:r w:rsidRPr="00EF0E74">
              <w:t>1.34</w:t>
            </w:r>
          </w:p>
        </w:tc>
        <w:tc>
          <w:tcPr>
            <w:tcW w:w="0" w:type="auto"/>
            <w:hideMark/>
          </w:tcPr>
          <w:p w:rsidR="00136D8A" w:rsidRPr="00EF0E74" w:rsidRDefault="00136D8A" w:rsidP="00136D8A">
            <w:pPr>
              <w:spacing w:after="200"/>
              <w:contextualSpacing/>
              <w:jc w:val="center"/>
            </w:pPr>
            <w:r w:rsidRPr="00EF0E74">
              <w:t>0.24</w:t>
            </w:r>
          </w:p>
        </w:tc>
        <w:tc>
          <w:tcPr>
            <w:tcW w:w="0" w:type="auto"/>
            <w:hideMark/>
          </w:tcPr>
          <w:p w:rsidR="00136D8A" w:rsidRPr="00EF0E74" w:rsidRDefault="00136D8A" w:rsidP="00136D8A">
            <w:pPr>
              <w:spacing w:after="200"/>
              <w:contextualSpacing/>
              <w:jc w:val="center"/>
            </w:pPr>
            <w:r w:rsidRPr="00EF0E74">
              <w:t>-1.03</w:t>
            </w:r>
          </w:p>
        </w:tc>
      </w:tr>
      <w:tr w:rsidR="00136D8A" w:rsidRPr="00EF0E74" w:rsidTr="00E33919">
        <w:trPr>
          <w:trHeight w:val="410"/>
        </w:trPr>
        <w:tc>
          <w:tcPr>
            <w:tcW w:w="0" w:type="auto"/>
            <w:tcBorders>
              <w:bottom w:val="single" w:sz="8" w:space="0" w:color="auto"/>
            </w:tcBorders>
            <w:hideMark/>
          </w:tcPr>
          <w:p w:rsidR="00136D8A" w:rsidRPr="00EF0E74" w:rsidRDefault="00136D8A" w:rsidP="00136D8A">
            <w:pPr>
              <w:spacing w:after="200"/>
              <w:contextualSpacing/>
            </w:pPr>
            <w:r w:rsidRPr="00EF0E74">
              <w:t>Age</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471</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18.00</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84.00</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29.20</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12.31</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1.47</w:t>
            </w:r>
          </w:p>
        </w:tc>
        <w:tc>
          <w:tcPr>
            <w:tcW w:w="0" w:type="auto"/>
            <w:tcBorders>
              <w:bottom w:val="single" w:sz="8" w:space="0" w:color="auto"/>
            </w:tcBorders>
            <w:hideMark/>
          </w:tcPr>
          <w:p w:rsidR="00136D8A" w:rsidRPr="00EF0E74" w:rsidRDefault="00136D8A" w:rsidP="00136D8A">
            <w:pPr>
              <w:spacing w:after="200"/>
              <w:contextualSpacing/>
              <w:jc w:val="center"/>
            </w:pPr>
            <w:r w:rsidRPr="00EF0E74">
              <w:t>1.62</w:t>
            </w:r>
          </w:p>
        </w:tc>
      </w:tr>
      <w:tr w:rsidR="00136D8A" w:rsidRPr="00EF0E74" w:rsidTr="00E33919">
        <w:trPr>
          <w:trHeight w:val="572"/>
        </w:trPr>
        <w:tc>
          <w:tcPr>
            <w:tcW w:w="0" w:type="auto"/>
            <w:gridSpan w:val="8"/>
            <w:tcBorders>
              <w:top w:val="single" w:sz="8" w:space="0" w:color="auto"/>
            </w:tcBorders>
            <w:hideMark/>
          </w:tcPr>
          <w:p w:rsidR="00136D8A" w:rsidRPr="00EF0E74" w:rsidRDefault="00136D8A" w:rsidP="00136D8A">
            <w:pPr>
              <w:spacing w:after="200" w:line="276" w:lineRule="auto"/>
            </w:pPr>
            <w:r w:rsidRPr="00EF0E74">
              <w:rPr>
                <w:i/>
              </w:rPr>
              <w:t>Note</w:t>
            </w:r>
            <w:r w:rsidR="00CE4EB0" w:rsidRPr="00EF0E74">
              <w:t>: GTE-Total = # of traumat</w:t>
            </w:r>
            <w:r w:rsidRPr="00EF0E74">
              <w:t>ic events reported; ABP-SOI = anti-bisexual prejudice - sexual orientation instability; ABP-SI = sexual irresponsibility; ABP-IH = interpersonal hostility; SF-P = short-form - pain; SF-GH = general health; SF-PF = physical functioning; SF-RLPH = role limitations due to physical health; CESD = Center for Epidemiological Studies - Depression; IB = internalized biphobia; PCL-RE = PTSD Symptom Checklist - re-experiencing; PCL-AV = avoidance; PCL-HY = hyperarousal.</w:t>
            </w:r>
          </w:p>
        </w:tc>
      </w:tr>
    </w:tbl>
    <w:p w:rsidR="0025033C" w:rsidRPr="00EF0E74" w:rsidRDefault="0025033C" w:rsidP="0025033C">
      <w:pPr>
        <w:spacing w:after="0" w:line="480" w:lineRule="auto"/>
        <w:contextualSpacing/>
      </w:pPr>
    </w:p>
    <w:p w:rsidR="0025033C" w:rsidRPr="00EF0E74" w:rsidRDefault="0025033C">
      <w:r w:rsidRPr="00EF0E74">
        <w:br w:type="page"/>
      </w:r>
    </w:p>
    <w:tbl>
      <w:tblPr>
        <w:tblW w:w="5000" w:type="pct"/>
        <w:tblCellMar>
          <w:left w:w="0" w:type="dxa"/>
          <w:right w:w="0" w:type="dxa"/>
        </w:tblCellMar>
        <w:tblLook w:val="04A0"/>
      </w:tblPr>
      <w:tblGrid>
        <w:gridCol w:w="957"/>
        <w:gridCol w:w="644"/>
        <w:gridCol w:w="644"/>
        <w:gridCol w:w="644"/>
        <w:gridCol w:w="645"/>
        <w:gridCol w:w="645"/>
        <w:gridCol w:w="645"/>
        <w:gridCol w:w="645"/>
        <w:gridCol w:w="676"/>
        <w:gridCol w:w="645"/>
        <w:gridCol w:w="645"/>
        <w:gridCol w:w="645"/>
        <w:gridCol w:w="645"/>
        <w:gridCol w:w="651"/>
      </w:tblGrid>
      <w:tr w:rsidR="00136D8A" w:rsidRPr="00EF0E74" w:rsidTr="00616D9D">
        <w:trPr>
          <w:trHeight w:val="735"/>
        </w:trPr>
        <w:tc>
          <w:tcPr>
            <w:tcW w:w="5000" w:type="pct"/>
            <w:gridSpan w:val="14"/>
            <w:tcBorders>
              <w:top w:val="nil"/>
              <w:left w:val="nil"/>
              <w:bottom w:val="single" w:sz="18" w:space="0" w:color="auto"/>
              <w:right w:val="nil"/>
            </w:tcBorders>
            <w:shd w:val="clear" w:color="auto" w:fill="auto"/>
            <w:tcMar>
              <w:top w:w="8" w:type="dxa"/>
              <w:left w:w="8" w:type="dxa"/>
              <w:bottom w:w="0" w:type="dxa"/>
              <w:right w:w="8" w:type="dxa"/>
            </w:tcMar>
            <w:hideMark/>
          </w:tcPr>
          <w:p w:rsidR="00136D8A" w:rsidRPr="00EF0E74" w:rsidRDefault="00136D8A" w:rsidP="00136D8A">
            <w:pPr>
              <w:spacing w:line="240" w:lineRule="auto"/>
              <w:contextualSpacing/>
            </w:pPr>
            <w:r w:rsidRPr="00EF0E74">
              <w:lastRenderedPageBreak/>
              <w:t>Table 2.</w:t>
            </w:r>
            <w:r w:rsidR="00B223F4" w:rsidRPr="00EF0E74">
              <w:t xml:space="preserve"> </w:t>
            </w:r>
            <w:r w:rsidRPr="00EF0E74">
              <w:t>Correlations among Predictor, Outcome, and Control Variables</w:t>
            </w:r>
          </w:p>
        </w:tc>
      </w:tr>
      <w:tr w:rsidR="00136D8A" w:rsidRPr="00EF0E74" w:rsidTr="00616D9D">
        <w:trPr>
          <w:trHeight w:val="560"/>
        </w:trPr>
        <w:tc>
          <w:tcPr>
            <w:tcW w:w="512"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ABP-SOI</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ABP-</w:t>
            </w:r>
          </w:p>
          <w:p w:rsidR="00136D8A" w:rsidRPr="00EF0E74" w:rsidRDefault="00136D8A" w:rsidP="00136D8A">
            <w:pPr>
              <w:spacing w:line="240" w:lineRule="auto"/>
              <w:contextualSpacing/>
              <w:jc w:val="center"/>
            </w:pPr>
            <w:r w:rsidRPr="00EF0E74">
              <w:t>SI</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ABP-</w:t>
            </w:r>
          </w:p>
          <w:p w:rsidR="00136D8A" w:rsidRPr="00EF0E74" w:rsidRDefault="00136D8A" w:rsidP="00136D8A">
            <w:pPr>
              <w:spacing w:line="240" w:lineRule="auto"/>
              <w:contextualSpacing/>
              <w:jc w:val="center"/>
            </w:pPr>
            <w:r w:rsidRPr="00EF0E74">
              <w:t>IH</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GTE</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SF-PF</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SF-RL</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SF-P</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SF-GH</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CESD</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IB</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PCL-RE</w:t>
            </w:r>
          </w:p>
        </w:tc>
        <w:tc>
          <w:tcPr>
            <w:tcW w:w="345"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PCL-AV</w:t>
            </w:r>
          </w:p>
        </w:tc>
        <w:tc>
          <w:tcPr>
            <w:tcW w:w="347" w:type="pct"/>
            <w:tcBorders>
              <w:top w:val="single" w:sz="18" w:space="0" w:color="auto"/>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jc w:val="center"/>
            </w:pPr>
            <w:r w:rsidRPr="00EF0E74">
              <w:t>PCL-HY</w:t>
            </w:r>
          </w:p>
        </w:tc>
      </w:tr>
      <w:tr w:rsidR="00136D8A" w:rsidRPr="00EF0E74" w:rsidTr="00616D9D">
        <w:trPr>
          <w:trHeight w:val="375"/>
        </w:trPr>
        <w:tc>
          <w:tcPr>
            <w:tcW w:w="512"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ABP-SOI</w:t>
            </w: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single" w:sz="8" w:space="0" w:color="auto"/>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ABP-SI</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.72**</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ABP-IH</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.73**</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.75**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GTE</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SF-PF</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-.13**</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SF-RLPH</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-.12**</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-.14**</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-.23**</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.47**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SF-P</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-.12**</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-.24**</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.55**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.60**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SF-GH</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.18**</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-.49**</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-.43**</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-.56**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CESD</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BD3FC6" w:rsidP="00136D8A">
            <w:pPr>
              <w:spacing w:line="240" w:lineRule="auto"/>
              <w:contextualSpacing/>
            </w:pPr>
            <w:r w:rsidRPr="00EF0E74">
              <w:t>-.29</w:t>
            </w:r>
            <w:r w:rsidR="00136D8A" w:rsidRPr="00EF0E74">
              <w:t>**</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.59**</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IB</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-0.08</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-0.02</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PCL-RE</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.31**</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.29**</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.33**</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.44**</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.66**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PCL-AV</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.32**</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.32**</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-.25**</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-.26**</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.500**</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.79**</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.19**</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.77**</w:t>
            </w:r>
          </w:p>
        </w:tc>
        <w:tc>
          <w:tcPr>
            <w:tcW w:w="345"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c>
          <w:tcPr>
            <w:tcW w:w="347" w:type="pct"/>
            <w:tcBorders>
              <w:top w:val="nil"/>
              <w:left w:val="nil"/>
              <w:bottom w:val="nil"/>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p>
        </w:tc>
      </w:tr>
      <w:tr w:rsidR="00136D8A" w:rsidRPr="00EF0E74" w:rsidTr="00616D9D">
        <w:trPr>
          <w:trHeight w:val="375"/>
        </w:trPr>
        <w:tc>
          <w:tcPr>
            <w:tcW w:w="512"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PCL-HY</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.28**</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.25**</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.30**</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.23**</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-.21**</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-.29**</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-.34**</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.52**</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.81**</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.18**</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.72**</w:t>
            </w:r>
          </w:p>
        </w:tc>
        <w:tc>
          <w:tcPr>
            <w:tcW w:w="345"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.81**</w:t>
            </w:r>
          </w:p>
        </w:tc>
        <w:tc>
          <w:tcPr>
            <w:tcW w:w="347" w:type="pct"/>
            <w:tcBorders>
              <w:top w:val="nil"/>
              <w:left w:val="nil"/>
              <w:bottom w:val="single" w:sz="8" w:space="0" w:color="auto"/>
              <w:right w:val="nil"/>
            </w:tcBorders>
            <w:shd w:val="clear" w:color="auto" w:fill="auto"/>
            <w:tcMar>
              <w:top w:w="8" w:type="dxa"/>
              <w:left w:w="8" w:type="dxa"/>
              <w:bottom w:w="0" w:type="dxa"/>
              <w:right w:w="8" w:type="dxa"/>
            </w:tcMar>
            <w:vAlign w:val="center"/>
            <w:hideMark/>
          </w:tcPr>
          <w:p w:rsidR="00136D8A" w:rsidRPr="00EF0E74" w:rsidRDefault="00136D8A" w:rsidP="00136D8A">
            <w:pPr>
              <w:spacing w:line="240" w:lineRule="auto"/>
              <w:contextualSpacing/>
            </w:pPr>
            <w:r w:rsidRPr="00EF0E74">
              <w:t>1.00</w:t>
            </w:r>
          </w:p>
        </w:tc>
      </w:tr>
      <w:tr w:rsidR="00136D8A" w:rsidRPr="00EF0E74" w:rsidTr="00616D9D">
        <w:trPr>
          <w:trHeight w:val="735"/>
        </w:trPr>
        <w:tc>
          <w:tcPr>
            <w:tcW w:w="5000" w:type="pct"/>
            <w:gridSpan w:val="14"/>
            <w:tcBorders>
              <w:top w:val="single" w:sz="8" w:space="0" w:color="auto"/>
              <w:left w:val="nil"/>
              <w:right w:val="nil"/>
            </w:tcBorders>
            <w:shd w:val="clear" w:color="auto" w:fill="auto"/>
            <w:tcMar>
              <w:top w:w="8" w:type="dxa"/>
              <w:left w:w="8" w:type="dxa"/>
              <w:bottom w:w="0" w:type="dxa"/>
              <w:right w:w="8" w:type="dxa"/>
            </w:tcMar>
            <w:hideMark/>
          </w:tcPr>
          <w:p w:rsidR="00136D8A" w:rsidRPr="00EF0E74" w:rsidRDefault="00136D8A" w:rsidP="00136D8A">
            <w:pPr>
              <w:spacing w:line="240" w:lineRule="auto"/>
              <w:contextualSpacing/>
            </w:pPr>
            <w:r w:rsidRPr="00EF0E74">
              <w:rPr>
                <w:i/>
              </w:rPr>
              <w:t>Note</w:t>
            </w:r>
            <w:r w:rsidRPr="00EF0E74">
              <w:t xml:space="preserve">: * = </w:t>
            </w:r>
            <w:r w:rsidRPr="00EF0E74">
              <w:rPr>
                <w:i/>
              </w:rPr>
              <w:t xml:space="preserve">p </w:t>
            </w:r>
            <w:r w:rsidRPr="00EF0E74">
              <w:t xml:space="preserve">&lt; .05, ** = </w:t>
            </w:r>
            <w:r w:rsidRPr="00EF0E74">
              <w:rPr>
                <w:i/>
              </w:rPr>
              <w:t xml:space="preserve">p </w:t>
            </w:r>
            <w:r w:rsidRPr="00EF0E74">
              <w:t xml:space="preserve">&lt; .01; </w:t>
            </w:r>
            <w:r w:rsidR="00174FA5" w:rsidRPr="00EF0E74">
              <w:t xml:space="preserve">GTE </w:t>
            </w:r>
            <w:r w:rsidR="00C64C4C" w:rsidRPr="00EF0E74">
              <w:t>= # of trauma</w:t>
            </w:r>
            <w:r w:rsidRPr="00EF0E74">
              <w:t>tic events reported; ABP-SOI = anti-bisexual prejudice - sexual orientation instability; ABP-SI = sexual irresponsibility; ABP-IH = interpersonal hostility; SF-P = short-form - pain; SF-GH = general health; SF-PF = physical functioning; SF-RLPH = role limitations due to physical health; CESD = Center for Epidemiological Studies - Depression; IB = internalized biphobia; PCL-RE = PTSD Symptom Checklist - re-experiencing; PCL-AV = avoidance; PCL-HY = hyperarousal.</w:t>
            </w:r>
          </w:p>
        </w:tc>
      </w:tr>
    </w:tbl>
    <w:p w:rsidR="00FD328E" w:rsidRPr="00EF0E74" w:rsidRDefault="00FD328E" w:rsidP="0025033C">
      <w:pPr>
        <w:spacing w:after="0" w:line="480" w:lineRule="auto"/>
        <w:contextualSpacing/>
      </w:pPr>
    </w:p>
    <w:p w:rsidR="009F6093" w:rsidRPr="00EF0E74" w:rsidRDefault="00FD328E">
      <w:r w:rsidRPr="00EF0E74">
        <w:br w:type="page"/>
      </w:r>
    </w:p>
    <w:tbl>
      <w:tblPr>
        <w:tblW w:w="5000" w:type="pct"/>
        <w:tblInd w:w="94" w:type="dxa"/>
        <w:tblLook w:val="04A0"/>
      </w:tblPr>
      <w:tblGrid>
        <w:gridCol w:w="3518"/>
        <w:gridCol w:w="341"/>
        <w:gridCol w:w="2054"/>
        <w:gridCol w:w="1229"/>
        <w:gridCol w:w="2434"/>
      </w:tblGrid>
      <w:tr w:rsidR="00136D8A" w:rsidRPr="00EF0E74" w:rsidTr="00E33919">
        <w:trPr>
          <w:trHeight w:val="300"/>
        </w:trPr>
        <w:tc>
          <w:tcPr>
            <w:tcW w:w="5690" w:type="dxa"/>
            <w:gridSpan w:val="3"/>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lastRenderedPageBreak/>
              <w:t>Table 3. Confirmatory Factor Analysis</w:t>
            </w:r>
          </w:p>
        </w:tc>
        <w:tc>
          <w:tcPr>
            <w:tcW w:w="1183"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w:t>
            </w:r>
          </w:p>
        </w:tc>
        <w:tc>
          <w:tcPr>
            <w:tcW w:w="2342"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w:t>
            </w:r>
          </w:p>
        </w:tc>
      </w:tr>
      <w:tr w:rsidR="00136D8A" w:rsidRPr="00EF0E74" w:rsidTr="00E33919">
        <w:trPr>
          <w:trHeight w:val="300"/>
        </w:trPr>
        <w:tc>
          <w:tcPr>
            <w:tcW w:w="3385"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Variables</w:t>
            </w:r>
          </w:p>
        </w:tc>
        <w:tc>
          <w:tcPr>
            <w:tcW w:w="328"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w:t>
            </w:r>
          </w:p>
        </w:tc>
        <w:tc>
          <w:tcPr>
            <w:tcW w:w="5502" w:type="dxa"/>
            <w:gridSpan w:val="3"/>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Standardized Loading</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328"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1977"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1</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2</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ABP</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183"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ABP-SOI</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0.828</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0.828</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ABP-SI</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0.858</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0.858</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ABP-IH</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0.880</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0.881</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IB</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c>
          <w:tcPr>
            <w:tcW w:w="1183"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74FA5" w:rsidP="00136D8A">
            <w:pPr>
              <w:spacing w:after="0" w:line="240" w:lineRule="auto"/>
              <w:rPr>
                <w:rFonts w:eastAsia="Times New Roman"/>
                <w:color w:val="000000"/>
              </w:rPr>
            </w:pPr>
            <w:r w:rsidRPr="00EF0E74">
              <w:rPr>
                <w:rFonts w:eastAsia="Times New Roman"/>
                <w:color w:val="000000"/>
              </w:rPr>
              <w:t xml:space="preserve">     IB</w:t>
            </w:r>
            <w:r w:rsidR="00136D8A" w:rsidRPr="00EF0E74">
              <w:rPr>
                <w:rFonts w:eastAsia="Times New Roman"/>
                <w:color w:val="000000"/>
              </w:rPr>
              <w:t>-1</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0.911</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0.748</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74FA5" w:rsidP="00136D8A">
            <w:pPr>
              <w:spacing w:after="0" w:line="240" w:lineRule="auto"/>
              <w:rPr>
                <w:rFonts w:eastAsia="Times New Roman"/>
                <w:color w:val="000000"/>
              </w:rPr>
            </w:pPr>
            <w:r w:rsidRPr="00EF0E74">
              <w:rPr>
                <w:rFonts w:eastAsia="Times New Roman"/>
                <w:color w:val="000000"/>
              </w:rPr>
              <w:t xml:space="preserve">     IB</w:t>
            </w:r>
            <w:r w:rsidR="00136D8A" w:rsidRPr="00EF0E74">
              <w:rPr>
                <w:rFonts w:eastAsia="Times New Roman"/>
                <w:color w:val="000000"/>
              </w:rPr>
              <w:t>-2</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0.559</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0.640</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74FA5" w:rsidP="00136D8A">
            <w:pPr>
              <w:spacing w:after="0" w:line="240" w:lineRule="auto"/>
              <w:rPr>
                <w:rFonts w:eastAsia="Times New Roman"/>
                <w:color w:val="000000"/>
              </w:rPr>
            </w:pPr>
            <w:r w:rsidRPr="00EF0E74">
              <w:rPr>
                <w:rFonts w:eastAsia="Times New Roman"/>
                <w:color w:val="000000"/>
              </w:rPr>
              <w:t xml:space="preserve">     IB</w:t>
            </w:r>
            <w:r w:rsidR="00136D8A" w:rsidRPr="00EF0E74">
              <w:rPr>
                <w:rFonts w:eastAsia="Times New Roman"/>
                <w:color w:val="000000"/>
              </w:rPr>
              <w:t>-3</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0.394</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0.475</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74FA5" w:rsidP="00136D8A">
            <w:pPr>
              <w:spacing w:after="0" w:line="240" w:lineRule="auto"/>
              <w:rPr>
                <w:rFonts w:eastAsia="Times New Roman"/>
                <w:color w:val="000000"/>
              </w:rPr>
            </w:pPr>
            <w:r w:rsidRPr="00EF0E74">
              <w:rPr>
                <w:rFonts w:eastAsia="Times New Roman"/>
                <w:color w:val="000000"/>
              </w:rPr>
              <w:t xml:space="preserve">     IB</w:t>
            </w:r>
            <w:r w:rsidR="00136D8A" w:rsidRPr="00EF0E74">
              <w:rPr>
                <w:rFonts w:eastAsia="Times New Roman"/>
                <w:color w:val="000000"/>
              </w:rPr>
              <w:t>-4</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0.453</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0.518</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74FA5" w:rsidP="00136D8A">
            <w:pPr>
              <w:spacing w:after="0" w:line="240" w:lineRule="auto"/>
              <w:rPr>
                <w:rFonts w:eastAsia="Times New Roman"/>
                <w:color w:val="000000"/>
              </w:rPr>
            </w:pPr>
            <w:r w:rsidRPr="00EF0E74">
              <w:rPr>
                <w:rFonts w:eastAsia="Times New Roman"/>
                <w:color w:val="000000"/>
              </w:rPr>
              <w:t xml:space="preserve">     IB</w:t>
            </w:r>
            <w:r w:rsidR="00136D8A" w:rsidRPr="00EF0E74">
              <w:rPr>
                <w:rFonts w:eastAsia="Times New Roman"/>
                <w:color w:val="000000"/>
              </w:rPr>
              <w:t>-5</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0.920</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0.756</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PCLC</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c>
          <w:tcPr>
            <w:tcW w:w="1183"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PCLC-Av</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0.910</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0.910</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PCLC-Hy</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0.898</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0.898</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PCLC-Re</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0.810</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0.810</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CESD</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c>
          <w:tcPr>
            <w:tcW w:w="1183"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D-1</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0.917</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0.920</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D-2</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0.935</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0.933</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D-3</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0.891</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0.892</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SF-GH</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c>
          <w:tcPr>
            <w:tcW w:w="1183"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0.412</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SF</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c>
          <w:tcPr>
            <w:tcW w:w="1183"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SF-P</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0.791</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0.824</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SF-RLPH</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0.685</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0.699</w:t>
            </w:r>
          </w:p>
        </w:tc>
      </w:tr>
      <w:tr w:rsidR="00136D8A" w:rsidRPr="00EF0E74" w:rsidTr="00E33919">
        <w:trPr>
          <w:trHeight w:val="300"/>
        </w:trPr>
        <w:tc>
          <w:tcPr>
            <w:tcW w:w="3385"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SF-PH</w:t>
            </w:r>
          </w:p>
        </w:tc>
        <w:tc>
          <w:tcPr>
            <w:tcW w:w="328"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p>
        </w:tc>
        <w:tc>
          <w:tcPr>
            <w:tcW w:w="1977"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0.666</w:t>
            </w:r>
          </w:p>
        </w:tc>
        <w:tc>
          <w:tcPr>
            <w:tcW w:w="1183" w:type="dxa"/>
            <w:tcBorders>
              <w:top w:val="nil"/>
              <w:left w:val="nil"/>
              <w:bottom w:val="nil"/>
              <w:right w:val="nil"/>
            </w:tcBorders>
            <w:shd w:val="clear" w:color="auto" w:fill="auto"/>
            <w:noWrap/>
            <w:vAlign w:val="bottom"/>
            <w:hideMark/>
          </w:tcPr>
          <w:p w:rsidR="00136D8A" w:rsidRPr="00EF0E74" w:rsidRDefault="00136D8A" w:rsidP="00136D8A">
            <w:pPr>
              <w:keepNext/>
              <w:keepLines/>
              <w:spacing w:before="480" w:after="0" w:line="240" w:lineRule="auto"/>
              <w:outlineLvl w:val="0"/>
              <w:rPr>
                <w:rFonts w:eastAsia="Times New Roman"/>
                <w:color w:val="000000"/>
              </w:rPr>
            </w:pPr>
          </w:p>
        </w:tc>
        <w:tc>
          <w:tcPr>
            <w:tcW w:w="2342" w:type="dxa"/>
            <w:tcBorders>
              <w:top w:val="nil"/>
              <w:left w:val="nil"/>
              <w:bottom w:val="nil"/>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0.687</w:t>
            </w:r>
          </w:p>
        </w:tc>
      </w:tr>
      <w:tr w:rsidR="00136D8A" w:rsidRPr="00EF0E74" w:rsidTr="00E33919">
        <w:trPr>
          <w:trHeight w:val="300"/>
        </w:trPr>
        <w:tc>
          <w:tcPr>
            <w:tcW w:w="3385"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xml:space="preserve">     SF-GH</w:t>
            </w:r>
          </w:p>
        </w:tc>
        <w:tc>
          <w:tcPr>
            <w:tcW w:w="328"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w:t>
            </w:r>
          </w:p>
        </w:tc>
        <w:tc>
          <w:tcPr>
            <w:tcW w:w="1977"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-0.732</w:t>
            </w:r>
          </w:p>
        </w:tc>
        <w:tc>
          <w:tcPr>
            <w:tcW w:w="1183"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rPr>
                <w:rFonts w:eastAsia="Times New Roman"/>
                <w:color w:val="000000"/>
              </w:rPr>
            </w:pPr>
            <w:r w:rsidRPr="00EF0E74">
              <w:rPr>
                <w:rFonts w:eastAsia="Times New Roman"/>
                <w:color w:val="000000"/>
              </w:rPr>
              <w:t> </w:t>
            </w:r>
          </w:p>
        </w:tc>
        <w:tc>
          <w:tcPr>
            <w:tcW w:w="2342" w:type="dxa"/>
            <w:tcBorders>
              <w:top w:val="nil"/>
              <w:left w:val="nil"/>
              <w:bottom w:val="single" w:sz="4" w:space="0" w:color="auto"/>
              <w:right w:val="nil"/>
            </w:tcBorders>
            <w:shd w:val="clear" w:color="auto" w:fill="auto"/>
            <w:noWrap/>
            <w:vAlign w:val="bottom"/>
            <w:hideMark/>
          </w:tcPr>
          <w:p w:rsidR="00136D8A" w:rsidRPr="00EF0E74" w:rsidRDefault="00136D8A" w:rsidP="00136D8A">
            <w:pPr>
              <w:spacing w:after="0" w:line="240" w:lineRule="auto"/>
              <w:jc w:val="center"/>
              <w:rPr>
                <w:rFonts w:eastAsia="Times New Roman"/>
                <w:color w:val="000000"/>
              </w:rPr>
            </w:pPr>
            <w:r w:rsidRPr="00EF0E74">
              <w:rPr>
                <w:rFonts w:eastAsia="Times New Roman"/>
                <w:color w:val="000000"/>
              </w:rPr>
              <w:t>-0.517</w:t>
            </w:r>
          </w:p>
        </w:tc>
      </w:tr>
      <w:tr w:rsidR="00136D8A" w:rsidRPr="00EF0E74" w:rsidTr="00E33919">
        <w:trPr>
          <w:trHeight w:val="616"/>
        </w:trPr>
        <w:tc>
          <w:tcPr>
            <w:tcW w:w="9215" w:type="dxa"/>
            <w:gridSpan w:val="5"/>
            <w:tcBorders>
              <w:top w:val="single" w:sz="4" w:space="0" w:color="auto"/>
              <w:left w:val="nil"/>
              <w:bottom w:val="nil"/>
              <w:right w:val="nil"/>
            </w:tcBorders>
            <w:shd w:val="clear" w:color="auto" w:fill="auto"/>
            <w:vAlign w:val="bottom"/>
            <w:hideMark/>
          </w:tcPr>
          <w:p w:rsidR="00136D8A" w:rsidRPr="00EF0E74" w:rsidRDefault="00136D8A" w:rsidP="00174FA5">
            <w:pPr>
              <w:spacing w:after="0" w:line="240" w:lineRule="auto"/>
              <w:rPr>
                <w:rFonts w:eastAsia="Times New Roman"/>
                <w:color w:val="000000"/>
              </w:rPr>
            </w:pPr>
            <w:r w:rsidRPr="00EF0E74">
              <w:rPr>
                <w:rFonts w:eastAsia="Times New Roman"/>
                <w:i/>
                <w:color w:val="000000"/>
              </w:rPr>
              <w:t>Note</w:t>
            </w:r>
            <w:r w:rsidRPr="00EF0E74">
              <w:rPr>
                <w:rFonts w:eastAsia="Times New Roman"/>
                <w:color w:val="000000"/>
              </w:rPr>
              <w:t>. Fit statistics for model 1: CFI = .901, TFI = .874, RMSEA = .088 [.082, .094]. Fit Statistics for Model 2: CFI = .962, TFI = .951, RMSEA = .055 [.048, .062];</w:t>
            </w:r>
            <w:r w:rsidR="00C64C4C" w:rsidRPr="00EF0E74">
              <w:rPr>
                <w:rFonts w:eastAsia="Times New Roman"/>
                <w:color w:val="000000"/>
              </w:rPr>
              <w:t xml:space="preserve"> </w:t>
            </w:r>
            <w:r w:rsidR="00C64C4C" w:rsidRPr="00EF0E74">
              <w:t>ABP-SOI = anti-bisexual prejudice - sexual orientation instability; ABP-SI = sexual irresponsibility; ABP-IH = interpersonal hostility; SF-P = short-form - pain; SF-GH = general health; SF-PF = physical functioning; SF-RLPH = role limitations due to physical health; CESD = Center for Epidemiological Studies - Depression;</w:t>
            </w:r>
            <w:r w:rsidR="00C64C4C" w:rsidRPr="00EF0E74">
              <w:rPr>
                <w:iCs/>
              </w:rPr>
              <w:t xml:space="preserve"> D = parcel for CES-D</w:t>
            </w:r>
            <w:r w:rsidR="00174FA5" w:rsidRPr="00EF0E74">
              <w:rPr>
                <w:iCs/>
              </w:rPr>
              <w:t>;</w:t>
            </w:r>
            <w:r w:rsidR="00C64C4C" w:rsidRPr="00EF0E74">
              <w:t xml:space="preserve"> IB = internalized biphobia; PCL-RE = PTSD Symptom Checklist - re-experiencing; PCL-AV = avoidance; PCL-HY = hyperarousal.</w:t>
            </w:r>
            <w:r w:rsidR="00EA68CC" w:rsidRPr="00EF0E74">
              <w:rPr>
                <w:rFonts w:eastAsia="Times New Roman"/>
                <w:color w:val="000000"/>
              </w:rPr>
              <w:t xml:space="preserve"> Modification indices indicated that adding SF-GH to the CESD latent construct would improve fit by </w:t>
            </w:r>
            <w:r w:rsidR="00EA68CC" w:rsidRPr="00EF0E74">
              <w:t>Δχ</w:t>
            </w:r>
            <w:r w:rsidR="00EA68CC" w:rsidRPr="00EF0E74">
              <w:rPr>
                <w:vertAlign w:val="superscript"/>
              </w:rPr>
              <w:t>2</w:t>
            </w:r>
            <w:r w:rsidR="00EA68CC" w:rsidRPr="00EF0E74">
              <w:t>=119.73, and that covarying items 1 and 5 and items 2 and 4 would improve mode fit by Δχ</w:t>
            </w:r>
            <w:r w:rsidR="00EA68CC" w:rsidRPr="00EF0E74">
              <w:rPr>
                <w:vertAlign w:val="superscript"/>
              </w:rPr>
              <w:t>2</w:t>
            </w:r>
            <w:r w:rsidR="00EA68CC" w:rsidRPr="00EF0E74">
              <w:t>= 140.70 and Δχ</w:t>
            </w:r>
            <w:r w:rsidR="00EA68CC" w:rsidRPr="00EF0E74">
              <w:rPr>
                <w:vertAlign w:val="superscript"/>
              </w:rPr>
              <w:t>2</w:t>
            </w:r>
            <w:r w:rsidR="00EA68CC" w:rsidRPr="00EF0E74">
              <w:t xml:space="preserve">= 217.96, respectively. </w:t>
            </w:r>
          </w:p>
        </w:tc>
      </w:tr>
    </w:tbl>
    <w:p w:rsidR="00FD328E" w:rsidRPr="00EF0E74" w:rsidRDefault="00FD328E"/>
    <w:p w:rsidR="009F6093" w:rsidRPr="00EF0E74" w:rsidRDefault="009F6093">
      <w:pPr>
        <w:rPr>
          <w:b/>
          <w:noProof/>
        </w:rPr>
      </w:pPr>
      <w:r w:rsidRPr="00EF0E74">
        <w:rPr>
          <w:b/>
          <w:noProof/>
        </w:rPr>
        <w:br w:type="page"/>
      </w:r>
    </w:p>
    <w:p w:rsidR="0025033C" w:rsidRPr="00EF0E74" w:rsidRDefault="002D3F45" w:rsidP="0025033C">
      <w:pPr>
        <w:spacing w:after="0" w:line="480" w:lineRule="auto"/>
        <w:contextualSpacing/>
      </w:pPr>
      <w:r w:rsidRPr="00EF0E74">
        <w:rPr>
          <w:noProof/>
        </w:rPr>
        <w:lastRenderedPageBreak/>
        <w:drawing>
          <wp:inline distT="0" distB="0" distL="0" distR="0">
            <wp:extent cx="5739988" cy="3293004"/>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760120" cy="3304554"/>
                    </a:xfrm>
                    <a:prstGeom prst="rect">
                      <a:avLst/>
                    </a:prstGeom>
                    <a:noFill/>
                  </pic:spPr>
                </pic:pic>
              </a:graphicData>
            </a:graphic>
          </wp:inline>
        </w:drawing>
      </w:r>
    </w:p>
    <w:p w:rsidR="00B223F4" w:rsidRPr="00EF0E74" w:rsidRDefault="00B223F4" w:rsidP="00B223F4">
      <w:pPr>
        <w:spacing w:after="0" w:line="480" w:lineRule="auto"/>
        <w:contextualSpacing/>
        <w:rPr>
          <w:noProof/>
        </w:rPr>
      </w:pPr>
      <w:r w:rsidRPr="00EF0E74">
        <w:rPr>
          <w:noProof/>
        </w:rPr>
        <w:t>Figure 1. Hypothesized Model</w:t>
      </w:r>
    </w:p>
    <w:p w:rsidR="00EF69F0" w:rsidRPr="00EF0E74" w:rsidRDefault="00EF69F0" w:rsidP="00EF69F0">
      <w:r w:rsidRPr="00EF0E74">
        <w:rPr>
          <w:i/>
          <w:iCs/>
        </w:rPr>
        <w:t>Note</w:t>
      </w:r>
      <w:r w:rsidR="001A1737" w:rsidRPr="00EF0E74">
        <w:t>: Solid</w:t>
      </w:r>
      <w:r w:rsidRPr="00EF0E74">
        <w:t xml:space="preserve"> lines represent pathways that are hypothesized to be significant; dashed lines represent the indirect effects of predictor variables on outcome variables that are hypothesized to be insignificant and dropped from the final model. Paths where a positive association was predicted are represented with a plus sign (+), and paths where a negative association was predicted are represented with a minus sign (-).</w:t>
      </w:r>
      <w:r w:rsidRPr="00EF0E74">
        <w:rPr>
          <w:i/>
          <w:iCs/>
        </w:rPr>
        <w:t xml:space="preserve"> </w:t>
      </w:r>
      <w:r w:rsidRPr="00EF0E74">
        <w:rPr>
          <w:iCs/>
        </w:rPr>
        <w:t>IB = Internalized Biphobia item. D = parcel for CES-D.</w:t>
      </w:r>
      <w:r w:rsidR="00C64C4C" w:rsidRPr="00EF0E74">
        <w:rPr>
          <w:iCs/>
        </w:rPr>
        <w:t xml:space="preserve"> </w:t>
      </w:r>
      <w:r w:rsidR="00C64C4C" w:rsidRPr="00EF0E74">
        <w:t>ABP-SOI = anti-bisexual prejudice - sexual orientation instability; ABP-SI = sexual irresponsibility; ABP-IH = interpersonal hostility; SF-P = short-form - pain; SF-GH = general health; SF-PF = physical functioning; SF-RLPH = role limitations due to physical health; CESD = Center for Epidemiological Studies - Depression;</w:t>
      </w:r>
      <w:r w:rsidR="00C64C4C" w:rsidRPr="00EF0E74">
        <w:rPr>
          <w:iCs/>
        </w:rPr>
        <w:t xml:space="preserve"> D = parcel for CES-D</w:t>
      </w:r>
      <w:r w:rsidR="00C64C4C" w:rsidRPr="00EF0E74">
        <w:t xml:space="preserve"> IB = internalized biphobia; PCL-RE = PTSD Symptom Checklist - re-experiencing; PCL-AV = avoidance; PCL-HY = hyperarousal.</w:t>
      </w:r>
      <w:r w:rsidR="00C64C4C" w:rsidRPr="00EF0E74">
        <w:rPr>
          <w:rFonts w:eastAsia="Times New Roman"/>
          <w:color w:val="000000"/>
        </w:rPr>
        <w:t xml:space="preserve"> </w:t>
      </w:r>
    </w:p>
    <w:p w:rsidR="009260DF" w:rsidRPr="00EF0E74" w:rsidRDefault="009260DF">
      <w:r w:rsidRPr="00EF0E74">
        <w:br w:type="page"/>
      </w:r>
    </w:p>
    <w:p w:rsidR="0070263D" w:rsidRPr="00EF0E74" w:rsidRDefault="002D3F45" w:rsidP="0070263D">
      <w:pPr>
        <w:spacing w:after="0" w:line="480" w:lineRule="auto"/>
        <w:contextualSpacing/>
      </w:pPr>
      <w:r w:rsidRPr="00EF0E74">
        <w:rPr>
          <w:noProof/>
        </w:rPr>
        <w:lastRenderedPageBreak/>
        <w:drawing>
          <wp:inline distT="0" distB="0" distL="0" distR="0">
            <wp:extent cx="5943600" cy="3388995"/>
            <wp:effectExtent l="1905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4953000"/>
                      <a:chOff x="457200" y="609600"/>
                      <a:chExt cx="8686800" cy="4953000"/>
                    </a:xfrm>
                  </a:grpSpPr>
                  <a:grpSp>
                    <a:nvGrpSpPr>
                      <a:cNvPr id="76" name="Group 75"/>
                      <a:cNvGrpSpPr/>
                    </a:nvGrpSpPr>
                    <a:grpSpPr>
                      <a:xfrm>
                        <a:off x="457200" y="609600"/>
                        <a:ext cx="8686800" cy="4953000"/>
                        <a:chOff x="457200" y="609600"/>
                        <a:chExt cx="8686800" cy="4953000"/>
                      </a:xfrm>
                    </a:grpSpPr>
                    <a:grpSp>
                      <a:nvGrpSpPr>
                        <a:cNvPr id="3" name="Group 97"/>
                        <a:cNvGrpSpPr/>
                      </a:nvGrpSpPr>
                      <a:grpSpPr>
                        <a:xfrm>
                          <a:off x="457200" y="609600"/>
                          <a:ext cx="8686800" cy="4953000"/>
                          <a:chOff x="457200" y="609600"/>
                          <a:chExt cx="8686800" cy="4953000"/>
                        </a:xfrm>
                      </a:grpSpPr>
                      <a:grpSp>
                        <a:nvGrpSpPr>
                          <a:cNvPr id="6" name="Group 58"/>
                          <a:cNvGrpSpPr/>
                        </a:nvGrpSpPr>
                        <a:grpSpPr>
                          <a:xfrm>
                            <a:off x="457200" y="609600"/>
                            <a:ext cx="8686800" cy="4953000"/>
                            <a:chOff x="457200" y="609600"/>
                            <a:chExt cx="8686800" cy="4953000"/>
                          </a:xfrm>
                        </a:grpSpPr>
                        <a:grpSp>
                          <a:nvGrpSpPr>
                            <a:cNvPr id="14" name="Group 3"/>
                            <a:cNvGrpSpPr/>
                          </a:nvGrpSpPr>
                          <a:grpSpPr>
                            <a:xfrm>
                              <a:off x="457200" y="609600"/>
                              <a:ext cx="8686800" cy="4724400"/>
                              <a:chOff x="609600" y="1676400"/>
                              <a:chExt cx="8686800" cy="4724400"/>
                            </a:xfrm>
                          </a:grpSpPr>
                          <a:sp>
                            <a:nvSpPr>
                              <a:cNvPr id="2" name="Oval 5"/>
                              <a:cNvSpPr/>
                            </a:nvSpPr>
                            <a:spPr>
                              <a:xfrm>
                                <a:off x="1299575" y="4279392"/>
                                <a:ext cx="1670137" cy="139446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Anti-Bisexual</a:t>
                                  </a:r>
                                </a:p>
                                <a:p>
                                  <a:pPr algn="ctr"/>
                                  <a:r>
                                    <a:rPr lang="en-US" dirty="0" smtClean="0">
                                      <a:solidFill>
                                        <a:sysClr val="windowText" lastClr="000000"/>
                                      </a:solidFill>
                                    </a:rPr>
                                    <a:t>Exp.</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Oval 6"/>
                              <a:cNvSpPr/>
                            </a:nvSpPr>
                            <a:spPr>
                              <a:xfrm>
                                <a:off x="3971795" y="2327148"/>
                                <a:ext cx="1670137" cy="139446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Trauma</a:t>
                                  </a:r>
                                </a:p>
                                <a:p>
                                  <a:pPr algn="ctr"/>
                                  <a:r>
                                    <a:rPr lang="en-US" dirty="0" err="1" smtClean="0">
                                      <a:solidFill>
                                        <a:sysClr val="windowText" lastClr="000000"/>
                                      </a:solidFill>
                                    </a:rPr>
                                    <a:t>Symp</a:t>
                                  </a:r>
                                  <a:r>
                                    <a:rPr lang="en-US" dirty="0" smtClean="0">
                                      <a:solidFill>
                                        <a:sysClr val="windowText" lastClr="000000"/>
                                      </a:solidFill>
                                    </a:rPr>
                                    <a:t>.</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7"/>
                              <a:cNvSpPr/>
                            </a:nvSpPr>
                            <a:spPr>
                              <a:xfrm>
                                <a:off x="3804781" y="4186428"/>
                                <a:ext cx="2004164" cy="1580388"/>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Internalized</a:t>
                                  </a:r>
                                </a:p>
                                <a:p>
                                  <a:pPr algn="ctr"/>
                                  <a:r>
                                    <a:rPr lang="en-US" dirty="0" err="1" smtClean="0">
                                      <a:solidFill>
                                        <a:sysClr val="windowText" lastClr="000000"/>
                                      </a:solidFill>
                                    </a:rPr>
                                    <a:t>Biphobia</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6644014" y="4279392"/>
                                <a:ext cx="1670137" cy="139446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Depress.</a:t>
                                  </a:r>
                                </a:p>
                                <a:p>
                                  <a:pPr algn="ctr"/>
                                  <a:r>
                                    <a:rPr lang="en-US" dirty="0" err="1" smtClean="0">
                                      <a:solidFill>
                                        <a:sysClr val="windowText" lastClr="000000"/>
                                      </a:solidFill>
                                    </a:rPr>
                                    <a:t>Symp</a:t>
                                  </a:r>
                                  <a:r>
                                    <a:rPr lang="en-US" dirty="0" smtClean="0">
                                      <a:solidFill>
                                        <a:sysClr val="windowText" lastClr="000000"/>
                                      </a:solidFill>
                                    </a:rPr>
                                    <a:t>.</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a:off x="6644014" y="2327148"/>
                                <a:ext cx="1670137" cy="1394460"/>
                              </a:xfrm>
                              <a:prstGeom prst="ellipse">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 General</a:t>
                                  </a:r>
                                </a:p>
                                <a:p>
                                  <a:pPr algn="ctr"/>
                                  <a:r>
                                    <a:rPr lang="en-US" dirty="0" smtClean="0">
                                      <a:solidFill>
                                        <a:sysClr val="windowText" lastClr="000000"/>
                                      </a:solidFill>
                                    </a:rPr>
                                    <a:t>Health</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 name="Straight Arrow Connector 10"/>
                              <a:cNvCxnSpPr>
                                <a:stCxn id="6" idx="6"/>
                              </a:cNvCxnSpPr>
                            </a:nvCxnSpPr>
                            <a:spPr>
                              <a:xfrm>
                                <a:off x="2969712" y="4976622"/>
                                <a:ext cx="835068" cy="1937"/>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13" name="Straight Arrow Connector 12"/>
                              <a:cNvCxnSpPr>
                                <a:stCxn id="7" idx="6"/>
                                <a:endCxn id="10" idx="2"/>
                              </a:cNvCxnSpPr>
                            </a:nvCxnSpPr>
                            <a:spPr>
                              <a:xfrm>
                                <a:off x="5641932" y="3024378"/>
                                <a:ext cx="1002082" cy="1937"/>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4" name="Straight Arrow Connector 13"/>
                              <a:cNvCxnSpPr/>
                            </a:nvCxnSpPr>
                            <a:spPr>
                              <a:xfrm>
                                <a:off x="5808945" y="4976622"/>
                                <a:ext cx="835068" cy="1937"/>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15" name="Straight Arrow Connector 14"/>
                              <a:cNvCxnSpPr>
                                <a:stCxn id="6" idx="7"/>
                              </a:cNvCxnSpPr>
                            </a:nvCxnSpPr>
                            <a:spPr>
                              <a:xfrm rot="5400000" flipH="1" flipV="1">
                                <a:off x="2999757" y="3261049"/>
                                <a:ext cx="947925" cy="1497189"/>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16" name="Straight Arrow Connector 15"/>
                              <a:cNvCxnSpPr>
                                <a:endCxn id="10" idx="4"/>
                              </a:cNvCxnSpPr>
                            </a:nvCxnSpPr>
                            <a:spPr>
                              <a:xfrm rot="5400000" flipH="1" flipV="1">
                                <a:off x="7200190" y="4000599"/>
                                <a:ext cx="557784" cy="174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sp>
                            <a:nvSpPr>
                              <a:cNvPr id="17" name="Rectangle 16"/>
                              <a:cNvSpPr/>
                            </a:nvSpPr>
                            <a:spPr>
                              <a:xfrm>
                                <a:off x="5474918" y="1676400"/>
                                <a:ext cx="1085589"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PCL-Re</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Rectangle 17"/>
                              <a:cNvSpPr/>
                            </a:nvSpPr>
                            <a:spPr>
                              <a:xfrm>
                                <a:off x="1626296" y="6028944"/>
                                <a:ext cx="964504"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ABP-SOI</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9" name="Rectangle 18"/>
                              <a:cNvSpPr/>
                            </a:nvSpPr>
                            <a:spPr>
                              <a:xfrm>
                                <a:off x="2667000" y="6028944"/>
                                <a:ext cx="854901"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ABP-IH</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Rectangle 19"/>
                              <a:cNvSpPr/>
                            </a:nvSpPr>
                            <a:spPr>
                              <a:xfrm>
                                <a:off x="609600" y="6028944"/>
                                <a:ext cx="933189"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ABP-SI</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Rectangle 20"/>
                              <a:cNvSpPr/>
                            </a:nvSpPr>
                            <a:spPr>
                              <a:xfrm>
                                <a:off x="4222315" y="1676400"/>
                                <a:ext cx="1169096"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PCL-Av</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Rectangle 21"/>
                              <a:cNvSpPr/>
                            </a:nvSpPr>
                            <a:spPr>
                              <a:xfrm>
                                <a:off x="3053219" y="1676400"/>
                                <a:ext cx="1085589"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PCL-</a:t>
                                  </a:r>
                                  <a:r>
                                    <a:rPr lang="en-US" dirty="0" err="1" smtClean="0">
                                      <a:solidFill>
                                        <a:sysClr val="windowText" lastClr="000000"/>
                                      </a:solidFill>
                                    </a:rPr>
                                    <a:t>Hy</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3" name="Straight Arrow Connector 22"/>
                              <a:cNvCxnSpPr>
                                <a:stCxn id="7" idx="1"/>
                                <a:endCxn id="22" idx="2"/>
                              </a:cNvCxnSpPr>
                            </a:nvCxnSpPr>
                            <a:spPr>
                              <a:xfrm rot="16200000" flipV="1">
                                <a:off x="3664645" y="1979625"/>
                                <a:ext cx="483106" cy="620367"/>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24" name="Straight Arrow Connector 23"/>
                              <a:cNvCxnSpPr>
                                <a:endCxn id="21" idx="2"/>
                              </a:cNvCxnSpPr>
                            </a:nvCxnSpPr>
                            <a:spPr>
                              <a:xfrm rot="16200000" flipV="1">
                                <a:off x="4667368" y="2187752"/>
                                <a:ext cx="279861" cy="87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25" name="Straight Arrow Connector 24"/>
                              <a:cNvCxnSpPr>
                                <a:stCxn id="7" idx="7"/>
                                <a:endCxn id="17" idx="2"/>
                              </a:cNvCxnSpPr>
                            </a:nvCxnSpPr>
                            <a:spPr>
                              <a:xfrm rot="5400000" flipH="1" flipV="1">
                                <a:off x="5465976" y="1979626"/>
                                <a:ext cx="483106" cy="620367"/>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26" name="Straight Arrow Connector 25"/>
                              <a:cNvCxnSpPr>
                                <a:stCxn id="6" idx="3"/>
                                <a:endCxn id="20" idx="0"/>
                              </a:cNvCxnSpPr>
                            </a:nvCxnSpPr>
                            <a:spPr>
                              <a:xfrm rot="5400000">
                                <a:off x="1030525" y="5515308"/>
                                <a:ext cx="559306" cy="467966"/>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27" name="Straight Arrow Connector 26"/>
                              <a:cNvCxnSpPr>
                                <a:stCxn id="6" idx="4"/>
                              </a:cNvCxnSpPr>
                            </a:nvCxnSpPr>
                            <a:spPr>
                              <a:xfrm rot="5400000">
                                <a:off x="1957098" y="5851398"/>
                                <a:ext cx="355092" cy="1588"/>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28" name="Straight Arrow Connector 27"/>
                              <a:cNvCxnSpPr>
                                <a:endCxn id="19" idx="0"/>
                              </a:cNvCxnSpPr>
                            </a:nvCxnSpPr>
                            <a:spPr>
                              <a:xfrm>
                                <a:off x="2590800" y="5562600"/>
                                <a:ext cx="503651" cy="466344"/>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sp>
                            <a:nvSpPr>
                              <a:cNvPr id="29" name="Rectangle 28"/>
                              <a:cNvSpPr/>
                            </a:nvSpPr>
                            <a:spPr>
                              <a:xfrm>
                                <a:off x="6978041" y="1676400"/>
                                <a:ext cx="685800" cy="464820"/>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600" dirty="0" smtClean="0">
                                      <a:solidFill>
                                        <a:sysClr val="windowText" lastClr="000000"/>
                                      </a:solidFill>
                                    </a:rPr>
                                    <a:t>SF-P</a:t>
                                  </a:r>
                                  <a:endParaRPr lang="en-US" sz="16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Rectangle 29"/>
                              <a:cNvSpPr/>
                            </a:nvSpPr>
                            <a:spPr>
                              <a:xfrm>
                                <a:off x="7772400" y="1676400"/>
                                <a:ext cx="914400" cy="464820"/>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600" dirty="0" smtClean="0">
                                      <a:solidFill>
                                        <a:sysClr val="windowText" lastClr="000000"/>
                                      </a:solidFill>
                                    </a:rPr>
                                    <a:t>SF-RLPH</a:t>
                                  </a:r>
                                  <a:endParaRPr lang="en-US" sz="16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3" name="Rectangle 32"/>
                              <a:cNvSpPr/>
                            </a:nvSpPr>
                            <a:spPr>
                              <a:xfrm>
                                <a:off x="8458200" y="2438400"/>
                                <a:ext cx="685800" cy="464820"/>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600" dirty="0" smtClean="0">
                                      <a:solidFill>
                                        <a:sysClr val="windowText" lastClr="000000"/>
                                      </a:solidFill>
                                    </a:rPr>
                                    <a:t>SF-PH</a:t>
                                  </a:r>
                                  <a:endParaRPr lang="en-US" sz="16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6" name="Rectangle 35"/>
                              <a:cNvSpPr/>
                            </a:nvSpPr>
                            <a:spPr>
                              <a:xfrm>
                                <a:off x="8458200" y="3429000"/>
                                <a:ext cx="838200" cy="464820"/>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600" dirty="0" smtClean="0">
                                      <a:solidFill>
                                        <a:sysClr val="windowText" lastClr="000000"/>
                                      </a:solidFill>
                                    </a:rPr>
                                    <a:t>SF-GH</a:t>
                                  </a:r>
                                  <a:endParaRPr lang="en-US" sz="16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7" name="Straight Arrow Connector 36"/>
                              <a:cNvCxnSpPr>
                                <a:stCxn id="10" idx="0"/>
                              </a:cNvCxnSpPr>
                            </a:nvCxnSpPr>
                            <a:spPr>
                              <a:xfrm rot="16200000" flipV="1">
                                <a:off x="7342279" y="2190343"/>
                                <a:ext cx="185928" cy="87681"/>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38" name="Straight Arrow Connector 37"/>
                              <a:cNvCxnSpPr>
                                <a:endCxn id="30" idx="2"/>
                              </a:cNvCxnSpPr>
                            </a:nvCxnSpPr>
                            <a:spPr>
                              <a:xfrm flipV="1">
                                <a:off x="7924802" y="2141220"/>
                                <a:ext cx="304798" cy="29718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41" name="Straight Arrow Connector 40"/>
                              <a:cNvCxnSpPr>
                                <a:endCxn id="33" idx="1"/>
                              </a:cNvCxnSpPr>
                            </a:nvCxnSpPr>
                            <a:spPr>
                              <a:xfrm rot="5400000" flipH="1" flipV="1">
                                <a:off x="8209392" y="2775570"/>
                                <a:ext cx="353568" cy="144048"/>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44" name="Straight Arrow Connector 43"/>
                              <a:cNvCxnSpPr/>
                            </a:nvCxnSpPr>
                            <a:spPr>
                              <a:xfrm rot="10800000" flipH="1" flipV="1">
                                <a:off x="8153400" y="3429000"/>
                                <a:ext cx="304800" cy="23241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grpSp>
                        <a:sp>
                          <a:nvSpPr>
                            <a:cNvPr id="50" name="Rectangle 49"/>
                            <a:cNvSpPr/>
                          </a:nvSpPr>
                          <a:spPr>
                            <a:xfrm>
                              <a:off x="4648200" y="5190744"/>
                              <a:ext cx="457199"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solidFill>
                                      <a:sysClr val="windowText" lastClr="000000"/>
                                    </a:solidFill>
                                  </a:rPr>
                                  <a:t>IB-3</a:t>
                                </a:r>
                                <a:endParaRPr lang="en-US" sz="12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Rectangle 51"/>
                            <a:cNvSpPr/>
                          </a:nvSpPr>
                          <a:spPr>
                            <a:xfrm>
                              <a:off x="3581400" y="5190744"/>
                              <a:ext cx="4572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solidFill>
                                      <a:sysClr val="windowText" lastClr="000000"/>
                                    </a:solidFill>
                                  </a:rPr>
                                  <a:t>IB-1</a:t>
                                </a:r>
                                <a:endParaRPr lang="en-US" sz="12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1" name="Straight Arrow Connector 60"/>
                            <a:cNvCxnSpPr>
                              <a:endCxn id="50" idx="0"/>
                            </a:cNvCxnSpPr>
                          </a:nvCxnSpPr>
                          <a:spPr>
                            <a:xfrm rot="16200000" flipH="1">
                              <a:off x="4605528" y="4919472"/>
                              <a:ext cx="466344" cy="762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62" name="Straight Arrow Connector 61"/>
                            <a:cNvCxnSpPr>
                              <a:endCxn id="52" idx="0"/>
                            </a:cNvCxnSpPr>
                          </a:nvCxnSpPr>
                          <a:spPr>
                            <a:xfrm rot="5400000">
                              <a:off x="3614928" y="4767072"/>
                              <a:ext cx="618744" cy="2286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63" name="Straight Arrow Connector 62"/>
                            <a:cNvCxnSpPr>
                              <a:endCxn id="83" idx="0"/>
                            </a:cNvCxnSpPr>
                          </a:nvCxnSpPr>
                          <a:spPr>
                            <a:xfrm rot="16200000" flipH="1">
                              <a:off x="5024628" y="4805172"/>
                              <a:ext cx="542544" cy="2286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sp>
                          <a:nvSpPr>
                            <a:cNvPr id="69" name="Rectangle 68"/>
                            <a:cNvSpPr/>
                          </a:nvSpPr>
                          <a:spPr>
                            <a:xfrm>
                              <a:off x="7239000" y="4962144"/>
                              <a:ext cx="6858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D-2</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0" name="Rectangle 69"/>
                            <a:cNvSpPr/>
                          </a:nvSpPr>
                          <a:spPr>
                            <a:xfrm>
                              <a:off x="6400801" y="4962144"/>
                              <a:ext cx="6858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D-1</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1" name="Rectangle 70"/>
                            <a:cNvSpPr/>
                          </a:nvSpPr>
                          <a:spPr>
                            <a:xfrm>
                              <a:off x="8077200" y="4962144"/>
                              <a:ext cx="6858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ysClr val="windowText" lastClr="000000"/>
                                    </a:solidFill>
                                  </a:rPr>
                                  <a:t>D-3</a:t>
                                </a:r>
                                <a:endParaRPr lang="en-US"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3" name="Straight Arrow Connector 72"/>
                            <a:cNvCxnSpPr>
                              <a:endCxn id="70" idx="0"/>
                            </a:cNvCxnSpPr>
                          </a:nvCxnSpPr>
                          <a:spPr>
                            <a:xfrm rot="5400000">
                              <a:off x="6605779" y="4633723"/>
                              <a:ext cx="466344" cy="190499"/>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74" name="Straight Arrow Connector 73"/>
                            <a:cNvCxnSpPr>
                              <a:endCxn id="69" idx="0"/>
                            </a:cNvCxnSpPr>
                          </a:nvCxnSpPr>
                          <a:spPr>
                            <a:xfrm rot="16200000" flipH="1">
                              <a:off x="7367778" y="4748022"/>
                              <a:ext cx="313944" cy="1143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75" name="Straight Arrow Connector 74"/>
                            <a:cNvCxnSpPr>
                              <a:stCxn id="9" idx="5"/>
                              <a:endCxn id="71" idx="0"/>
                            </a:cNvCxnSpPr>
                          </a:nvCxnSpPr>
                          <a:spPr>
                            <a:xfrm rot="16200000" flipH="1">
                              <a:off x="7888979" y="4431023"/>
                              <a:ext cx="559306" cy="502935"/>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sp>
                          <a:nvSpPr>
                            <a:cNvPr id="58" name="Rectangle 57"/>
                            <a:cNvSpPr/>
                          </a:nvSpPr>
                          <a:spPr>
                            <a:xfrm>
                              <a:off x="685800" y="1447800"/>
                              <a:ext cx="1676400" cy="1066800"/>
                            </a:xfrm>
                            <a:prstGeom prst="rect">
                              <a:avLst/>
                            </a:prstGeom>
                            <a:ln>
                              <a:solidFill>
                                <a:schemeClr val="tx1"/>
                              </a:solidFill>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General Trauma Events</a:t>
                                </a:r>
                                <a:endParaRPr lang="en-US" dirty="0"/>
                              </a:p>
                            </a:txBody>
                            <a:useSpRect/>
                          </a:txSp>
                          <a:style>
                            <a:lnRef idx="2">
                              <a:schemeClr val="accent6"/>
                            </a:lnRef>
                            <a:fillRef idx="1">
                              <a:schemeClr val="lt1"/>
                            </a:fillRef>
                            <a:effectRef idx="0">
                              <a:schemeClr val="accent6"/>
                            </a:effectRef>
                            <a:fontRef idx="minor">
                              <a:schemeClr val="dk1"/>
                            </a:fontRef>
                          </a:style>
                        </a:sp>
                        <a:cxnSp>
                          <a:nvCxnSpPr>
                            <a:cNvPr id="65" name="Straight Arrow Connector 64"/>
                            <a:cNvCxnSpPr>
                              <a:stCxn id="58" idx="3"/>
                              <a:endCxn id="7" idx="2"/>
                            </a:cNvCxnSpPr>
                          </a:nvCxnSpPr>
                          <a:spPr>
                            <a:xfrm flipV="1">
                              <a:off x="2362200" y="1957578"/>
                              <a:ext cx="1457195" cy="23622"/>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66" name="Straight Arrow Connector 65"/>
                            <a:cNvCxnSpPr>
                              <a:stCxn id="7" idx="5"/>
                              <a:endCxn id="9" idx="1"/>
                            </a:cNvCxnSpPr>
                          </a:nvCxnSpPr>
                          <a:spPr>
                            <a:xfrm rot="16200000" flipH="1">
                              <a:off x="5507467" y="2188073"/>
                              <a:ext cx="966212" cy="1491254"/>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sp>
                          <a:nvSpPr>
                            <a:cNvPr id="82" name="Rectangle 81"/>
                            <a:cNvSpPr/>
                          </a:nvSpPr>
                          <a:spPr>
                            <a:xfrm>
                              <a:off x="4114800" y="5181600"/>
                              <a:ext cx="4572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solidFill>
                                      <a:sysClr val="windowText" lastClr="000000"/>
                                    </a:solidFill>
                                  </a:rPr>
                                  <a:t>IB-2</a:t>
                                </a:r>
                                <a:endParaRPr lang="en-US" sz="12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3" name="Rectangle 82"/>
                            <a:cNvSpPr/>
                          </a:nvSpPr>
                          <a:spPr>
                            <a:xfrm>
                              <a:off x="5181600" y="5190744"/>
                              <a:ext cx="4572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solidFill>
                                      <a:sysClr val="windowText" lastClr="000000"/>
                                    </a:solidFill>
                                  </a:rPr>
                                  <a:t>IB-4</a:t>
                                </a:r>
                                <a:endParaRPr lang="en-US" sz="12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4" name="Rectangle 83"/>
                            <a:cNvSpPr/>
                          </a:nvSpPr>
                          <a:spPr>
                            <a:xfrm>
                              <a:off x="5715000" y="5181600"/>
                              <a:ext cx="457200" cy="371856"/>
                            </a:xfrm>
                            <a:prstGeom prst="rect">
                              <a:avLst/>
                            </a:prstGeom>
                            <a:solidFill>
                              <a:schemeClr val="bg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solidFill>
                                      <a:sysClr val="windowText" lastClr="000000"/>
                                    </a:solidFill>
                                  </a:rPr>
                                  <a:t>IB-5</a:t>
                                </a:r>
                                <a:endParaRPr lang="en-US" sz="1200" dirty="0">
                                  <a:solidFill>
                                    <a:sysClr val="windowText" lastClr="00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9" name="Straight Arrow Connector 88"/>
                            <a:cNvCxnSpPr>
                              <a:endCxn id="82" idx="0"/>
                            </a:cNvCxnSpPr>
                          </a:nvCxnSpPr>
                          <a:spPr>
                            <a:xfrm rot="5400000">
                              <a:off x="4152900" y="4914900"/>
                              <a:ext cx="457200" cy="762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93" name="Straight Arrow Connector 92"/>
                            <a:cNvCxnSpPr>
                              <a:stCxn id="8" idx="5"/>
                              <a:endCxn id="84" idx="0"/>
                            </a:cNvCxnSpPr>
                          </a:nvCxnSpPr>
                          <a:spPr>
                            <a:xfrm rot="16200000" flipH="1">
                              <a:off x="5296808" y="4534808"/>
                              <a:ext cx="713026" cy="580558"/>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grpSp>
                      <a:sp>
                        <a:nvSpPr>
                          <a:cNvPr id="90" name="TextBox 89"/>
                          <a:cNvSpPr txBox="1"/>
                        </a:nvSpPr>
                        <a:spPr>
                          <a:xfrm>
                            <a:off x="2590800" y="16002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08</a:t>
                              </a:r>
                              <a:r>
                                <a:rPr lang="en-US" dirty="0" smtClean="0"/>
                                <a:t>**</a:t>
                              </a:r>
                              <a:endParaRPr lang="en-US" dirty="0"/>
                            </a:p>
                          </a:txBody>
                          <a:useSpRect/>
                        </a:txSp>
                      </a:sp>
                      <a:sp>
                        <a:nvSpPr>
                          <a:cNvPr id="91" name="TextBox 90"/>
                          <a:cNvSpPr txBox="1"/>
                        </a:nvSpPr>
                        <a:spPr>
                          <a:xfrm>
                            <a:off x="2514600" y="2678668"/>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30**</a:t>
                              </a:r>
                              <a:endParaRPr lang="en-US" dirty="0"/>
                            </a:p>
                          </a:txBody>
                          <a:useSpRect/>
                        </a:txSp>
                      </a:sp>
                      <a:sp>
                        <a:nvSpPr>
                          <a:cNvPr id="92" name="TextBox 91"/>
                          <a:cNvSpPr txBox="1"/>
                        </a:nvSpPr>
                        <a:spPr>
                          <a:xfrm>
                            <a:off x="5334000" y="16002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33*</a:t>
                              </a:r>
                              <a:endParaRPr lang="en-US" dirty="0"/>
                            </a:p>
                          </a:txBody>
                          <a:useSpRect/>
                        </a:txSp>
                      </a:sp>
                      <a:sp>
                        <a:nvSpPr>
                          <a:cNvPr id="94" name="TextBox 93"/>
                          <a:cNvSpPr txBox="1"/>
                        </a:nvSpPr>
                        <a:spPr>
                          <a:xfrm>
                            <a:off x="2667000" y="35052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15*</a:t>
                              </a:r>
                              <a:endParaRPr lang="en-US" dirty="0"/>
                            </a:p>
                          </a:txBody>
                          <a:useSpRect/>
                        </a:txSp>
                      </a:sp>
                      <a:sp>
                        <a:nvSpPr>
                          <a:cNvPr id="95" name="TextBox 94"/>
                          <a:cNvSpPr txBox="1"/>
                        </a:nvSpPr>
                        <a:spPr>
                          <a:xfrm>
                            <a:off x="5486400" y="35052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02</a:t>
                              </a:r>
                              <a:endParaRPr lang="en-US" dirty="0"/>
                            </a:p>
                          </a:txBody>
                          <a:useSpRect/>
                        </a:txSp>
                      </a:sp>
                      <a:sp>
                        <a:nvSpPr>
                          <a:cNvPr id="96" name="TextBox 95"/>
                          <a:cNvSpPr txBox="1"/>
                        </a:nvSpPr>
                        <a:spPr>
                          <a:xfrm>
                            <a:off x="5486400" y="2526268"/>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.87**</a:t>
                              </a:r>
                              <a:endParaRPr lang="en-US" dirty="0"/>
                            </a:p>
                          </a:txBody>
                          <a:useSpRect/>
                        </a:txSp>
                      </a:sp>
                      <a:sp>
                        <a:nvSpPr>
                          <a:cNvPr id="97" name="TextBox 96"/>
                          <a:cNvSpPr txBox="1"/>
                        </a:nvSpPr>
                        <a:spPr>
                          <a:xfrm>
                            <a:off x="7162800" y="27432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12</a:t>
                              </a:r>
                              <a:endParaRPr lang="en-US" dirty="0"/>
                            </a:p>
                          </a:txBody>
                          <a:useSpRect/>
                        </a:txSp>
                      </a:sp>
                    </a:grpSp>
                    <a:cxnSp>
                      <a:nvCxnSpPr>
                        <a:cNvPr id="67" name="Straight Arrow Connector 66"/>
                        <a:cNvCxnSpPr>
                          <a:endCxn id="7" idx="4"/>
                        </a:cNvCxnSpPr>
                      </a:nvCxnSpPr>
                      <a:spPr>
                        <a:xfrm rot="5400000" flipH="1" flipV="1">
                          <a:off x="4404444" y="2898564"/>
                          <a:ext cx="493776" cy="6264"/>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sp>
                      <a:nvSpPr>
                        <a:cNvPr id="72" name="TextBox 71"/>
                        <a:cNvSpPr txBox="1"/>
                      </a:nvSpPr>
                      <a:spPr>
                        <a:xfrm>
                          <a:off x="4495800" y="2743200"/>
                          <a:ext cx="990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a:t>
                            </a:r>
                            <a:r>
                              <a:rPr lang="en-US" dirty="0" smtClean="0"/>
                              <a:t>17*</a:t>
                            </a:r>
                            <a:r>
                              <a:rPr lang="en-US" dirty="0" smtClean="0"/>
                              <a:t>*</a:t>
                            </a:r>
                            <a:endParaRPr lang="en-US" dirty="0"/>
                          </a:p>
                        </a:txBody>
                        <a:useSpRect/>
                      </a:txSp>
                    </a:sp>
                  </a:grpSp>
                </lc:lockedCanvas>
              </a:graphicData>
            </a:graphic>
          </wp:inline>
        </w:drawing>
      </w:r>
    </w:p>
    <w:p w:rsidR="00B223F4" w:rsidRPr="00EF0E74" w:rsidRDefault="00B223F4" w:rsidP="00B223F4">
      <w:r w:rsidRPr="00EF0E74">
        <w:t>Figure 2. Final model depicting relationship between predictor and outcome variables</w:t>
      </w:r>
    </w:p>
    <w:p w:rsidR="0053022E" w:rsidRPr="00EF0E74" w:rsidRDefault="0053022E" w:rsidP="0053022E">
      <w:pPr>
        <w:jc w:val="both"/>
        <w:rPr>
          <w:rFonts w:eastAsia="Times New Roman"/>
          <w:color w:val="000000"/>
        </w:rPr>
      </w:pPr>
      <w:r w:rsidRPr="00EF0E74">
        <w:rPr>
          <w:i/>
        </w:rPr>
        <w:t>Note</w:t>
      </w:r>
      <w:r w:rsidRPr="00EF0E74">
        <w:t xml:space="preserve">: * </w:t>
      </w:r>
      <w:r w:rsidRPr="00EF0E74">
        <w:rPr>
          <w:i/>
        </w:rPr>
        <w:t xml:space="preserve">p </w:t>
      </w:r>
      <w:r w:rsidRPr="00EF0E74">
        <w:t xml:space="preserve">&lt; .01, ** </w:t>
      </w:r>
      <w:r w:rsidRPr="00EF0E74">
        <w:rPr>
          <w:i/>
        </w:rPr>
        <w:t xml:space="preserve">p </w:t>
      </w:r>
      <w:r w:rsidRPr="00EF0E74">
        <w:t>&lt; .001; CFI = .94, TF</w:t>
      </w:r>
      <w:r w:rsidR="00F95A86" w:rsidRPr="00EF0E74">
        <w:t>I = .93, RMSEA = .065, CI = .058 - .071</w:t>
      </w:r>
      <w:r w:rsidR="0070263D" w:rsidRPr="00EF0E74">
        <w:t xml:space="preserve">, </w:t>
      </w:r>
      <w:r w:rsidR="0070263D" w:rsidRPr="00EF0E74">
        <w:rPr>
          <w:i/>
        </w:rPr>
        <w:t xml:space="preserve">n </w:t>
      </w:r>
      <w:r w:rsidR="0070263D" w:rsidRPr="00EF0E74">
        <w:t>= 487</w:t>
      </w:r>
      <w:r w:rsidR="00893DB5" w:rsidRPr="00EF0E74">
        <w:t>; age and education entered as covariates</w:t>
      </w:r>
      <w:r w:rsidR="00C64C4C" w:rsidRPr="00EF0E74">
        <w:t>. ABP-SOI = anti-bisexual prejudice - sexual orientation instability; ABP-SI = sexual irresponsibility; ABP-IH = interpersonal hostility; SF-P = short-form - pain; SF-GH = general health; SF-PF = physical functioning; SF-RLPH = role limitations due to physical health; CESD = Center for Epidemiological Studies - Depression;</w:t>
      </w:r>
      <w:r w:rsidR="00C64C4C" w:rsidRPr="00EF0E74">
        <w:rPr>
          <w:iCs/>
        </w:rPr>
        <w:t xml:space="preserve"> D = parcel for CES-D</w:t>
      </w:r>
      <w:r w:rsidR="00C64C4C" w:rsidRPr="00EF0E74">
        <w:t xml:space="preserve"> IB = internalized biphobia; PCL-RE = PTSD Symptom Checklist - re-experiencing; PCL-AV = avoidance; PCL-HY = hyperarousal.</w:t>
      </w:r>
      <w:r w:rsidR="00C64C4C" w:rsidRPr="00EF0E74">
        <w:rPr>
          <w:rFonts w:eastAsia="Times New Roman"/>
          <w:color w:val="000000"/>
        </w:rPr>
        <w:t xml:space="preserve"> </w:t>
      </w:r>
    </w:p>
    <w:p w:rsidR="00BD3FC6" w:rsidRPr="00EF0E74" w:rsidRDefault="00BD3FC6" w:rsidP="0053022E">
      <w:pPr>
        <w:jc w:val="both"/>
      </w:pPr>
    </w:p>
    <w:p w:rsidR="00BD3FC6" w:rsidRPr="00EF0E74" w:rsidRDefault="00BD3FC6">
      <w:r w:rsidRPr="00EF0E74">
        <w:br w:type="page"/>
      </w:r>
    </w:p>
    <w:p w:rsidR="00BD3FC6" w:rsidRPr="00EF0E74" w:rsidRDefault="00BD3FC6" w:rsidP="00BD3FC6">
      <w:pPr>
        <w:pStyle w:val="Heading1"/>
        <w:spacing w:line="480" w:lineRule="auto"/>
        <w:contextualSpacing/>
        <w:jc w:val="center"/>
        <w:rPr>
          <w:rFonts w:cs="Times New Roman"/>
          <w:szCs w:val="24"/>
        </w:rPr>
      </w:pPr>
      <w:bookmarkStart w:id="24" w:name="_Toc425928361"/>
      <w:r w:rsidRPr="00EF0E74">
        <w:rPr>
          <w:rFonts w:cs="Times New Roman"/>
          <w:szCs w:val="24"/>
        </w:rPr>
        <w:lastRenderedPageBreak/>
        <w:t>Vita</w:t>
      </w:r>
      <w:bookmarkEnd w:id="24"/>
    </w:p>
    <w:p w:rsidR="00BD3FC6" w:rsidRPr="00EF0E74" w:rsidRDefault="00BD3FC6" w:rsidP="00B223F4">
      <w:pPr>
        <w:spacing w:line="480" w:lineRule="auto"/>
      </w:pPr>
      <w:r w:rsidRPr="00EF0E74">
        <w:tab/>
        <w:t xml:space="preserve">James Arnett was born in Memphis, TN to the parents of Sondra Carmony and James Arnett. He is their only son, but was raised alongside family friends, cousins, and foster siblings. He attended Bartlett Elementary, White Station Middle, and White Station High school for his primary education. He then obtained a Bachelors of Art degree in Psychology from the University of Memphis in 2010.  He accepted an offer the same year </w:t>
      </w:r>
      <w:r w:rsidR="00B223F4" w:rsidRPr="00EF0E74">
        <w:t>for the University of Tennessee's Counseling Psychology doctoral program, and obtained his Masters of Art degree in Counseling Psychology in 2013. He is continuing his degree at Appalachian State University's counseling center, where he will complete a one year internship before being conferred his PhD in December 2016.</w:t>
      </w:r>
    </w:p>
    <w:p w:rsidR="0053022E" w:rsidRPr="00EF0E74" w:rsidRDefault="0053022E" w:rsidP="0053022E">
      <w:pPr>
        <w:jc w:val="both"/>
        <w:rPr>
          <w:b/>
        </w:rPr>
      </w:pPr>
    </w:p>
    <w:p w:rsidR="0053022E" w:rsidRPr="00EF0E74" w:rsidRDefault="0053022E" w:rsidP="00AA4751">
      <w:pPr>
        <w:spacing w:after="0" w:line="480" w:lineRule="auto"/>
        <w:contextualSpacing/>
        <w:jc w:val="center"/>
        <w:rPr>
          <w:b/>
        </w:rPr>
      </w:pPr>
    </w:p>
    <w:p w:rsidR="0053022E" w:rsidRPr="00EF0E74" w:rsidRDefault="0053022E" w:rsidP="00AA4751">
      <w:pPr>
        <w:spacing w:after="0" w:line="480" w:lineRule="auto"/>
        <w:contextualSpacing/>
        <w:jc w:val="center"/>
        <w:rPr>
          <w:b/>
        </w:rPr>
      </w:pPr>
    </w:p>
    <w:p w:rsidR="0053022E" w:rsidRPr="00EF0E74" w:rsidRDefault="0053022E" w:rsidP="00AA4751">
      <w:pPr>
        <w:spacing w:after="0" w:line="480" w:lineRule="auto"/>
        <w:contextualSpacing/>
        <w:jc w:val="center"/>
        <w:rPr>
          <w:b/>
        </w:rPr>
      </w:pPr>
    </w:p>
    <w:p w:rsidR="0053022E" w:rsidRPr="00EF0E74" w:rsidRDefault="0053022E" w:rsidP="00AA4751">
      <w:pPr>
        <w:spacing w:after="0" w:line="480" w:lineRule="auto"/>
        <w:contextualSpacing/>
        <w:jc w:val="center"/>
        <w:rPr>
          <w:b/>
        </w:rPr>
      </w:pPr>
    </w:p>
    <w:p w:rsidR="0053022E" w:rsidRPr="00EF0E74" w:rsidRDefault="0053022E" w:rsidP="00AA4751">
      <w:pPr>
        <w:spacing w:after="0" w:line="480" w:lineRule="auto"/>
        <w:contextualSpacing/>
        <w:jc w:val="center"/>
        <w:rPr>
          <w:b/>
        </w:rPr>
      </w:pPr>
    </w:p>
    <w:p w:rsidR="0053022E" w:rsidRPr="00EF0E74" w:rsidRDefault="0053022E" w:rsidP="00AA4751">
      <w:pPr>
        <w:spacing w:after="0" w:line="480" w:lineRule="auto"/>
        <w:contextualSpacing/>
        <w:jc w:val="center"/>
        <w:rPr>
          <w:b/>
        </w:rPr>
      </w:pPr>
    </w:p>
    <w:p w:rsidR="00963F84" w:rsidRPr="00EF0E74" w:rsidRDefault="00963F84">
      <w:pPr>
        <w:rPr>
          <w:b/>
        </w:rPr>
      </w:pPr>
    </w:p>
    <w:sectPr w:rsidR="00963F84" w:rsidRPr="00EF0E74" w:rsidSect="00BD3FC6">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C50" w:rsidRDefault="003C5C50" w:rsidP="00ED11F0">
      <w:pPr>
        <w:spacing w:after="0" w:line="240" w:lineRule="auto"/>
      </w:pPr>
      <w:r>
        <w:separator/>
      </w:r>
    </w:p>
  </w:endnote>
  <w:endnote w:type="continuationSeparator" w:id="1">
    <w:p w:rsidR="003C5C50" w:rsidRDefault="003C5C50" w:rsidP="00ED1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C50" w:rsidRDefault="003C5C50" w:rsidP="00ED11F0">
      <w:pPr>
        <w:spacing w:after="0" w:line="240" w:lineRule="auto"/>
      </w:pPr>
      <w:r>
        <w:separator/>
      </w:r>
    </w:p>
  </w:footnote>
  <w:footnote w:type="continuationSeparator" w:id="1">
    <w:p w:rsidR="003C5C50" w:rsidRDefault="003C5C50" w:rsidP="00ED11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67914"/>
      <w:docPartObj>
        <w:docPartGallery w:val="Page Numbers (Top of Page)"/>
        <w:docPartUnique/>
      </w:docPartObj>
    </w:sdtPr>
    <w:sdtContent>
      <w:p w:rsidR="00BD3FC6" w:rsidRDefault="005B050A">
        <w:pPr>
          <w:pStyle w:val="Header"/>
          <w:jc w:val="right"/>
        </w:pPr>
        <w:fldSimple w:instr=" PAGE   \* MERGEFORMAT ">
          <w:r w:rsidR="00E33919">
            <w:rPr>
              <w:noProof/>
            </w:rPr>
            <w:t>49</w:t>
          </w:r>
        </w:fldSimple>
      </w:p>
    </w:sdtContent>
  </w:sdt>
  <w:p w:rsidR="00BD3FC6" w:rsidRDefault="00BD3F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C6" w:rsidRDefault="00BD3FC6">
    <w:pPr>
      <w:pStyle w:val="Header"/>
      <w:jc w:val="right"/>
    </w:pPr>
  </w:p>
  <w:p w:rsidR="00BD3FC6" w:rsidRDefault="00BD3FC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C6" w:rsidRDefault="005B050A">
    <w:pPr>
      <w:pStyle w:val="Header"/>
      <w:jc w:val="right"/>
    </w:pPr>
    <w:fldSimple w:instr=" PAGE   \* MERGEFORMAT ">
      <w:r w:rsidR="00E33919">
        <w:rPr>
          <w:noProof/>
        </w:rPr>
        <w:t>1</w:t>
      </w:r>
    </w:fldSimple>
  </w:p>
  <w:p w:rsidR="00BD3FC6" w:rsidRDefault="00BD3F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10"/>
  <w:displayHorizontalDrawingGridEvery w:val="2"/>
  <w:characterSpacingControl w:val="doNotCompress"/>
  <w:hdrShapeDefaults>
    <o:shapedefaults v:ext="edit" spidmax="39938"/>
  </w:hdrShapeDefaults>
  <w:footnotePr>
    <w:footnote w:id="0"/>
    <w:footnote w:id="1"/>
  </w:footnotePr>
  <w:endnotePr>
    <w:endnote w:id="0"/>
    <w:endnote w:id="1"/>
  </w:endnotePr>
  <w:compat/>
  <w:rsids>
    <w:rsidRoot w:val="0071745B"/>
    <w:rsid w:val="00000527"/>
    <w:rsid w:val="00003452"/>
    <w:rsid w:val="000051EE"/>
    <w:rsid w:val="0001524D"/>
    <w:rsid w:val="00016F1B"/>
    <w:rsid w:val="00017E87"/>
    <w:rsid w:val="00020216"/>
    <w:rsid w:val="00023C14"/>
    <w:rsid w:val="00026211"/>
    <w:rsid w:val="00030614"/>
    <w:rsid w:val="00035ECC"/>
    <w:rsid w:val="00041380"/>
    <w:rsid w:val="00043D97"/>
    <w:rsid w:val="000466FE"/>
    <w:rsid w:val="00052E8C"/>
    <w:rsid w:val="00055597"/>
    <w:rsid w:val="00060438"/>
    <w:rsid w:val="00060490"/>
    <w:rsid w:val="00063046"/>
    <w:rsid w:val="00074A78"/>
    <w:rsid w:val="00077C6B"/>
    <w:rsid w:val="00082D6A"/>
    <w:rsid w:val="00091004"/>
    <w:rsid w:val="00091A8D"/>
    <w:rsid w:val="0009429E"/>
    <w:rsid w:val="00095661"/>
    <w:rsid w:val="000958D5"/>
    <w:rsid w:val="00096CD7"/>
    <w:rsid w:val="000A059C"/>
    <w:rsid w:val="000A347A"/>
    <w:rsid w:val="000A3EE2"/>
    <w:rsid w:val="000A70EB"/>
    <w:rsid w:val="000A74FD"/>
    <w:rsid w:val="000B199D"/>
    <w:rsid w:val="000B1DA7"/>
    <w:rsid w:val="000B1E4A"/>
    <w:rsid w:val="000B26D2"/>
    <w:rsid w:val="000B297D"/>
    <w:rsid w:val="000B772D"/>
    <w:rsid w:val="000C0AD5"/>
    <w:rsid w:val="000C0D96"/>
    <w:rsid w:val="000C1460"/>
    <w:rsid w:val="000C5C82"/>
    <w:rsid w:val="000D3406"/>
    <w:rsid w:val="000E5F8B"/>
    <w:rsid w:val="000F0690"/>
    <w:rsid w:val="000F1BD8"/>
    <w:rsid w:val="000F31B0"/>
    <w:rsid w:val="000F40C6"/>
    <w:rsid w:val="000F5BEE"/>
    <w:rsid w:val="000F5D7D"/>
    <w:rsid w:val="00100C67"/>
    <w:rsid w:val="00101202"/>
    <w:rsid w:val="0010706C"/>
    <w:rsid w:val="00107FB0"/>
    <w:rsid w:val="00117E8D"/>
    <w:rsid w:val="0012448F"/>
    <w:rsid w:val="001308B5"/>
    <w:rsid w:val="0013351E"/>
    <w:rsid w:val="001350D4"/>
    <w:rsid w:val="00135CAD"/>
    <w:rsid w:val="00136D8A"/>
    <w:rsid w:val="00137E50"/>
    <w:rsid w:val="001452D1"/>
    <w:rsid w:val="0014638F"/>
    <w:rsid w:val="001526AB"/>
    <w:rsid w:val="0015429C"/>
    <w:rsid w:val="00157ADE"/>
    <w:rsid w:val="001604CE"/>
    <w:rsid w:val="001619BD"/>
    <w:rsid w:val="00162A4D"/>
    <w:rsid w:val="0016341D"/>
    <w:rsid w:val="00166A47"/>
    <w:rsid w:val="001712D9"/>
    <w:rsid w:val="0017479D"/>
    <w:rsid w:val="00174CEA"/>
    <w:rsid w:val="00174FA5"/>
    <w:rsid w:val="001829C1"/>
    <w:rsid w:val="001869C5"/>
    <w:rsid w:val="00190691"/>
    <w:rsid w:val="00192D08"/>
    <w:rsid w:val="001A1737"/>
    <w:rsid w:val="001A42FA"/>
    <w:rsid w:val="001A5CB6"/>
    <w:rsid w:val="001B0133"/>
    <w:rsid w:val="001B0446"/>
    <w:rsid w:val="001B0B00"/>
    <w:rsid w:val="001B17CE"/>
    <w:rsid w:val="001B215E"/>
    <w:rsid w:val="001B4967"/>
    <w:rsid w:val="001B5E67"/>
    <w:rsid w:val="001C1148"/>
    <w:rsid w:val="001C6089"/>
    <w:rsid w:val="001D6C43"/>
    <w:rsid w:val="001E53CC"/>
    <w:rsid w:val="001E7B3C"/>
    <w:rsid w:val="001F1171"/>
    <w:rsid w:val="001F30E1"/>
    <w:rsid w:val="001F718C"/>
    <w:rsid w:val="0020009C"/>
    <w:rsid w:val="0020070B"/>
    <w:rsid w:val="00206241"/>
    <w:rsid w:val="00211C94"/>
    <w:rsid w:val="00211DC8"/>
    <w:rsid w:val="00214BAE"/>
    <w:rsid w:val="00215FA0"/>
    <w:rsid w:val="002169A4"/>
    <w:rsid w:val="00231A78"/>
    <w:rsid w:val="00232AD5"/>
    <w:rsid w:val="00235456"/>
    <w:rsid w:val="00241485"/>
    <w:rsid w:val="00242F63"/>
    <w:rsid w:val="002430BF"/>
    <w:rsid w:val="00243E85"/>
    <w:rsid w:val="00247439"/>
    <w:rsid w:val="0025033C"/>
    <w:rsid w:val="00263785"/>
    <w:rsid w:val="00263E07"/>
    <w:rsid w:val="002650E9"/>
    <w:rsid w:val="00265B3C"/>
    <w:rsid w:val="00267249"/>
    <w:rsid w:val="0027272A"/>
    <w:rsid w:val="00272C2D"/>
    <w:rsid w:val="00274C40"/>
    <w:rsid w:val="00275485"/>
    <w:rsid w:val="00283DAA"/>
    <w:rsid w:val="00283F6E"/>
    <w:rsid w:val="00284276"/>
    <w:rsid w:val="002862D0"/>
    <w:rsid w:val="00292C7A"/>
    <w:rsid w:val="0029316E"/>
    <w:rsid w:val="002B028D"/>
    <w:rsid w:val="002B07CE"/>
    <w:rsid w:val="002B2935"/>
    <w:rsid w:val="002B3E60"/>
    <w:rsid w:val="002B54B5"/>
    <w:rsid w:val="002B7601"/>
    <w:rsid w:val="002D05E4"/>
    <w:rsid w:val="002D09E4"/>
    <w:rsid w:val="002D1EE4"/>
    <w:rsid w:val="002D37EB"/>
    <w:rsid w:val="002D3F45"/>
    <w:rsid w:val="002D69C9"/>
    <w:rsid w:val="002E1C0E"/>
    <w:rsid w:val="002E7C67"/>
    <w:rsid w:val="002F00EE"/>
    <w:rsid w:val="002F2E90"/>
    <w:rsid w:val="002F2EF8"/>
    <w:rsid w:val="002F4919"/>
    <w:rsid w:val="002F55D1"/>
    <w:rsid w:val="002F76C7"/>
    <w:rsid w:val="00306874"/>
    <w:rsid w:val="00307642"/>
    <w:rsid w:val="00312534"/>
    <w:rsid w:val="003149F4"/>
    <w:rsid w:val="00332A09"/>
    <w:rsid w:val="003344B0"/>
    <w:rsid w:val="003349A8"/>
    <w:rsid w:val="00334D66"/>
    <w:rsid w:val="0034022D"/>
    <w:rsid w:val="00342822"/>
    <w:rsid w:val="00345F95"/>
    <w:rsid w:val="00346A7E"/>
    <w:rsid w:val="00350EC3"/>
    <w:rsid w:val="00353636"/>
    <w:rsid w:val="00357217"/>
    <w:rsid w:val="00362717"/>
    <w:rsid w:val="00367328"/>
    <w:rsid w:val="0036773B"/>
    <w:rsid w:val="003703E3"/>
    <w:rsid w:val="00373DD9"/>
    <w:rsid w:val="003741BB"/>
    <w:rsid w:val="003778AF"/>
    <w:rsid w:val="00380C59"/>
    <w:rsid w:val="00382937"/>
    <w:rsid w:val="00385110"/>
    <w:rsid w:val="00394392"/>
    <w:rsid w:val="003A650A"/>
    <w:rsid w:val="003B0657"/>
    <w:rsid w:val="003B0F2D"/>
    <w:rsid w:val="003B223C"/>
    <w:rsid w:val="003C3AD0"/>
    <w:rsid w:val="003C5C50"/>
    <w:rsid w:val="003C757F"/>
    <w:rsid w:val="003E2F70"/>
    <w:rsid w:val="003E31C4"/>
    <w:rsid w:val="003E7BDC"/>
    <w:rsid w:val="003F0A2D"/>
    <w:rsid w:val="003F786F"/>
    <w:rsid w:val="00414B62"/>
    <w:rsid w:val="00421E7E"/>
    <w:rsid w:val="00425706"/>
    <w:rsid w:val="00432A81"/>
    <w:rsid w:val="00435C95"/>
    <w:rsid w:val="004364B1"/>
    <w:rsid w:val="00441FDA"/>
    <w:rsid w:val="00447C2F"/>
    <w:rsid w:val="0045049C"/>
    <w:rsid w:val="004551CA"/>
    <w:rsid w:val="004575B8"/>
    <w:rsid w:val="004622AB"/>
    <w:rsid w:val="00464E9C"/>
    <w:rsid w:val="004717B5"/>
    <w:rsid w:val="00472F96"/>
    <w:rsid w:val="00477AF5"/>
    <w:rsid w:val="00480EB9"/>
    <w:rsid w:val="004810CC"/>
    <w:rsid w:val="00481855"/>
    <w:rsid w:val="00493542"/>
    <w:rsid w:val="00495910"/>
    <w:rsid w:val="00496A86"/>
    <w:rsid w:val="004A0A64"/>
    <w:rsid w:val="004A0C0B"/>
    <w:rsid w:val="004A0EB0"/>
    <w:rsid w:val="004A190B"/>
    <w:rsid w:val="004A3E07"/>
    <w:rsid w:val="004B1F4A"/>
    <w:rsid w:val="004B6E9C"/>
    <w:rsid w:val="004C0123"/>
    <w:rsid w:val="004C25ED"/>
    <w:rsid w:val="004C38C4"/>
    <w:rsid w:val="004C64BF"/>
    <w:rsid w:val="004D0D3D"/>
    <w:rsid w:val="004D44F6"/>
    <w:rsid w:val="004D4B24"/>
    <w:rsid w:val="004D5B07"/>
    <w:rsid w:val="004D679B"/>
    <w:rsid w:val="004E0756"/>
    <w:rsid w:val="004E1348"/>
    <w:rsid w:val="004E1714"/>
    <w:rsid w:val="004E450B"/>
    <w:rsid w:val="004F141F"/>
    <w:rsid w:val="004F20CB"/>
    <w:rsid w:val="004F5A06"/>
    <w:rsid w:val="004F6DF9"/>
    <w:rsid w:val="00500F8B"/>
    <w:rsid w:val="00503DC2"/>
    <w:rsid w:val="00504234"/>
    <w:rsid w:val="00504DB8"/>
    <w:rsid w:val="00512478"/>
    <w:rsid w:val="00513E99"/>
    <w:rsid w:val="005176A0"/>
    <w:rsid w:val="00520C86"/>
    <w:rsid w:val="00520E91"/>
    <w:rsid w:val="00521CD3"/>
    <w:rsid w:val="0053022E"/>
    <w:rsid w:val="00532518"/>
    <w:rsid w:val="005359B9"/>
    <w:rsid w:val="00541E1C"/>
    <w:rsid w:val="00541E37"/>
    <w:rsid w:val="005504FD"/>
    <w:rsid w:val="005531A0"/>
    <w:rsid w:val="00560688"/>
    <w:rsid w:val="00563846"/>
    <w:rsid w:val="00563E53"/>
    <w:rsid w:val="005711EA"/>
    <w:rsid w:val="00572AC3"/>
    <w:rsid w:val="00576888"/>
    <w:rsid w:val="00577654"/>
    <w:rsid w:val="0058330F"/>
    <w:rsid w:val="005837D4"/>
    <w:rsid w:val="00584C80"/>
    <w:rsid w:val="00585CF6"/>
    <w:rsid w:val="00592605"/>
    <w:rsid w:val="005926AB"/>
    <w:rsid w:val="00593241"/>
    <w:rsid w:val="00595A93"/>
    <w:rsid w:val="00595D41"/>
    <w:rsid w:val="00596856"/>
    <w:rsid w:val="005A006F"/>
    <w:rsid w:val="005A1A62"/>
    <w:rsid w:val="005A462D"/>
    <w:rsid w:val="005B050A"/>
    <w:rsid w:val="005B3DF3"/>
    <w:rsid w:val="005B41AF"/>
    <w:rsid w:val="005B5099"/>
    <w:rsid w:val="005B5A46"/>
    <w:rsid w:val="005B669F"/>
    <w:rsid w:val="005B69C3"/>
    <w:rsid w:val="005B7291"/>
    <w:rsid w:val="005C0C64"/>
    <w:rsid w:val="005C2D5A"/>
    <w:rsid w:val="005C3171"/>
    <w:rsid w:val="005C55C4"/>
    <w:rsid w:val="005C59D2"/>
    <w:rsid w:val="005C68E0"/>
    <w:rsid w:val="005D3BDA"/>
    <w:rsid w:val="005D6547"/>
    <w:rsid w:val="005E1EA6"/>
    <w:rsid w:val="005E372B"/>
    <w:rsid w:val="005F39AB"/>
    <w:rsid w:val="005F413A"/>
    <w:rsid w:val="005F545F"/>
    <w:rsid w:val="005F63BD"/>
    <w:rsid w:val="005F7E12"/>
    <w:rsid w:val="0060034B"/>
    <w:rsid w:val="006005F1"/>
    <w:rsid w:val="006035B8"/>
    <w:rsid w:val="00607B73"/>
    <w:rsid w:val="00611B8C"/>
    <w:rsid w:val="00612A6F"/>
    <w:rsid w:val="006151E6"/>
    <w:rsid w:val="00615482"/>
    <w:rsid w:val="00616D9D"/>
    <w:rsid w:val="00617185"/>
    <w:rsid w:val="0062552C"/>
    <w:rsid w:val="006408EB"/>
    <w:rsid w:val="00641977"/>
    <w:rsid w:val="006443AC"/>
    <w:rsid w:val="00646795"/>
    <w:rsid w:val="00651F78"/>
    <w:rsid w:val="00654D9A"/>
    <w:rsid w:val="00654EB0"/>
    <w:rsid w:val="00660143"/>
    <w:rsid w:val="006612DA"/>
    <w:rsid w:val="00664A31"/>
    <w:rsid w:val="0066616E"/>
    <w:rsid w:val="006707A4"/>
    <w:rsid w:val="006734DC"/>
    <w:rsid w:val="00677B2A"/>
    <w:rsid w:val="00681E23"/>
    <w:rsid w:val="00683C7E"/>
    <w:rsid w:val="00686C21"/>
    <w:rsid w:val="00695611"/>
    <w:rsid w:val="006A4557"/>
    <w:rsid w:val="006A6C43"/>
    <w:rsid w:val="006B0213"/>
    <w:rsid w:val="006B0F8C"/>
    <w:rsid w:val="006B2C4C"/>
    <w:rsid w:val="006B4165"/>
    <w:rsid w:val="006B7E03"/>
    <w:rsid w:val="006C0A91"/>
    <w:rsid w:val="006C2F30"/>
    <w:rsid w:val="006C3A5E"/>
    <w:rsid w:val="006D4859"/>
    <w:rsid w:val="006D6057"/>
    <w:rsid w:val="006E5770"/>
    <w:rsid w:val="006E6758"/>
    <w:rsid w:val="006F2E04"/>
    <w:rsid w:val="006F31AB"/>
    <w:rsid w:val="006F3666"/>
    <w:rsid w:val="006F3769"/>
    <w:rsid w:val="006F7C09"/>
    <w:rsid w:val="00700416"/>
    <w:rsid w:val="0070263D"/>
    <w:rsid w:val="00704032"/>
    <w:rsid w:val="007048B5"/>
    <w:rsid w:val="007049D7"/>
    <w:rsid w:val="00705E5C"/>
    <w:rsid w:val="00712C54"/>
    <w:rsid w:val="0071694D"/>
    <w:rsid w:val="0071745B"/>
    <w:rsid w:val="007204C5"/>
    <w:rsid w:val="007217F2"/>
    <w:rsid w:val="0072216E"/>
    <w:rsid w:val="00723A04"/>
    <w:rsid w:val="00730F10"/>
    <w:rsid w:val="00732B99"/>
    <w:rsid w:val="00735D17"/>
    <w:rsid w:val="00737968"/>
    <w:rsid w:val="007406A9"/>
    <w:rsid w:val="00741B05"/>
    <w:rsid w:val="00741BD5"/>
    <w:rsid w:val="00742EA8"/>
    <w:rsid w:val="0074511D"/>
    <w:rsid w:val="00754496"/>
    <w:rsid w:val="007637F1"/>
    <w:rsid w:val="00767879"/>
    <w:rsid w:val="00772C7C"/>
    <w:rsid w:val="0078313B"/>
    <w:rsid w:val="007A1ED9"/>
    <w:rsid w:val="007B1FC4"/>
    <w:rsid w:val="007B20DC"/>
    <w:rsid w:val="007B415E"/>
    <w:rsid w:val="007B46E0"/>
    <w:rsid w:val="007B6323"/>
    <w:rsid w:val="007B6706"/>
    <w:rsid w:val="007B68CF"/>
    <w:rsid w:val="007C5CB9"/>
    <w:rsid w:val="007D617D"/>
    <w:rsid w:val="007D66A8"/>
    <w:rsid w:val="007E499C"/>
    <w:rsid w:val="007F3B41"/>
    <w:rsid w:val="007F3D72"/>
    <w:rsid w:val="007F58E3"/>
    <w:rsid w:val="0080216B"/>
    <w:rsid w:val="008246E3"/>
    <w:rsid w:val="008346B8"/>
    <w:rsid w:val="0083475F"/>
    <w:rsid w:val="00835274"/>
    <w:rsid w:val="00836E2F"/>
    <w:rsid w:val="0084177C"/>
    <w:rsid w:val="00842DED"/>
    <w:rsid w:val="008431B3"/>
    <w:rsid w:val="008468CE"/>
    <w:rsid w:val="0084720E"/>
    <w:rsid w:val="008549FA"/>
    <w:rsid w:val="008572D1"/>
    <w:rsid w:val="0086154A"/>
    <w:rsid w:val="00862972"/>
    <w:rsid w:val="008629AA"/>
    <w:rsid w:val="008651A0"/>
    <w:rsid w:val="00867791"/>
    <w:rsid w:val="00870FC4"/>
    <w:rsid w:val="008712F5"/>
    <w:rsid w:val="00873550"/>
    <w:rsid w:val="00877737"/>
    <w:rsid w:val="008803BC"/>
    <w:rsid w:val="00882F3A"/>
    <w:rsid w:val="00890822"/>
    <w:rsid w:val="00893DB5"/>
    <w:rsid w:val="00895D5F"/>
    <w:rsid w:val="008A0D57"/>
    <w:rsid w:val="008A36D5"/>
    <w:rsid w:val="008B1680"/>
    <w:rsid w:val="008B3D03"/>
    <w:rsid w:val="008C06C5"/>
    <w:rsid w:val="008C0EBD"/>
    <w:rsid w:val="008C38BE"/>
    <w:rsid w:val="008C531B"/>
    <w:rsid w:val="008D052E"/>
    <w:rsid w:val="008D07E8"/>
    <w:rsid w:val="008D17D6"/>
    <w:rsid w:val="008D33C7"/>
    <w:rsid w:val="008E125D"/>
    <w:rsid w:val="008E5F7B"/>
    <w:rsid w:val="008F5670"/>
    <w:rsid w:val="0090603B"/>
    <w:rsid w:val="00907940"/>
    <w:rsid w:val="00915A6C"/>
    <w:rsid w:val="00916EDD"/>
    <w:rsid w:val="00920806"/>
    <w:rsid w:val="0092170E"/>
    <w:rsid w:val="00924942"/>
    <w:rsid w:val="009249F2"/>
    <w:rsid w:val="00925A55"/>
    <w:rsid w:val="009260DF"/>
    <w:rsid w:val="0094009F"/>
    <w:rsid w:val="00941BA6"/>
    <w:rsid w:val="00944E2B"/>
    <w:rsid w:val="009519C4"/>
    <w:rsid w:val="00960851"/>
    <w:rsid w:val="00963039"/>
    <w:rsid w:val="00963F84"/>
    <w:rsid w:val="00964820"/>
    <w:rsid w:val="00965E44"/>
    <w:rsid w:val="00967715"/>
    <w:rsid w:val="00973261"/>
    <w:rsid w:val="009740B3"/>
    <w:rsid w:val="009812B1"/>
    <w:rsid w:val="009836DF"/>
    <w:rsid w:val="00986407"/>
    <w:rsid w:val="009922BE"/>
    <w:rsid w:val="00994392"/>
    <w:rsid w:val="009978AA"/>
    <w:rsid w:val="00997A3F"/>
    <w:rsid w:val="009A1A01"/>
    <w:rsid w:val="009A1BE9"/>
    <w:rsid w:val="009A7365"/>
    <w:rsid w:val="009A7D91"/>
    <w:rsid w:val="009B3B02"/>
    <w:rsid w:val="009B6E84"/>
    <w:rsid w:val="009C1D1F"/>
    <w:rsid w:val="009C3845"/>
    <w:rsid w:val="009C4A5B"/>
    <w:rsid w:val="009C5A4F"/>
    <w:rsid w:val="009C6B20"/>
    <w:rsid w:val="009D7650"/>
    <w:rsid w:val="009E0446"/>
    <w:rsid w:val="009E1C0E"/>
    <w:rsid w:val="009E21ED"/>
    <w:rsid w:val="009E2A78"/>
    <w:rsid w:val="009E6297"/>
    <w:rsid w:val="009E7083"/>
    <w:rsid w:val="009E723F"/>
    <w:rsid w:val="009F4BD8"/>
    <w:rsid w:val="009F600A"/>
    <w:rsid w:val="009F6093"/>
    <w:rsid w:val="009F6E23"/>
    <w:rsid w:val="00A05CB8"/>
    <w:rsid w:val="00A128A4"/>
    <w:rsid w:val="00A15359"/>
    <w:rsid w:val="00A21CB2"/>
    <w:rsid w:val="00A22994"/>
    <w:rsid w:val="00A2414A"/>
    <w:rsid w:val="00A33063"/>
    <w:rsid w:val="00A34956"/>
    <w:rsid w:val="00A35DB0"/>
    <w:rsid w:val="00A35DD3"/>
    <w:rsid w:val="00A362AD"/>
    <w:rsid w:val="00A406F3"/>
    <w:rsid w:val="00A4075C"/>
    <w:rsid w:val="00A452CE"/>
    <w:rsid w:val="00A50928"/>
    <w:rsid w:val="00A50E1D"/>
    <w:rsid w:val="00A520FC"/>
    <w:rsid w:val="00A53808"/>
    <w:rsid w:val="00A6088C"/>
    <w:rsid w:val="00A611E3"/>
    <w:rsid w:val="00A71B7D"/>
    <w:rsid w:val="00A73A3A"/>
    <w:rsid w:val="00A86F37"/>
    <w:rsid w:val="00A87CCE"/>
    <w:rsid w:val="00A92183"/>
    <w:rsid w:val="00A9261C"/>
    <w:rsid w:val="00A92B63"/>
    <w:rsid w:val="00AA134B"/>
    <w:rsid w:val="00AA39A0"/>
    <w:rsid w:val="00AA4751"/>
    <w:rsid w:val="00AA7DC8"/>
    <w:rsid w:val="00AB200A"/>
    <w:rsid w:val="00AB2D83"/>
    <w:rsid w:val="00AB45A6"/>
    <w:rsid w:val="00AB5037"/>
    <w:rsid w:val="00AB7F78"/>
    <w:rsid w:val="00AC0221"/>
    <w:rsid w:val="00AC0AE7"/>
    <w:rsid w:val="00AC59E5"/>
    <w:rsid w:val="00AD1DF6"/>
    <w:rsid w:val="00AD3E74"/>
    <w:rsid w:val="00AD77AA"/>
    <w:rsid w:val="00AE133E"/>
    <w:rsid w:val="00AE1620"/>
    <w:rsid w:val="00AE2883"/>
    <w:rsid w:val="00AE33A5"/>
    <w:rsid w:val="00AE7597"/>
    <w:rsid w:val="00AF0E7F"/>
    <w:rsid w:val="00AF6B3A"/>
    <w:rsid w:val="00B04302"/>
    <w:rsid w:val="00B10F12"/>
    <w:rsid w:val="00B125C0"/>
    <w:rsid w:val="00B13537"/>
    <w:rsid w:val="00B138AA"/>
    <w:rsid w:val="00B148BF"/>
    <w:rsid w:val="00B14948"/>
    <w:rsid w:val="00B223F4"/>
    <w:rsid w:val="00B303C1"/>
    <w:rsid w:val="00B3067B"/>
    <w:rsid w:val="00B33D0F"/>
    <w:rsid w:val="00B404DF"/>
    <w:rsid w:val="00B4320F"/>
    <w:rsid w:val="00B43758"/>
    <w:rsid w:val="00B44B2F"/>
    <w:rsid w:val="00B4577E"/>
    <w:rsid w:val="00B5042A"/>
    <w:rsid w:val="00B550BA"/>
    <w:rsid w:val="00B5575E"/>
    <w:rsid w:val="00B63EB1"/>
    <w:rsid w:val="00B643BE"/>
    <w:rsid w:val="00B64B25"/>
    <w:rsid w:val="00B702FE"/>
    <w:rsid w:val="00B74747"/>
    <w:rsid w:val="00B74FD8"/>
    <w:rsid w:val="00B75119"/>
    <w:rsid w:val="00B7536D"/>
    <w:rsid w:val="00B81F8C"/>
    <w:rsid w:val="00B82C2D"/>
    <w:rsid w:val="00B858CF"/>
    <w:rsid w:val="00B85B92"/>
    <w:rsid w:val="00B87C66"/>
    <w:rsid w:val="00B909BE"/>
    <w:rsid w:val="00B97440"/>
    <w:rsid w:val="00BA5475"/>
    <w:rsid w:val="00BB2FBF"/>
    <w:rsid w:val="00BC013A"/>
    <w:rsid w:val="00BC216C"/>
    <w:rsid w:val="00BC4B46"/>
    <w:rsid w:val="00BC543E"/>
    <w:rsid w:val="00BC78C5"/>
    <w:rsid w:val="00BC7986"/>
    <w:rsid w:val="00BD3B92"/>
    <w:rsid w:val="00BD3FC6"/>
    <w:rsid w:val="00BD5389"/>
    <w:rsid w:val="00BD6604"/>
    <w:rsid w:val="00BD73C4"/>
    <w:rsid w:val="00BE0BE5"/>
    <w:rsid w:val="00BF168B"/>
    <w:rsid w:val="00BF7ACC"/>
    <w:rsid w:val="00C00280"/>
    <w:rsid w:val="00C01770"/>
    <w:rsid w:val="00C04440"/>
    <w:rsid w:val="00C045A6"/>
    <w:rsid w:val="00C1138E"/>
    <w:rsid w:val="00C159FE"/>
    <w:rsid w:val="00C20F91"/>
    <w:rsid w:val="00C32DB3"/>
    <w:rsid w:val="00C34ED3"/>
    <w:rsid w:val="00C35760"/>
    <w:rsid w:val="00C442D6"/>
    <w:rsid w:val="00C46568"/>
    <w:rsid w:val="00C5152A"/>
    <w:rsid w:val="00C54CDE"/>
    <w:rsid w:val="00C54F2A"/>
    <w:rsid w:val="00C55D18"/>
    <w:rsid w:val="00C57234"/>
    <w:rsid w:val="00C64C4C"/>
    <w:rsid w:val="00C64F82"/>
    <w:rsid w:val="00C6610E"/>
    <w:rsid w:val="00C676A1"/>
    <w:rsid w:val="00C70C2D"/>
    <w:rsid w:val="00C72C57"/>
    <w:rsid w:val="00C75FBB"/>
    <w:rsid w:val="00C8115E"/>
    <w:rsid w:val="00C8413C"/>
    <w:rsid w:val="00C86EC2"/>
    <w:rsid w:val="00C90E19"/>
    <w:rsid w:val="00C93846"/>
    <w:rsid w:val="00C93D47"/>
    <w:rsid w:val="00C95F3D"/>
    <w:rsid w:val="00CA5E9D"/>
    <w:rsid w:val="00CB1943"/>
    <w:rsid w:val="00CB1EA2"/>
    <w:rsid w:val="00CB54FD"/>
    <w:rsid w:val="00CC3414"/>
    <w:rsid w:val="00CC6C88"/>
    <w:rsid w:val="00CC6E6C"/>
    <w:rsid w:val="00CD04BC"/>
    <w:rsid w:val="00CD216B"/>
    <w:rsid w:val="00CD222E"/>
    <w:rsid w:val="00CD29AA"/>
    <w:rsid w:val="00CD793C"/>
    <w:rsid w:val="00CE4821"/>
    <w:rsid w:val="00CE4EB0"/>
    <w:rsid w:val="00CE5EC1"/>
    <w:rsid w:val="00CF12AD"/>
    <w:rsid w:val="00CF6A73"/>
    <w:rsid w:val="00D0002E"/>
    <w:rsid w:val="00D00F04"/>
    <w:rsid w:val="00D04A0A"/>
    <w:rsid w:val="00D103EC"/>
    <w:rsid w:val="00D10EB6"/>
    <w:rsid w:val="00D112BD"/>
    <w:rsid w:val="00D15047"/>
    <w:rsid w:val="00D21FAA"/>
    <w:rsid w:val="00D228AA"/>
    <w:rsid w:val="00D232A5"/>
    <w:rsid w:val="00D266B6"/>
    <w:rsid w:val="00D3208D"/>
    <w:rsid w:val="00D429E2"/>
    <w:rsid w:val="00D43DD1"/>
    <w:rsid w:val="00D573CF"/>
    <w:rsid w:val="00D601A6"/>
    <w:rsid w:val="00D62AC0"/>
    <w:rsid w:val="00D63B63"/>
    <w:rsid w:val="00D660D7"/>
    <w:rsid w:val="00D75332"/>
    <w:rsid w:val="00D77485"/>
    <w:rsid w:val="00D81A97"/>
    <w:rsid w:val="00D90FEB"/>
    <w:rsid w:val="00D93DB6"/>
    <w:rsid w:val="00D94444"/>
    <w:rsid w:val="00D952D1"/>
    <w:rsid w:val="00DA5938"/>
    <w:rsid w:val="00DB2B6B"/>
    <w:rsid w:val="00DB3DD9"/>
    <w:rsid w:val="00DC623D"/>
    <w:rsid w:val="00DD1185"/>
    <w:rsid w:val="00DD181A"/>
    <w:rsid w:val="00DE3334"/>
    <w:rsid w:val="00DE6044"/>
    <w:rsid w:val="00DF3717"/>
    <w:rsid w:val="00E02F65"/>
    <w:rsid w:val="00E052AE"/>
    <w:rsid w:val="00E13145"/>
    <w:rsid w:val="00E15F86"/>
    <w:rsid w:val="00E32F00"/>
    <w:rsid w:val="00E33919"/>
    <w:rsid w:val="00E36DD3"/>
    <w:rsid w:val="00E400F8"/>
    <w:rsid w:val="00E45A49"/>
    <w:rsid w:val="00E51B82"/>
    <w:rsid w:val="00E529FF"/>
    <w:rsid w:val="00E53095"/>
    <w:rsid w:val="00E63F42"/>
    <w:rsid w:val="00E6484A"/>
    <w:rsid w:val="00E65397"/>
    <w:rsid w:val="00E71799"/>
    <w:rsid w:val="00E75787"/>
    <w:rsid w:val="00E84A89"/>
    <w:rsid w:val="00E84E4C"/>
    <w:rsid w:val="00E84EF5"/>
    <w:rsid w:val="00E84FA9"/>
    <w:rsid w:val="00E861C9"/>
    <w:rsid w:val="00E96487"/>
    <w:rsid w:val="00EA68CC"/>
    <w:rsid w:val="00EA7907"/>
    <w:rsid w:val="00EB6031"/>
    <w:rsid w:val="00EC0823"/>
    <w:rsid w:val="00EC0B34"/>
    <w:rsid w:val="00EC311A"/>
    <w:rsid w:val="00EC37CF"/>
    <w:rsid w:val="00EC47B8"/>
    <w:rsid w:val="00EC6196"/>
    <w:rsid w:val="00EC66FF"/>
    <w:rsid w:val="00EC7E94"/>
    <w:rsid w:val="00ED11F0"/>
    <w:rsid w:val="00ED786C"/>
    <w:rsid w:val="00EF0E74"/>
    <w:rsid w:val="00EF1A80"/>
    <w:rsid w:val="00EF2CB1"/>
    <w:rsid w:val="00EF3D6D"/>
    <w:rsid w:val="00EF69F0"/>
    <w:rsid w:val="00EF70BF"/>
    <w:rsid w:val="00F008A9"/>
    <w:rsid w:val="00F01F85"/>
    <w:rsid w:val="00F0377E"/>
    <w:rsid w:val="00F06F26"/>
    <w:rsid w:val="00F079AE"/>
    <w:rsid w:val="00F16FBE"/>
    <w:rsid w:val="00F23F1B"/>
    <w:rsid w:val="00F349E1"/>
    <w:rsid w:val="00F43629"/>
    <w:rsid w:val="00F47D69"/>
    <w:rsid w:val="00F5052E"/>
    <w:rsid w:val="00F52B0C"/>
    <w:rsid w:val="00F560CB"/>
    <w:rsid w:val="00F56572"/>
    <w:rsid w:val="00F64AC2"/>
    <w:rsid w:val="00F64CB8"/>
    <w:rsid w:val="00F732CF"/>
    <w:rsid w:val="00F77FB8"/>
    <w:rsid w:val="00F84BBD"/>
    <w:rsid w:val="00F8678E"/>
    <w:rsid w:val="00F936C8"/>
    <w:rsid w:val="00F94726"/>
    <w:rsid w:val="00F95A86"/>
    <w:rsid w:val="00F95CEF"/>
    <w:rsid w:val="00F9613F"/>
    <w:rsid w:val="00FA6623"/>
    <w:rsid w:val="00FB08B0"/>
    <w:rsid w:val="00FB224D"/>
    <w:rsid w:val="00FC30F7"/>
    <w:rsid w:val="00FC32DB"/>
    <w:rsid w:val="00FC32EB"/>
    <w:rsid w:val="00FC3BD2"/>
    <w:rsid w:val="00FC3D05"/>
    <w:rsid w:val="00FC6535"/>
    <w:rsid w:val="00FD328E"/>
    <w:rsid w:val="00FD575C"/>
    <w:rsid w:val="00FD6B3E"/>
    <w:rsid w:val="00FE2963"/>
    <w:rsid w:val="00FF41C0"/>
    <w:rsid w:val="00FF7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54A"/>
  </w:style>
  <w:style w:type="paragraph" w:styleId="Heading1">
    <w:name w:val="heading 1"/>
    <w:basedOn w:val="Normal"/>
    <w:next w:val="Normal"/>
    <w:link w:val="Heading1Char"/>
    <w:uiPriority w:val="9"/>
    <w:qFormat/>
    <w:rsid w:val="00AB2D83"/>
    <w:pPr>
      <w:keepNext/>
      <w:keepLines/>
      <w:spacing w:before="480" w:after="0"/>
      <w:outlineLvl w:val="0"/>
    </w:pPr>
    <w:rPr>
      <w:rFonts w:eastAsiaTheme="majorEastAsia" w:cstheme="majorBidi"/>
      <w:b/>
      <w:bCs/>
      <w:szCs w:val="28"/>
    </w:rPr>
  </w:style>
  <w:style w:type="paragraph" w:styleId="Heading2">
    <w:name w:val="heading 2"/>
    <w:next w:val="Normal"/>
    <w:link w:val="Heading2Char"/>
    <w:uiPriority w:val="9"/>
    <w:unhideWhenUsed/>
    <w:qFormat/>
    <w:rsid w:val="00AB2D83"/>
    <w:pPr>
      <w:keepNext/>
      <w:keepLines/>
      <w:spacing w:before="200"/>
      <w:outlineLvl w:val="1"/>
    </w:pPr>
    <w:rPr>
      <w:rFonts w:eastAsiaTheme="majorEastAsia" w:cstheme="majorBidi"/>
      <w:b/>
      <w:bCs/>
    </w:rPr>
  </w:style>
  <w:style w:type="paragraph" w:styleId="Heading3">
    <w:name w:val="heading 3"/>
    <w:basedOn w:val="Normal"/>
    <w:next w:val="Normal"/>
    <w:link w:val="Heading3Char"/>
    <w:uiPriority w:val="9"/>
    <w:unhideWhenUsed/>
    <w:qFormat/>
    <w:rsid w:val="00AB2D83"/>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7642"/>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9A7365"/>
    <w:rPr>
      <w:color w:val="0000FF" w:themeColor="hyperlink"/>
      <w:u w:val="single"/>
    </w:rPr>
  </w:style>
  <w:style w:type="paragraph" w:styleId="BalloonText">
    <w:name w:val="Balloon Text"/>
    <w:basedOn w:val="Normal"/>
    <w:link w:val="BalloonTextChar"/>
    <w:uiPriority w:val="99"/>
    <w:semiHidden/>
    <w:unhideWhenUsed/>
    <w:rsid w:val="00997A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A3F"/>
    <w:rPr>
      <w:rFonts w:ascii="Tahoma" w:hAnsi="Tahoma" w:cs="Tahoma"/>
      <w:sz w:val="16"/>
      <w:szCs w:val="16"/>
    </w:rPr>
  </w:style>
  <w:style w:type="table" w:styleId="TableGrid">
    <w:name w:val="Table Grid"/>
    <w:basedOn w:val="TableNormal"/>
    <w:uiPriority w:val="59"/>
    <w:rsid w:val="009C1D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21FAA"/>
    <w:rPr>
      <w:sz w:val="18"/>
      <w:szCs w:val="18"/>
    </w:rPr>
  </w:style>
  <w:style w:type="paragraph" w:styleId="CommentText">
    <w:name w:val="annotation text"/>
    <w:basedOn w:val="Normal"/>
    <w:link w:val="CommentTextChar"/>
    <w:uiPriority w:val="99"/>
    <w:semiHidden/>
    <w:unhideWhenUsed/>
    <w:rsid w:val="00D21FAA"/>
    <w:pPr>
      <w:spacing w:line="240" w:lineRule="auto"/>
    </w:pPr>
  </w:style>
  <w:style w:type="character" w:customStyle="1" w:styleId="CommentTextChar">
    <w:name w:val="Comment Text Char"/>
    <w:basedOn w:val="DefaultParagraphFont"/>
    <w:link w:val="CommentText"/>
    <w:uiPriority w:val="99"/>
    <w:semiHidden/>
    <w:rsid w:val="00D21FAA"/>
    <w:rPr>
      <w:sz w:val="24"/>
      <w:szCs w:val="24"/>
    </w:rPr>
  </w:style>
  <w:style w:type="paragraph" w:styleId="CommentSubject">
    <w:name w:val="annotation subject"/>
    <w:basedOn w:val="CommentText"/>
    <w:next w:val="CommentText"/>
    <w:link w:val="CommentSubjectChar"/>
    <w:uiPriority w:val="99"/>
    <w:semiHidden/>
    <w:unhideWhenUsed/>
    <w:rsid w:val="00D21FAA"/>
    <w:rPr>
      <w:b/>
      <w:bCs/>
      <w:sz w:val="20"/>
      <w:szCs w:val="20"/>
    </w:rPr>
  </w:style>
  <w:style w:type="character" w:customStyle="1" w:styleId="CommentSubjectChar">
    <w:name w:val="Comment Subject Char"/>
    <w:basedOn w:val="CommentTextChar"/>
    <w:link w:val="CommentSubject"/>
    <w:uiPriority w:val="99"/>
    <w:semiHidden/>
    <w:rsid w:val="00D21FAA"/>
    <w:rPr>
      <w:b/>
      <w:bCs/>
      <w:sz w:val="20"/>
      <w:szCs w:val="20"/>
    </w:rPr>
  </w:style>
  <w:style w:type="character" w:customStyle="1" w:styleId="apple-tab-span">
    <w:name w:val="apple-tab-span"/>
    <w:basedOn w:val="DefaultParagraphFont"/>
    <w:rsid w:val="007D617D"/>
  </w:style>
  <w:style w:type="paragraph" w:styleId="Caption">
    <w:name w:val="caption"/>
    <w:basedOn w:val="Normal"/>
    <w:next w:val="Normal"/>
    <w:uiPriority w:val="35"/>
    <w:unhideWhenUsed/>
    <w:qFormat/>
    <w:rsid w:val="004E1348"/>
    <w:pPr>
      <w:spacing w:line="240" w:lineRule="auto"/>
    </w:pPr>
    <w:rPr>
      <w:b/>
      <w:bCs/>
      <w:color w:val="4F81BD" w:themeColor="accent1"/>
      <w:sz w:val="18"/>
      <w:szCs w:val="18"/>
    </w:rPr>
  </w:style>
  <w:style w:type="paragraph" w:customStyle="1" w:styleId="normal0">
    <w:name w:val="normal"/>
    <w:rsid w:val="00A33063"/>
    <w:pPr>
      <w:spacing w:after="0" w:line="240" w:lineRule="auto"/>
    </w:pPr>
    <w:rPr>
      <w:rFonts w:eastAsia="Times New Roman"/>
      <w:color w:val="000000"/>
    </w:rPr>
  </w:style>
  <w:style w:type="character" w:customStyle="1" w:styleId="apple-converted-space">
    <w:name w:val="apple-converted-space"/>
    <w:basedOn w:val="DefaultParagraphFont"/>
    <w:rsid w:val="00BD6604"/>
  </w:style>
  <w:style w:type="character" w:styleId="Strong">
    <w:name w:val="Strong"/>
    <w:basedOn w:val="DefaultParagraphFont"/>
    <w:uiPriority w:val="22"/>
    <w:qFormat/>
    <w:rsid w:val="00BD6604"/>
    <w:rPr>
      <w:b/>
      <w:bCs/>
    </w:rPr>
  </w:style>
  <w:style w:type="paragraph" w:styleId="Header">
    <w:name w:val="header"/>
    <w:basedOn w:val="Normal"/>
    <w:link w:val="HeaderChar"/>
    <w:uiPriority w:val="99"/>
    <w:unhideWhenUsed/>
    <w:rsid w:val="00ED11F0"/>
    <w:pPr>
      <w:tabs>
        <w:tab w:val="center" w:pos="4320"/>
        <w:tab w:val="right" w:pos="8640"/>
      </w:tabs>
      <w:spacing w:after="0" w:line="240" w:lineRule="auto"/>
    </w:pPr>
  </w:style>
  <w:style w:type="character" w:customStyle="1" w:styleId="HeaderChar">
    <w:name w:val="Header Char"/>
    <w:basedOn w:val="DefaultParagraphFont"/>
    <w:link w:val="Header"/>
    <w:uiPriority w:val="99"/>
    <w:rsid w:val="00ED11F0"/>
  </w:style>
  <w:style w:type="paragraph" w:styleId="Footer">
    <w:name w:val="footer"/>
    <w:basedOn w:val="Normal"/>
    <w:link w:val="FooterChar"/>
    <w:uiPriority w:val="99"/>
    <w:unhideWhenUsed/>
    <w:rsid w:val="00ED11F0"/>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11F0"/>
  </w:style>
  <w:style w:type="character" w:customStyle="1" w:styleId="Heading1Char">
    <w:name w:val="Heading 1 Char"/>
    <w:basedOn w:val="DefaultParagraphFont"/>
    <w:link w:val="Heading1"/>
    <w:uiPriority w:val="9"/>
    <w:rsid w:val="00AB2D83"/>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2F2EF8"/>
    <w:pPr>
      <w:outlineLvl w:val="9"/>
    </w:pPr>
  </w:style>
  <w:style w:type="paragraph" w:styleId="TOC2">
    <w:name w:val="toc 2"/>
    <w:basedOn w:val="Normal"/>
    <w:next w:val="Normal"/>
    <w:autoRedefine/>
    <w:uiPriority w:val="39"/>
    <w:unhideWhenUsed/>
    <w:qFormat/>
    <w:rsid w:val="002F2EF8"/>
    <w:pPr>
      <w:spacing w:after="100"/>
      <w:ind w:left="220"/>
    </w:pPr>
    <w:rPr>
      <w:rFonts w:eastAsiaTheme="minorEastAsia"/>
    </w:rPr>
  </w:style>
  <w:style w:type="paragraph" w:styleId="TOC1">
    <w:name w:val="toc 1"/>
    <w:basedOn w:val="Normal"/>
    <w:next w:val="Normal"/>
    <w:autoRedefine/>
    <w:uiPriority w:val="39"/>
    <w:unhideWhenUsed/>
    <w:qFormat/>
    <w:rsid w:val="002F2EF8"/>
    <w:pPr>
      <w:spacing w:after="100"/>
    </w:pPr>
    <w:rPr>
      <w:rFonts w:eastAsiaTheme="minorEastAsia"/>
    </w:rPr>
  </w:style>
  <w:style w:type="paragraph" w:styleId="TOC3">
    <w:name w:val="toc 3"/>
    <w:basedOn w:val="Normal"/>
    <w:next w:val="Normal"/>
    <w:autoRedefine/>
    <w:uiPriority w:val="39"/>
    <w:unhideWhenUsed/>
    <w:qFormat/>
    <w:rsid w:val="002F2EF8"/>
    <w:pPr>
      <w:spacing w:after="100"/>
      <w:ind w:left="440"/>
    </w:pPr>
    <w:rPr>
      <w:rFonts w:eastAsiaTheme="minorEastAsia"/>
    </w:rPr>
  </w:style>
  <w:style w:type="character" w:customStyle="1" w:styleId="Heading2Char">
    <w:name w:val="Heading 2 Char"/>
    <w:basedOn w:val="DefaultParagraphFont"/>
    <w:link w:val="Heading2"/>
    <w:uiPriority w:val="9"/>
    <w:rsid w:val="00AB2D83"/>
    <w:rPr>
      <w:rFonts w:ascii="Times New Roman" w:eastAsiaTheme="majorEastAsia" w:hAnsi="Times New Roman" w:cstheme="majorBidi"/>
      <w:b/>
      <w:bCs/>
      <w:sz w:val="24"/>
      <w:szCs w:val="24"/>
    </w:rPr>
  </w:style>
  <w:style w:type="character" w:customStyle="1" w:styleId="Heading3Char">
    <w:name w:val="Heading 3 Char"/>
    <w:basedOn w:val="DefaultParagraphFont"/>
    <w:link w:val="Heading3"/>
    <w:uiPriority w:val="9"/>
    <w:rsid w:val="00AB2D83"/>
    <w:rPr>
      <w:rFonts w:ascii="Times New Roman" w:eastAsiaTheme="majorEastAsia" w:hAnsi="Times New Roman" w:cstheme="majorBidi"/>
      <w:b/>
      <w:bCs/>
      <w:sz w:val="24"/>
    </w:rPr>
  </w:style>
  <w:style w:type="paragraph" w:styleId="NoSpacing">
    <w:name w:val="No Spacing"/>
    <w:uiPriority w:val="1"/>
    <w:qFormat/>
    <w:rsid w:val="00AB2D83"/>
    <w:pPr>
      <w:spacing w:after="0" w:line="240" w:lineRule="auto"/>
    </w:pPr>
  </w:style>
</w:styles>
</file>

<file path=word/webSettings.xml><?xml version="1.0" encoding="utf-8"?>
<w:webSettings xmlns:r="http://schemas.openxmlformats.org/officeDocument/2006/relationships" xmlns:w="http://schemas.openxmlformats.org/wordprocessingml/2006/main">
  <w:divs>
    <w:div w:id="10693906">
      <w:bodyDiv w:val="1"/>
      <w:marLeft w:val="0"/>
      <w:marRight w:val="0"/>
      <w:marTop w:val="0"/>
      <w:marBottom w:val="0"/>
      <w:divBdr>
        <w:top w:val="none" w:sz="0" w:space="0" w:color="auto"/>
        <w:left w:val="none" w:sz="0" w:space="0" w:color="auto"/>
        <w:bottom w:val="none" w:sz="0" w:space="0" w:color="auto"/>
        <w:right w:val="none" w:sz="0" w:space="0" w:color="auto"/>
      </w:divBdr>
    </w:div>
    <w:div w:id="16197052">
      <w:bodyDiv w:val="1"/>
      <w:marLeft w:val="0"/>
      <w:marRight w:val="0"/>
      <w:marTop w:val="0"/>
      <w:marBottom w:val="0"/>
      <w:divBdr>
        <w:top w:val="none" w:sz="0" w:space="0" w:color="auto"/>
        <w:left w:val="none" w:sz="0" w:space="0" w:color="auto"/>
        <w:bottom w:val="none" w:sz="0" w:space="0" w:color="auto"/>
        <w:right w:val="none" w:sz="0" w:space="0" w:color="auto"/>
      </w:divBdr>
    </w:div>
    <w:div w:id="41709525">
      <w:bodyDiv w:val="1"/>
      <w:marLeft w:val="0"/>
      <w:marRight w:val="0"/>
      <w:marTop w:val="0"/>
      <w:marBottom w:val="0"/>
      <w:divBdr>
        <w:top w:val="none" w:sz="0" w:space="0" w:color="auto"/>
        <w:left w:val="none" w:sz="0" w:space="0" w:color="auto"/>
        <w:bottom w:val="none" w:sz="0" w:space="0" w:color="auto"/>
        <w:right w:val="none" w:sz="0" w:space="0" w:color="auto"/>
      </w:divBdr>
    </w:div>
    <w:div w:id="99836564">
      <w:bodyDiv w:val="1"/>
      <w:marLeft w:val="0"/>
      <w:marRight w:val="0"/>
      <w:marTop w:val="0"/>
      <w:marBottom w:val="0"/>
      <w:divBdr>
        <w:top w:val="none" w:sz="0" w:space="0" w:color="auto"/>
        <w:left w:val="none" w:sz="0" w:space="0" w:color="auto"/>
        <w:bottom w:val="none" w:sz="0" w:space="0" w:color="auto"/>
        <w:right w:val="none" w:sz="0" w:space="0" w:color="auto"/>
      </w:divBdr>
    </w:div>
    <w:div w:id="101536724">
      <w:bodyDiv w:val="1"/>
      <w:marLeft w:val="0"/>
      <w:marRight w:val="0"/>
      <w:marTop w:val="0"/>
      <w:marBottom w:val="0"/>
      <w:divBdr>
        <w:top w:val="none" w:sz="0" w:space="0" w:color="auto"/>
        <w:left w:val="none" w:sz="0" w:space="0" w:color="auto"/>
        <w:bottom w:val="none" w:sz="0" w:space="0" w:color="auto"/>
        <w:right w:val="none" w:sz="0" w:space="0" w:color="auto"/>
      </w:divBdr>
    </w:div>
    <w:div w:id="117650918">
      <w:bodyDiv w:val="1"/>
      <w:marLeft w:val="0"/>
      <w:marRight w:val="0"/>
      <w:marTop w:val="0"/>
      <w:marBottom w:val="0"/>
      <w:divBdr>
        <w:top w:val="none" w:sz="0" w:space="0" w:color="auto"/>
        <w:left w:val="none" w:sz="0" w:space="0" w:color="auto"/>
        <w:bottom w:val="none" w:sz="0" w:space="0" w:color="auto"/>
        <w:right w:val="none" w:sz="0" w:space="0" w:color="auto"/>
      </w:divBdr>
    </w:div>
    <w:div w:id="122626720">
      <w:bodyDiv w:val="1"/>
      <w:marLeft w:val="0"/>
      <w:marRight w:val="0"/>
      <w:marTop w:val="0"/>
      <w:marBottom w:val="0"/>
      <w:divBdr>
        <w:top w:val="none" w:sz="0" w:space="0" w:color="auto"/>
        <w:left w:val="none" w:sz="0" w:space="0" w:color="auto"/>
        <w:bottom w:val="none" w:sz="0" w:space="0" w:color="auto"/>
        <w:right w:val="none" w:sz="0" w:space="0" w:color="auto"/>
      </w:divBdr>
    </w:div>
    <w:div w:id="156464184">
      <w:bodyDiv w:val="1"/>
      <w:marLeft w:val="0"/>
      <w:marRight w:val="0"/>
      <w:marTop w:val="0"/>
      <w:marBottom w:val="0"/>
      <w:divBdr>
        <w:top w:val="none" w:sz="0" w:space="0" w:color="auto"/>
        <w:left w:val="none" w:sz="0" w:space="0" w:color="auto"/>
        <w:bottom w:val="none" w:sz="0" w:space="0" w:color="auto"/>
        <w:right w:val="none" w:sz="0" w:space="0" w:color="auto"/>
      </w:divBdr>
    </w:div>
    <w:div w:id="158231540">
      <w:bodyDiv w:val="1"/>
      <w:marLeft w:val="0"/>
      <w:marRight w:val="0"/>
      <w:marTop w:val="0"/>
      <w:marBottom w:val="0"/>
      <w:divBdr>
        <w:top w:val="none" w:sz="0" w:space="0" w:color="auto"/>
        <w:left w:val="none" w:sz="0" w:space="0" w:color="auto"/>
        <w:bottom w:val="none" w:sz="0" w:space="0" w:color="auto"/>
        <w:right w:val="none" w:sz="0" w:space="0" w:color="auto"/>
      </w:divBdr>
    </w:div>
    <w:div w:id="183175900">
      <w:bodyDiv w:val="1"/>
      <w:marLeft w:val="0"/>
      <w:marRight w:val="0"/>
      <w:marTop w:val="0"/>
      <w:marBottom w:val="0"/>
      <w:divBdr>
        <w:top w:val="none" w:sz="0" w:space="0" w:color="auto"/>
        <w:left w:val="none" w:sz="0" w:space="0" w:color="auto"/>
        <w:bottom w:val="none" w:sz="0" w:space="0" w:color="auto"/>
        <w:right w:val="none" w:sz="0" w:space="0" w:color="auto"/>
      </w:divBdr>
    </w:div>
    <w:div w:id="184249812">
      <w:bodyDiv w:val="1"/>
      <w:marLeft w:val="0"/>
      <w:marRight w:val="0"/>
      <w:marTop w:val="0"/>
      <w:marBottom w:val="0"/>
      <w:divBdr>
        <w:top w:val="none" w:sz="0" w:space="0" w:color="auto"/>
        <w:left w:val="none" w:sz="0" w:space="0" w:color="auto"/>
        <w:bottom w:val="none" w:sz="0" w:space="0" w:color="auto"/>
        <w:right w:val="none" w:sz="0" w:space="0" w:color="auto"/>
      </w:divBdr>
    </w:div>
    <w:div w:id="242186170">
      <w:bodyDiv w:val="1"/>
      <w:marLeft w:val="0"/>
      <w:marRight w:val="0"/>
      <w:marTop w:val="0"/>
      <w:marBottom w:val="0"/>
      <w:divBdr>
        <w:top w:val="none" w:sz="0" w:space="0" w:color="auto"/>
        <w:left w:val="none" w:sz="0" w:space="0" w:color="auto"/>
        <w:bottom w:val="none" w:sz="0" w:space="0" w:color="auto"/>
        <w:right w:val="none" w:sz="0" w:space="0" w:color="auto"/>
      </w:divBdr>
    </w:div>
    <w:div w:id="249508163">
      <w:bodyDiv w:val="1"/>
      <w:marLeft w:val="0"/>
      <w:marRight w:val="0"/>
      <w:marTop w:val="0"/>
      <w:marBottom w:val="0"/>
      <w:divBdr>
        <w:top w:val="none" w:sz="0" w:space="0" w:color="auto"/>
        <w:left w:val="none" w:sz="0" w:space="0" w:color="auto"/>
        <w:bottom w:val="none" w:sz="0" w:space="0" w:color="auto"/>
        <w:right w:val="none" w:sz="0" w:space="0" w:color="auto"/>
      </w:divBdr>
    </w:div>
    <w:div w:id="261571071">
      <w:bodyDiv w:val="1"/>
      <w:marLeft w:val="0"/>
      <w:marRight w:val="0"/>
      <w:marTop w:val="0"/>
      <w:marBottom w:val="0"/>
      <w:divBdr>
        <w:top w:val="none" w:sz="0" w:space="0" w:color="auto"/>
        <w:left w:val="none" w:sz="0" w:space="0" w:color="auto"/>
        <w:bottom w:val="none" w:sz="0" w:space="0" w:color="auto"/>
        <w:right w:val="none" w:sz="0" w:space="0" w:color="auto"/>
      </w:divBdr>
    </w:div>
    <w:div w:id="263415708">
      <w:bodyDiv w:val="1"/>
      <w:marLeft w:val="0"/>
      <w:marRight w:val="0"/>
      <w:marTop w:val="0"/>
      <w:marBottom w:val="0"/>
      <w:divBdr>
        <w:top w:val="none" w:sz="0" w:space="0" w:color="auto"/>
        <w:left w:val="none" w:sz="0" w:space="0" w:color="auto"/>
        <w:bottom w:val="none" w:sz="0" w:space="0" w:color="auto"/>
        <w:right w:val="none" w:sz="0" w:space="0" w:color="auto"/>
      </w:divBdr>
    </w:div>
    <w:div w:id="273023024">
      <w:bodyDiv w:val="1"/>
      <w:marLeft w:val="0"/>
      <w:marRight w:val="0"/>
      <w:marTop w:val="0"/>
      <w:marBottom w:val="0"/>
      <w:divBdr>
        <w:top w:val="none" w:sz="0" w:space="0" w:color="auto"/>
        <w:left w:val="none" w:sz="0" w:space="0" w:color="auto"/>
        <w:bottom w:val="none" w:sz="0" w:space="0" w:color="auto"/>
        <w:right w:val="none" w:sz="0" w:space="0" w:color="auto"/>
      </w:divBdr>
    </w:div>
    <w:div w:id="295764694">
      <w:bodyDiv w:val="1"/>
      <w:marLeft w:val="0"/>
      <w:marRight w:val="0"/>
      <w:marTop w:val="0"/>
      <w:marBottom w:val="0"/>
      <w:divBdr>
        <w:top w:val="none" w:sz="0" w:space="0" w:color="auto"/>
        <w:left w:val="none" w:sz="0" w:space="0" w:color="auto"/>
        <w:bottom w:val="none" w:sz="0" w:space="0" w:color="auto"/>
        <w:right w:val="none" w:sz="0" w:space="0" w:color="auto"/>
      </w:divBdr>
    </w:div>
    <w:div w:id="301428073">
      <w:bodyDiv w:val="1"/>
      <w:marLeft w:val="0"/>
      <w:marRight w:val="0"/>
      <w:marTop w:val="0"/>
      <w:marBottom w:val="0"/>
      <w:divBdr>
        <w:top w:val="none" w:sz="0" w:space="0" w:color="auto"/>
        <w:left w:val="none" w:sz="0" w:space="0" w:color="auto"/>
        <w:bottom w:val="none" w:sz="0" w:space="0" w:color="auto"/>
        <w:right w:val="none" w:sz="0" w:space="0" w:color="auto"/>
      </w:divBdr>
    </w:div>
    <w:div w:id="309939353">
      <w:bodyDiv w:val="1"/>
      <w:marLeft w:val="0"/>
      <w:marRight w:val="0"/>
      <w:marTop w:val="0"/>
      <w:marBottom w:val="0"/>
      <w:divBdr>
        <w:top w:val="none" w:sz="0" w:space="0" w:color="auto"/>
        <w:left w:val="none" w:sz="0" w:space="0" w:color="auto"/>
        <w:bottom w:val="none" w:sz="0" w:space="0" w:color="auto"/>
        <w:right w:val="none" w:sz="0" w:space="0" w:color="auto"/>
      </w:divBdr>
    </w:div>
    <w:div w:id="357973525">
      <w:bodyDiv w:val="1"/>
      <w:marLeft w:val="0"/>
      <w:marRight w:val="0"/>
      <w:marTop w:val="0"/>
      <w:marBottom w:val="0"/>
      <w:divBdr>
        <w:top w:val="none" w:sz="0" w:space="0" w:color="auto"/>
        <w:left w:val="none" w:sz="0" w:space="0" w:color="auto"/>
        <w:bottom w:val="none" w:sz="0" w:space="0" w:color="auto"/>
        <w:right w:val="none" w:sz="0" w:space="0" w:color="auto"/>
      </w:divBdr>
    </w:div>
    <w:div w:id="373778406">
      <w:bodyDiv w:val="1"/>
      <w:marLeft w:val="0"/>
      <w:marRight w:val="0"/>
      <w:marTop w:val="0"/>
      <w:marBottom w:val="0"/>
      <w:divBdr>
        <w:top w:val="none" w:sz="0" w:space="0" w:color="auto"/>
        <w:left w:val="none" w:sz="0" w:space="0" w:color="auto"/>
        <w:bottom w:val="none" w:sz="0" w:space="0" w:color="auto"/>
        <w:right w:val="none" w:sz="0" w:space="0" w:color="auto"/>
      </w:divBdr>
    </w:div>
    <w:div w:id="409624446">
      <w:bodyDiv w:val="1"/>
      <w:marLeft w:val="0"/>
      <w:marRight w:val="0"/>
      <w:marTop w:val="0"/>
      <w:marBottom w:val="0"/>
      <w:divBdr>
        <w:top w:val="none" w:sz="0" w:space="0" w:color="auto"/>
        <w:left w:val="none" w:sz="0" w:space="0" w:color="auto"/>
        <w:bottom w:val="none" w:sz="0" w:space="0" w:color="auto"/>
        <w:right w:val="none" w:sz="0" w:space="0" w:color="auto"/>
      </w:divBdr>
    </w:div>
    <w:div w:id="425662220">
      <w:bodyDiv w:val="1"/>
      <w:marLeft w:val="0"/>
      <w:marRight w:val="0"/>
      <w:marTop w:val="0"/>
      <w:marBottom w:val="0"/>
      <w:divBdr>
        <w:top w:val="none" w:sz="0" w:space="0" w:color="auto"/>
        <w:left w:val="none" w:sz="0" w:space="0" w:color="auto"/>
        <w:bottom w:val="none" w:sz="0" w:space="0" w:color="auto"/>
        <w:right w:val="none" w:sz="0" w:space="0" w:color="auto"/>
      </w:divBdr>
    </w:div>
    <w:div w:id="450637097">
      <w:bodyDiv w:val="1"/>
      <w:marLeft w:val="0"/>
      <w:marRight w:val="0"/>
      <w:marTop w:val="0"/>
      <w:marBottom w:val="0"/>
      <w:divBdr>
        <w:top w:val="none" w:sz="0" w:space="0" w:color="auto"/>
        <w:left w:val="none" w:sz="0" w:space="0" w:color="auto"/>
        <w:bottom w:val="none" w:sz="0" w:space="0" w:color="auto"/>
        <w:right w:val="none" w:sz="0" w:space="0" w:color="auto"/>
      </w:divBdr>
    </w:div>
    <w:div w:id="453713847">
      <w:bodyDiv w:val="1"/>
      <w:marLeft w:val="0"/>
      <w:marRight w:val="0"/>
      <w:marTop w:val="0"/>
      <w:marBottom w:val="0"/>
      <w:divBdr>
        <w:top w:val="none" w:sz="0" w:space="0" w:color="auto"/>
        <w:left w:val="none" w:sz="0" w:space="0" w:color="auto"/>
        <w:bottom w:val="none" w:sz="0" w:space="0" w:color="auto"/>
        <w:right w:val="none" w:sz="0" w:space="0" w:color="auto"/>
      </w:divBdr>
    </w:div>
    <w:div w:id="462625035">
      <w:bodyDiv w:val="1"/>
      <w:marLeft w:val="0"/>
      <w:marRight w:val="0"/>
      <w:marTop w:val="0"/>
      <w:marBottom w:val="0"/>
      <w:divBdr>
        <w:top w:val="none" w:sz="0" w:space="0" w:color="auto"/>
        <w:left w:val="none" w:sz="0" w:space="0" w:color="auto"/>
        <w:bottom w:val="none" w:sz="0" w:space="0" w:color="auto"/>
        <w:right w:val="none" w:sz="0" w:space="0" w:color="auto"/>
      </w:divBdr>
    </w:div>
    <w:div w:id="470025041">
      <w:bodyDiv w:val="1"/>
      <w:marLeft w:val="0"/>
      <w:marRight w:val="0"/>
      <w:marTop w:val="0"/>
      <w:marBottom w:val="0"/>
      <w:divBdr>
        <w:top w:val="none" w:sz="0" w:space="0" w:color="auto"/>
        <w:left w:val="none" w:sz="0" w:space="0" w:color="auto"/>
        <w:bottom w:val="none" w:sz="0" w:space="0" w:color="auto"/>
        <w:right w:val="none" w:sz="0" w:space="0" w:color="auto"/>
      </w:divBdr>
    </w:div>
    <w:div w:id="501237711">
      <w:bodyDiv w:val="1"/>
      <w:marLeft w:val="0"/>
      <w:marRight w:val="0"/>
      <w:marTop w:val="0"/>
      <w:marBottom w:val="0"/>
      <w:divBdr>
        <w:top w:val="none" w:sz="0" w:space="0" w:color="auto"/>
        <w:left w:val="none" w:sz="0" w:space="0" w:color="auto"/>
        <w:bottom w:val="none" w:sz="0" w:space="0" w:color="auto"/>
        <w:right w:val="none" w:sz="0" w:space="0" w:color="auto"/>
      </w:divBdr>
    </w:div>
    <w:div w:id="505293808">
      <w:bodyDiv w:val="1"/>
      <w:marLeft w:val="0"/>
      <w:marRight w:val="0"/>
      <w:marTop w:val="0"/>
      <w:marBottom w:val="0"/>
      <w:divBdr>
        <w:top w:val="none" w:sz="0" w:space="0" w:color="auto"/>
        <w:left w:val="none" w:sz="0" w:space="0" w:color="auto"/>
        <w:bottom w:val="none" w:sz="0" w:space="0" w:color="auto"/>
        <w:right w:val="none" w:sz="0" w:space="0" w:color="auto"/>
      </w:divBdr>
    </w:div>
    <w:div w:id="519663217">
      <w:bodyDiv w:val="1"/>
      <w:marLeft w:val="0"/>
      <w:marRight w:val="0"/>
      <w:marTop w:val="0"/>
      <w:marBottom w:val="0"/>
      <w:divBdr>
        <w:top w:val="none" w:sz="0" w:space="0" w:color="auto"/>
        <w:left w:val="none" w:sz="0" w:space="0" w:color="auto"/>
        <w:bottom w:val="none" w:sz="0" w:space="0" w:color="auto"/>
        <w:right w:val="none" w:sz="0" w:space="0" w:color="auto"/>
      </w:divBdr>
    </w:div>
    <w:div w:id="540633953">
      <w:bodyDiv w:val="1"/>
      <w:marLeft w:val="0"/>
      <w:marRight w:val="0"/>
      <w:marTop w:val="0"/>
      <w:marBottom w:val="0"/>
      <w:divBdr>
        <w:top w:val="none" w:sz="0" w:space="0" w:color="auto"/>
        <w:left w:val="none" w:sz="0" w:space="0" w:color="auto"/>
        <w:bottom w:val="none" w:sz="0" w:space="0" w:color="auto"/>
        <w:right w:val="none" w:sz="0" w:space="0" w:color="auto"/>
      </w:divBdr>
    </w:div>
    <w:div w:id="692539403">
      <w:bodyDiv w:val="1"/>
      <w:marLeft w:val="0"/>
      <w:marRight w:val="0"/>
      <w:marTop w:val="0"/>
      <w:marBottom w:val="0"/>
      <w:divBdr>
        <w:top w:val="none" w:sz="0" w:space="0" w:color="auto"/>
        <w:left w:val="none" w:sz="0" w:space="0" w:color="auto"/>
        <w:bottom w:val="none" w:sz="0" w:space="0" w:color="auto"/>
        <w:right w:val="none" w:sz="0" w:space="0" w:color="auto"/>
      </w:divBdr>
    </w:div>
    <w:div w:id="694502704">
      <w:bodyDiv w:val="1"/>
      <w:marLeft w:val="0"/>
      <w:marRight w:val="0"/>
      <w:marTop w:val="0"/>
      <w:marBottom w:val="0"/>
      <w:divBdr>
        <w:top w:val="none" w:sz="0" w:space="0" w:color="auto"/>
        <w:left w:val="none" w:sz="0" w:space="0" w:color="auto"/>
        <w:bottom w:val="none" w:sz="0" w:space="0" w:color="auto"/>
        <w:right w:val="none" w:sz="0" w:space="0" w:color="auto"/>
      </w:divBdr>
    </w:div>
    <w:div w:id="715356810">
      <w:bodyDiv w:val="1"/>
      <w:marLeft w:val="0"/>
      <w:marRight w:val="0"/>
      <w:marTop w:val="0"/>
      <w:marBottom w:val="0"/>
      <w:divBdr>
        <w:top w:val="none" w:sz="0" w:space="0" w:color="auto"/>
        <w:left w:val="none" w:sz="0" w:space="0" w:color="auto"/>
        <w:bottom w:val="none" w:sz="0" w:space="0" w:color="auto"/>
        <w:right w:val="none" w:sz="0" w:space="0" w:color="auto"/>
      </w:divBdr>
    </w:div>
    <w:div w:id="737942402">
      <w:bodyDiv w:val="1"/>
      <w:marLeft w:val="0"/>
      <w:marRight w:val="0"/>
      <w:marTop w:val="0"/>
      <w:marBottom w:val="0"/>
      <w:divBdr>
        <w:top w:val="none" w:sz="0" w:space="0" w:color="auto"/>
        <w:left w:val="none" w:sz="0" w:space="0" w:color="auto"/>
        <w:bottom w:val="none" w:sz="0" w:space="0" w:color="auto"/>
        <w:right w:val="none" w:sz="0" w:space="0" w:color="auto"/>
      </w:divBdr>
    </w:div>
    <w:div w:id="740492867">
      <w:bodyDiv w:val="1"/>
      <w:marLeft w:val="0"/>
      <w:marRight w:val="0"/>
      <w:marTop w:val="0"/>
      <w:marBottom w:val="0"/>
      <w:divBdr>
        <w:top w:val="none" w:sz="0" w:space="0" w:color="auto"/>
        <w:left w:val="none" w:sz="0" w:space="0" w:color="auto"/>
        <w:bottom w:val="none" w:sz="0" w:space="0" w:color="auto"/>
        <w:right w:val="none" w:sz="0" w:space="0" w:color="auto"/>
      </w:divBdr>
    </w:div>
    <w:div w:id="760486737">
      <w:bodyDiv w:val="1"/>
      <w:marLeft w:val="0"/>
      <w:marRight w:val="0"/>
      <w:marTop w:val="0"/>
      <w:marBottom w:val="0"/>
      <w:divBdr>
        <w:top w:val="none" w:sz="0" w:space="0" w:color="auto"/>
        <w:left w:val="none" w:sz="0" w:space="0" w:color="auto"/>
        <w:bottom w:val="none" w:sz="0" w:space="0" w:color="auto"/>
        <w:right w:val="none" w:sz="0" w:space="0" w:color="auto"/>
      </w:divBdr>
    </w:div>
    <w:div w:id="791748109">
      <w:bodyDiv w:val="1"/>
      <w:marLeft w:val="0"/>
      <w:marRight w:val="0"/>
      <w:marTop w:val="0"/>
      <w:marBottom w:val="0"/>
      <w:divBdr>
        <w:top w:val="none" w:sz="0" w:space="0" w:color="auto"/>
        <w:left w:val="none" w:sz="0" w:space="0" w:color="auto"/>
        <w:bottom w:val="none" w:sz="0" w:space="0" w:color="auto"/>
        <w:right w:val="none" w:sz="0" w:space="0" w:color="auto"/>
      </w:divBdr>
    </w:div>
    <w:div w:id="795566134">
      <w:bodyDiv w:val="1"/>
      <w:marLeft w:val="0"/>
      <w:marRight w:val="0"/>
      <w:marTop w:val="0"/>
      <w:marBottom w:val="0"/>
      <w:divBdr>
        <w:top w:val="none" w:sz="0" w:space="0" w:color="auto"/>
        <w:left w:val="none" w:sz="0" w:space="0" w:color="auto"/>
        <w:bottom w:val="none" w:sz="0" w:space="0" w:color="auto"/>
        <w:right w:val="none" w:sz="0" w:space="0" w:color="auto"/>
      </w:divBdr>
    </w:div>
    <w:div w:id="798650750">
      <w:bodyDiv w:val="1"/>
      <w:marLeft w:val="0"/>
      <w:marRight w:val="0"/>
      <w:marTop w:val="0"/>
      <w:marBottom w:val="0"/>
      <w:divBdr>
        <w:top w:val="none" w:sz="0" w:space="0" w:color="auto"/>
        <w:left w:val="none" w:sz="0" w:space="0" w:color="auto"/>
        <w:bottom w:val="none" w:sz="0" w:space="0" w:color="auto"/>
        <w:right w:val="none" w:sz="0" w:space="0" w:color="auto"/>
      </w:divBdr>
    </w:div>
    <w:div w:id="800803657">
      <w:bodyDiv w:val="1"/>
      <w:marLeft w:val="0"/>
      <w:marRight w:val="0"/>
      <w:marTop w:val="0"/>
      <w:marBottom w:val="0"/>
      <w:divBdr>
        <w:top w:val="none" w:sz="0" w:space="0" w:color="auto"/>
        <w:left w:val="none" w:sz="0" w:space="0" w:color="auto"/>
        <w:bottom w:val="none" w:sz="0" w:space="0" w:color="auto"/>
        <w:right w:val="none" w:sz="0" w:space="0" w:color="auto"/>
      </w:divBdr>
    </w:div>
    <w:div w:id="819931552">
      <w:bodyDiv w:val="1"/>
      <w:marLeft w:val="0"/>
      <w:marRight w:val="0"/>
      <w:marTop w:val="0"/>
      <w:marBottom w:val="0"/>
      <w:divBdr>
        <w:top w:val="none" w:sz="0" w:space="0" w:color="auto"/>
        <w:left w:val="none" w:sz="0" w:space="0" w:color="auto"/>
        <w:bottom w:val="none" w:sz="0" w:space="0" w:color="auto"/>
        <w:right w:val="none" w:sz="0" w:space="0" w:color="auto"/>
      </w:divBdr>
    </w:div>
    <w:div w:id="824862636">
      <w:bodyDiv w:val="1"/>
      <w:marLeft w:val="0"/>
      <w:marRight w:val="0"/>
      <w:marTop w:val="0"/>
      <w:marBottom w:val="0"/>
      <w:divBdr>
        <w:top w:val="none" w:sz="0" w:space="0" w:color="auto"/>
        <w:left w:val="none" w:sz="0" w:space="0" w:color="auto"/>
        <w:bottom w:val="none" w:sz="0" w:space="0" w:color="auto"/>
        <w:right w:val="none" w:sz="0" w:space="0" w:color="auto"/>
      </w:divBdr>
    </w:div>
    <w:div w:id="832719088">
      <w:bodyDiv w:val="1"/>
      <w:marLeft w:val="0"/>
      <w:marRight w:val="0"/>
      <w:marTop w:val="0"/>
      <w:marBottom w:val="0"/>
      <w:divBdr>
        <w:top w:val="none" w:sz="0" w:space="0" w:color="auto"/>
        <w:left w:val="none" w:sz="0" w:space="0" w:color="auto"/>
        <w:bottom w:val="none" w:sz="0" w:space="0" w:color="auto"/>
        <w:right w:val="none" w:sz="0" w:space="0" w:color="auto"/>
      </w:divBdr>
    </w:div>
    <w:div w:id="862717358">
      <w:bodyDiv w:val="1"/>
      <w:marLeft w:val="0"/>
      <w:marRight w:val="0"/>
      <w:marTop w:val="0"/>
      <w:marBottom w:val="0"/>
      <w:divBdr>
        <w:top w:val="none" w:sz="0" w:space="0" w:color="auto"/>
        <w:left w:val="none" w:sz="0" w:space="0" w:color="auto"/>
        <w:bottom w:val="none" w:sz="0" w:space="0" w:color="auto"/>
        <w:right w:val="none" w:sz="0" w:space="0" w:color="auto"/>
      </w:divBdr>
    </w:div>
    <w:div w:id="931165613">
      <w:bodyDiv w:val="1"/>
      <w:marLeft w:val="0"/>
      <w:marRight w:val="0"/>
      <w:marTop w:val="0"/>
      <w:marBottom w:val="0"/>
      <w:divBdr>
        <w:top w:val="none" w:sz="0" w:space="0" w:color="auto"/>
        <w:left w:val="none" w:sz="0" w:space="0" w:color="auto"/>
        <w:bottom w:val="none" w:sz="0" w:space="0" w:color="auto"/>
        <w:right w:val="none" w:sz="0" w:space="0" w:color="auto"/>
      </w:divBdr>
    </w:div>
    <w:div w:id="967862171">
      <w:bodyDiv w:val="1"/>
      <w:marLeft w:val="0"/>
      <w:marRight w:val="0"/>
      <w:marTop w:val="0"/>
      <w:marBottom w:val="0"/>
      <w:divBdr>
        <w:top w:val="none" w:sz="0" w:space="0" w:color="auto"/>
        <w:left w:val="none" w:sz="0" w:space="0" w:color="auto"/>
        <w:bottom w:val="none" w:sz="0" w:space="0" w:color="auto"/>
        <w:right w:val="none" w:sz="0" w:space="0" w:color="auto"/>
      </w:divBdr>
    </w:div>
    <w:div w:id="997540898">
      <w:bodyDiv w:val="1"/>
      <w:marLeft w:val="0"/>
      <w:marRight w:val="0"/>
      <w:marTop w:val="0"/>
      <w:marBottom w:val="0"/>
      <w:divBdr>
        <w:top w:val="none" w:sz="0" w:space="0" w:color="auto"/>
        <w:left w:val="none" w:sz="0" w:space="0" w:color="auto"/>
        <w:bottom w:val="none" w:sz="0" w:space="0" w:color="auto"/>
        <w:right w:val="none" w:sz="0" w:space="0" w:color="auto"/>
      </w:divBdr>
    </w:div>
    <w:div w:id="1010909455">
      <w:bodyDiv w:val="1"/>
      <w:marLeft w:val="0"/>
      <w:marRight w:val="0"/>
      <w:marTop w:val="0"/>
      <w:marBottom w:val="0"/>
      <w:divBdr>
        <w:top w:val="none" w:sz="0" w:space="0" w:color="auto"/>
        <w:left w:val="none" w:sz="0" w:space="0" w:color="auto"/>
        <w:bottom w:val="none" w:sz="0" w:space="0" w:color="auto"/>
        <w:right w:val="none" w:sz="0" w:space="0" w:color="auto"/>
      </w:divBdr>
    </w:div>
    <w:div w:id="1057704398">
      <w:bodyDiv w:val="1"/>
      <w:marLeft w:val="0"/>
      <w:marRight w:val="0"/>
      <w:marTop w:val="0"/>
      <w:marBottom w:val="0"/>
      <w:divBdr>
        <w:top w:val="none" w:sz="0" w:space="0" w:color="auto"/>
        <w:left w:val="none" w:sz="0" w:space="0" w:color="auto"/>
        <w:bottom w:val="none" w:sz="0" w:space="0" w:color="auto"/>
        <w:right w:val="none" w:sz="0" w:space="0" w:color="auto"/>
      </w:divBdr>
    </w:div>
    <w:div w:id="1086028527">
      <w:bodyDiv w:val="1"/>
      <w:marLeft w:val="0"/>
      <w:marRight w:val="0"/>
      <w:marTop w:val="0"/>
      <w:marBottom w:val="0"/>
      <w:divBdr>
        <w:top w:val="none" w:sz="0" w:space="0" w:color="auto"/>
        <w:left w:val="none" w:sz="0" w:space="0" w:color="auto"/>
        <w:bottom w:val="none" w:sz="0" w:space="0" w:color="auto"/>
        <w:right w:val="none" w:sz="0" w:space="0" w:color="auto"/>
      </w:divBdr>
    </w:div>
    <w:div w:id="1093479575">
      <w:bodyDiv w:val="1"/>
      <w:marLeft w:val="0"/>
      <w:marRight w:val="0"/>
      <w:marTop w:val="0"/>
      <w:marBottom w:val="0"/>
      <w:divBdr>
        <w:top w:val="none" w:sz="0" w:space="0" w:color="auto"/>
        <w:left w:val="none" w:sz="0" w:space="0" w:color="auto"/>
        <w:bottom w:val="none" w:sz="0" w:space="0" w:color="auto"/>
        <w:right w:val="none" w:sz="0" w:space="0" w:color="auto"/>
      </w:divBdr>
    </w:div>
    <w:div w:id="1177378305">
      <w:bodyDiv w:val="1"/>
      <w:marLeft w:val="0"/>
      <w:marRight w:val="0"/>
      <w:marTop w:val="0"/>
      <w:marBottom w:val="0"/>
      <w:divBdr>
        <w:top w:val="none" w:sz="0" w:space="0" w:color="auto"/>
        <w:left w:val="none" w:sz="0" w:space="0" w:color="auto"/>
        <w:bottom w:val="none" w:sz="0" w:space="0" w:color="auto"/>
        <w:right w:val="none" w:sz="0" w:space="0" w:color="auto"/>
      </w:divBdr>
    </w:div>
    <w:div w:id="1185942959">
      <w:bodyDiv w:val="1"/>
      <w:marLeft w:val="0"/>
      <w:marRight w:val="0"/>
      <w:marTop w:val="0"/>
      <w:marBottom w:val="0"/>
      <w:divBdr>
        <w:top w:val="none" w:sz="0" w:space="0" w:color="auto"/>
        <w:left w:val="none" w:sz="0" w:space="0" w:color="auto"/>
        <w:bottom w:val="none" w:sz="0" w:space="0" w:color="auto"/>
        <w:right w:val="none" w:sz="0" w:space="0" w:color="auto"/>
      </w:divBdr>
    </w:div>
    <w:div w:id="1203665589">
      <w:bodyDiv w:val="1"/>
      <w:marLeft w:val="0"/>
      <w:marRight w:val="0"/>
      <w:marTop w:val="0"/>
      <w:marBottom w:val="0"/>
      <w:divBdr>
        <w:top w:val="none" w:sz="0" w:space="0" w:color="auto"/>
        <w:left w:val="none" w:sz="0" w:space="0" w:color="auto"/>
        <w:bottom w:val="none" w:sz="0" w:space="0" w:color="auto"/>
        <w:right w:val="none" w:sz="0" w:space="0" w:color="auto"/>
      </w:divBdr>
    </w:div>
    <w:div w:id="1205220215">
      <w:bodyDiv w:val="1"/>
      <w:marLeft w:val="0"/>
      <w:marRight w:val="0"/>
      <w:marTop w:val="0"/>
      <w:marBottom w:val="0"/>
      <w:divBdr>
        <w:top w:val="none" w:sz="0" w:space="0" w:color="auto"/>
        <w:left w:val="none" w:sz="0" w:space="0" w:color="auto"/>
        <w:bottom w:val="none" w:sz="0" w:space="0" w:color="auto"/>
        <w:right w:val="none" w:sz="0" w:space="0" w:color="auto"/>
      </w:divBdr>
    </w:div>
    <w:div w:id="1217663433">
      <w:bodyDiv w:val="1"/>
      <w:marLeft w:val="0"/>
      <w:marRight w:val="0"/>
      <w:marTop w:val="0"/>
      <w:marBottom w:val="0"/>
      <w:divBdr>
        <w:top w:val="none" w:sz="0" w:space="0" w:color="auto"/>
        <w:left w:val="none" w:sz="0" w:space="0" w:color="auto"/>
        <w:bottom w:val="none" w:sz="0" w:space="0" w:color="auto"/>
        <w:right w:val="none" w:sz="0" w:space="0" w:color="auto"/>
      </w:divBdr>
    </w:div>
    <w:div w:id="1244801333">
      <w:bodyDiv w:val="1"/>
      <w:marLeft w:val="0"/>
      <w:marRight w:val="0"/>
      <w:marTop w:val="0"/>
      <w:marBottom w:val="0"/>
      <w:divBdr>
        <w:top w:val="none" w:sz="0" w:space="0" w:color="auto"/>
        <w:left w:val="none" w:sz="0" w:space="0" w:color="auto"/>
        <w:bottom w:val="none" w:sz="0" w:space="0" w:color="auto"/>
        <w:right w:val="none" w:sz="0" w:space="0" w:color="auto"/>
      </w:divBdr>
    </w:div>
    <w:div w:id="1312711508">
      <w:bodyDiv w:val="1"/>
      <w:marLeft w:val="0"/>
      <w:marRight w:val="0"/>
      <w:marTop w:val="0"/>
      <w:marBottom w:val="0"/>
      <w:divBdr>
        <w:top w:val="none" w:sz="0" w:space="0" w:color="auto"/>
        <w:left w:val="none" w:sz="0" w:space="0" w:color="auto"/>
        <w:bottom w:val="none" w:sz="0" w:space="0" w:color="auto"/>
        <w:right w:val="none" w:sz="0" w:space="0" w:color="auto"/>
      </w:divBdr>
    </w:div>
    <w:div w:id="1428765912">
      <w:bodyDiv w:val="1"/>
      <w:marLeft w:val="0"/>
      <w:marRight w:val="0"/>
      <w:marTop w:val="0"/>
      <w:marBottom w:val="0"/>
      <w:divBdr>
        <w:top w:val="none" w:sz="0" w:space="0" w:color="auto"/>
        <w:left w:val="none" w:sz="0" w:space="0" w:color="auto"/>
        <w:bottom w:val="none" w:sz="0" w:space="0" w:color="auto"/>
        <w:right w:val="none" w:sz="0" w:space="0" w:color="auto"/>
      </w:divBdr>
    </w:div>
    <w:div w:id="1430734219">
      <w:bodyDiv w:val="1"/>
      <w:marLeft w:val="0"/>
      <w:marRight w:val="0"/>
      <w:marTop w:val="0"/>
      <w:marBottom w:val="0"/>
      <w:divBdr>
        <w:top w:val="none" w:sz="0" w:space="0" w:color="auto"/>
        <w:left w:val="none" w:sz="0" w:space="0" w:color="auto"/>
        <w:bottom w:val="none" w:sz="0" w:space="0" w:color="auto"/>
        <w:right w:val="none" w:sz="0" w:space="0" w:color="auto"/>
      </w:divBdr>
    </w:div>
    <w:div w:id="1456026841">
      <w:bodyDiv w:val="1"/>
      <w:marLeft w:val="0"/>
      <w:marRight w:val="0"/>
      <w:marTop w:val="0"/>
      <w:marBottom w:val="0"/>
      <w:divBdr>
        <w:top w:val="none" w:sz="0" w:space="0" w:color="auto"/>
        <w:left w:val="none" w:sz="0" w:space="0" w:color="auto"/>
        <w:bottom w:val="none" w:sz="0" w:space="0" w:color="auto"/>
        <w:right w:val="none" w:sz="0" w:space="0" w:color="auto"/>
      </w:divBdr>
    </w:div>
    <w:div w:id="1471560709">
      <w:bodyDiv w:val="1"/>
      <w:marLeft w:val="0"/>
      <w:marRight w:val="0"/>
      <w:marTop w:val="0"/>
      <w:marBottom w:val="0"/>
      <w:divBdr>
        <w:top w:val="none" w:sz="0" w:space="0" w:color="auto"/>
        <w:left w:val="none" w:sz="0" w:space="0" w:color="auto"/>
        <w:bottom w:val="none" w:sz="0" w:space="0" w:color="auto"/>
        <w:right w:val="none" w:sz="0" w:space="0" w:color="auto"/>
      </w:divBdr>
    </w:div>
    <w:div w:id="1504052813">
      <w:bodyDiv w:val="1"/>
      <w:marLeft w:val="0"/>
      <w:marRight w:val="0"/>
      <w:marTop w:val="0"/>
      <w:marBottom w:val="0"/>
      <w:divBdr>
        <w:top w:val="none" w:sz="0" w:space="0" w:color="auto"/>
        <w:left w:val="none" w:sz="0" w:space="0" w:color="auto"/>
        <w:bottom w:val="none" w:sz="0" w:space="0" w:color="auto"/>
        <w:right w:val="none" w:sz="0" w:space="0" w:color="auto"/>
      </w:divBdr>
    </w:div>
    <w:div w:id="1513688458">
      <w:bodyDiv w:val="1"/>
      <w:marLeft w:val="0"/>
      <w:marRight w:val="0"/>
      <w:marTop w:val="0"/>
      <w:marBottom w:val="0"/>
      <w:divBdr>
        <w:top w:val="none" w:sz="0" w:space="0" w:color="auto"/>
        <w:left w:val="none" w:sz="0" w:space="0" w:color="auto"/>
        <w:bottom w:val="none" w:sz="0" w:space="0" w:color="auto"/>
        <w:right w:val="none" w:sz="0" w:space="0" w:color="auto"/>
      </w:divBdr>
    </w:div>
    <w:div w:id="1513951671">
      <w:bodyDiv w:val="1"/>
      <w:marLeft w:val="0"/>
      <w:marRight w:val="0"/>
      <w:marTop w:val="0"/>
      <w:marBottom w:val="0"/>
      <w:divBdr>
        <w:top w:val="none" w:sz="0" w:space="0" w:color="auto"/>
        <w:left w:val="none" w:sz="0" w:space="0" w:color="auto"/>
        <w:bottom w:val="none" w:sz="0" w:space="0" w:color="auto"/>
        <w:right w:val="none" w:sz="0" w:space="0" w:color="auto"/>
      </w:divBdr>
    </w:div>
    <w:div w:id="1539272102">
      <w:bodyDiv w:val="1"/>
      <w:marLeft w:val="0"/>
      <w:marRight w:val="0"/>
      <w:marTop w:val="0"/>
      <w:marBottom w:val="0"/>
      <w:divBdr>
        <w:top w:val="none" w:sz="0" w:space="0" w:color="auto"/>
        <w:left w:val="none" w:sz="0" w:space="0" w:color="auto"/>
        <w:bottom w:val="none" w:sz="0" w:space="0" w:color="auto"/>
        <w:right w:val="none" w:sz="0" w:space="0" w:color="auto"/>
      </w:divBdr>
    </w:div>
    <w:div w:id="1555314180">
      <w:bodyDiv w:val="1"/>
      <w:marLeft w:val="0"/>
      <w:marRight w:val="0"/>
      <w:marTop w:val="0"/>
      <w:marBottom w:val="0"/>
      <w:divBdr>
        <w:top w:val="none" w:sz="0" w:space="0" w:color="auto"/>
        <w:left w:val="none" w:sz="0" w:space="0" w:color="auto"/>
        <w:bottom w:val="none" w:sz="0" w:space="0" w:color="auto"/>
        <w:right w:val="none" w:sz="0" w:space="0" w:color="auto"/>
      </w:divBdr>
    </w:div>
    <w:div w:id="1666670097">
      <w:bodyDiv w:val="1"/>
      <w:marLeft w:val="0"/>
      <w:marRight w:val="0"/>
      <w:marTop w:val="0"/>
      <w:marBottom w:val="0"/>
      <w:divBdr>
        <w:top w:val="none" w:sz="0" w:space="0" w:color="auto"/>
        <w:left w:val="none" w:sz="0" w:space="0" w:color="auto"/>
        <w:bottom w:val="none" w:sz="0" w:space="0" w:color="auto"/>
        <w:right w:val="none" w:sz="0" w:space="0" w:color="auto"/>
      </w:divBdr>
    </w:div>
    <w:div w:id="1692536568">
      <w:bodyDiv w:val="1"/>
      <w:marLeft w:val="0"/>
      <w:marRight w:val="0"/>
      <w:marTop w:val="0"/>
      <w:marBottom w:val="0"/>
      <w:divBdr>
        <w:top w:val="none" w:sz="0" w:space="0" w:color="auto"/>
        <w:left w:val="none" w:sz="0" w:space="0" w:color="auto"/>
        <w:bottom w:val="none" w:sz="0" w:space="0" w:color="auto"/>
        <w:right w:val="none" w:sz="0" w:space="0" w:color="auto"/>
      </w:divBdr>
    </w:div>
    <w:div w:id="1757314945">
      <w:bodyDiv w:val="1"/>
      <w:marLeft w:val="0"/>
      <w:marRight w:val="0"/>
      <w:marTop w:val="0"/>
      <w:marBottom w:val="0"/>
      <w:divBdr>
        <w:top w:val="none" w:sz="0" w:space="0" w:color="auto"/>
        <w:left w:val="none" w:sz="0" w:space="0" w:color="auto"/>
        <w:bottom w:val="none" w:sz="0" w:space="0" w:color="auto"/>
        <w:right w:val="none" w:sz="0" w:space="0" w:color="auto"/>
      </w:divBdr>
    </w:div>
    <w:div w:id="1859856655">
      <w:bodyDiv w:val="1"/>
      <w:marLeft w:val="0"/>
      <w:marRight w:val="0"/>
      <w:marTop w:val="0"/>
      <w:marBottom w:val="0"/>
      <w:divBdr>
        <w:top w:val="none" w:sz="0" w:space="0" w:color="auto"/>
        <w:left w:val="none" w:sz="0" w:space="0" w:color="auto"/>
        <w:bottom w:val="none" w:sz="0" w:space="0" w:color="auto"/>
        <w:right w:val="none" w:sz="0" w:space="0" w:color="auto"/>
      </w:divBdr>
    </w:div>
    <w:div w:id="1904368990">
      <w:bodyDiv w:val="1"/>
      <w:marLeft w:val="0"/>
      <w:marRight w:val="0"/>
      <w:marTop w:val="0"/>
      <w:marBottom w:val="0"/>
      <w:divBdr>
        <w:top w:val="none" w:sz="0" w:space="0" w:color="auto"/>
        <w:left w:val="none" w:sz="0" w:space="0" w:color="auto"/>
        <w:bottom w:val="none" w:sz="0" w:space="0" w:color="auto"/>
        <w:right w:val="none" w:sz="0" w:space="0" w:color="auto"/>
      </w:divBdr>
    </w:div>
    <w:div w:id="1918242597">
      <w:bodyDiv w:val="1"/>
      <w:marLeft w:val="0"/>
      <w:marRight w:val="0"/>
      <w:marTop w:val="0"/>
      <w:marBottom w:val="0"/>
      <w:divBdr>
        <w:top w:val="none" w:sz="0" w:space="0" w:color="auto"/>
        <w:left w:val="none" w:sz="0" w:space="0" w:color="auto"/>
        <w:bottom w:val="none" w:sz="0" w:space="0" w:color="auto"/>
        <w:right w:val="none" w:sz="0" w:space="0" w:color="auto"/>
      </w:divBdr>
    </w:div>
    <w:div w:id="1944342150">
      <w:bodyDiv w:val="1"/>
      <w:marLeft w:val="0"/>
      <w:marRight w:val="0"/>
      <w:marTop w:val="0"/>
      <w:marBottom w:val="0"/>
      <w:divBdr>
        <w:top w:val="none" w:sz="0" w:space="0" w:color="auto"/>
        <w:left w:val="none" w:sz="0" w:space="0" w:color="auto"/>
        <w:bottom w:val="none" w:sz="0" w:space="0" w:color="auto"/>
        <w:right w:val="none" w:sz="0" w:space="0" w:color="auto"/>
      </w:divBdr>
    </w:div>
    <w:div w:id="1987080039">
      <w:bodyDiv w:val="1"/>
      <w:marLeft w:val="0"/>
      <w:marRight w:val="0"/>
      <w:marTop w:val="0"/>
      <w:marBottom w:val="0"/>
      <w:divBdr>
        <w:top w:val="none" w:sz="0" w:space="0" w:color="auto"/>
        <w:left w:val="none" w:sz="0" w:space="0" w:color="auto"/>
        <w:bottom w:val="none" w:sz="0" w:space="0" w:color="auto"/>
        <w:right w:val="none" w:sz="0" w:space="0" w:color="auto"/>
      </w:divBdr>
    </w:div>
    <w:div w:id="2029677215">
      <w:bodyDiv w:val="1"/>
      <w:marLeft w:val="0"/>
      <w:marRight w:val="0"/>
      <w:marTop w:val="0"/>
      <w:marBottom w:val="0"/>
      <w:divBdr>
        <w:top w:val="none" w:sz="0" w:space="0" w:color="auto"/>
        <w:left w:val="none" w:sz="0" w:space="0" w:color="auto"/>
        <w:bottom w:val="none" w:sz="0" w:space="0" w:color="auto"/>
        <w:right w:val="none" w:sz="0" w:space="0" w:color="auto"/>
      </w:divBdr>
    </w:div>
    <w:div w:id="2046635756">
      <w:bodyDiv w:val="1"/>
      <w:marLeft w:val="0"/>
      <w:marRight w:val="0"/>
      <w:marTop w:val="0"/>
      <w:marBottom w:val="0"/>
      <w:divBdr>
        <w:top w:val="none" w:sz="0" w:space="0" w:color="auto"/>
        <w:left w:val="none" w:sz="0" w:space="0" w:color="auto"/>
        <w:bottom w:val="none" w:sz="0" w:space="0" w:color="auto"/>
        <w:right w:val="none" w:sz="0" w:space="0" w:color="auto"/>
      </w:divBdr>
    </w:div>
    <w:div w:id="211937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839F6-D432-4A18-93FB-BB6851644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55</Pages>
  <Words>13152</Words>
  <Characters>74968</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2</cp:revision>
  <dcterms:created xsi:type="dcterms:W3CDTF">2015-08-21T01:02:00Z</dcterms:created>
  <dcterms:modified xsi:type="dcterms:W3CDTF">2015-08-21T01:02:00Z</dcterms:modified>
</cp:coreProperties>
</file>