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B1275" w14:textId="5E34E21F" w:rsidR="009969C6" w:rsidRDefault="00E11E7D">
      <w:pPr>
        <w:spacing w:line="480" w:lineRule="auto"/>
        <w:jc w:val="center"/>
        <w:rPr>
          <w:rFonts w:eastAsia="Times New Roman"/>
        </w:rPr>
      </w:pPr>
      <w:r>
        <w:rPr>
          <w:rFonts w:eastAsia="Times New Roman"/>
        </w:rPr>
        <w:t>Regenerative Effects of Patch</w:t>
      </w:r>
      <w:r w:rsidR="00B52A4B">
        <w:rPr>
          <w:rFonts w:eastAsia="Times New Roman"/>
        </w:rPr>
        <w:t>-</w:t>
      </w:r>
      <w:r>
        <w:rPr>
          <w:rFonts w:eastAsia="Times New Roman"/>
        </w:rPr>
        <w:t xml:space="preserve">Cut Harvests </w:t>
      </w:r>
      <w:r w:rsidR="005F3346">
        <w:rPr>
          <w:rFonts w:eastAsia="Times New Roman"/>
        </w:rPr>
        <w:t>at Natchez Trace State Forest</w:t>
      </w:r>
    </w:p>
    <w:p w14:paraId="17DFE890" w14:textId="77777777" w:rsidR="009969C6" w:rsidRDefault="009969C6">
      <w:pPr>
        <w:spacing w:line="480" w:lineRule="auto"/>
        <w:jc w:val="center"/>
        <w:rPr>
          <w:rFonts w:eastAsia="Times New Roman"/>
        </w:rPr>
      </w:pPr>
    </w:p>
    <w:p w14:paraId="03E99437" w14:textId="77777777" w:rsidR="009969C6" w:rsidRDefault="009969C6">
      <w:pPr>
        <w:spacing w:line="480" w:lineRule="auto"/>
        <w:jc w:val="center"/>
        <w:rPr>
          <w:rFonts w:eastAsia="Times New Roman"/>
        </w:rPr>
      </w:pPr>
    </w:p>
    <w:p w14:paraId="32E7A26D" w14:textId="77777777" w:rsidR="009969C6" w:rsidRDefault="009969C6">
      <w:pPr>
        <w:spacing w:line="480" w:lineRule="auto"/>
        <w:rPr>
          <w:rFonts w:eastAsia="Times New Roman"/>
        </w:rPr>
      </w:pPr>
    </w:p>
    <w:p w14:paraId="7B4EFC05" w14:textId="77777777" w:rsidR="009969C6" w:rsidRDefault="009969C6">
      <w:pPr>
        <w:spacing w:line="480" w:lineRule="auto"/>
        <w:jc w:val="center"/>
        <w:rPr>
          <w:rFonts w:eastAsia="Times New Roman"/>
        </w:rPr>
      </w:pPr>
    </w:p>
    <w:p w14:paraId="20275683" w14:textId="77777777" w:rsidR="009969C6" w:rsidRDefault="009969C6">
      <w:pPr>
        <w:spacing w:line="480" w:lineRule="auto"/>
        <w:jc w:val="center"/>
        <w:rPr>
          <w:rFonts w:eastAsia="Times New Roman"/>
        </w:rPr>
      </w:pPr>
    </w:p>
    <w:p w14:paraId="202E9B76" w14:textId="77777777" w:rsidR="009969C6" w:rsidRDefault="009969C6">
      <w:pPr>
        <w:spacing w:line="480" w:lineRule="auto"/>
        <w:jc w:val="center"/>
        <w:rPr>
          <w:rFonts w:eastAsia="Times New Roman"/>
        </w:rPr>
      </w:pPr>
    </w:p>
    <w:p w14:paraId="370EB65D" w14:textId="77777777" w:rsidR="009969C6" w:rsidRDefault="009969C6">
      <w:pPr>
        <w:spacing w:line="480" w:lineRule="auto"/>
        <w:jc w:val="center"/>
        <w:rPr>
          <w:rFonts w:eastAsia="Times New Roman"/>
        </w:rPr>
      </w:pPr>
    </w:p>
    <w:p w14:paraId="4A76E5FA" w14:textId="77777777" w:rsidR="009969C6" w:rsidRDefault="009969C6">
      <w:pPr>
        <w:spacing w:line="480" w:lineRule="auto"/>
        <w:jc w:val="center"/>
        <w:rPr>
          <w:rFonts w:eastAsia="Times New Roman"/>
        </w:rPr>
      </w:pPr>
    </w:p>
    <w:p w14:paraId="4E6179A4" w14:textId="77777777" w:rsidR="009969C6" w:rsidRDefault="00E11E7D">
      <w:pPr>
        <w:spacing w:line="480" w:lineRule="auto"/>
        <w:jc w:val="center"/>
        <w:rPr>
          <w:rFonts w:eastAsia="Times New Roman"/>
        </w:rPr>
      </w:pPr>
      <w:r>
        <w:rPr>
          <w:rFonts w:eastAsia="Times New Roman"/>
        </w:rPr>
        <w:t>A Thesis Presented for the</w:t>
      </w:r>
    </w:p>
    <w:p w14:paraId="0C846FE8" w14:textId="77777777" w:rsidR="009969C6" w:rsidRDefault="00E11E7D">
      <w:pPr>
        <w:spacing w:line="480" w:lineRule="auto"/>
        <w:jc w:val="center"/>
        <w:rPr>
          <w:rFonts w:eastAsia="Times New Roman"/>
        </w:rPr>
      </w:pPr>
      <w:r>
        <w:rPr>
          <w:rFonts w:eastAsia="Times New Roman"/>
        </w:rPr>
        <w:t>Master of Science</w:t>
      </w:r>
    </w:p>
    <w:p w14:paraId="4FC5DD43" w14:textId="77777777" w:rsidR="009969C6" w:rsidRDefault="00E11E7D">
      <w:pPr>
        <w:spacing w:line="480" w:lineRule="auto"/>
        <w:jc w:val="center"/>
        <w:rPr>
          <w:rFonts w:eastAsia="Times New Roman"/>
        </w:rPr>
      </w:pPr>
      <w:r>
        <w:rPr>
          <w:rFonts w:eastAsia="Times New Roman"/>
        </w:rPr>
        <w:t>Degree</w:t>
      </w:r>
    </w:p>
    <w:p w14:paraId="74C64634" w14:textId="77777777" w:rsidR="009969C6" w:rsidRDefault="00E11E7D">
      <w:pPr>
        <w:spacing w:line="480" w:lineRule="auto"/>
        <w:jc w:val="center"/>
        <w:rPr>
          <w:rFonts w:eastAsia="Times New Roman"/>
        </w:rPr>
      </w:pPr>
      <w:r>
        <w:rPr>
          <w:rFonts w:eastAsia="Times New Roman"/>
        </w:rPr>
        <w:t>The University of Tennessee, Knoxville</w:t>
      </w:r>
    </w:p>
    <w:p w14:paraId="7580242F" w14:textId="77777777" w:rsidR="009969C6" w:rsidRDefault="009969C6">
      <w:pPr>
        <w:spacing w:line="480" w:lineRule="auto"/>
        <w:jc w:val="center"/>
        <w:rPr>
          <w:rFonts w:eastAsia="Times New Roman"/>
        </w:rPr>
      </w:pPr>
    </w:p>
    <w:p w14:paraId="4FF92379" w14:textId="77777777" w:rsidR="009969C6" w:rsidRDefault="009969C6">
      <w:pPr>
        <w:spacing w:line="480" w:lineRule="auto"/>
        <w:jc w:val="center"/>
        <w:rPr>
          <w:rFonts w:eastAsia="Times New Roman"/>
        </w:rPr>
      </w:pPr>
    </w:p>
    <w:p w14:paraId="23D2B14D" w14:textId="77777777" w:rsidR="009969C6" w:rsidRDefault="009969C6">
      <w:pPr>
        <w:spacing w:line="480" w:lineRule="auto"/>
        <w:jc w:val="center"/>
        <w:rPr>
          <w:rFonts w:eastAsia="Times New Roman"/>
        </w:rPr>
      </w:pPr>
    </w:p>
    <w:p w14:paraId="64E8905E" w14:textId="77777777" w:rsidR="009969C6" w:rsidRDefault="009969C6">
      <w:pPr>
        <w:spacing w:line="480" w:lineRule="auto"/>
        <w:jc w:val="center"/>
        <w:rPr>
          <w:rFonts w:eastAsia="Times New Roman"/>
        </w:rPr>
      </w:pPr>
    </w:p>
    <w:p w14:paraId="48F7453B" w14:textId="77777777" w:rsidR="009969C6" w:rsidRDefault="009969C6">
      <w:pPr>
        <w:spacing w:line="480" w:lineRule="auto"/>
        <w:jc w:val="center"/>
        <w:rPr>
          <w:rFonts w:eastAsia="Times New Roman"/>
        </w:rPr>
      </w:pPr>
    </w:p>
    <w:p w14:paraId="5127D587" w14:textId="77777777" w:rsidR="009969C6" w:rsidRDefault="009969C6">
      <w:pPr>
        <w:spacing w:line="480" w:lineRule="auto"/>
        <w:jc w:val="center"/>
        <w:rPr>
          <w:rFonts w:eastAsia="Times New Roman"/>
        </w:rPr>
      </w:pPr>
    </w:p>
    <w:p w14:paraId="003787DE" w14:textId="77777777" w:rsidR="009969C6" w:rsidRDefault="009969C6">
      <w:pPr>
        <w:spacing w:line="480" w:lineRule="auto"/>
        <w:jc w:val="center"/>
        <w:rPr>
          <w:rFonts w:eastAsia="Times New Roman"/>
        </w:rPr>
      </w:pPr>
    </w:p>
    <w:p w14:paraId="6D6411BC" w14:textId="77777777" w:rsidR="009969C6" w:rsidRDefault="009969C6">
      <w:pPr>
        <w:spacing w:line="480" w:lineRule="auto"/>
        <w:jc w:val="center"/>
        <w:rPr>
          <w:rFonts w:eastAsia="Times New Roman"/>
        </w:rPr>
      </w:pPr>
    </w:p>
    <w:p w14:paraId="33093B15" w14:textId="77777777" w:rsidR="009969C6" w:rsidRDefault="00E11E7D">
      <w:pPr>
        <w:spacing w:line="480" w:lineRule="auto"/>
        <w:jc w:val="center"/>
        <w:rPr>
          <w:rFonts w:eastAsia="Times New Roman"/>
        </w:rPr>
      </w:pPr>
      <w:r>
        <w:rPr>
          <w:rFonts w:eastAsia="Times New Roman"/>
        </w:rPr>
        <w:t>Joshua K Biggerstaff</w:t>
      </w:r>
    </w:p>
    <w:p w14:paraId="4F52EB25" w14:textId="77777777" w:rsidR="00D759EE" w:rsidRDefault="00E11E7D">
      <w:pPr>
        <w:spacing w:line="480" w:lineRule="auto"/>
        <w:jc w:val="center"/>
        <w:rPr>
          <w:rFonts w:eastAsia="Times New Roman"/>
        </w:rPr>
        <w:sectPr w:rsidR="00D759EE" w:rsidSect="00D759EE">
          <w:headerReference w:type="default" r:id="rId7"/>
          <w:headerReference w:type="first" r:id="rId8"/>
          <w:pgSz w:w="12240" w:h="15840"/>
          <w:pgMar w:top="1440" w:right="1440" w:bottom="1440" w:left="1440" w:header="720" w:footer="720" w:gutter="0"/>
          <w:pgNumType w:fmt="lowerRoman" w:start="1"/>
          <w:cols w:space="720"/>
          <w:titlePg/>
          <w:docGrid w:linePitch="299"/>
        </w:sectPr>
      </w:pPr>
      <w:r>
        <w:rPr>
          <w:rFonts w:eastAsia="Times New Roman"/>
        </w:rPr>
        <w:t>May 2021</w:t>
      </w:r>
    </w:p>
    <w:p w14:paraId="7AFF04F1" w14:textId="77777777" w:rsidR="00A07701" w:rsidRDefault="00A07701" w:rsidP="00A07701">
      <w:pPr>
        <w:spacing w:line="480" w:lineRule="auto"/>
        <w:rPr>
          <w:rFonts w:eastAsia="Times New Roman"/>
          <w:b/>
        </w:rPr>
      </w:pPr>
      <w:r>
        <w:rPr>
          <w:rFonts w:eastAsia="Times New Roman"/>
          <w:b/>
        </w:rPr>
        <w:lastRenderedPageBreak/>
        <w:t>Acknowledgements</w:t>
      </w:r>
    </w:p>
    <w:p w14:paraId="5030CB95" w14:textId="7776183B" w:rsidR="00A07701" w:rsidRDefault="00A07701" w:rsidP="00A07701">
      <w:pPr>
        <w:spacing w:line="480" w:lineRule="auto"/>
        <w:rPr>
          <w:rFonts w:eastAsia="Times New Roman"/>
          <w:b/>
        </w:rPr>
      </w:pPr>
      <w:r w:rsidRPr="00DE65F6">
        <w:rPr>
          <w:rFonts w:eastAsia="Times New Roman"/>
          <w:bCs/>
        </w:rPr>
        <w:t>I would like to thank</w:t>
      </w:r>
      <w:r>
        <w:rPr>
          <w:rFonts w:eastAsia="Times New Roman"/>
          <w:bCs/>
        </w:rPr>
        <w:t xml:space="preserve"> Dr. Wayne Clatterbuck </w:t>
      </w:r>
      <w:r w:rsidR="00111D7C">
        <w:rPr>
          <w:rFonts w:eastAsia="Times New Roman"/>
          <w:bCs/>
        </w:rPr>
        <w:t>for helping me conceive, plan, and complete this study. I would like to thank Dr. Sheng-I Yang for his help</w:t>
      </w:r>
      <w:r w:rsidR="000576C8">
        <w:rPr>
          <w:rFonts w:eastAsia="Times New Roman"/>
          <w:bCs/>
        </w:rPr>
        <w:t xml:space="preserve"> with planning the layout of plots, as well as his help with statistical methods and analysis. Thank you to Dr. Charles Kwit for additional guidance on statistical methods and analysis.</w:t>
      </w:r>
      <w:r w:rsidR="00111D7C">
        <w:rPr>
          <w:rFonts w:eastAsia="Times New Roman"/>
          <w:bCs/>
        </w:rPr>
        <w:t xml:space="preserve"> </w:t>
      </w:r>
      <w:r>
        <w:rPr>
          <w:rFonts w:eastAsia="Times New Roman"/>
          <w:bCs/>
        </w:rPr>
        <w:t>I would also like to thank Adam Ziegebein and Molly Aldridge from the Tennessee Division of Forestry for their help providing me with harvest maps and finding my way around Natchez Trace State Forest.</w:t>
      </w:r>
      <w:r w:rsidR="003616A3">
        <w:rPr>
          <w:rFonts w:eastAsia="Times New Roman"/>
          <w:bCs/>
        </w:rPr>
        <w:t xml:space="preserve"> Thank you to Ries Troutman for his help with Excel formulas.</w:t>
      </w:r>
      <w:r>
        <w:rPr>
          <w:rFonts w:eastAsia="Times New Roman"/>
          <w:bCs/>
        </w:rPr>
        <w:t xml:space="preserve"> Lastly, thank you to Canaan Dugger for helping me collect the data for this project.</w:t>
      </w:r>
      <w:r>
        <w:rPr>
          <w:rFonts w:eastAsia="Times New Roman"/>
          <w:b/>
        </w:rPr>
        <w:br w:type="page"/>
      </w:r>
    </w:p>
    <w:p w14:paraId="343E29CE" w14:textId="625E214F" w:rsidR="009969C6" w:rsidRPr="00D759EE" w:rsidRDefault="00E11E7D" w:rsidP="00D759EE">
      <w:pPr>
        <w:spacing w:line="480" w:lineRule="auto"/>
        <w:rPr>
          <w:rFonts w:eastAsia="Times New Roman"/>
        </w:rPr>
      </w:pPr>
      <w:r>
        <w:rPr>
          <w:rFonts w:eastAsia="Times New Roman"/>
          <w:b/>
        </w:rPr>
        <w:lastRenderedPageBreak/>
        <w:t>Abstract</w:t>
      </w:r>
    </w:p>
    <w:p w14:paraId="4FD69DAD" w14:textId="33B93234" w:rsidR="009969C6" w:rsidRPr="0074010D" w:rsidRDefault="00E11E7D">
      <w:pPr>
        <w:spacing w:line="480" w:lineRule="auto"/>
        <w:rPr>
          <w:rFonts w:eastAsia="Times New Roman"/>
        </w:rPr>
      </w:pPr>
      <w:r>
        <w:rPr>
          <w:rFonts w:eastAsia="Times New Roman"/>
          <w:b/>
        </w:rPr>
        <w:tab/>
      </w:r>
      <w:r>
        <w:rPr>
          <w:rFonts w:eastAsia="Times New Roman"/>
        </w:rPr>
        <w:t xml:space="preserve">Patch cutting is a harvest method with very little precedent in the </w:t>
      </w:r>
      <w:r w:rsidR="006E4DB7">
        <w:rPr>
          <w:rFonts w:eastAsia="Times New Roman"/>
        </w:rPr>
        <w:t>C</w:t>
      </w:r>
      <w:r>
        <w:rPr>
          <w:rFonts w:eastAsia="Times New Roman"/>
        </w:rPr>
        <w:t xml:space="preserve">entral </w:t>
      </w:r>
      <w:r w:rsidR="006E4DB7">
        <w:rPr>
          <w:rFonts w:eastAsia="Times New Roman"/>
        </w:rPr>
        <w:t>H</w:t>
      </w:r>
      <w:r>
        <w:rPr>
          <w:rFonts w:eastAsia="Times New Roman"/>
        </w:rPr>
        <w:t>ardwood</w:t>
      </w:r>
      <w:r w:rsidR="0074010D">
        <w:rPr>
          <w:rFonts w:eastAsia="Times New Roman"/>
        </w:rPr>
        <w:t>s</w:t>
      </w:r>
      <w:r>
        <w:rPr>
          <w:rFonts w:eastAsia="Times New Roman"/>
        </w:rPr>
        <w:t xml:space="preserve"> </w:t>
      </w:r>
      <w:r w:rsidR="006E4DB7">
        <w:rPr>
          <w:rFonts w:eastAsia="Times New Roman"/>
        </w:rPr>
        <w:t>R</w:t>
      </w:r>
      <w:r>
        <w:rPr>
          <w:rFonts w:eastAsia="Times New Roman"/>
        </w:rPr>
        <w:t xml:space="preserve">egion of the United States. </w:t>
      </w:r>
      <w:r w:rsidR="001C2CD8">
        <w:rPr>
          <w:rFonts w:eastAsia="Times New Roman"/>
        </w:rPr>
        <w:t>It is defined a</w:t>
      </w:r>
      <w:r w:rsidR="0074010D">
        <w:rPr>
          <w:rFonts w:eastAsia="Times New Roman"/>
        </w:rPr>
        <w:t>s a</w:t>
      </w:r>
      <w:r w:rsidR="001C2CD8">
        <w:rPr>
          <w:rFonts w:eastAsia="Times New Roman"/>
        </w:rPr>
        <w:t xml:space="preserve"> small scale clearcut of 2</w:t>
      </w:r>
      <w:r w:rsidR="00976B97">
        <w:rPr>
          <w:rFonts w:eastAsia="Times New Roman"/>
        </w:rPr>
        <w:t xml:space="preserve"> to </w:t>
      </w:r>
      <w:r w:rsidR="001C2CD8">
        <w:rPr>
          <w:rFonts w:eastAsia="Times New Roman"/>
        </w:rPr>
        <w:t>5</w:t>
      </w:r>
      <w:r w:rsidR="00976B97">
        <w:rPr>
          <w:rFonts w:eastAsia="Times New Roman"/>
        </w:rPr>
        <w:t>-</w:t>
      </w:r>
      <w:r w:rsidR="001C2CD8">
        <w:rPr>
          <w:rFonts w:eastAsia="Times New Roman"/>
        </w:rPr>
        <w:t>acres, and it is generally prescribed in order to lessen the aesthetic impact of harvesting in highly visible areas. This study examines a change in harvest</w:t>
      </w:r>
      <w:r w:rsidR="008E27AA">
        <w:rPr>
          <w:rFonts w:eastAsia="Times New Roman"/>
        </w:rPr>
        <w:t>ing</w:t>
      </w:r>
      <w:r w:rsidR="001C2CD8">
        <w:rPr>
          <w:rFonts w:eastAsia="Times New Roman"/>
        </w:rPr>
        <w:t xml:space="preserve"> from clearcutting to patch cutting that occurred at Natchez Trace State Forest</w:t>
      </w:r>
      <w:r w:rsidR="0062360E">
        <w:rPr>
          <w:rFonts w:eastAsia="Times New Roman"/>
        </w:rPr>
        <w:t>, located in west Tennessee,</w:t>
      </w:r>
      <w:r w:rsidR="001C2CD8">
        <w:rPr>
          <w:rFonts w:eastAsia="Times New Roman"/>
        </w:rPr>
        <w:t xml:space="preserve"> in the 1990s.</w:t>
      </w:r>
      <w:r w:rsidR="0074010D">
        <w:rPr>
          <w:rFonts w:eastAsia="Times New Roman"/>
        </w:rPr>
        <w:t xml:space="preserve"> The objective of the study was to determine the regenerative effects of the patch cuts 25-30 years later.</w:t>
      </w:r>
      <w:r w:rsidR="001C2CD8">
        <w:rPr>
          <w:rFonts w:eastAsia="Times New Roman"/>
        </w:rPr>
        <w:t xml:space="preserve"> Various patch</w:t>
      </w:r>
      <w:r w:rsidR="00B52A4B">
        <w:rPr>
          <w:rFonts w:eastAsia="Times New Roman"/>
        </w:rPr>
        <w:t>-</w:t>
      </w:r>
      <w:r w:rsidR="001C2CD8">
        <w:rPr>
          <w:rFonts w:eastAsia="Times New Roman"/>
        </w:rPr>
        <w:t xml:space="preserve">cut harvest units that were harvested from 1991-1995 </w:t>
      </w:r>
      <w:r w:rsidR="00A828CA">
        <w:rPr>
          <w:rFonts w:eastAsia="Times New Roman"/>
        </w:rPr>
        <w:t xml:space="preserve">were sampled to determine the species composition of the regenerated areas. The same sampling procedure was followed to obtain information in areas that were </w:t>
      </w:r>
      <w:r w:rsidR="008E27AA">
        <w:rPr>
          <w:rFonts w:eastAsia="Times New Roman"/>
        </w:rPr>
        <w:t>clearcut</w:t>
      </w:r>
      <w:r w:rsidR="00A828CA">
        <w:rPr>
          <w:rFonts w:eastAsia="Times New Roman"/>
        </w:rPr>
        <w:t xml:space="preserve"> in the 1980s prior to the change in harvest </w:t>
      </w:r>
      <w:r w:rsidR="008E27AA">
        <w:rPr>
          <w:rFonts w:eastAsia="Times New Roman"/>
        </w:rPr>
        <w:t>size</w:t>
      </w:r>
      <w:r w:rsidR="00A828CA">
        <w:rPr>
          <w:rFonts w:eastAsia="Times New Roman"/>
        </w:rPr>
        <w:t>. The patch</w:t>
      </w:r>
      <w:r w:rsidR="00B52A4B">
        <w:rPr>
          <w:rFonts w:eastAsia="Times New Roman"/>
        </w:rPr>
        <w:t>-</w:t>
      </w:r>
      <w:r w:rsidR="00A828CA">
        <w:rPr>
          <w:rFonts w:eastAsia="Times New Roman"/>
        </w:rPr>
        <w:t>cut areas were hypothesized to have a higher prevalence of shade</w:t>
      </w:r>
      <w:r w:rsidR="003A44D5">
        <w:rPr>
          <w:rFonts w:eastAsia="Times New Roman"/>
        </w:rPr>
        <w:t>-</w:t>
      </w:r>
      <w:r w:rsidR="00A828CA">
        <w:rPr>
          <w:rFonts w:eastAsia="Times New Roman"/>
        </w:rPr>
        <w:t>tolerant species and less oak species (</w:t>
      </w:r>
      <w:r w:rsidR="00A828CA">
        <w:rPr>
          <w:rFonts w:eastAsia="Times New Roman"/>
          <w:i/>
          <w:iCs/>
        </w:rPr>
        <w:t>Quercus</w:t>
      </w:r>
      <w:r w:rsidR="00A828CA">
        <w:rPr>
          <w:rFonts w:eastAsia="Times New Roman"/>
        </w:rPr>
        <w:t xml:space="preserve">) than the clearcut areas. </w:t>
      </w:r>
      <w:r w:rsidR="0074010D">
        <w:rPr>
          <w:rFonts w:eastAsia="Times New Roman"/>
        </w:rPr>
        <w:t>Data were compiled from both types of regenerated stands and compared. The areas that were previously patch cut are dominated by tulip poplar (</w:t>
      </w:r>
      <w:r w:rsidR="0074010D">
        <w:rPr>
          <w:rFonts w:eastAsia="Times New Roman"/>
          <w:i/>
          <w:iCs/>
        </w:rPr>
        <w:t>Liriodendron tulipifera</w:t>
      </w:r>
      <w:r w:rsidR="0074010D">
        <w:rPr>
          <w:rFonts w:eastAsia="Times New Roman"/>
        </w:rPr>
        <w:t>) and have little to no oak species present.</w:t>
      </w:r>
      <w:r w:rsidR="00771B11">
        <w:rPr>
          <w:rFonts w:eastAsia="Times New Roman"/>
        </w:rPr>
        <w:t xml:space="preserve"> Poplar is dominant throughout the sampled patches, even along the edge.</w:t>
      </w:r>
      <w:r w:rsidR="0074010D">
        <w:rPr>
          <w:rFonts w:eastAsia="Times New Roman"/>
        </w:rPr>
        <w:t xml:space="preserve"> The areas that were previously clearcut had a much more diverse species composition, with total oak species being the most prevalent in those areas</w:t>
      </w:r>
      <w:r w:rsidR="00771B11">
        <w:rPr>
          <w:rFonts w:eastAsia="Times New Roman"/>
        </w:rPr>
        <w:t xml:space="preserve"> by both trees per acre and basal area per acre</w:t>
      </w:r>
      <w:r w:rsidR="0074010D">
        <w:rPr>
          <w:rFonts w:eastAsia="Times New Roman"/>
        </w:rPr>
        <w:t xml:space="preserve">. </w:t>
      </w:r>
      <w:r w:rsidR="0062360E">
        <w:rPr>
          <w:rFonts w:eastAsia="Times New Roman"/>
        </w:rPr>
        <w:t>These results show that patch cutting is not an effective regeneration method</w:t>
      </w:r>
      <w:r w:rsidR="003A44D5">
        <w:rPr>
          <w:rFonts w:eastAsia="Times New Roman"/>
        </w:rPr>
        <w:t xml:space="preserve"> </w:t>
      </w:r>
      <w:r w:rsidR="0062360E">
        <w:rPr>
          <w:rFonts w:eastAsia="Times New Roman"/>
        </w:rPr>
        <w:t>for a multi-use public area such as Natchez Trace State Forest.</w:t>
      </w:r>
      <w:r w:rsidR="0074010D">
        <w:rPr>
          <w:rFonts w:eastAsia="Times New Roman"/>
        </w:rPr>
        <w:t xml:space="preserve"> </w:t>
      </w:r>
      <w:r w:rsidR="0062360E">
        <w:rPr>
          <w:rFonts w:eastAsia="Times New Roman"/>
        </w:rPr>
        <w:t>Larger clearcuts done on a rotation to ensure forest stands at each stage of succession is better suited for these areas.</w:t>
      </w:r>
    </w:p>
    <w:p w14:paraId="7CD212B4" w14:textId="08A7AB68" w:rsidR="009969C6" w:rsidRDefault="00E11E7D">
      <w:pPr>
        <w:spacing w:line="480" w:lineRule="auto"/>
        <w:rPr>
          <w:rFonts w:eastAsia="Times New Roman"/>
          <w:b/>
        </w:rPr>
      </w:pPr>
      <w:r>
        <w:br w:type="page"/>
      </w:r>
    </w:p>
    <w:p w14:paraId="6C1E83E1" w14:textId="72E72CFA" w:rsidR="009969C6" w:rsidRPr="00AD1F69" w:rsidRDefault="00E11E7D">
      <w:pPr>
        <w:spacing w:line="480" w:lineRule="auto"/>
        <w:rPr>
          <w:rFonts w:eastAsia="Times New Roman"/>
          <w:b/>
        </w:rPr>
      </w:pPr>
      <w:r>
        <w:rPr>
          <w:rFonts w:eastAsia="Times New Roman"/>
          <w:b/>
        </w:rPr>
        <w:lastRenderedPageBreak/>
        <w:t>Table of Contents</w:t>
      </w:r>
    </w:p>
    <w:p w14:paraId="69B643ED" w14:textId="61F1D541" w:rsidR="009969C6" w:rsidRDefault="00DB7A3C" w:rsidP="0054570D">
      <w:pPr>
        <w:spacing w:line="720" w:lineRule="auto"/>
        <w:rPr>
          <w:rFonts w:eastAsia="Times New Roman"/>
        </w:rPr>
      </w:pPr>
      <w:r>
        <w:rPr>
          <w:rFonts w:eastAsia="Times New Roman"/>
        </w:rPr>
        <w:t xml:space="preserve">Chapter 1: </w:t>
      </w:r>
      <w:r w:rsidR="00E11E7D">
        <w:rPr>
          <w:rFonts w:eastAsia="Times New Roman"/>
        </w:rPr>
        <w:t>Introductio</w:t>
      </w:r>
      <w:r>
        <w:rPr>
          <w:rFonts w:eastAsia="Times New Roman"/>
        </w:rPr>
        <w:t>n……………………………………………………………………………</w:t>
      </w:r>
      <w:r w:rsidR="008B2C96">
        <w:rPr>
          <w:rFonts w:eastAsia="Times New Roman"/>
        </w:rPr>
        <w:t>1</w:t>
      </w:r>
    </w:p>
    <w:p w14:paraId="1058B83D" w14:textId="6A25D15D" w:rsidR="009969C6" w:rsidRDefault="00DB7A3C" w:rsidP="0054570D">
      <w:pPr>
        <w:spacing w:line="720" w:lineRule="auto"/>
        <w:rPr>
          <w:rFonts w:eastAsia="Times New Roman"/>
        </w:rPr>
      </w:pPr>
      <w:r>
        <w:rPr>
          <w:rFonts w:eastAsia="Times New Roman"/>
        </w:rPr>
        <w:t xml:space="preserve">Chapter 2: </w:t>
      </w:r>
      <w:r w:rsidR="00E11E7D">
        <w:rPr>
          <w:rFonts w:eastAsia="Times New Roman"/>
        </w:rPr>
        <w:t>Literature Review</w:t>
      </w:r>
      <w:r>
        <w:rPr>
          <w:rFonts w:eastAsia="Times New Roman"/>
        </w:rPr>
        <w:t>……………………………………………………………………...</w:t>
      </w:r>
      <w:r w:rsidR="008B2C96">
        <w:rPr>
          <w:rFonts w:eastAsia="Times New Roman"/>
        </w:rPr>
        <w:t>6</w:t>
      </w:r>
    </w:p>
    <w:p w14:paraId="36A0A72B" w14:textId="0F699BCF" w:rsidR="009969C6" w:rsidRDefault="00DB7A3C" w:rsidP="0054570D">
      <w:pPr>
        <w:spacing w:line="720" w:lineRule="auto"/>
        <w:rPr>
          <w:rFonts w:eastAsia="Times New Roman"/>
        </w:rPr>
      </w:pPr>
      <w:r>
        <w:rPr>
          <w:rFonts w:eastAsia="Times New Roman"/>
        </w:rPr>
        <w:t xml:space="preserve">Chapter 3: </w:t>
      </w:r>
      <w:r w:rsidR="00E11E7D">
        <w:rPr>
          <w:rFonts w:eastAsia="Times New Roman"/>
        </w:rPr>
        <w:t>Research Objectives</w:t>
      </w:r>
      <w:r>
        <w:rPr>
          <w:rFonts w:eastAsia="Times New Roman"/>
        </w:rPr>
        <w:t>………………………………………………………………….</w:t>
      </w:r>
      <w:r w:rsidR="008B2C96">
        <w:rPr>
          <w:rFonts w:eastAsia="Times New Roman"/>
        </w:rPr>
        <w:t>13</w:t>
      </w:r>
    </w:p>
    <w:p w14:paraId="4C3A0080" w14:textId="510C7A12" w:rsidR="009969C6" w:rsidRDefault="00DB7A3C" w:rsidP="0054570D">
      <w:pPr>
        <w:spacing w:line="720" w:lineRule="auto"/>
        <w:rPr>
          <w:rFonts w:eastAsia="Times New Roman"/>
        </w:rPr>
      </w:pPr>
      <w:r>
        <w:rPr>
          <w:rFonts w:eastAsia="Times New Roman"/>
        </w:rPr>
        <w:t xml:space="preserve">Chapter 4: </w:t>
      </w:r>
      <w:r w:rsidR="00E11E7D">
        <w:rPr>
          <w:rFonts w:eastAsia="Times New Roman"/>
        </w:rPr>
        <w:t>Methods</w:t>
      </w:r>
      <w:r>
        <w:rPr>
          <w:rFonts w:eastAsia="Times New Roman"/>
        </w:rPr>
        <w:t>………………………………………………………………………………</w:t>
      </w:r>
      <w:r w:rsidR="008B2C96">
        <w:rPr>
          <w:rFonts w:eastAsia="Times New Roman"/>
        </w:rPr>
        <w:t>14</w:t>
      </w:r>
    </w:p>
    <w:p w14:paraId="68320D35" w14:textId="2686F790" w:rsidR="009969C6" w:rsidRDefault="00DB7A3C" w:rsidP="0054570D">
      <w:pPr>
        <w:spacing w:line="720" w:lineRule="auto"/>
        <w:rPr>
          <w:rFonts w:eastAsia="Times New Roman"/>
        </w:rPr>
      </w:pPr>
      <w:r>
        <w:rPr>
          <w:rFonts w:eastAsia="Times New Roman"/>
        </w:rPr>
        <w:t xml:space="preserve">Chapter 5: </w:t>
      </w:r>
      <w:r w:rsidR="00E11E7D">
        <w:rPr>
          <w:rFonts w:eastAsia="Times New Roman"/>
        </w:rPr>
        <w:t>Results</w:t>
      </w:r>
      <w:r>
        <w:rPr>
          <w:rFonts w:eastAsia="Times New Roman"/>
        </w:rPr>
        <w:t>……………………………………………………………………………</w:t>
      </w:r>
      <w:r w:rsidR="006C6050">
        <w:rPr>
          <w:rFonts w:eastAsia="Times New Roman"/>
        </w:rPr>
        <w:t>....</w:t>
      </w:r>
      <w:r>
        <w:rPr>
          <w:rFonts w:eastAsia="Times New Roman"/>
        </w:rPr>
        <w:t>..</w:t>
      </w:r>
      <w:r w:rsidR="008B2C96">
        <w:rPr>
          <w:rFonts w:eastAsia="Times New Roman"/>
        </w:rPr>
        <w:t>19</w:t>
      </w:r>
    </w:p>
    <w:p w14:paraId="22D41107" w14:textId="06408219" w:rsidR="00AF3144" w:rsidRDefault="00AF3144" w:rsidP="0054570D">
      <w:pPr>
        <w:spacing w:line="720" w:lineRule="auto"/>
        <w:rPr>
          <w:rFonts w:eastAsia="Times New Roman"/>
        </w:rPr>
      </w:pPr>
      <w:r>
        <w:rPr>
          <w:rFonts w:eastAsia="Times New Roman"/>
        </w:rPr>
        <w:tab/>
        <w:t>Patch Cuts……………………………………………………………………………..…19</w:t>
      </w:r>
    </w:p>
    <w:p w14:paraId="46D2E04C" w14:textId="534E232A" w:rsidR="00AF3144" w:rsidRDefault="00AF3144" w:rsidP="0054570D">
      <w:pPr>
        <w:spacing w:line="720" w:lineRule="auto"/>
        <w:rPr>
          <w:rFonts w:eastAsia="Times New Roman"/>
        </w:rPr>
      </w:pPr>
      <w:r>
        <w:rPr>
          <w:rFonts w:eastAsia="Times New Roman"/>
        </w:rPr>
        <w:tab/>
        <w:t>Clearcuts…………………………………………………………………………………22</w:t>
      </w:r>
    </w:p>
    <w:p w14:paraId="472E371C" w14:textId="3CC63CE9" w:rsidR="00AF3144" w:rsidRDefault="00AF3144" w:rsidP="0054570D">
      <w:pPr>
        <w:spacing w:line="720" w:lineRule="auto"/>
        <w:rPr>
          <w:rFonts w:eastAsia="Times New Roman"/>
        </w:rPr>
      </w:pPr>
      <w:r>
        <w:rPr>
          <w:rFonts w:eastAsia="Times New Roman"/>
        </w:rPr>
        <w:tab/>
        <w:t>Plot Location……………………………………………………………………………..25</w:t>
      </w:r>
    </w:p>
    <w:p w14:paraId="63319ADF" w14:textId="1D3A79A4" w:rsidR="009969C6" w:rsidRDefault="006C6050" w:rsidP="0054570D">
      <w:pPr>
        <w:spacing w:line="720" w:lineRule="auto"/>
        <w:rPr>
          <w:rFonts w:eastAsia="Times New Roman"/>
        </w:rPr>
      </w:pPr>
      <w:r>
        <w:rPr>
          <w:rFonts w:eastAsia="Times New Roman"/>
        </w:rPr>
        <w:t xml:space="preserve">Chapter 6: </w:t>
      </w:r>
      <w:r w:rsidR="00E11E7D">
        <w:rPr>
          <w:rFonts w:eastAsia="Times New Roman"/>
        </w:rPr>
        <w:t>Discussion</w:t>
      </w:r>
      <w:r>
        <w:rPr>
          <w:rFonts w:eastAsia="Times New Roman"/>
        </w:rPr>
        <w:t>……………………………………………………………………………</w:t>
      </w:r>
      <w:r w:rsidR="008B2C96">
        <w:rPr>
          <w:rFonts w:eastAsia="Times New Roman"/>
        </w:rPr>
        <w:t>2</w:t>
      </w:r>
      <w:r w:rsidR="00111D7C">
        <w:rPr>
          <w:rFonts w:eastAsia="Times New Roman"/>
        </w:rPr>
        <w:t>8</w:t>
      </w:r>
    </w:p>
    <w:p w14:paraId="010F3714" w14:textId="69B8B4C5" w:rsidR="009969C6" w:rsidRDefault="006C6050" w:rsidP="0054570D">
      <w:pPr>
        <w:spacing w:line="720" w:lineRule="auto"/>
        <w:rPr>
          <w:rFonts w:eastAsia="Times New Roman"/>
        </w:rPr>
      </w:pPr>
      <w:r>
        <w:rPr>
          <w:rFonts w:eastAsia="Times New Roman"/>
        </w:rPr>
        <w:t xml:space="preserve">Chapter 7: </w:t>
      </w:r>
      <w:r w:rsidR="00E11E7D">
        <w:rPr>
          <w:rFonts w:eastAsia="Times New Roman"/>
        </w:rPr>
        <w:t>Conclusion</w:t>
      </w:r>
      <w:r w:rsidR="008B2C96">
        <w:rPr>
          <w:rFonts w:eastAsia="Times New Roman"/>
        </w:rPr>
        <w:tab/>
      </w:r>
      <w:r>
        <w:rPr>
          <w:rFonts w:eastAsia="Times New Roman"/>
        </w:rPr>
        <w:t>……………………………………………………………………………</w:t>
      </w:r>
      <w:r w:rsidR="008B2C96">
        <w:rPr>
          <w:rFonts w:eastAsia="Times New Roman"/>
        </w:rPr>
        <w:t>3</w:t>
      </w:r>
      <w:r w:rsidR="00111D7C">
        <w:rPr>
          <w:rFonts w:eastAsia="Times New Roman"/>
        </w:rPr>
        <w:t>5</w:t>
      </w:r>
    </w:p>
    <w:p w14:paraId="3FC0BA7B" w14:textId="7418DE2D" w:rsidR="009969C6" w:rsidRDefault="00E11E7D" w:rsidP="0054570D">
      <w:pPr>
        <w:spacing w:line="720" w:lineRule="auto"/>
        <w:rPr>
          <w:rFonts w:eastAsia="Times New Roman"/>
        </w:rPr>
      </w:pPr>
      <w:r>
        <w:rPr>
          <w:rFonts w:eastAsia="Times New Roman"/>
        </w:rPr>
        <w:t>References</w:t>
      </w:r>
      <w:r w:rsidR="006C6050">
        <w:rPr>
          <w:rFonts w:eastAsia="Times New Roman"/>
        </w:rPr>
        <w:t>………………………………………………………………………………………..</w:t>
      </w:r>
      <w:r w:rsidR="008B2C96">
        <w:rPr>
          <w:rFonts w:eastAsia="Times New Roman"/>
        </w:rPr>
        <w:t>3</w:t>
      </w:r>
      <w:r w:rsidR="00111D7C">
        <w:rPr>
          <w:rFonts w:eastAsia="Times New Roman"/>
        </w:rPr>
        <w:t>7</w:t>
      </w:r>
    </w:p>
    <w:p w14:paraId="69B25547" w14:textId="02A3E15B" w:rsidR="0054570D" w:rsidRDefault="00A83FB0" w:rsidP="0054570D">
      <w:pPr>
        <w:spacing w:line="720" w:lineRule="auto"/>
        <w:rPr>
          <w:rFonts w:eastAsia="Times New Roman"/>
        </w:rPr>
      </w:pPr>
      <w:r>
        <w:rPr>
          <w:rFonts w:eastAsia="Times New Roman"/>
        </w:rPr>
        <w:t>Appendix</w:t>
      </w:r>
      <w:r w:rsidR="006C6050">
        <w:rPr>
          <w:rFonts w:eastAsia="Times New Roman"/>
        </w:rPr>
        <w:t>…………………………………………………………………………………………</w:t>
      </w:r>
      <w:r w:rsidR="0054570D">
        <w:rPr>
          <w:rFonts w:eastAsia="Times New Roman"/>
        </w:rPr>
        <w:t>4</w:t>
      </w:r>
      <w:r w:rsidR="00111D7C">
        <w:rPr>
          <w:rFonts w:eastAsia="Times New Roman"/>
        </w:rPr>
        <w:t>0</w:t>
      </w:r>
    </w:p>
    <w:p w14:paraId="69B9BB7B" w14:textId="4BBDBAC1" w:rsidR="0054570D" w:rsidRDefault="0054570D" w:rsidP="0054570D">
      <w:pPr>
        <w:spacing w:line="720" w:lineRule="auto"/>
        <w:rPr>
          <w:rFonts w:eastAsia="Times New Roman"/>
        </w:rPr>
      </w:pPr>
      <w:r>
        <w:rPr>
          <w:rFonts w:eastAsia="Times New Roman"/>
        </w:rPr>
        <w:t>Additional Readin</w:t>
      </w:r>
      <w:r w:rsidR="006C6050">
        <w:rPr>
          <w:rFonts w:eastAsia="Times New Roman"/>
        </w:rPr>
        <w:t>g………………………………………………………………………………</w:t>
      </w:r>
      <w:r>
        <w:rPr>
          <w:rFonts w:eastAsia="Times New Roman"/>
        </w:rPr>
        <w:t>4</w:t>
      </w:r>
      <w:r w:rsidR="00111D7C">
        <w:rPr>
          <w:rFonts w:eastAsia="Times New Roman"/>
        </w:rPr>
        <w:t>7</w:t>
      </w:r>
    </w:p>
    <w:p w14:paraId="7DCE30C1" w14:textId="7C18E67E" w:rsidR="009969C6" w:rsidRPr="00AF3144" w:rsidRDefault="00E11E7D" w:rsidP="00AF3144">
      <w:pPr>
        <w:spacing w:line="720" w:lineRule="auto"/>
        <w:rPr>
          <w:rFonts w:eastAsia="Times New Roman"/>
        </w:rPr>
      </w:pPr>
      <w:r>
        <w:rPr>
          <w:rFonts w:eastAsia="Times New Roman"/>
        </w:rPr>
        <w:t>Vita</w:t>
      </w:r>
      <w:r w:rsidR="006C6050">
        <w:rPr>
          <w:rFonts w:eastAsia="Times New Roman"/>
        </w:rPr>
        <w:t>……………………………………………………………………………………………….</w:t>
      </w:r>
      <w:r w:rsidR="008B2C96">
        <w:rPr>
          <w:rFonts w:eastAsia="Times New Roman"/>
        </w:rPr>
        <w:t>4</w:t>
      </w:r>
      <w:r w:rsidR="00111D7C">
        <w:rPr>
          <w:rFonts w:eastAsia="Times New Roman"/>
        </w:rPr>
        <w:t>8</w:t>
      </w:r>
    </w:p>
    <w:p w14:paraId="51F1F3D2" w14:textId="77777777" w:rsidR="005E0EA2" w:rsidRDefault="005E0EA2">
      <w:pPr>
        <w:spacing w:line="480" w:lineRule="auto"/>
        <w:rPr>
          <w:rFonts w:eastAsia="Times New Roman"/>
          <w:b/>
        </w:rPr>
      </w:pPr>
    </w:p>
    <w:p w14:paraId="682DE6D0" w14:textId="23676DF4" w:rsidR="009969C6" w:rsidRDefault="00E11E7D">
      <w:pPr>
        <w:spacing w:line="480" w:lineRule="auto"/>
        <w:rPr>
          <w:rFonts w:eastAsia="Times New Roman"/>
          <w:b/>
        </w:rPr>
      </w:pPr>
      <w:r>
        <w:rPr>
          <w:rFonts w:eastAsia="Times New Roman"/>
          <w:b/>
        </w:rPr>
        <w:lastRenderedPageBreak/>
        <w:t>List of Figures</w:t>
      </w:r>
    </w:p>
    <w:p w14:paraId="01E3F400" w14:textId="79C32BAF" w:rsidR="00521F36" w:rsidRDefault="00521F36" w:rsidP="00111D7C">
      <w:pPr>
        <w:spacing w:line="480" w:lineRule="auto"/>
        <w:rPr>
          <w:rFonts w:eastAsia="Times New Roman"/>
          <w:bCs/>
        </w:rPr>
      </w:pPr>
      <w:r>
        <w:rPr>
          <w:rFonts w:eastAsia="Times New Roman"/>
          <w:bCs/>
        </w:rPr>
        <w:t>Figure 1: Map of Natchez Trace State Forest</w:t>
      </w:r>
      <w:r w:rsidR="00AF3144">
        <w:rPr>
          <w:rFonts w:eastAsia="Times New Roman"/>
          <w:bCs/>
        </w:rPr>
        <w:t>……………………………………………………..3</w:t>
      </w:r>
    </w:p>
    <w:p w14:paraId="5853F3D9" w14:textId="560FFD5D" w:rsidR="00FC26DD" w:rsidRDefault="00FC26DD" w:rsidP="00111D7C">
      <w:pPr>
        <w:spacing w:line="480" w:lineRule="auto"/>
        <w:rPr>
          <w:rFonts w:eastAsia="Times New Roman"/>
          <w:bCs/>
        </w:rPr>
      </w:pPr>
      <w:r w:rsidRPr="00FC26DD">
        <w:rPr>
          <w:rFonts w:eastAsia="Times New Roman"/>
          <w:bCs/>
        </w:rPr>
        <w:t>Figure 2: Location of Natchez Trace State Forest in Tennessee</w:t>
      </w:r>
      <w:r w:rsidR="00AF3144">
        <w:rPr>
          <w:rFonts w:eastAsia="Times New Roman"/>
          <w:bCs/>
        </w:rPr>
        <w:t>………………………………….4</w:t>
      </w:r>
    </w:p>
    <w:p w14:paraId="028C29D9" w14:textId="33D6C5BA" w:rsidR="00FC26DD" w:rsidRDefault="00FC26DD" w:rsidP="00111D7C">
      <w:pPr>
        <w:spacing w:line="480" w:lineRule="auto"/>
        <w:rPr>
          <w:rFonts w:eastAsia="Times New Roman"/>
          <w:bCs/>
        </w:rPr>
      </w:pPr>
      <w:r w:rsidRPr="00FC26DD">
        <w:rPr>
          <w:rFonts w:eastAsia="Times New Roman"/>
          <w:bCs/>
        </w:rPr>
        <w:t>Figure 3: Harvest unit map provided by TDF showing both patch cuts and a clearcut</w:t>
      </w:r>
      <w:r w:rsidR="00273378">
        <w:rPr>
          <w:rFonts w:eastAsia="Times New Roman"/>
          <w:bCs/>
        </w:rPr>
        <w:t>…………16</w:t>
      </w:r>
    </w:p>
    <w:p w14:paraId="3087718F" w14:textId="672A34BA" w:rsidR="00FC26DD" w:rsidRDefault="00FC26DD" w:rsidP="00111D7C">
      <w:pPr>
        <w:spacing w:line="480" w:lineRule="auto"/>
        <w:rPr>
          <w:rFonts w:eastAsia="Times New Roman"/>
          <w:bCs/>
        </w:rPr>
      </w:pPr>
      <w:r w:rsidRPr="00FC26DD">
        <w:rPr>
          <w:rFonts w:eastAsia="Times New Roman"/>
          <w:bCs/>
        </w:rPr>
        <w:t>Figure 4: Example of how plots were arranged in a patch cut</w:t>
      </w:r>
      <w:r w:rsidR="00273378">
        <w:rPr>
          <w:rFonts w:eastAsia="Times New Roman"/>
          <w:bCs/>
        </w:rPr>
        <w:t>…………………………………..17</w:t>
      </w:r>
    </w:p>
    <w:p w14:paraId="4503ADB2" w14:textId="1882B33C" w:rsidR="00FC26DD" w:rsidRDefault="00FC26DD" w:rsidP="00111D7C">
      <w:pPr>
        <w:spacing w:line="480" w:lineRule="auto"/>
        <w:rPr>
          <w:rFonts w:eastAsia="Times New Roman"/>
          <w:bCs/>
        </w:rPr>
      </w:pPr>
      <w:r w:rsidRPr="00FC26DD">
        <w:rPr>
          <w:rFonts w:eastAsia="Times New Roman"/>
          <w:bCs/>
        </w:rPr>
        <w:t>Figure 5: Harvest unit map provided showing a clearcut</w:t>
      </w:r>
      <w:r w:rsidR="00273378">
        <w:rPr>
          <w:rFonts w:eastAsia="Times New Roman"/>
          <w:bCs/>
        </w:rPr>
        <w:t>………………………………………..18</w:t>
      </w:r>
    </w:p>
    <w:p w14:paraId="154639F0" w14:textId="6A47AF6D" w:rsidR="004038ED" w:rsidRDefault="004038ED" w:rsidP="00111D7C">
      <w:pPr>
        <w:spacing w:line="480" w:lineRule="auto"/>
        <w:rPr>
          <w:rFonts w:eastAsia="Times New Roman"/>
          <w:bCs/>
        </w:rPr>
      </w:pPr>
      <w:r>
        <w:rPr>
          <w:rFonts w:eastAsia="Times New Roman"/>
          <w:bCs/>
        </w:rPr>
        <w:t>Figure 6:</w:t>
      </w:r>
      <w:r w:rsidR="00CC551D">
        <w:rPr>
          <w:rFonts w:eastAsia="Times New Roman"/>
          <w:bCs/>
        </w:rPr>
        <w:t xml:space="preserve"> </w:t>
      </w:r>
      <w:r w:rsidR="00CC551D" w:rsidRPr="00CC551D">
        <w:rPr>
          <w:rFonts w:eastAsia="Times New Roman"/>
          <w:bCs/>
        </w:rPr>
        <w:t>Total patch cut species composition calculated with trees per acre</w:t>
      </w:r>
      <w:r w:rsidR="00273378">
        <w:rPr>
          <w:rFonts w:eastAsia="Times New Roman"/>
          <w:bCs/>
        </w:rPr>
        <w:t>…………………...20</w:t>
      </w:r>
    </w:p>
    <w:p w14:paraId="6152DA66" w14:textId="2D8C41FE" w:rsidR="004038ED" w:rsidRDefault="004038ED" w:rsidP="00111D7C">
      <w:pPr>
        <w:spacing w:line="480" w:lineRule="auto"/>
        <w:rPr>
          <w:rFonts w:eastAsia="Times New Roman"/>
          <w:bCs/>
        </w:rPr>
      </w:pPr>
      <w:r>
        <w:rPr>
          <w:rFonts w:eastAsia="Times New Roman"/>
          <w:bCs/>
        </w:rPr>
        <w:t>Figure 7:</w:t>
      </w:r>
      <w:r w:rsidR="00CC551D">
        <w:rPr>
          <w:rFonts w:eastAsia="Times New Roman"/>
          <w:bCs/>
        </w:rPr>
        <w:t xml:space="preserve"> </w:t>
      </w:r>
      <w:r w:rsidR="00CC551D" w:rsidRPr="00CC551D">
        <w:rPr>
          <w:rFonts w:eastAsia="Times New Roman"/>
          <w:bCs/>
        </w:rPr>
        <w:t>Diameter distribution of patch cuts</w:t>
      </w:r>
      <w:r w:rsidR="00273378">
        <w:rPr>
          <w:rFonts w:eastAsia="Times New Roman"/>
          <w:bCs/>
        </w:rPr>
        <w:t>……………………………………………………20</w:t>
      </w:r>
    </w:p>
    <w:p w14:paraId="6F494071" w14:textId="1EB59457" w:rsidR="004038ED" w:rsidRDefault="004038ED" w:rsidP="00111D7C">
      <w:pPr>
        <w:spacing w:line="480" w:lineRule="auto"/>
        <w:rPr>
          <w:rFonts w:eastAsia="Times New Roman"/>
          <w:bCs/>
        </w:rPr>
      </w:pPr>
      <w:r>
        <w:rPr>
          <w:rFonts w:eastAsia="Times New Roman"/>
          <w:bCs/>
        </w:rPr>
        <w:t>Figure 8:</w:t>
      </w:r>
      <w:r w:rsidR="00CC551D">
        <w:rPr>
          <w:rFonts w:eastAsia="Times New Roman"/>
          <w:bCs/>
        </w:rPr>
        <w:t xml:space="preserve"> </w:t>
      </w:r>
      <w:r w:rsidR="00CC551D" w:rsidRPr="00CC551D">
        <w:rPr>
          <w:rFonts w:eastAsia="Times New Roman"/>
          <w:bCs/>
        </w:rPr>
        <w:t>Average DBH of notable species in patch cuts</w:t>
      </w:r>
      <w:r w:rsidR="00273378">
        <w:rPr>
          <w:rFonts w:eastAsia="Times New Roman"/>
          <w:bCs/>
        </w:rPr>
        <w:t>………………………………………..21</w:t>
      </w:r>
    </w:p>
    <w:p w14:paraId="7F5DC7B7" w14:textId="4631A22A" w:rsidR="004038ED" w:rsidRDefault="004038ED" w:rsidP="00111D7C">
      <w:pPr>
        <w:spacing w:line="480" w:lineRule="auto"/>
        <w:rPr>
          <w:rFonts w:eastAsia="Times New Roman"/>
          <w:bCs/>
        </w:rPr>
      </w:pPr>
      <w:r>
        <w:rPr>
          <w:rFonts w:eastAsia="Times New Roman"/>
          <w:bCs/>
        </w:rPr>
        <w:t>Figure 9:</w:t>
      </w:r>
      <w:r w:rsidR="00CC551D">
        <w:rPr>
          <w:rFonts w:eastAsia="Times New Roman"/>
          <w:bCs/>
        </w:rPr>
        <w:t xml:space="preserve"> </w:t>
      </w:r>
      <w:r w:rsidR="00CC551D" w:rsidRPr="00CC551D">
        <w:rPr>
          <w:rFonts w:eastAsia="Times New Roman"/>
          <w:bCs/>
        </w:rPr>
        <w:t>Total patch cut species composition calculated with basal area per acre</w:t>
      </w:r>
      <w:r w:rsidR="00273378">
        <w:rPr>
          <w:rFonts w:eastAsia="Times New Roman"/>
          <w:bCs/>
        </w:rPr>
        <w:t>……………...21</w:t>
      </w:r>
    </w:p>
    <w:p w14:paraId="4A6DC30A" w14:textId="17BEBE76" w:rsidR="004038ED" w:rsidRDefault="004038ED" w:rsidP="00111D7C">
      <w:pPr>
        <w:spacing w:line="480" w:lineRule="auto"/>
        <w:rPr>
          <w:rFonts w:eastAsia="Times New Roman"/>
          <w:bCs/>
        </w:rPr>
      </w:pPr>
      <w:r>
        <w:rPr>
          <w:rFonts w:eastAsia="Times New Roman"/>
          <w:bCs/>
        </w:rPr>
        <w:t>Figure 10:</w:t>
      </w:r>
      <w:r w:rsidR="00CC551D">
        <w:rPr>
          <w:rFonts w:eastAsia="Times New Roman"/>
          <w:bCs/>
        </w:rPr>
        <w:t xml:space="preserve"> </w:t>
      </w:r>
      <w:r w:rsidR="00CC551D" w:rsidRPr="00CC551D">
        <w:rPr>
          <w:rFonts w:eastAsia="Times New Roman"/>
          <w:bCs/>
        </w:rPr>
        <w:t>Total clearcut species composition calculated with trees per acre</w:t>
      </w:r>
      <w:r w:rsidR="00273378">
        <w:rPr>
          <w:rFonts w:eastAsia="Times New Roman"/>
          <w:bCs/>
        </w:rPr>
        <w:t>…………………...23</w:t>
      </w:r>
    </w:p>
    <w:p w14:paraId="408F6DD9" w14:textId="70EEE471" w:rsidR="004038ED" w:rsidRDefault="004038ED" w:rsidP="00111D7C">
      <w:pPr>
        <w:spacing w:line="480" w:lineRule="auto"/>
        <w:rPr>
          <w:rFonts w:eastAsia="Times New Roman"/>
          <w:bCs/>
        </w:rPr>
      </w:pPr>
      <w:r>
        <w:rPr>
          <w:rFonts w:eastAsia="Times New Roman"/>
          <w:bCs/>
        </w:rPr>
        <w:t>Figure 11:</w:t>
      </w:r>
      <w:r w:rsidR="00CC551D">
        <w:rPr>
          <w:rFonts w:eastAsia="Times New Roman"/>
          <w:bCs/>
        </w:rPr>
        <w:t xml:space="preserve"> </w:t>
      </w:r>
      <w:r w:rsidR="00CC551D" w:rsidRPr="00CC551D">
        <w:rPr>
          <w:rFonts w:eastAsia="Times New Roman"/>
          <w:bCs/>
        </w:rPr>
        <w:t>Diameter distribution of clearcuts</w:t>
      </w:r>
      <w:r w:rsidR="00273378">
        <w:rPr>
          <w:rFonts w:eastAsia="Times New Roman"/>
          <w:bCs/>
        </w:rPr>
        <w:t>……………………………………………………23</w:t>
      </w:r>
    </w:p>
    <w:p w14:paraId="12766B88" w14:textId="2B2EF53F" w:rsidR="004038ED" w:rsidRDefault="004038ED" w:rsidP="00111D7C">
      <w:pPr>
        <w:spacing w:line="480" w:lineRule="auto"/>
        <w:rPr>
          <w:rFonts w:eastAsia="Times New Roman"/>
          <w:bCs/>
        </w:rPr>
      </w:pPr>
      <w:r>
        <w:rPr>
          <w:rFonts w:eastAsia="Times New Roman"/>
          <w:bCs/>
        </w:rPr>
        <w:t>Figure 12:</w:t>
      </w:r>
      <w:r w:rsidR="00CC551D">
        <w:rPr>
          <w:rFonts w:eastAsia="Times New Roman"/>
          <w:bCs/>
        </w:rPr>
        <w:t xml:space="preserve"> </w:t>
      </w:r>
      <w:r w:rsidR="00CC551D" w:rsidRPr="00CC551D">
        <w:rPr>
          <w:rFonts w:eastAsia="Times New Roman"/>
          <w:bCs/>
        </w:rPr>
        <w:t>Average DBH of notable species in clearcuts</w:t>
      </w:r>
      <w:r w:rsidR="00273378">
        <w:rPr>
          <w:rFonts w:eastAsia="Times New Roman"/>
          <w:bCs/>
        </w:rPr>
        <w:t>………………………………………..24</w:t>
      </w:r>
    </w:p>
    <w:p w14:paraId="150AE4F0" w14:textId="0A68DB79" w:rsidR="004038ED" w:rsidRDefault="004038ED" w:rsidP="00111D7C">
      <w:pPr>
        <w:spacing w:line="480" w:lineRule="auto"/>
        <w:rPr>
          <w:rFonts w:eastAsia="Times New Roman"/>
          <w:bCs/>
        </w:rPr>
      </w:pPr>
      <w:r>
        <w:rPr>
          <w:rFonts w:eastAsia="Times New Roman"/>
          <w:bCs/>
        </w:rPr>
        <w:t>Figure 13:</w:t>
      </w:r>
      <w:r w:rsidR="00CC551D">
        <w:rPr>
          <w:rFonts w:eastAsia="Times New Roman"/>
          <w:bCs/>
        </w:rPr>
        <w:t xml:space="preserve"> </w:t>
      </w:r>
      <w:r w:rsidR="00CC551D" w:rsidRPr="00CC551D">
        <w:rPr>
          <w:rFonts w:eastAsia="Times New Roman"/>
          <w:bCs/>
        </w:rPr>
        <w:t>Total species composition of clearcuts calculated with basal area per acre</w:t>
      </w:r>
      <w:r w:rsidR="00273378">
        <w:rPr>
          <w:rFonts w:eastAsia="Times New Roman"/>
          <w:bCs/>
        </w:rPr>
        <w:t>………….24</w:t>
      </w:r>
    </w:p>
    <w:p w14:paraId="7B17B69C" w14:textId="24D26C93" w:rsidR="004038ED" w:rsidRDefault="004038ED" w:rsidP="00111D7C">
      <w:pPr>
        <w:spacing w:line="480" w:lineRule="auto"/>
        <w:rPr>
          <w:rFonts w:eastAsia="Times New Roman"/>
          <w:bCs/>
        </w:rPr>
      </w:pPr>
      <w:r>
        <w:rPr>
          <w:rFonts w:eastAsia="Times New Roman"/>
          <w:bCs/>
        </w:rPr>
        <w:t>Figure 14:</w:t>
      </w:r>
      <w:r w:rsidR="00CC551D">
        <w:rPr>
          <w:rFonts w:eastAsia="Times New Roman"/>
          <w:bCs/>
        </w:rPr>
        <w:t xml:space="preserve"> </w:t>
      </w:r>
      <w:r w:rsidR="00CC551D" w:rsidRPr="00CC551D">
        <w:rPr>
          <w:rFonts w:eastAsia="Times New Roman"/>
          <w:bCs/>
        </w:rPr>
        <w:t>Species composition of patch cut edge plots calculated using basal area per acre</w:t>
      </w:r>
      <w:r w:rsidR="00273378">
        <w:rPr>
          <w:rFonts w:eastAsia="Times New Roman"/>
          <w:bCs/>
        </w:rPr>
        <w:t>…..26</w:t>
      </w:r>
    </w:p>
    <w:p w14:paraId="2E5A4EE7" w14:textId="2A28A327" w:rsidR="00111D7C" w:rsidRDefault="00111D7C" w:rsidP="00111D7C">
      <w:pPr>
        <w:spacing w:line="480" w:lineRule="auto"/>
        <w:rPr>
          <w:rFonts w:eastAsia="Times New Roman"/>
          <w:bCs/>
        </w:rPr>
      </w:pPr>
      <w:r>
        <w:rPr>
          <w:rFonts w:eastAsia="Times New Roman"/>
          <w:bCs/>
        </w:rPr>
        <w:t>Figure 15: Patch cut harvest unit 1………………………………………………………………41</w:t>
      </w:r>
    </w:p>
    <w:p w14:paraId="7407E4E2" w14:textId="172C6E79" w:rsidR="00111D7C" w:rsidRPr="00111D7C" w:rsidRDefault="00111D7C" w:rsidP="00111D7C">
      <w:pPr>
        <w:spacing w:line="480" w:lineRule="auto"/>
        <w:rPr>
          <w:rFonts w:eastAsia="Times New Roman"/>
          <w:bCs/>
        </w:rPr>
      </w:pPr>
      <w:r>
        <w:rPr>
          <w:rFonts w:eastAsia="Times New Roman"/>
          <w:bCs/>
        </w:rPr>
        <w:t>Figure 16: Patch cut harvest unit 2 and clearcut 1……………………………………………….42</w:t>
      </w:r>
    </w:p>
    <w:p w14:paraId="3A6A5D56" w14:textId="09568B54" w:rsidR="00111D7C" w:rsidRDefault="00111D7C" w:rsidP="00111D7C">
      <w:pPr>
        <w:spacing w:line="480" w:lineRule="auto"/>
      </w:pPr>
      <w:r>
        <w:t>Figure 17: Patch cut harvest unit 3………………………………………………………………43</w:t>
      </w:r>
    </w:p>
    <w:p w14:paraId="582BB882" w14:textId="173F74D7" w:rsidR="00111D7C" w:rsidRDefault="00111D7C" w:rsidP="00111D7C">
      <w:pPr>
        <w:spacing w:line="480" w:lineRule="auto"/>
      </w:pPr>
      <w:r>
        <w:t>Figure 18: Patch cut harvest unit 4………………………………………………………………44</w:t>
      </w:r>
    </w:p>
    <w:p w14:paraId="787212CD" w14:textId="0B42DEF8" w:rsidR="00111D7C" w:rsidRDefault="00111D7C" w:rsidP="00111D7C">
      <w:pPr>
        <w:spacing w:line="480" w:lineRule="auto"/>
      </w:pPr>
      <w:r>
        <w:t>Figure 19: Clearcut 2…………………………………………………………………………….45</w:t>
      </w:r>
    </w:p>
    <w:p w14:paraId="1F708D77" w14:textId="329EEB98" w:rsidR="00111D7C" w:rsidRDefault="00111D7C" w:rsidP="00111D7C">
      <w:pPr>
        <w:spacing w:line="480" w:lineRule="auto"/>
      </w:pPr>
      <w:r>
        <w:t>Figure 20: Clearcut 3…………………………………………………………………………….46</w:t>
      </w:r>
    </w:p>
    <w:p w14:paraId="23F341C0" w14:textId="445165BD" w:rsidR="00B72900" w:rsidRPr="00B432ED" w:rsidRDefault="00B72900" w:rsidP="00B72900">
      <w:pPr>
        <w:pStyle w:val="Caption"/>
        <w:rPr>
          <w:i w:val="0"/>
          <w:iCs w:val="0"/>
          <w:color w:val="auto"/>
          <w:sz w:val="24"/>
          <w:szCs w:val="24"/>
        </w:rPr>
      </w:pPr>
      <w:r w:rsidRPr="00B432ED">
        <w:rPr>
          <w:i w:val="0"/>
          <w:iCs w:val="0"/>
          <w:color w:val="auto"/>
          <w:sz w:val="24"/>
          <w:szCs w:val="24"/>
        </w:rPr>
        <w:t xml:space="preserve">Figure </w:t>
      </w:r>
      <w:r>
        <w:rPr>
          <w:i w:val="0"/>
          <w:iCs w:val="0"/>
          <w:color w:val="auto"/>
          <w:sz w:val="24"/>
          <w:szCs w:val="24"/>
        </w:rPr>
        <w:t>21: Example of how plots were arranged in a clearcut…………………………………..47</w:t>
      </w:r>
    </w:p>
    <w:p w14:paraId="15C0E3E3" w14:textId="77777777" w:rsidR="00B72900" w:rsidRPr="00111D7C" w:rsidRDefault="00B72900" w:rsidP="00111D7C">
      <w:pPr>
        <w:spacing w:line="480" w:lineRule="auto"/>
      </w:pPr>
    </w:p>
    <w:p w14:paraId="506CB183" w14:textId="77777777" w:rsidR="009969C6" w:rsidRDefault="009969C6">
      <w:pPr>
        <w:spacing w:line="480" w:lineRule="auto"/>
        <w:rPr>
          <w:rFonts w:eastAsia="Times New Roman"/>
          <w:b/>
        </w:rPr>
      </w:pPr>
    </w:p>
    <w:p w14:paraId="74E2E19A" w14:textId="77777777" w:rsidR="009969C6" w:rsidRDefault="00E11E7D">
      <w:pPr>
        <w:spacing w:line="480" w:lineRule="auto"/>
        <w:rPr>
          <w:rFonts w:eastAsia="Times New Roman"/>
          <w:b/>
        </w:rPr>
      </w:pPr>
      <w:r>
        <w:rPr>
          <w:rFonts w:eastAsia="Times New Roman"/>
          <w:b/>
        </w:rPr>
        <w:lastRenderedPageBreak/>
        <w:t>Glossary of Terms and Abbreviations</w:t>
      </w:r>
    </w:p>
    <w:p w14:paraId="3EF5CA2E" w14:textId="77777777" w:rsidR="009969C6" w:rsidRDefault="00E11E7D">
      <w:pPr>
        <w:spacing w:line="480" w:lineRule="auto"/>
        <w:rPr>
          <w:rFonts w:eastAsia="Times New Roman"/>
        </w:rPr>
      </w:pPr>
      <w:r>
        <w:rPr>
          <w:rFonts w:eastAsia="Times New Roman"/>
        </w:rPr>
        <w:t>DBH - Diameter at breast height</w:t>
      </w:r>
    </w:p>
    <w:p w14:paraId="765A1CA7" w14:textId="7B7A039F" w:rsidR="009969C6" w:rsidRDefault="00E11E7D">
      <w:pPr>
        <w:spacing w:line="480" w:lineRule="auto"/>
        <w:rPr>
          <w:rFonts w:eastAsia="Times New Roman"/>
        </w:rPr>
      </w:pPr>
      <w:r>
        <w:rPr>
          <w:rFonts w:eastAsia="Times New Roman"/>
        </w:rPr>
        <w:t xml:space="preserve">Basal </w:t>
      </w:r>
      <w:r w:rsidR="00A83FB0">
        <w:rPr>
          <w:rFonts w:eastAsia="Times New Roman"/>
        </w:rPr>
        <w:t>a</w:t>
      </w:r>
      <w:r>
        <w:rPr>
          <w:rFonts w:eastAsia="Times New Roman"/>
        </w:rPr>
        <w:t xml:space="preserve">rea - </w:t>
      </w:r>
      <w:r w:rsidR="003A44D5">
        <w:rPr>
          <w:rFonts w:eastAsia="Times New Roman"/>
        </w:rPr>
        <w:t>C</w:t>
      </w:r>
      <w:r>
        <w:rPr>
          <w:rFonts w:eastAsia="Times New Roman"/>
        </w:rPr>
        <w:t>ross sectional area of tree</w:t>
      </w:r>
      <w:r w:rsidR="002C5B25">
        <w:rPr>
          <w:rFonts w:eastAsia="Times New Roman"/>
        </w:rPr>
        <w:t xml:space="preserve"> at DBH</w:t>
      </w:r>
    </w:p>
    <w:p w14:paraId="324B4B9A" w14:textId="42CADC80" w:rsidR="007D5CB2" w:rsidRDefault="007D5CB2">
      <w:pPr>
        <w:spacing w:line="480" w:lineRule="auto"/>
        <w:rPr>
          <w:rFonts w:eastAsia="Times New Roman"/>
        </w:rPr>
      </w:pPr>
      <w:r>
        <w:rPr>
          <w:rFonts w:eastAsia="Times New Roman"/>
        </w:rPr>
        <w:t>TPA – trees per acre</w:t>
      </w:r>
    </w:p>
    <w:p w14:paraId="363A1750" w14:textId="545813A4" w:rsidR="008E27AA" w:rsidRDefault="008E27AA">
      <w:pPr>
        <w:spacing w:line="480" w:lineRule="auto"/>
        <w:rPr>
          <w:rFonts w:eastAsia="Times New Roman"/>
        </w:rPr>
      </w:pPr>
      <w:r>
        <w:rPr>
          <w:rFonts w:eastAsia="Times New Roman"/>
        </w:rPr>
        <w:t>TDF – Tennessee Division of Forestry</w:t>
      </w:r>
    </w:p>
    <w:p w14:paraId="51F65C18" w14:textId="51D5ED7C" w:rsidR="003A75E1" w:rsidRDefault="003A75E1">
      <w:pPr>
        <w:spacing w:line="480" w:lineRule="auto"/>
        <w:rPr>
          <w:rFonts w:eastAsia="Times New Roman"/>
        </w:rPr>
      </w:pPr>
      <w:r>
        <w:rPr>
          <w:rFonts w:eastAsia="Times New Roman"/>
        </w:rPr>
        <w:t>NTSF – Natchez Trace State Forest</w:t>
      </w:r>
    </w:p>
    <w:p w14:paraId="7A0A199E" w14:textId="77777777" w:rsidR="009969C6" w:rsidRDefault="009969C6">
      <w:pPr>
        <w:spacing w:line="480" w:lineRule="auto"/>
        <w:rPr>
          <w:rFonts w:eastAsia="Times New Roman"/>
        </w:rPr>
      </w:pPr>
    </w:p>
    <w:p w14:paraId="7085B26A" w14:textId="77777777" w:rsidR="009969C6" w:rsidRDefault="00E11E7D">
      <w:pPr>
        <w:spacing w:line="480" w:lineRule="auto"/>
        <w:rPr>
          <w:rFonts w:eastAsia="Times New Roman"/>
          <w:b/>
        </w:rPr>
      </w:pPr>
      <w:r>
        <w:rPr>
          <w:rFonts w:eastAsia="Times New Roman"/>
          <w:b/>
        </w:rPr>
        <w:t>Tree Species Common Names</w:t>
      </w:r>
    </w:p>
    <w:p w14:paraId="541A7BA0" w14:textId="77777777" w:rsidR="009969C6" w:rsidRDefault="00E11E7D">
      <w:pPr>
        <w:spacing w:line="480" w:lineRule="auto"/>
        <w:rPr>
          <w:rFonts w:eastAsia="Times New Roman"/>
        </w:rPr>
      </w:pPr>
      <w:r>
        <w:rPr>
          <w:rFonts w:eastAsia="Times New Roman"/>
        </w:rPr>
        <w:t xml:space="preserve">Tulip Poplar/Poplar - </w:t>
      </w:r>
      <w:r>
        <w:rPr>
          <w:rFonts w:eastAsia="Times New Roman"/>
          <w:i/>
        </w:rPr>
        <w:t>Liriodendron tulipifera</w:t>
      </w:r>
    </w:p>
    <w:p w14:paraId="1705915A" w14:textId="77777777" w:rsidR="009969C6" w:rsidRDefault="00E11E7D">
      <w:pPr>
        <w:spacing w:line="480" w:lineRule="auto"/>
        <w:rPr>
          <w:rFonts w:eastAsia="Times New Roman"/>
        </w:rPr>
      </w:pPr>
      <w:r>
        <w:rPr>
          <w:rFonts w:eastAsia="Times New Roman"/>
        </w:rPr>
        <w:t xml:space="preserve">Cherry - </w:t>
      </w:r>
      <w:r>
        <w:rPr>
          <w:rFonts w:eastAsia="Times New Roman"/>
          <w:i/>
        </w:rPr>
        <w:t>Prunus serotina</w:t>
      </w:r>
    </w:p>
    <w:p w14:paraId="4BA5F692" w14:textId="77777777" w:rsidR="009969C6" w:rsidRDefault="00E11E7D">
      <w:pPr>
        <w:spacing w:line="480" w:lineRule="auto"/>
        <w:rPr>
          <w:rFonts w:eastAsia="Times New Roman"/>
          <w:i/>
        </w:rPr>
      </w:pPr>
      <w:r>
        <w:rPr>
          <w:rFonts w:eastAsia="Times New Roman"/>
        </w:rPr>
        <w:t xml:space="preserve">Sweetgum - </w:t>
      </w:r>
      <w:r>
        <w:rPr>
          <w:rFonts w:eastAsia="Times New Roman"/>
          <w:i/>
        </w:rPr>
        <w:t>Liquidambar styraciflua</w:t>
      </w:r>
    </w:p>
    <w:p w14:paraId="38F126D1" w14:textId="77777777" w:rsidR="009969C6" w:rsidRDefault="00E11E7D">
      <w:pPr>
        <w:spacing w:line="480" w:lineRule="auto"/>
        <w:rPr>
          <w:rFonts w:eastAsia="Times New Roman"/>
        </w:rPr>
      </w:pPr>
      <w:r>
        <w:rPr>
          <w:rFonts w:eastAsia="Times New Roman"/>
        </w:rPr>
        <w:t xml:space="preserve">Maple - </w:t>
      </w:r>
      <w:r>
        <w:rPr>
          <w:rFonts w:eastAsia="Times New Roman"/>
          <w:i/>
        </w:rPr>
        <w:t xml:space="preserve">Acer </w:t>
      </w:r>
      <w:r w:rsidRPr="00BD4080">
        <w:rPr>
          <w:rFonts w:eastAsia="Times New Roman"/>
          <w:iCs/>
        </w:rPr>
        <w:t>spp</w:t>
      </w:r>
      <w:r>
        <w:rPr>
          <w:rFonts w:eastAsia="Times New Roman"/>
          <w:i/>
        </w:rPr>
        <w:t>.</w:t>
      </w:r>
    </w:p>
    <w:p w14:paraId="166AE95C" w14:textId="77777777" w:rsidR="009969C6" w:rsidRDefault="00E11E7D">
      <w:pPr>
        <w:spacing w:line="480" w:lineRule="auto"/>
        <w:rPr>
          <w:rFonts w:eastAsia="Times New Roman"/>
        </w:rPr>
      </w:pPr>
      <w:r>
        <w:rPr>
          <w:rFonts w:eastAsia="Times New Roman"/>
        </w:rPr>
        <w:t xml:space="preserve">White Oak - </w:t>
      </w:r>
      <w:r>
        <w:rPr>
          <w:rFonts w:eastAsia="Times New Roman"/>
          <w:i/>
        </w:rPr>
        <w:t xml:space="preserve">Quercus </w:t>
      </w:r>
      <w:r>
        <w:rPr>
          <w:rFonts w:eastAsia="Times New Roman"/>
        </w:rPr>
        <w:t xml:space="preserve">species in the white oak group - section </w:t>
      </w:r>
      <w:r>
        <w:rPr>
          <w:rFonts w:eastAsia="Times New Roman"/>
          <w:i/>
        </w:rPr>
        <w:t>Quercus</w:t>
      </w:r>
    </w:p>
    <w:p w14:paraId="1E872233" w14:textId="77777777" w:rsidR="009969C6" w:rsidRDefault="00E11E7D">
      <w:pPr>
        <w:spacing w:line="480" w:lineRule="auto"/>
        <w:rPr>
          <w:rFonts w:eastAsia="Times New Roman"/>
        </w:rPr>
      </w:pPr>
      <w:r>
        <w:rPr>
          <w:rFonts w:eastAsia="Times New Roman"/>
        </w:rPr>
        <w:t xml:space="preserve">Red Oak - </w:t>
      </w:r>
      <w:r>
        <w:rPr>
          <w:rFonts w:eastAsia="Times New Roman"/>
          <w:i/>
        </w:rPr>
        <w:t xml:space="preserve">Quercus </w:t>
      </w:r>
      <w:r>
        <w:rPr>
          <w:rFonts w:eastAsia="Times New Roman"/>
        </w:rPr>
        <w:t xml:space="preserve">species in the red oak group - section </w:t>
      </w:r>
      <w:r>
        <w:rPr>
          <w:rFonts w:eastAsia="Times New Roman"/>
          <w:i/>
        </w:rPr>
        <w:t>Lobatae</w:t>
      </w:r>
    </w:p>
    <w:p w14:paraId="12093FB9" w14:textId="7E584194" w:rsidR="00802B31" w:rsidRDefault="00E11E7D">
      <w:pPr>
        <w:spacing w:line="480" w:lineRule="auto"/>
        <w:rPr>
          <w:rFonts w:eastAsia="Times New Roman"/>
          <w:i/>
        </w:rPr>
      </w:pPr>
      <w:r>
        <w:rPr>
          <w:rFonts w:eastAsia="Times New Roman"/>
        </w:rPr>
        <w:t xml:space="preserve">Hickory - </w:t>
      </w:r>
      <w:r>
        <w:rPr>
          <w:rFonts w:eastAsia="Times New Roman"/>
          <w:i/>
        </w:rPr>
        <w:t xml:space="preserve">Carya </w:t>
      </w:r>
      <w:r w:rsidRPr="00BD4080">
        <w:rPr>
          <w:rFonts w:eastAsia="Times New Roman"/>
          <w:iCs/>
        </w:rPr>
        <w:t>spp</w:t>
      </w:r>
      <w:r>
        <w:rPr>
          <w:rFonts w:eastAsia="Times New Roman"/>
          <w:i/>
        </w:rPr>
        <w:t>.</w:t>
      </w:r>
    </w:p>
    <w:p w14:paraId="1AD8B47E" w14:textId="0191E057" w:rsidR="003A75E1" w:rsidRPr="003A75E1" w:rsidRDefault="003A75E1">
      <w:pPr>
        <w:spacing w:line="480" w:lineRule="auto"/>
        <w:rPr>
          <w:rFonts w:eastAsia="Times New Roman"/>
          <w:i/>
        </w:rPr>
      </w:pPr>
      <w:r>
        <w:rPr>
          <w:rFonts w:eastAsia="Times New Roman"/>
          <w:iCs/>
        </w:rPr>
        <w:t xml:space="preserve">Loblolly – </w:t>
      </w:r>
      <w:r>
        <w:rPr>
          <w:rFonts w:eastAsia="Times New Roman"/>
          <w:i/>
        </w:rPr>
        <w:t>Pinus taeda</w:t>
      </w:r>
    </w:p>
    <w:p w14:paraId="76841FAA" w14:textId="77777777" w:rsidR="00802B31" w:rsidRDefault="00802B31">
      <w:pPr>
        <w:spacing w:line="480" w:lineRule="auto"/>
        <w:rPr>
          <w:rFonts w:eastAsia="Times New Roman"/>
          <w:i/>
        </w:rPr>
      </w:pPr>
    </w:p>
    <w:p w14:paraId="68BB0FEF" w14:textId="77777777" w:rsidR="00802B31" w:rsidRDefault="00802B31">
      <w:pPr>
        <w:spacing w:line="480" w:lineRule="auto"/>
        <w:rPr>
          <w:rFonts w:eastAsia="Times New Roman"/>
          <w:i/>
        </w:rPr>
      </w:pPr>
    </w:p>
    <w:p w14:paraId="40CA31D4" w14:textId="77777777" w:rsidR="00802B31" w:rsidRDefault="00802B31">
      <w:pPr>
        <w:spacing w:line="480" w:lineRule="auto"/>
        <w:rPr>
          <w:rFonts w:eastAsia="Times New Roman"/>
          <w:i/>
        </w:rPr>
      </w:pPr>
    </w:p>
    <w:p w14:paraId="4767C786" w14:textId="77777777" w:rsidR="00802B31" w:rsidRDefault="00802B31">
      <w:pPr>
        <w:spacing w:line="480" w:lineRule="auto"/>
        <w:sectPr w:rsidR="00802B31" w:rsidSect="00D759EE">
          <w:headerReference w:type="first" r:id="rId9"/>
          <w:pgSz w:w="12240" w:h="15840"/>
          <w:pgMar w:top="1440" w:right="1440" w:bottom="1440" w:left="1440" w:header="720" w:footer="720" w:gutter="0"/>
          <w:pgNumType w:fmt="lowerRoman" w:start="2"/>
          <w:cols w:space="720"/>
          <w:titlePg/>
          <w:docGrid w:linePitch="299"/>
        </w:sectPr>
      </w:pPr>
    </w:p>
    <w:p w14:paraId="13A8A007" w14:textId="77777777" w:rsidR="009969C6" w:rsidRDefault="009969C6" w:rsidP="00802B31">
      <w:pPr>
        <w:spacing w:line="480" w:lineRule="auto"/>
        <w:rPr>
          <w:rFonts w:eastAsia="Times New Roman"/>
        </w:rPr>
      </w:pPr>
    </w:p>
    <w:p w14:paraId="470FD5E7" w14:textId="20730B99" w:rsidR="009969C6" w:rsidRDefault="007D4B92">
      <w:pPr>
        <w:spacing w:line="480" w:lineRule="auto"/>
        <w:rPr>
          <w:rFonts w:eastAsia="Times New Roman"/>
          <w:b/>
        </w:rPr>
      </w:pPr>
      <w:r>
        <w:rPr>
          <w:rFonts w:eastAsia="Times New Roman"/>
          <w:b/>
        </w:rPr>
        <w:t xml:space="preserve">Chapter 1: </w:t>
      </w:r>
      <w:r w:rsidR="00E11E7D">
        <w:rPr>
          <w:rFonts w:eastAsia="Times New Roman"/>
          <w:b/>
        </w:rPr>
        <w:t>Introduction</w:t>
      </w:r>
    </w:p>
    <w:p w14:paraId="458DE2F2" w14:textId="45338C1E" w:rsidR="009969C6" w:rsidRDefault="00E11E7D">
      <w:pPr>
        <w:spacing w:line="480" w:lineRule="auto"/>
        <w:rPr>
          <w:rFonts w:eastAsia="Times New Roman"/>
        </w:rPr>
      </w:pPr>
      <w:r>
        <w:rPr>
          <w:rFonts w:eastAsia="Times New Roman"/>
        </w:rPr>
        <w:tab/>
        <w:t>Clearcutting is amongst the most controversial words in natural resource fields</w:t>
      </w:r>
      <w:r w:rsidR="008E27AA">
        <w:rPr>
          <w:rFonts w:eastAsia="Times New Roman"/>
        </w:rPr>
        <w:t xml:space="preserve"> (Patric 1990)</w:t>
      </w:r>
      <w:r>
        <w:rPr>
          <w:rFonts w:eastAsia="Times New Roman"/>
        </w:rPr>
        <w:t xml:space="preserve">. </w:t>
      </w:r>
      <w:r w:rsidR="008E27AA">
        <w:rPr>
          <w:rFonts w:eastAsia="Times New Roman"/>
        </w:rPr>
        <w:t>Clearcutting</w:t>
      </w:r>
      <w:r>
        <w:rPr>
          <w:rFonts w:eastAsia="Times New Roman"/>
        </w:rPr>
        <w:t xml:space="preserve"> has long been one of the most preferred methods of harvest in timber operations because it is very economical, and the regenerative effects have been well studied. Nevertheless, the public perception of clearcutting is certainly a bad one. Both historical and current events around the world have provided ample reason for people to be against clearcutting. However, using modern forestry practices, clearcutting is a widely accepted and sustainable harvest method that is endorsed by the Society of American Foresters</w:t>
      </w:r>
      <w:r w:rsidR="008E27AA">
        <w:rPr>
          <w:rFonts w:eastAsia="Times New Roman"/>
        </w:rPr>
        <w:t xml:space="preserve"> (SAF 2019)</w:t>
      </w:r>
      <w:r>
        <w:rPr>
          <w:rFonts w:eastAsia="Times New Roman"/>
        </w:rPr>
        <w:t xml:space="preserve">. </w:t>
      </w:r>
      <w:r w:rsidR="008E27AA">
        <w:rPr>
          <w:rFonts w:eastAsia="Times New Roman"/>
        </w:rPr>
        <w:t>Clearcutting</w:t>
      </w:r>
      <w:r>
        <w:rPr>
          <w:rFonts w:eastAsia="Times New Roman"/>
        </w:rPr>
        <w:t xml:space="preserve"> provides great economic returns, predictable forest regeneration, and a period of early successional habitat. Despite years of studies and endorsements from many other natural resource groups, the negative perception of clearcutting persists. This</w:t>
      </w:r>
      <w:r w:rsidR="008E27AA">
        <w:rPr>
          <w:rFonts w:eastAsia="Times New Roman"/>
        </w:rPr>
        <w:t xml:space="preserve"> perception</w:t>
      </w:r>
      <w:r>
        <w:rPr>
          <w:rFonts w:eastAsia="Times New Roman"/>
        </w:rPr>
        <w:t xml:space="preserve"> is largely due to the visual aesthetics of a clearcut harvest, as well as comparisons to unsustainable clearcut harvests being performed in locations such as the Amazon rainforest. </w:t>
      </w:r>
      <w:r w:rsidR="008E27AA">
        <w:rPr>
          <w:rFonts w:eastAsia="Times New Roman"/>
        </w:rPr>
        <w:t>Although aesthetics inevitably play a role in managing forest lands, particularly public lands, the emphasis should be placed on</w:t>
      </w:r>
      <w:r w:rsidR="003A44D5">
        <w:rPr>
          <w:rFonts w:eastAsia="Times New Roman"/>
        </w:rPr>
        <w:t xml:space="preserve"> management objectives and associated</w:t>
      </w:r>
      <w:r w:rsidR="008E27AA">
        <w:rPr>
          <w:rFonts w:eastAsia="Times New Roman"/>
        </w:rPr>
        <w:t xml:space="preserve"> biological principles.</w:t>
      </w:r>
    </w:p>
    <w:p w14:paraId="06416442" w14:textId="4713BEAD" w:rsidR="00AF3144" w:rsidRPr="00AF3144" w:rsidRDefault="00E11E7D">
      <w:pPr>
        <w:spacing w:line="480" w:lineRule="auto"/>
        <w:rPr>
          <w:rFonts w:eastAsia="Times New Roman"/>
        </w:rPr>
      </w:pPr>
      <w:r>
        <w:rPr>
          <w:rFonts w:eastAsia="Times New Roman"/>
        </w:rPr>
        <w:tab/>
        <w:t>Natural resource management decisions on public lands in the United States are almost always controversial, due to the large number of stakeholders and users that are affected by such decisions. These stakeholders often have very different preferences</w:t>
      </w:r>
      <w:r w:rsidR="003A44D5">
        <w:rPr>
          <w:rFonts w:eastAsia="Times New Roman"/>
        </w:rPr>
        <w:t xml:space="preserve"> and values</w:t>
      </w:r>
      <w:r>
        <w:rPr>
          <w:rFonts w:eastAsia="Times New Roman"/>
        </w:rPr>
        <w:t xml:space="preserve"> for how public natural resources should be managed because they all use the natural resources in very different fashions. Impassioned user groups can often influence management decisions, even if these forced decisions</w:t>
      </w:r>
      <w:r w:rsidR="00A44862">
        <w:rPr>
          <w:rFonts w:eastAsia="Times New Roman"/>
        </w:rPr>
        <w:t xml:space="preserve"> fail to meet the management objectives of the area. Foresters have tried to find new ways to harvest that accomplish the goals of a clearcut while lessening the visual impact. </w:t>
      </w:r>
      <w:r w:rsidR="00A44862">
        <w:rPr>
          <w:rFonts w:eastAsia="Times New Roman"/>
        </w:rPr>
        <w:lastRenderedPageBreak/>
        <w:t>Patch cutting is one such attempt at compromise. Patch cutting refers to small (</w:t>
      </w:r>
      <w:r w:rsidR="00976B97">
        <w:rPr>
          <w:rFonts w:eastAsia="Times New Roman"/>
        </w:rPr>
        <w:t xml:space="preserve">2 to </w:t>
      </w:r>
      <w:r w:rsidR="00A44862">
        <w:rPr>
          <w:rFonts w:eastAsia="Times New Roman"/>
        </w:rPr>
        <w:t>5</w:t>
      </w:r>
      <w:r w:rsidR="00976B97">
        <w:rPr>
          <w:rFonts w:eastAsia="Times New Roman"/>
        </w:rPr>
        <w:t>-</w:t>
      </w:r>
      <w:r w:rsidR="00A44862">
        <w:rPr>
          <w:rFonts w:eastAsia="Times New Roman"/>
        </w:rPr>
        <w:t>acre) clearcut harvests that are distributed across the landscape to provide less</w:t>
      </w:r>
      <w:r w:rsidR="0005310E">
        <w:rPr>
          <w:rFonts w:eastAsia="Times New Roman"/>
        </w:rPr>
        <w:t xml:space="preserve"> damage to the aesthetics of a site</w:t>
      </w:r>
      <w:r w:rsidR="008E27AA">
        <w:rPr>
          <w:rFonts w:eastAsia="Times New Roman"/>
        </w:rPr>
        <w:t xml:space="preserve"> (Yamasaki</w:t>
      </w:r>
      <w:r w:rsidR="0030525A">
        <w:rPr>
          <w:rFonts w:eastAsia="Times New Roman"/>
        </w:rPr>
        <w:t xml:space="preserve"> et al</w:t>
      </w:r>
      <w:r w:rsidR="004944D7">
        <w:rPr>
          <w:rFonts w:eastAsia="Times New Roman"/>
        </w:rPr>
        <w:t>.</w:t>
      </w:r>
      <w:r w:rsidR="008E27AA">
        <w:rPr>
          <w:rFonts w:eastAsia="Times New Roman"/>
        </w:rPr>
        <w:t xml:space="preserve"> 2014)</w:t>
      </w:r>
      <w:r w:rsidR="0005310E">
        <w:rPr>
          <w:rFonts w:eastAsia="Times New Roman"/>
        </w:rPr>
        <w:t>.</w:t>
      </w:r>
    </w:p>
    <w:p w14:paraId="3B96B17B" w14:textId="646996CB" w:rsidR="00EC7057" w:rsidRDefault="00E11E7D" w:rsidP="00EC7057">
      <w:pPr>
        <w:keepNext/>
        <w:spacing w:line="480" w:lineRule="auto"/>
      </w:pPr>
      <w:r>
        <w:rPr>
          <w:rFonts w:eastAsia="Times New Roman"/>
        </w:rPr>
        <w:tab/>
        <w:t xml:space="preserve">One particular instance of the debate over clearcutting took place at Natchez Trace State Forest in the late 1980's. Natchez Trace State Forest (NTSF) is a </w:t>
      </w:r>
      <w:r w:rsidR="005A3E0B">
        <w:rPr>
          <w:rFonts w:eastAsia="Times New Roman"/>
        </w:rPr>
        <w:t>36,642-acre</w:t>
      </w:r>
      <w:r>
        <w:rPr>
          <w:rFonts w:eastAsia="Times New Roman"/>
        </w:rPr>
        <w:t xml:space="preserve"> area in </w:t>
      </w:r>
      <w:r w:rsidR="008E27AA">
        <w:rPr>
          <w:rFonts w:eastAsia="Times New Roman"/>
        </w:rPr>
        <w:t>w</w:t>
      </w:r>
      <w:r>
        <w:rPr>
          <w:rFonts w:eastAsia="Times New Roman"/>
        </w:rPr>
        <w:t>estern Tennessee, approximately 30 miles east of Jackson</w:t>
      </w:r>
      <w:r w:rsidR="008E27AA">
        <w:rPr>
          <w:rFonts w:eastAsia="Times New Roman"/>
        </w:rPr>
        <w:t xml:space="preserve"> (Figure 1)</w:t>
      </w:r>
      <w:r>
        <w:rPr>
          <w:rFonts w:eastAsia="Times New Roman"/>
        </w:rPr>
        <w:t xml:space="preserve">. Like most state forests, NTSF is a multi-use area, with many stakeholders including, hunters, hikers, campers, birdwatchers, horseback riders, ATV users, and many more. NTSF is also unique in that it completely encircles Natchez Trace State Park, a </w:t>
      </w:r>
      <w:r w:rsidR="007D4B92">
        <w:rPr>
          <w:rFonts w:eastAsia="Times New Roman"/>
        </w:rPr>
        <w:t>10,154-acre</w:t>
      </w:r>
      <w:r>
        <w:rPr>
          <w:rFonts w:eastAsia="Times New Roman"/>
        </w:rPr>
        <w:t xml:space="preserve"> state park</w:t>
      </w:r>
      <w:r w:rsidR="008E27AA">
        <w:rPr>
          <w:rFonts w:eastAsia="Times New Roman"/>
        </w:rPr>
        <w:t xml:space="preserve"> (Figure 2)</w:t>
      </w:r>
      <w:r>
        <w:rPr>
          <w:rFonts w:eastAsia="Times New Roman"/>
        </w:rPr>
        <w:t>.</w:t>
      </w:r>
      <w:r w:rsidR="00560ABF">
        <w:rPr>
          <w:rFonts w:eastAsia="Times New Roman"/>
        </w:rPr>
        <w:t xml:space="preserve"> NTSF is the largest state forest in Tennessee (TD</w:t>
      </w:r>
      <w:r w:rsidR="003A44D5">
        <w:rPr>
          <w:rFonts w:eastAsia="Times New Roman"/>
        </w:rPr>
        <w:t>A-DF</w:t>
      </w:r>
      <w:r w:rsidR="009B07D1">
        <w:rPr>
          <w:rFonts w:eastAsia="Times New Roman"/>
        </w:rPr>
        <w:t xml:space="preserve"> 2021</w:t>
      </w:r>
      <w:r w:rsidR="00560ABF">
        <w:rPr>
          <w:rFonts w:eastAsia="Times New Roman"/>
        </w:rPr>
        <w:t>).</w:t>
      </w:r>
      <w:r>
        <w:rPr>
          <w:rFonts w:eastAsia="Times New Roman"/>
        </w:rPr>
        <w:t xml:space="preserve"> The forest is also bisected by Interstate 40, making the natural resource management at the NTSF highly visible. It was established in 1949 after the land was purchased by the government as a part of the New Deal. The land was greatly diminished and highly eroded due to unsustainable agricultural practices over the preceding 150 years</w:t>
      </w:r>
      <w:r w:rsidR="00DC750B">
        <w:rPr>
          <w:rFonts w:eastAsia="Times New Roman"/>
        </w:rPr>
        <w:t xml:space="preserve"> (TD</w:t>
      </w:r>
      <w:r w:rsidR="003A44D5">
        <w:rPr>
          <w:rFonts w:eastAsia="Times New Roman"/>
        </w:rPr>
        <w:t>A-DF</w:t>
      </w:r>
      <w:r w:rsidR="009B07D1">
        <w:rPr>
          <w:rFonts w:eastAsia="Times New Roman"/>
        </w:rPr>
        <w:t xml:space="preserve"> 2021</w:t>
      </w:r>
      <w:r w:rsidR="00DC750B">
        <w:rPr>
          <w:rFonts w:eastAsia="Times New Roman"/>
        </w:rPr>
        <w:t>)</w:t>
      </w:r>
      <w:r>
        <w:rPr>
          <w:rFonts w:eastAsia="Times New Roman"/>
        </w:rPr>
        <w:t xml:space="preserve">. In order to stabilize the </w:t>
      </w:r>
      <w:r w:rsidR="00DC750B">
        <w:rPr>
          <w:rFonts w:eastAsia="Times New Roman"/>
        </w:rPr>
        <w:t>soil</w:t>
      </w:r>
      <w:r>
        <w:rPr>
          <w:rFonts w:eastAsia="Times New Roman"/>
        </w:rPr>
        <w:t xml:space="preserve"> and prevent further erosion, hundreds of acres of loblolly pine</w:t>
      </w:r>
      <w:r w:rsidR="00DC750B">
        <w:rPr>
          <w:rFonts w:eastAsia="Times New Roman"/>
        </w:rPr>
        <w:t xml:space="preserve"> were planted</w:t>
      </w:r>
      <w:r>
        <w:rPr>
          <w:rFonts w:eastAsia="Times New Roman"/>
        </w:rPr>
        <w:t>. Eventually, the management shifted to what has become the standard for managing many public lands - a rotation where timber is harvested at periodic intervals to ensure there is forest area at each stage of life at any given point.</w:t>
      </w:r>
      <w:r w:rsidR="00DC750B">
        <w:rPr>
          <w:rFonts w:eastAsia="Times New Roman"/>
        </w:rPr>
        <w:t xml:space="preserve"> Creating different successional stages throughout a landscape provides a variety of wildlife habitat and helps ensure forest sustainability.</w:t>
      </w:r>
      <w:r w:rsidR="00B77A55">
        <w:rPr>
          <w:rFonts w:eastAsia="Times New Roman"/>
        </w:rPr>
        <w:t xml:space="preserve"> Despite the agricultural history of the area, the soils at NTSF </w:t>
      </w:r>
      <w:r w:rsidR="0030525A">
        <w:rPr>
          <w:rFonts w:eastAsia="Times New Roman"/>
        </w:rPr>
        <w:t>are</w:t>
      </w:r>
      <w:r w:rsidR="00B77A55">
        <w:rPr>
          <w:rFonts w:eastAsia="Times New Roman"/>
        </w:rPr>
        <w:t xml:space="preserve"> very productive from a forest regeneration standpoint.</w:t>
      </w:r>
      <w:r>
        <w:rPr>
          <w:rFonts w:eastAsia="Times New Roman"/>
        </w:rPr>
        <w:t xml:space="preserve"> At the NTSF, the </w:t>
      </w:r>
      <w:r w:rsidR="003A44D5">
        <w:rPr>
          <w:rFonts w:eastAsia="Times New Roman"/>
        </w:rPr>
        <w:t>regeneration method of choice is clearcuting</w:t>
      </w:r>
      <w:r w:rsidR="00B77A55">
        <w:rPr>
          <w:rFonts w:eastAsia="Times New Roman"/>
        </w:rPr>
        <w:t>,</w:t>
      </w:r>
      <w:r>
        <w:rPr>
          <w:rFonts w:eastAsia="Times New Roman"/>
        </w:rPr>
        <w:t xml:space="preserve"> as this is the most</w:t>
      </w:r>
      <w:r w:rsidR="00DC750B">
        <w:rPr>
          <w:rFonts w:eastAsia="Times New Roman"/>
        </w:rPr>
        <w:t xml:space="preserve"> feasible and</w:t>
      </w:r>
      <w:r>
        <w:rPr>
          <w:rFonts w:eastAsia="Times New Roman"/>
        </w:rPr>
        <w:t xml:space="preserve"> economic method given the terrain and species composition. Today, the forest is approximately 70 percent hardwood and 30 percent pine</w:t>
      </w:r>
      <w:r w:rsidR="00DC750B">
        <w:rPr>
          <w:rFonts w:eastAsia="Times New Roman"/>
        </w:rPr>
        <w:t xml:space="preserve"> (TD</w:t>
      </w:r>
      <w:r w:rsidR="003A44D5">
        <w:rPr>
          <w:rFonts w:eastAsia="Times New Roman"/>
        </w:rPr>
        <w:t>A-DF</w:t>
      </w:r>
      <w:r w:rsidR="009B07D1">
        <w:rPr>
          <w:rFonts w:eastAsia="Times New Roman"/>
        </w:rPr>
        <w:t xml:space="preserve"> 2021</w:t>
      </w:r>
      <w:r w:rsidR="00DC750B">
        <w:rPr>
          <w:rFonts w:eastAsia="Times New Roman"/>
        </w:rPr>
        <w:t>)</w:t>
      </w:r>
      <w:r>
        <w:rPr>
          <w:rFonts w:eastAsia="Times New Roman"/>
        </w:rPr>
        <w:t xml:space="preserve">. </w:t>
      </w:r>
      <w:r>
        <w:br w:type="page"/>
      </w:r>
    </w:p>
    <w:p w14:paraId="55874D9A" w14:textId="77777777" w:rsidR="00EC41D3" w:rsidRDefault="00EC41D3" w:rsidP="00E752EE">
      <w:pPr>
        <w:keepNext/>
        <w:spacing w:line="480" w:lineRule="auto"/>
        <w:jc w:val="center"/>
        <w:sectPr w:rsidR="00EC41D3" w:rsidSect="003B6F38">
          <w:pgSz w:w="12240" w:h="15840"/>
          <w:pgMar w:top="1440" w:right="1440" w:bottom="1440" w:left="1440" w:header="720" w:footer="720" w:gutter="0"/>
          <w:pgNumType w:start="1"/>
          <w:cols w:space="720"/>
          <w:titlePg/>
          <w:docGrid w:linePitch="299"/>
        </w:sectPr>
      </w:pPr>
    </w:p>
    <w:p w14:paraId="25D55CFA" w14:textId="77777777" w:rsidR="00EC41D3" w:rsidRDefault="00E752EE" w:rsidP="00EC41D3">
      <w:pPr>
        <w:keepNext/>
        <w:spacing w:line="480" w:lineRule="auto"/>
        <w:jc w:val="center"/>
      </w:pPr>
      <w:r>
        <w:rPr>
          <w:rFonts w:eastAsia="Times New Roman"/>
          <w:noProof/>
        </w:rPr>
        <w:lastRenderedPageBreak/>
        <w:drawing>
          <wp:inline distT="0" distB="0" distL="0" distR="0" wp14:anchorId="5D1AECB0" wp14:editId="7131DF3C">
            <wp:extent cx="8249542" cy="2873590"/>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0">
                      <a:extLst>
                        <a:ext uri="{28A0092B-C50C-407E-A947-70E740481C1C}">
                          <a14:useLocalDpi xmlns:a14="http://schemas.microsoft.com/office/drawing/2010/main" val="0"/>
                        </a:ext>
                      </a:extLst>
                    </a:blip>
                    <a:stretch>
                      <a:fillRect/>
                    </a:stretch>
                  </pic:blipFill>
                  <pic:spPr>
                    <a:xfrm>
                      <a:off x="0" y="0"/>
                      <a:ext cx="8249542" cy="2873590"/>
                    </a:xfrm>
                    <a:prstGeom prst="rect">
                      <a:avLst/>
                    </a:prstGeom>
                  </pic:spPr>
                </pic:pic>
              </a:graphicData>
            </a:graphic>
          </wp:inline>
        </w:drawing>
      </w:r>
    </w:p>
    <w:p w14:paraId="4BBC7035" w14:textId="17506E7F" w:rsidR="00EC41D3" w:rsidRPr="00C27B2D" w:rsidRDefault="00EC41D3" w:rsidP="00EC41D3">
      <w:pPr>
        <w:pStyle w:val="Caption"/>
        <w:jc w:val="center"/>
        <w:rPr>
          <w:i w:val="0"/>
          <w:iCs w:val="0"/>
          <w:color w:val="auto"/>
          <w:sz w:val="24"/>
          <w:szCs w:val="24"/>
        </w:rPr>
        <w:sectPr w:rsidR="00EC41D3" w:rsidRPr="00C27B2D" w:rsidSect="008B2C96">
          <w:pgSz w:w="15840" w:h="12240" w:orient="landscape"/>
          <w:pgMar w:top="1440" w:right="1440" w:bottom="1440" w:left="1440" w:header="720" w:footer="720" w:gutter="0"/>
          <w:cols w:space="720"/>
          <w:titlePg/>
          <w:docGrid w:linePitch="299"/>
        </w:sectPr>
      </w:pPr>
      <w:bookmarkStart w:id="0" w:name="_Hlk65575471"/>
      <w:r w:rsidRPr="00C27B2D">
        <w:rPr>
          <w:i w:val="0"/>
          <w:iCs w:val="0"/>
          <w:color w:val="auto"/>
          <w:sz w:val="24"/>
          <w:szCs w:val="24"/>
        </w:rPr>
        <w:t xml:space="preserve">Figure </w:t>
      </w:r>
      <w:r w:rsidR="00C0752B" w:rsidRPr="00C27B2D">
        <w:rPr>
          <w:i w:val="0"/>
          <w:iCs w:val="0"/>
          <w:color w:val="auto"/>
          <w:sz w:val="24"/>
          <w:szCs w:val="24"/>
        </w:rPr>
        <w:t>1</w:t>
      </w:r>
      <w:r w:rsidRPr="00C27B2D">
        <w:rPr>
          <w:i w:val="0"/>
          <w:iCs w:val="0"/>
          <w:color w:val="auto"/>
          <w:sz w:val="24"/>
          <w:szCs w:val="24"/>
        </w:rPr>
        <w:t>: Location of Natchez Trace State Forest in Tennesse</w:t>
      </w:r>
      <w:r w:rsidR="003A44D5" w:rsidRPr="00C27B2D">
        <w:rPr>
          <w:i w:val="0"/>
          <w:iCs w:val="0"/>
          <w:color w:val="auto"/>
          <w:sz w:val="24"/>
          <w:szCs w:val="24"/>
        </w:rPr>
        <w:t>e</w:t>
      </w:r>
    </w:p>
    <w:bookmarkEnd w:id="0"/>
    <w:p w14:paraId="3B7A8C42" w14:textId="77777777" w:rsidR="00C0752B" w:rsidRDefault="00C0752B" w:rsidP="00C0752B">
      <w:pPr>
        <w:keepNext/>
      </w:pPr>
      <w:r>
        <w:rPr>
          <w:rFonts w:eastAsia="Times New Roman"/>
          <w:noProof/>
        </w:rPr>
        <w:lastRenderedPageBreak/>
        <w:drawing>
          <wp:inline distT="0" distB="0" distL="0" distR="0" wp14:anchorId="112F2628" wp14:editId="76280AA4">
            <wp:extent cx="5944235" cy="785241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235" cy="7852410"/>
                    </a:xfrm>
                    <a:prstGeom prst="rect">
                      <a:avLst/>
                    </a:prstGeom>
                    <a:noFill/>
                  </pic:spPr>
                </pic:pic>
              </a:graphicData>
            </a:graphic>
          </wp:inline>
        </w:drawing>
      </w:r>
    </w:p>
    <w:p w14:paraId="0AC218B3" w14:textId="4C069EF0" w:rsidR="00C0752B" w:rsidRPr="00C27B2D" w:rsidRDefault="00C0752B" w:rsidP="00C0752B">
      <w:pPr>
        <w:pStyle w:val="Caption"/>
        <w:jc w:val="center"/>
        <w:rPr>
          <w:rFonts w:eastAsia="Times New Roman"/>
          <w:i w:val="0"/>
          <w:iCs w:val="0"/>
          <w:color w:val="auto"/>
          <w:sz w:val="24"/>
          <w:szCs w:val="24"/>
        </w:rPr>
      </w:pPr>
      <w:r w:rsidRPr="00C27B2D">
        <w:rPr>
          <w:i w:val="0"/>
          <w:iCs w:val="0"/>
          <w:color w:val="auto"/>
          <w:sz w:val="24"/>
          <w:szCs w:val="24"/>
        </w:rPr>
        <w:t>Figure 2: Map of Natchez Trace State Forest</w:t>
      </w:r>
    </w:p>
    <w:p w14:paraId="4CE6090A" w14:textId="77777777" w:rsidR="00C0752B" w:rsidRDefault="00C0752B">
      <w:pPr>
        <w:spacing w:line="480" w:lineRule="auto"/>
        <w:rPr>
          <w:rFonts w:eastAsia="Times New Roman"/>
        </w:rPr>
      </w:pPr>
    </w:p>
    <w:p w14:paraId="2A0D9D23" w14:textId="7A3BB020" w:rsidR="009969C6" w:rsidRDefault="00E11E7D">
      <w:pPr>
        <w:spacing w:line="480" w:lineRule="auto"/>
        <w:rPr>
          <w:rFonts w:eastAsia="Times New Roman"/>
        </w:rPr>
      </w:pPr>
      <w:r>
        <w:rPr>
          <w:rFonts w:eastAsia="Times New Roman"/>
        </w:rPr>
        <w:tab/>
        <w:t>The case study begins in the mid 1980's, when</w:t>
      </w:r>
      <w:r w:rsidR="008B5329">
        <w:rPr>
          <w:rFonts w:eastAsia="Times New Roman"/>
        </w:rPr>
        <w:t xml:space="preserve"> some users of NTSF and</w:t>
      </w:r>
      <w:r>
        <w:rPr>
          <w:rFonts w:eastAsia="Times New Roman"/>
        </w:rPr>
        <w:t xml:space="preserve"> a state legislator became critical of the clearcutting practices at NTSF. </w:t>
      </w:r>
      <w:r w:rsidR="003A44D5">
        <w:rPr>
          <w:rFonts w:eastAsia="Times New Roman"/>
        </w:rPr>
        <w:t>E</w:t>
      </w:r>
      <w:r>
        <w:rPr>
          <w:rFonts w:eastAsia="Times New Roman"/>
        </w:rPr>
        <w:t>nough public support</w:t>
      </w:r>
      <w:r w:rsidR="003A44D5">
        <w:rPr>
          <w:rFonts w:eastAsia="Times New Roman"/>
        </w:rPr>
        <w:t xml:space="preserve"> was generated</w:t>
      </w:r>
      <w:r>
        <w:rPr>
          <w:rFonts w:eastAsia="Times New Roman"/>
        </w:rPr>
        <w:t xml:space="preserve"> to convince TDF to declare</w:t>
      </w:r>
      <w:r w:rsidR="008B5329">
        <w:rPr>
          <w:rFonts w:eastAsia="Times New Roman"/>
        </w:rPr>
        <w:t xml:space="preserve"> temporarily</w:t>
      </w:r>
      <w:r>
        <w:rPr>
          <w:rFonts w:eastAsia="Times New Roman"/>
        </w:rPr>
        <w:t xml:space="preserve"> a "clearcut moratorium" at NTSF. While this declaration w</w:t>
      </w:r>
      <w:r w:rsidR="008B5329">
        <w:rPr>
          <w:rFonts w:eastAsia="Times New Roman"/>
        </w:rPr>
        <w:t>as</w:t>
      </w:r>
      <w:r>
        <w:rPr>
          <w:rFonts w:eastAsia="Times New Roman"/>
        </w:rPr>
        <w:t xml:space="preserve"> never written into any legislation or policy, </w:t>
      </w:r>
      <w:r w:rsidR="008B5329">
        <w:rPr>
          <w:rFonts w:eastAsia="Times New Roman"/>
        </w:rPr>
        <w:t>an</w:t>
      </w:r>
      <w:r>
        <w:rPr>
          <w:rFonts w:eastAsia="Times New Roman"/>
        </w:rPr>
        <w:t xml:space="preserve"> alteration of harvest </w:t>
      </w:r>
      <w:r w:rsidR="008B5329">
        <w:rPr>
          <w:rFonts w:eastAsia="Times New Roman"/>
        </w:rPr>
        <w:t>regime</w:t>
      </w:r>
      <w:r>
        <w:rPr>
          <w:rFonts w:eastAsia="Times New Roman"/>
        </w:rPr>
        <w:t xml:space="preserve"> took place at NTSF in the early 1990's. All harvests conducted at NTSF from 1990 until at least 1997 were conducted as patch cuts, which were small clearcuts of only 2</w:t>
      </w:r>
      <w:r w:rsidR="00976B97">
        <w:rPr>
          <w:rFonts w:eastAsia="Times New Roman"/>
        </w:rPr>
        <w:t xml:space="preserve"> to </w:t>
      </w:r>
      <w:r>
        <w:rPr>
          <w:rFonts w:eastAsia="Times New Roman"/>
        </w:rPr>
        <w:t>5</w:t>
      </w:r>
      <w:r w:rsidR="00976B97">
        <w:rPr>
          <w:rFonts w:eastAsia="Times New Roman"/>
        </w:rPr>
        <w:t>-</w:t>
      </w:r>
      <w:r>
        <w:rPr>
          <w:rFonts w:eastAsia="Times New Roman"/>
        </w:rPr>
        <w:t>acres. These patch</w:t>
      </w:r>
      <w:r w:rsidR="00B52A4B">
        <w:rPr>
          <w:rFonts w:eastAsia="Times New Roman"/>
        </w:rPr>
        <w:t>-</w:t>
      </w:r>
      <w:r>
        <w:rPr>
          <w:rFonts w:eastAsia="Times New Roman"/>
        </w:rPr>
        <w:t xml:space="preserve">cut harvests were inaccurately described as "group selection" in an attempt to make them more palatable to the concerned users. Eventually, public pressure eased and there was a return to </w:t>
      </w:r>
      <w:r w:rsidR="00C719DE">
        <w:rPr>
          <w:rFonts w:eastAsia="Times New Roman"/>
        </w:rPr>
        <w:t>the rotational clearcut harvest regime</w:t>
      </w:r>
      <w:r>
        <w:rPr>
          <w:rFonts w:eastAsia="Times New Roman"/>
        </w:rPr>
        <w:t xml:space="preserve">, which is in place today. This study aims to determine what changes in forest composition </w:t>
      </w:r>
      <w:r w:rsidR="00CA4FC4">
        <w:rPr>
          <w:rFonts w:eastAsia="Times New Roman"/>
        </w:rPr>
        <w:t>has taken place as</w:t>
      </w:r>
      <w:r>
        <w:rPr>
          <w:rFonts w:eastAsia="Times New Roman"/>
        </w:rPr>
        <w:t xml:space="preserve"> a result of this change in harvest </w:t>
      </w:r>
      <w:r w:rsidR="008B5329">
        <w:rPr>
          <w:rFonts w:eastAsia="Times New Roman"/>
        </w:rPr>
        <w:t>regimes</w:t>
      </w:r>
      <w:r w:rsidR="00A83FB0">
        <w:rPr>
          <w:rFonts w:eastAsia="Times New Roman"/>
        </w:rPr>
        <w:t>, and to determine the regenerative effects of patch</w:t>
      </w:r>
      <w:r w:rsidR="003A44D5">
        <w:rPr>
          <w:rFonts w:eastAsia="Times New Roman"/>
        </w:rPr>
        <w:t>-</w:t>
      </w:r>
      <w:r w:rsidR="00A83FB0">
        <w:rPr>
          <w:rFonts w:eastAsia="Times New Roman"/>
        </w:rPr>
        <w:t xml:space="preserve">cut harvesting </w:t>
      </w:r>
      <w:r w:rsidR="003A44D5">
        <w:rPr>
          <w:rFonts w:eastAsia="Times New Roman"/>
        </w:rPr>
        <w:t>at Natchez Trace State Forest</w:t>
      </w:r>
      <w:r w:rsidR="00843048">
        <w:rPr>
          <w:rFonts w:eastAsia="Times New Roman"/>
        </w:rPr>
        <w:t>.</w:t>
      </w:r>
      <w:r>
        <w:br w:type="page"/>
      </w:r>
    </w:p>
    <w:p w14:paraId="67520DC5" w14:textId="3D478D12" w:rsidR="009969C6" w:rsidRDefault="007D4B92">
      <w:pPr>
        <w:spacing w:line="480" w:lineRule="auto"/>
        <w:rPr>
          <w:rFonts w:eastAsia="Times New Roman"/>
        </w:rPr>
      </w:pPr>
      <w:r>
        <w:rPr>
          <w:rFonts w:eastAsia="Times New Roman"/>
          <w:b/>
        </w:rPr>
        <w:lastRenderedPageBreak/>
        <w:t xml:space="preserve">Chapter 2: </w:t>
      </w:r>
      <w:r w:rsidR="00E11E7D">
        <w:rPr>
          <w:rFonts w:eastAsia="Times New Roman"/>
          <w:b/>
        </w:rPr>
        <w:t>Literature Review</w:t>
      </w:r>
    </w:p>
    <w:p w14:paraId="51E73866" w14:textId="5B86DC92" w:rsidR="009969C6" w:rsidRDefault="00E11E7D">
      <w:pPr>
        <w:spacing w:line="480" w:lineRule="auto"/>
        <w:rPr>
          <w:rFonts w:eastAsia="Times New Roman"/>
        </w:rPr>
      </w:pPr>
      <w:r>
        <w:rPr>
          <w:rFonts w:eastAsia="Times New Roman"/>
        </w:rPr>
        <w:tab/>
        <w:t xml:space="preserve">The "central hardwoods region" includes most of Tennessee, Kentucky, Missouri, Illinois </w:t>
      </w:r>
      <w:r w:rsidR="00A83FB0">
        <w:rPr>
          <w:rFonts w:eastAsia="Times New Roman"/>
        </w:rPr>
        <w:t>Indiana, Ohio</w:t>
      </w:r>
      <w:r>
        <w:rPr>
          <w:rFonts w:eastAsia="Times New Roman"/>
        </w:rPr>
        <w:t>, and parts of West Virginia, Pennsylvania, and Michigan, among others (Fralish 2003). Hardwoods dominate the region outside of commercial pine plantings and some mixed species stands. The central hardwoods region is perhaps best known for its oak-hickory forests, which are of vast economic and ecological importance (Fralish 2003). Much of forest management in the region focuses on oaks and oak regeneration</w:t>
      </w:r>
      <w:r w:rsidR="0005310E">
        <w:rPr>
          <w:rFonts w:eastAsia="Times New Roman"/>
        </w:rPr>
        <w:t>. This focus is inspired by not only the high economic value of oak timber, but also its keystone role in supporting native wildlife populations throughout the region</w:t>
      </w:r>
      <w:r w:rsidR="00EE7A37">
        <w:rPr>
          <w:rFonts w:eastAsia="Times New Roman"/>
        </w:rPr>
        <w:t xml:space="preserve"> (Keyser</w:t>
      </w:r>
      <w:r w:rsidR="001C6679">
        <w:rPr>
          <w:rFonts w:eastAsia="Times New Roman"/>
        </w:rPr>
        <w:t xml:space="preserve"> et al</w:t>
      </w:r>
      <w:r w:rsidR="004944D7">
        <w:rPr>
          <w:rFonts w:eastAsia="Times New Roman"/>
        </w:rPr>
        <w:t>.</w:t>
      </w:r>
      <w:r w:rsidR="001C6679">
        <w:rPr>
          <w:rFonts w:eastAsia="Times New Roman"/>
        </w:rPr>
        <w:t xml:space="preserve"> </w:t>
      </w:r>
      <w:r w:rsidR="00EE7A37">
        <w:rPr>
          <w:rFonts w:eastAsia="Times New Roman"/>
        </w:rPr>
        <w:t>2016)</w:t>
      </w:r>
      <w:r w:rsidR="0005310E">
        <w:rPr>
          <w:rFonts w:eastAsia="Times New Roman"/>
        </w:rPr>
        <w:t>.</w:t>
      </w:r>
    </w:p>
    <w:p w14:paraId="2E6B883B" w14:textId="6936214A" w:rsidR="009969C6" w:rsidRDefault="00E11E7D">
      <w:pPr>
        <w:spacing w:line="480" w:lineRule="auto"/>
        <w:rPr>
          <w:rFonts w:eastAsia="Times New Roman"/>
        </w:rPr>
      </w:pPr>
      <w:r>
        <w:rPr>
          <w:rFonts w:eastAsia="Times New Roman"/>
        </w:rPr>
        <w:tab/>
      </w:r>
      <w:r w:rsidR="008B5329">
        <w:rPr>
          <w:rFonts w:eastAsia="Times New Roman"/>
        </w:rPr>
        <w:t>The size of a harvest area</w:t>
      </w:r>
      <w:r>
        <w:rPr>
          <w:rFonts w:eastAsia="Times New Roman"/>
        </w:rPr>
        <w:t xml:space="preserve"> </w:t>
      </w:r>
      <w:r w:rsidR="00EE7A37">
        <w:rPr>
          <w:rFonts w:eastAsia="Times New Roman"/>
        </w:rPr>
        <w:t xml:space="preserve">is </w:t>
      </w:r>
      <w:r>
        <w:rPr>
          <w:rFonts w:eastAsia="Times New Roman"/>
        </w:rPr>
        <w:t xml:space="preserve">often defined by the </w:t>
      </w:r>
      <w:r w:rsidR="008B5329">
        <w:rPr>
          <w:rFonts w:eastAsia="Times New Roman"/>
        </w:rPr>
        <w:t>method of regeneration and the light tolerance of regenerating specie</w:t>
      </w:r>
      <w:r w:rsidR="00E746C7">
        <w:rPr>
          <w:rFonts w:eastAsia="Times New Roman"/>
        </w:rPr>
        <w:t>s</w:t>
      </w:r>
      <w:r>
        <w:rPr>
          <w:rFonts w:eastAsia="Times New Roman"/>
        </w:rPr>
        <w:t xml:space="preserve">. On one end of the spectrum is clearcutting, </w:t>
      </w:r>
      <w:r w:rsidR="00E746C7">
        <w:rPr>
          <w:rFonts w:eastAsia="Times New Roman"/>
        </w:rPr>
        <w:t>with harvest</w:t>
      </w:r>
      <w:r>
        <w:rPr>
          <w:rFonts w:eastAsia="Times New Roman"/>
        </w:rPr>
        <w:t xml:space="preserve"> sizes of </w:t>
      </w:r>
      <w:r w:rsidR="00E746C7">
        <w:rPr>
          <w:rFonts w:eastAsia="Times New Roman"/>
        </w:rPr>
        <w:t>5</w:t>
      </w:r>
      <w:r>
        <w:rPr>
          <w:rFonts w:eastAsia="Times New Roman"/>
        </w:rPr>
        <w:t>+ acres to hundreds of acres. Single</w:t>
      </w:r>
      <w:r w:rsidR="00EE7A37">
        <w:rPr>
          <w:rFonts w:eastAsia="Times New Roman"/>
        </w:rPr>
        <w:t>-</w:t>
      </w:r>
      <w:r>
        <w:rPr>
          <w:rFonts w:eastAsia="Times New Roman"/>
        </w:rPr>
        <w:t xml:space="preserve">tree selection is on the opposite end of the gap size spectrum with a single tree gap size. There are a variety of </w:t>
      </w:r>
      <w:r w:rsidR="00E746C7">
        <w:rPr>
          <w:rFonts w:eastAsia="Times New Roman"/>
        </w:rPr>
        <w:t>regeneration</w:t>
      </w:r>
      <w:r>
        <w:rPr>
          <w:rFonts w:eastAsia="Times New Roman"/>
        </w:rPr>
        <w:t xml:space="preserve"> methods that fall between the two e</w:t>
      </w:r>
      <w:r w:rsidR="00E746C7">
        <w:rPr>
          <w:rFonts w:eastAsia="Times New Roman"/>
        </w:rPr>
        <w:t>xtremes</w:t>
      </w:r>
      <w:r>
        <w:rPr>
          <w:rFonts w:eastAsia="Times New Roman"/>
        </w:rPr>
        <w:t xml:space="preserve"> mentioned above. These include seed</w:t>
      </w:r>
      <w:r w:rsidR="00EE7A37">
        <w:rPr>
          <w:rFonts w:eastAsia="Times New Roman"/>
        </w:rPr>
        <w:t>-</w:t>
      </w:r>
      <w:r>
        <w:rPr>
          <w:rFonts w:eastAsia="Times New Roman"/>
        </w:rPr>
        <w:t xml:space="preserve">tree cuts, shelterwoods, and group selection. "Patch cutting", the harvest </w:t>
      </w:r>
      <w:r w:rsidR="00E746C7">
        <w:rPr>
          <w:rFonts w:eastAsia="Times New Roman"/>
        </w:rPr>
        <w:t>regime</w:t>
      </w:r>
      <w:r>
        <w:rPr>
          <w:rFonts w:eastAsia="Times New Roman"/>
        </w:rPr>
        <w:t xml:space="preserve"> that this study is focused on, falls in this intermediate range as well. These </w:t>
      </w:r>
      <w:r w:rsidR="00E746C7">
        <w:rPr>
          <w:rFonts w:eastAsia="Times New Roman"/>
        </w:rPr>
        <w:t>regeneration</w:t>
      </w:r>
      <w:r>
        <w:rPr>
          <w:rFonts w:eastAsia="Times New Roman"/>
        </w:rPr>
        <w:t xml:space="preserve"> methods developed as replications of natural gap-creating disturbances that have been observed for centuries.</w:t>
      </w:r>
      <w:r w:rsidR="00E746C7">
        <w:rPr>
          <w:rFonts w:eastAsia="Times New Roman"/>
        </w:rPr>
        <w:t xml:space="preserve"> Patch cuts are much larger than group selection</w:t>
      </w:r>
      <w:r w:rsidR="00B52A4B">
        <w:rPr>
          <w:rFonts w:eastAsia="Times New Roman"/>
        </w:rPr>
        <w:t>s</w:t>
      </w:r>
      <w:r w:rsidR="00E746C7">
        <w:rPr>
          <w:rFonts w:eastAsia="Times New Roman"/>
        </w:rPr>
        <w:t xml:space="preserve"> and simulate disturbances on much smaller areas than larger clearcuts.</w:t>
      </w:r>
      <w:r w:rsidR="00DC6CE9">
        <w:rPr>
          <w:rFonts w:eastAsia="Times New Roman"/>
        </w:rPr>
        <w:t xml:space="preserve"> </w:t>
      </w:r>
      <w:r>
        <w:rPr>
          <w:rFonts w:eastAsia="Times New Roman"/>
        </w:rPr>
        <w:t xml:space="preserve"> The same light spectrum used for gap sizes can be used to classify tree species. Larger </w:t>
      </w:r>
      <w:r w:rsidR="00E746C7">
        <w:rPr>
          <w:rFonts w:eastAsia="Times New Roman"/>
        </w:rPr>
        <w:t>openings</w:t>
      </w:r>
      <w:r>
        <w:rPr>
          <w:rFonts w:eastAsia="Times New Roman"/>
        </w:rPr>
        <w:t xml:space="preserve"> will generally favor fast</w:t>
      </w:r>
      <w:r w:rsidR="00EE7A37">
        <w:rPr>
          <w:rFonts w:eastAsia="Times New Roman"/>
        </w:rPr>
        <w:t>-</w:t>
      </w:r>
      <w:r>
        <w:rPr>
          <w:rFonts w:eastAsia="Times New Roman"/>
        </w:rPr>
        <w:t>growing</w:t>
      </w:r>
      <w:r w:rsidR="00EE7A37">
        <w:rPr>
          <w:rFonts w:eastAsia="Times New Roman"/>
        </w:rPr>
        <w:t>,</w:t>
      </w:r>
      <w:r>
        <w:rPr>
          <w:rFonts w:eastAsia="Times New Roman"/>
        </w:rPr>
        <w:t xml:space="preserve"> shade</w:t>
      </w:r>
      <w:r w:rsidR="00EE7A37">
        <w:rPr>
          <w:rFonts w:eastAsia="Times New Roman"/>
        </w:rPr>
        <w:t>-</w:t>
      </w:r>
      <w:r>
        <w:rPr>
          <w:rFonts w:eastAsia="Times New Roman"/>
        </w:rPr>
        <w:t>intolerant species; whereas, smaller gap sizes will favor shade</w:t>
      </w:r>
      <w:r w:rsidR="00976B97">
        <w:rPr>
          <w:rFonts w:eastAsia="Times New Roman"/>
        </w:rPr>
        <w:t>-</w:t>
      </w:r>
      <w:r>
        <w:rPr>
          <w:rFonts w:eastAsia="Times New Roman"/>
        </w:rPr>
        <w:t xml:space="preserve">tolerant species. However, light is not the only factor affecting regeneration. Site conditions such as soil, moisture, and seed bank also play key roles. Thus, predicting </w:t>
      </w:r>
      <w:r>
        <w:rPr>
          <w:rFonts w:eastAsia="Times New Roman"/>
        </w:rPr>
        <w:lastRenderedPageBreak/>
        <w:t xml:space="preserve">regeneration in a given area is not as simple as checking the list of native species and light tolerances. </w:t>
      </w:r>
    </w:p>
    <w:p w14:paraId="6E561DD7" w14:textId="03789099" w:rsidR="009969C6" w:rsidRDefault="00E11E7D">
      <w:pPr>
        <w:spacing w:line="480" w:lineRule="auto"/>
        <w:rPr>
          <w:rFonts w:eastAsia="Times New Roman"/>
        </w:rPr>
      </w:pPr>
      <w:r>
        <w:rPr>
          <w:rFonts w:eastAsia="Times New Roman"/>
        </w:rPr>
        <w:tab/>
        <w:t>Patch cutting, which is also referred to as simply "small clearcuts"</w:t>
      </w:r>
      <w:r w:rsidR="00DC6CE9">
        <w:rPr>
          <w:rFonts w:eastAsia="Times New Roman"/>
        </w:rPr>
        <w:t xml:space="preserve"> or “patch clearcutting”</w:t>
      </w:r>
      <w:r>
        <w:rPr>
          <w:rFonts w:eastAsia="Times New Roman"/>
        </w:rPr>
        <w:t>, generally refers to a clearcut harvest of 2</w:t>
      </w:r>
      <w:r w:rsidR="007F5615">
        <w:rPr>
          <w:rFonts w:eastAsia="Times New Roman"/>
        </w:rPr>
        <w:t xml:space="preserve"> to </w:t>
      </w:r>
      <w:r w:rsidR="00E746C7">
        <w:rPr>
          <w:rFonts w:eastAsia="Times New Roman"/>
        </w:rPr>
        <w:t>5</w:t>
      </w:r>
      <w:r>
        <w:rPr>
          <w:rFonts w:eastAsia="Times New Roman"/>
        </w:rPr>
        <w:t xml:space="preserve"> acres.</w:t>
      </w:r>
      <w:r w:rsidR="00CF113E">
        <w:rPr>
          <w:rFonts w:eastAsia="Times New Roman"/>
        </w:rPr>
        <w:t xml:space="preserve"> These 2</w:t>
      </w:r>
      <w:r w:rsidR="007F5615">
        <w:rPr>
          <w:rFonts w:eastAsia="Times New Roman"/>
        </w:rPr>
        <w:t xml:space="preserve"> to </w:t>
      </w:r>
      <w:r w:rsidR="00CF113E">
        <w:rPr>
          <w:rFonts w:eastAsia="Times New Roman"/>
        </w:rPr>
        <w:t>5</w:t>
      </w:r>
      <w:r w:rsidR="007F5615">
        <w:rPr>
          <w:rFonts w:eastAsia="Times New Roman"/>
        </w:rPr>
        <w:t>-</w:t>
      </w:r>
      <w:r w:rsidR="00CF113E">
        <w:rPr>
          <w:rFonts w:eastAsia="Times New Roman"/>
        </w:rPr>
        <w:t>acre patches create small even-aged areas within a larger uneven-aged landscape (Meadows and Stan</w:t>
      </w:r>
      <w:r w:rsidR="004C2524">
        <w:rPr>
          <w:rFonts w:eastAsia="Times New Roman"/>
        </w:rPr>
        <w:t>t</w:t>
      </w:r>
      <w:r w:rsidR="00CF113E">
        <w:rPr>
          <w:rFonts w:eastAsia="Times New Roman"/>
        </w:rPr>
        <w:t>urf 1997)</w:t>
      </w:r>
      <w:r w:rsidR="004C2524">
        <w:rPr>
          <w:rFonts w:eastAsia="Times New Roman"/>
        </w:rPr>
        <w:t>.</w:t>
      </w:r>
      <w:r w:rsidR="009125D5">
        <w:rPr>
          <w:rFonts w:eastAsia="Times New Roman"/>
        </w:rPr>
        <w:t xml:space="preserve"> </w:t>
      </w:r>
      <w:r>
        <w:rPr>
          <w:rFonts w:eastAsia="Times New Roman"/>
        </w:rPr>
        <w:t xml:space="preserve">This harvest </w:t>
      </w:r>
      <w:r w:rsidR="00C21A22">
        <w:rPr>
          <w:rFonts w:eastAsia="Times New Roman"/>
        </w:rPr>
        <w:t>regime</w:t>
      </w:r>
      <w:r>
        <w:rPr>
          <w:rFonts w:eastAsia="Times New Roman"/>
        </w:rPr>
        <w:t xml:space="preserve"> is often used to lessen the aesthetic impact of harvesting. Patch cutting is not a common harvest </w:t>
      </w:r>
      <w:r w:rsidR="00C21A22">
        <w:rPr>
          <w:rFonts w:eastAsia="Times New Roman"/>
        </w:rPr>
        <w:t>regime</w:t>
      </w:r>
      <w:r>
        <w:rPr>
          <w:rFonts w:eastAsia="Times New Roman"/>
        </w:rPr>
        <w:t xml:space="preserve"> in the </w:t>
      </w:r>
      <w:r w:rsidR="00CF113E">
        <w:rPr>
          <w:rFonts w:eastAsia="Times New Roman"/>
        </w:rPr>
        <w:t>C</w:t>
      </w:r>
      <w:r>
        <w:rPr>
          <w:rFonts w:eastAsia="Times New Roman"/>
        </w:rPr>
        <w:t xml:space="preserve">entral </w:t>
      </w:r>
      <w:r w:rsidR="00CF113E">
        <w:rPr>
          <w:rFonts w:eastAsia="Times New Roman"/>
        </w:rPr>
        <w:t>H</w:t>
      </w:r>
      <w:r>
        <w:rPr>
          <w:rFonts w:eastAsia="Times New Roman"/>
        </w:rPr>
        <w:t xml:space="preserve">ardwoods </w:t>
      </w:r>
      <w:r w:rsidR="00CF113E">
        <w:rPr>
          <w:rFonts w:eastAsia="Times New Roman"/>
        </w:rPr>
        <w:t>R</w:t>
      </w:r>
      <w:r>
        <w:rPr>
          <w:rFonts w:eastAsia="Times New Roman"/>
        </w:rPr>
        <w:t>egion, and its</w:t>
      </w:r>
      <w:r w:rsidR="00BD4080">
        <w:rPr>
          <w:rFonts w:eastAsia="Times New Roman"/>
        </w:rPr>
        <w:t xml:space="preserve"> regenerative</w:t>
      </w:r>
      <w:r>
        <w:rPr>
          <w:rFonts w:eastAsia="Times New Roman"/>
        </w:rPr>
        <w:t xml:space="preserve"> effects have not been studied extensively.</w:t>
      </w:r>
      <w:r w:rsidR="002C7C13">
        <w:rPr>
          <w:rFonts w:eastAsia="Times New Roman"/>
        </w:rPr>
        <w:t xml:space="preserve"> Similar harvest regimes of interest to this study such as clearcutting and group selection have been more extensively </w:t>
      </w:r>
      <w:r w:rsidR="003339B1">
        <w:rPr>
          <w:rFonts w:eastAsia="Times New Roman"/>
        </w:rPr>
        <w:t>researched in the region</w:t>
      </w:r>
      <w:r w:rsidR="007F5615">
        <w:rPr>
          <w:rFonts w:eastAsia="Times New Roman"/>
        </w:rPr>
        <w:t xml:space="preserve"> (McNabb and Oprean 2021</w:t>
      </w:r>
      <w:r w:rsidR="00B52A4B">
        <w:rPr>
          <w:rFonts w:eastAsia="Times New Roman"/>
        </w:rPr>
        <w:t>)</w:t>
      </w:r>
      <w:r w:rsidR="003339B1">
        <w:rPr>
          <w:rFonts w:eastAsia="Times New Roman"/>
        </w:rPr>
        <w:t xml:space="preserve">. </w:t>
      </w:r>
      <w:r>
        <w:rPr>
          <w:rFonts w:eastAsia="Times New Roman"/>
        </w:rPr>
        <w:t xml:space="preserve">However, </w:t>
      </w:r>
      <w:r w:rsidR="002C7C13">
        <w:rPr>
          <w:rFonts w:eastAsia="Times New Roman"/>
        </w:rPr>
        <w:t>patch cutting</w:t>
      </w:r>
      <w:r>
        <w:rPr>
          <w:rFonts w:eastAsia="Times New Roman"/>
        </w:rPr>
        <w:t xml:space="preserve"> is more common in New England</w:t>
      </w:r>
      <w:r w:rsidR="007F5615">
        <w:rPr>
          <w:rFonts w:eastAsia="Times New Roman"/>
        </w:rPr>
        <w:t xml:space="preserve"> (Yamasaki et al</w:t>
      </w:r>
      <w:r w:rsidR="00BD4080">
        <w:rPr>
          <w:rFonts w:eastAsia="Times New Roman"/>
        </w:rPr>
        <w:t>.</w:t>
      </w:r>
      <w:r w:rsidR="007F5615">
        <w:rPr>
          <w:rFonts w:eastAsia="Times New Roman"/>
        </w:rPr>
        <w:t xml:space="preserve"> 2014)</w:t>
      </w:r>
      <w:r>
        <w:rPr>
          <w:rFonts w:eastAsia="Times New Roman"/>
        </w:rPr>
        <w:t>, and most of the literature on the subject is from that reg</w:t>
      </w:r>
      <w:r w:rsidR="007F5615">
        <w:rPr>
          <w:rFonts w:eastAsia="Times New Roman"/>
        </w:rPr>
        <w:t>ion</w:t>
      </w:r>
      <w:r>
        <w:rPr>
          <w:rFonts w:eastAsia="Times New Roman"/>
        </w:rPr>
        <w:t>.</w:t>
      </w:r>
    </w:p>
    <w:p w14:paraId="313953D8" w14:textId="5EE0B11C" w:rsidR="00FC49AA" w:rsidRDefault="00FC49AA">
      <w:pPr>
        <w:spacing w:line="480" w:lineRule="auto"/>
        <w:rPr>
          <w:rFonts w:eastAsia="Times New Roman"/>
        </w:rPr>
      </w:pPr>
      <w:r>
        <w:rPr>
          <w:rFonts w:eastAsia="Times New Roman"/>
        </w:rPr>
        <w:tab/>
        <w:t>The patch</w:t>
      </w:r>
      <w:r w:rsidR="001C6679">
        <w:rPr>
          <w:rFonts w:eastAsia="Times New Roman"/>
        </w:rPr>
        <w:t>-</w:t>
      </w:r>
      <w:r>
        <w:rPr>
          <w:rFonts w:eastAsia="Times New Roman"/>
        </w:rPr>
        <w:t>cut harvests at NTSF were initially publicly referred to as group</w:t>
      </w:r>
      <w:r w:rsidR="001C6679">
        <w:rPr>
          <w:rFonts w:eastAsia="Times New Roman"/>
        </w:rPr>
        <w:t>-</w:t>
      </w:r>
      <w:r>
        <w:rPr>
          <w:rFonts w:eastAsia="Times New Roman"/>
        </w:rPr>
        <w:t>selection harvests. True group</w:t>
      </w:r>
      <w:r w:rsidR="001C6679">
        <w:rPr>
          <w:rFonts w:eastAsia="Times New Roman"/>
        </w:rPr>
        <w:t>-</w:t>
      </w:r>
      <w:r>
        <w:rPr>
          <w:rFonts w:eastAsia="Times New Roman"/>
        </w:rPr>
        <w:t>selection harvests are much smaller than patch cuts. A group</w:t>
      </w:r>
      <w:r w:rsidR="001C6679">
        <w:rPr>
          <w:rFonts w:eastAsia="Times New Roman"/>
        </w:rPr>
        <w:t>-</w:t>
      </w:r>
      <w:r>
        <w:rPr>
          <w:rFonts w:eastAsia="Times New Roman"/>
        </w:rPr>
        <w:t>selection harvest creates an opening that is one to two times the size of the surrounding mature trees (Nyland 2007).</w:t>
      </w:r>
      <w:r w:rsidR="00CB46C9">
        <w:rPr>
          <w:rFonts w:eastAsia="Times New Roman"/>
        </w:rPr>
        <w:t xml:space="preserve"> With group selection, the entire opening is influenced by the adjacent trees on the edge of the opening (LeDoux 1999). Patch cuts are large enough that there is at least some area where the ground receives full sunlight and is not influenced by the adjacent trees (Yamasaki et al</w:t>
      </w:r>
      <w:r w:rsidR="00BD4080">
        <w:rPr>
          <w:rFonts w:eastAsia="Times New Roman"/>
        </w:rPr>
        <w:t>.</w:t>
      </w:r>
      <w:r w:rsidR="00CB46C9">
        <w:rPr>
          <w:rFonts w:eastAsia="Times New Roman"/>
        </w:rPr>
        <w:t xml:space="preserve"> 2014).</w:t>
      </w:r>
      <w:r>
        <w:rPr>
          <w:rFonts w:eastAsia="Times New Roman"/>
        </w:rPr>
        <w:t xml:space="preserve"> A study by McNabb and Oprea</w:t>
      </w:r>
      <w:r w:rsidR="001C6679">
        <w:rPr>
          <w:rFonts w:eastAsia="Times New Roman"/>
        </w:rPr>
        <w:t>n (2021)</w:t>
      </w:r>
      <w:r>
        <w:rPr>
          <w:rFonts w:eastAsia="Times New Roman"/>
        </w:rPr>
        <w:t xml:space="preserve"> showed that group</w:t>
      </w:r>
      <w:r w:rsidR="001C6679">
        <w:rPr>
          <w:rFonts w:eastAsia="Times New Roman"/>
        </w:rPr>
        <w:t>-</w:t>
      </w:r>
      <w:r>
        <w:rPr>
          <w:rFonts w:eastAsia="Times New Roman"/>
        </w:rPr>
        <w:t>sel</w:t>
      </w:r>
      <w:r w:rsidR="009125D5">
        <w:rPr>
          <w:rFonts w:eastAsia="Times New Roman"/>
        </w:rPr>
        <w:t>e</w:t>
      </w:r>
      <w:r>
        <w:rPr>
          <w:rFonts w:eastAsia="Times New Roman"/>
        </w:rPr>
        <w:t>ction harvests create light conditions suitable for regeneration of shade</w:t>
      </w:r>
      <w:r w:rsidR="001C6679">
        <w:rPr>
          <w:rFonts w:eastAsia="Times New Roman"/>
        </w:rPr>
        <w:t>-</w:t>
      </w:r>
      <w:r>
        <w:rPr>
          <w:rFonts w:eastAsia="Times New Roman"/>
        </w:rPr>
        <w:t>tolerant and shade</w:t>
      </w:r>
      <w:r w:rsidR="001C6679">
        <w:rPr>
          <w:rFonts w:eastAsia="Times New Roman"/>
        </w:rPr>
        <w:t>-</w:t>
      </w:r>
      <w:r>
        <w:rPr>
          <w:rFonts w:eastAsia="Times New Roman"/>
        </w:rPr>
        <w:t>intermediate species.</w:t>
      </w:r>
      <w:r w:rsidR="009125D5">
        <w:rPr>
          <w:rFonts w:eastAsia="Times New Roman"/>
        </w:rPr>
        <w:t xml:space="preserve"> </w:t>
      </w:r>
      <w:r w:rsidR="00C719DE">
        <w:rPr>
          <w:rFonts w:eastAsia="Times New Roman"/>
        </w:rPr>
        <w:t>In their study, po</w:t>
      </w:r>
      <w:r w:rsidR="009125D5">
        <w:rPr>
          <w:rFonts w:eastAsia="Times New Roman"/>
        </w:rPr>
        <w:t>plar was more common in the center of the openings</w:t>
      </w:r>
      <w:r w:rsidR="00C719DE">
        <w:rPr>
          <w:rFonts w:eastAsia="Times New Roman"/>
        </w:rPr>
        <w:t>, and shade</w:t>
      </w:r>
      <w:r w:rsidR="00571315">
        <w:rPr>
          <w:rFonts w:eastAsia="Times New Roman"/>
        </w:rPr>
        <w:t>-</w:t>
      </w:r>
      <w:r w:rsidR="00C719DE">
        <w:rPr>
          <w:rFonts w:eastAsia="Times New Roman"/>
        </w:rPr>
        <w:t>tolerant</w:t>
      </w:r>
      <w:r w:rsidR="001C6679">
        <w:rPr>
          <w:rFonts w:eastAsia="Times New Roman"/>
        </w:rPr>
        <w:t>s</w:t>
      </w:r>
      <w:r w:rsidR="00571315">
        <w:rPr>
          <w:rFonts w:eastAsia="Times New Roman"/>
        </w:rPr>
        <w:t xml:space="preserve"> and shade-</w:t>
      </w:r>
      <w:r w:rsidR="00C719DE">
        <w:rPr>
          <w:rFonts w:eastAsia="Times New Roman"/>
        </w:rPr>
        <w:t xml:space="preserve">intermediates </w:t>
      </w:r>
      <w:r w:rsidR="00571315">
        <w:rPr>
          <w:rFonts w:eastAsia="Times New Roman"/>
        </w:rPr>
        <w:t xml:space="preserve">were </w:t>
      </w:r>
      <w:r w:rsidR="00C719DE">
        <w:rPr>
          <w:rFonts w:eastAsia="Times New Roman"/>
        </w:rPr>
        <w:t>more common around the edge. Given the increased proportion of edge with a gap of this size, it would be expected that those shad</w:t>
      </w:r>
      <w:r w:rsidR="00843048">
        <w:rPr>
          <w:rFonts w:eastAsia="Times New Roman"/>
        </w:rPr>
        <w:t>e</w:t>
      </w:r>
      <w:r w:rsidR="00C719DE">
        <w:rPr>
          <w:rFonts w:eastAsia="Times New Roman"/>
        </w:rPr>
        <w:t xml:space="preserve"> tolerant/intermediates would benefit the most from a group</w:t>
      </w:r>
      <w:r w:rsidR="001C6679">
        <w:rPr>
          <w:rFonts w:eastAsia="Times New Roman"/>
        </w:rPr>
        <w:t>-</w:t>
      </w:r>
      <w:r w:rsidR="00C719DE">
        <w:rPr>
          <w:rFonts w:eastAsia="Times New Roman"/>
        </w:rPr>
        <w:t>selection harvest</w:t>
      </w:r>
      <w:r w:rsidR="009125D5">
        <w:rPr>
          <w:rFonts w:eastAsia="Times New Roman"/>
        </w:rPr>
        <w:t xml:space="preserve">. </w:t>
      </w:r>
      <w:r w:rsidR="00C719DE">
        <w:rPr>
          <w:rFonts w:eastAsia="Times New Roman"/>
        </w:rPr>
        <w:t>However</w:t>
      </w:r>
      <w:r w:rsidR="001C6679">
        <w:rPr>
          <w:rFonts w:eastAsia="Times New Roman"/>
        </w:rPr>
        <w:t>,</w:t>
      </w:r>
      <w:r w:rsidR="00C719DE">
        <w:rPr>
          <w:rFonts w:eastAsia="Times New Roman"/>
        </w:rPr>
        <w:t xml:space="preserve"> for </w:t>
      </w:r>
      <w:r w:rsidR="00C719DE">
        <w:rPr>
          <w:rFonts w:eastAsia="Times New Roman"/>
        </w:rPr>
        <w:lastRenderedPageBreak/>
        <w:t>shade</w:t>
      </w:r>
      <w:r w:rsidR="001C6679">
        <w:rPr>
          <w:rFonts w:eastAsia="Times New Roman"/>
        </w:rPr>
        <w:t>-</w:t>
      </w:r>
      <w:r w:rsidR="00C719DE">
        <w:rPr>
          <w:rFonts w:eastAsia="Times New Roman"/>
        </w:rPr>
        <w:t>intermediate species like oak, advanced reproduction or cut stumps must be present in order to ensure that they will be present in the new stand (Clatterbuck and Meadows 1993).</w:t>
      </w:r>
      <w:r w:rsidR="00554780">
        <w:rPr>
          <w:rFonts w:eastAsia="Times New Roman"/>
        </w:rPr>
        <w:t xml:space="preserve"> </w:t>
      </w:r>
      <w:r w:rsidR="000E0786">
        <w:rPr>
          <w:rFonts w:eastAsia="Times New Roman"/>
        </w:rPr>
        <w:t>When a regenerated oak stem reaches 4-6 feet in height it is considered “advanced regeneration” (Schweitzer</w:t>
      </w:r>
      <w:r w:rsidR="001C6679">
        <w:rPr>
          <w:rFonts w:eastAsia="Times New Roman"/>
        </w:rPr>
        <w:t xml:space="preserve"> et al</w:t>
      </w:r>
      <w:r w:rsidR="00BD4080">
        <w:rPr>
          <w:rFonts w:eastAsia="Times New Roman"/>
        </w:rPr>
        <w:t>.</w:t>
      </w:r>
      <w:r w:rsidR="000E0786">
        <w:rPr>
          <w:rFonts w:eastAsia="Times New Roman"/>
        </w:rPr>
        <w:t xml:space="preserve"> 2016).</w:t>
      </w:r>
      <w:r w:rsidR="00582BDE">
        <w:rPr>
          <w:rFonts w:eastAsia="Times New Roman"/>
        </w:rPr>
        <w:t xml:space="preserve"> Advanced regeneration of oak is an important prerequisite for oak to be a component in a new stand regardless of regeneration method, and there is a great deal of literature on the subject of advanced oak regeneration</w:t>
      </w:r>
      <w:r w:rsidR="001C6679">
        <w:rPr>
          <w:rFonts w:eastAsia="Times New Roman"/>
        </w:rPr>
        <w:t xml:space="preserve"> (Keyser et al</w:t>
      </w:r>
      <w:r w:rsidR="00BD4080">
        <w:rPr>
          <w:rFonts w:eastAsia="Times New Roman"/>
        </w:rPr>
        <w:t>.</w:t>
      </w:r>
      <w:r w:rsidR="001C6679">
        <w:rPr>
          <w:rFonts w:eastAsia="Times New Roman"/>
        </w:rPr>
        <w:t xml:space="preserve"> 2016)</w:t>
      </w:r>
      <w:r w:rsidR="00582BDE">
        <w:rPr>
          <w:rFonts w:eastAsia="Times New Roman"/>
        </w:rPr>
        <w:t>.</w:t>
      </w:r>
    </w:p>
    <w:p w14:paraId="0574B655" w14:textId="2C18C4D9" w:rsidR="00FF3232" w:rsidRDefault="0045366E">
      <w:pPr>
        <w:spacing w:line="480" w:lineRule="auto"/>
        <w:rPr>
          <w:rFonts w:eastAsia="Times New Roman"/>
        </w:rPr>
      </w:pPr>
      <w:r>
        <w:rPr>
          <w:rFonts w:eastAsia="Times New Roman"/>
        </w:rPr>
        <w:tab/>
        <w:t>Clearcutting is</w:t>
      </w:r>
      <w:r w:rsidR="002D0D4B">
        <w:rPr>
          <w:rFonts w:eastAsia="Times New Roman"/>
        </w:rPr>
        <w:t xml:space="preserve"> the most easily recognizable forest</w:t>
      </w:r>
      <w:r w:rsidR="00D12A87">
        <w:rPr>
          <w:rFonts w:eastAsia="Times New Roman"/>
        </w:rPr>
        <w:t xml:space="preserve"> regeneration</w:t>
      </w:r>
      <w:r w:rsidR="002D0D4B">
        <w:rPr>
          <w:rFonts w:eastAsia="Times New Roman"/>
        </w:rPr>
        <w:t xml:space="preserve"> method and</w:t>
      </w:r>
      <w:r>
        <w:rPr>
          <w:rFonts w:eastAsia="Times New Roman"/>
        </w:rPr>
        <w:t xml:space="preserve"> the most commonly used harvest </w:t>
      </w:r>
      <w:r w:rsidR="00C21A22">
        <w:rPr>
          <w:rFonts w:eastAsia="Times New Roman"/>
        </w:rPr>
        <w:t>regime</w:t>
      </w:r>
      <w:r>
        <w:rPr>
          <w:rFonts w:eastAsia="Times New Roman"/>
        </w:rPr>
        <w:t xml:space="preserve"> in the </w:t>
      </w:r>
      <w:r w:rsidR="00A72634">
        <w:rPr>
          <w:rFonts w:eastAsia="Times New Roman"/>
        </w:rPr>
        <w:t>C</w:t>
      </w:r>
      <w:r>
        <w:rPr>
          <w:rFonts w:eastAsia="Times New Roman"/>
        </w:rPr>
        <w:t xml:space="preserve">entral </w:t>
      </w:r>
      <w:r w:rsidR="00A72634">
        <w:rPr>
          <w:rFonts w:eastAsia="Times New Roman"/>
        </w:rPr>
        <w:t>H</w:t>
      </w:r>
      <w:r>
        <w:rPr>
          <w:rFonts w:eastAsia="Times New Roman"/>
        </w:rPr>
        <w:t xml:space="preserve">ardwoods </w:t>
      </w:r>
      <w:r w:rsidR="00A72634">
        <w:rPr>
          <w:rFonts w:eastAsia="Times New Roman"/>
        </w:rPr>
        <w:t>R</w:t>
      </w:r>
      <w:r>
        <w:rPr>
          <w:rFonts w:eastAsia="Times New Roman"/>
        </w:rPr>
        <w:t xml:space="preserve">egion. While harvest size varies depending on a multitude of factors, a harvest is generally considered a clearcut when it is </w:t>
      </w:r>
      <w:r w:rsidR="00DA7849">
        <w:rPr>
          <w:rFonts w:eastAsia="Times New Roman"/>
        </w:rPr>
        <w:t>five</w:t>
      </w:r>
      <w:r>
        <w:rPr>
          <w:rFonts w:eastAsia="Times New Roman"/>
        </w:rPr>
        <w:t xml:space="preserve"> or more acres and can be as large as the harvest area allows. </w:t>
      </w:r>
      <w:r w:rsidR="00E95B91">
        <w:rPr>
          <w:rFonts w:eastAsia="Times New Roman"/>
        </w:rPr>
        <w:t>Ideally, c</w:t>
      </w:r>
      <w:r>
        <w:rPr>
          <w:rFonts w:eastAsia="Times New Roman"/>
        </w:rPr>
        <w:t xml:space="preserve">learcutting removes all trees in the stand, allowing full sunlight </w:t>
      </w:r>
      <w:r w:rsidR="00C21A22">
        <w:rPr>
          <w:rFonts w:eastAsia="Times New Roman"/>
        </w:rPr>
        <w:t>to</w:t>
      </w:r>
      <w:r>
        <w:rPr>
          <w:rFonts w:eastAsia="Times New Roman"/>
        </w:rPr>
        <w:t xml:space="preserve"> the ground throughout the harvest area, regenerating an even-aged stand.</w:t>
      </w:r>
      <w:r w:rsidR="00E95B91">
        <w:rPr>
          <w:rFonts w:eastAsia="Times New Roman"/>
        </w:rPr>
        <w:t xml:space="preserve"> Clearcuts fall into two categories: sil</w:t>
      </w:r>
      <w:r w:rsidR="00A82836">
        <w:rPr>
          <w:rFonts w:eastAsia="Times New Roman"/>
        </w:rPr>
        <w:t>vicultural clearcuts, where all stems are removed, and commercial clearcuts, where all merchantable stems are removed</w:t>
      </w:r>
      <w:r w:rsidR="000B7229">
        <w:rPr>
          <w:rFonts w:eastAsia="Times New Roman"/>
        </w:rPr>
        <w:t xml:space="preserve"> (Fox et al</w:t>
      </w:r>
      <w:r w:rsidR="00BD4080">
        <w:rPr>
          <w:rFonts w:eastAsia="Times New Roman"/>
        </w:rPr>
        <w:t>.</w:t>
      </w:r>
      <w:r w:rsidR="000B7229">
        <w:rPr>
          <w:rFonts w:eastAsia="Times New Roman"/>
        </w:rPr>
        <w:t xml:space="preserve"> 2007)</w:t>
      </w:r>
      <w:r w:rsidR="00A82836">
        <w:rPr>
          <w:rFonts w:eastAsia="Times New Roman"/>
        </w:rPr>
        <w:t>.</w:t>
      </w:r>
      <w:r>
        <w:rPr>
          <w:rFonts w:eastAsia="Times New Roman"/>
        </w:rPr>
        <w:t xml:space="preserve"> The exposed soil is quickly overtaken by early successional species.</w:t>
      </w:r>
      <w:r w:rsidR="002D0D4B">
        <w:rPr>
          <w:rFonts w:eastAsia="Times New Roman"/>
        </w:rPr>
        <w:t xml:space="preserve"> Special care must be taken in areas near streams or highly sloped areas to prevent erosion. Clearcutting is a </w:t>
      </w:r>
      <w:r w:rsidR="00C21A22">
        <w:rPr>
          <w:rFonts w:eastAsia="Times New Roman"/>
        </w:rPr>
        <w:t>regeneration</w:t>
      </w:r>
      <w:r w:rsidR="002D0D4B">
        <w:rPr>
          <w:rFonts w:eastAsia="Times New Roman"/>
        </w:rPr>
        <w:t xml:space="preserve"> method</w:t>
      </w:r>
      <w:r w:rsidR="00843048">
        <w:rPr>
          <w:rFonts w:eastAsia="Times New Roman"/>
        </w:rPr>
        <w:t>, i</w:t>
      </w:r>
      <w:r w:rsidR="002D0D4B">
        <w:rPr>
          <w:rFonts w:eastAsia="Times New Roman"/>
        </w:rPr>
        <w:t>n forest management it is used to regenerate an even</w:t>
      </w:r>
      <w:r w:rsidR="00843048">
        <w:rPr>
          <w:rFonts w:eastAsia="Times New Roman"/>
        </w:rPr>
        <w:t>-</w:t>
      </w:r>
      <w:r w:rsidR="002D0D4B">
        <w:rPr>
          <w:rFonts w:eastAsia="Times New Roman"/>
        </w:rPr>
        <w:t>aged stand. The practice of clearcutting has nothing to do with converting land to a different use</w:t>
      </w:r>
      <w:r w:rsidR="0005310E">
        <w:rPr>
          <w:rFonts w:eastAsia="Times New Roman"/>
        </w:rPr>
        <w:t>, as is seen when land is cleared for economic development or pastureland.</w:t>
      </w:r>
      <w:r w:rsidR="00FF3232">
        <w:rPr>
          <w:rFonts w:eastAsia="Times New Roman"/>
        </w:rPr>
        <w:t xml:space="preserve"> </w:t>
      </w:r>
    </w:p>
    <w:p w14:paraId="6CB46914" w14:textId="6786E7A0" w:rsidR="002D0D4B" w:rsidRDefault="00FF3232" w:rsidP="00FF3232">
      <w:pPr>
        <w:spacing w:line="480" w:lineRule="auto"/>
        <w:ind w:firstLine="720"/>
        <w:rPr>
          <w:rFonts w:eastAsia="Times New Roman"/>
        </w:rPr>
      </w:pPr>
      <w:r>
        <w:rPr>
          <w:rFonts w:eastAsia="Times New Roman"/>
        </w:rPr>
        <w:t xml:space="preserve">Historically, disturbance events such as large wildfires created conditions similar to those of a clearcut harvest. Wildfires on that scale are rarely ever seen in the </w:t>
      </w:r>
      <w:r w:rsidR="00A72634">
        <w:rPr>
          <w:rFonts w:eastAsia="Times New Roman"/>
        </w:rPr>
        <w:t>C</w:t>
      </w:r>
      <w:r>
        <w:rPr>
          <w:rFonts w:eastAsia="Times New Roman"/>
        </w:rPr>
        <w:t xml:space="preserve">entral </w:t>
      </w:r>
      <w:r w:rsidR="00A72634">
        <w:rPr>
          <w:rFonts w:eastAsia="Times New Roman"/>
        </w:rPr>
        <w:t>H</w:t>
      </w:r>
      <w:r>
        <w:rPr>
          <w:rFonts w:eastAsia="Times New Roman"/>
        </w:rPr>
        <w:t xml:space="preserve">ardwoods </w:t>
      </w:r>
      <w:r w:rsidR="00A72634">
        <w:rPr>
          <w:rFonts w:eastAsia="Times New Roman"/>
        </w:rPr>
        <w:t>R</w:t>
      </w:r>
      <w:r>
        <w:rPr>
          <w:rFonts w:eastAsia="Times New Roman"/>
        </w:rPr>
        <w:t xml:space="preserve">egion today. Thus, clearcut harvests play an important role in allowing early successional herbaceous plant species to persist. </w:t>
      </w:r>
      <w:r w:rsidR="00A42309">
        <w:rPr>
          <w:rFonts w:eastAsia="Times New Roman"/>
        </w:rPr>
        <w:t xml:space="preserve">Early successional habitat has decreased throughout the </w:t>
      </w:r>
      <w:r w:rsidR="00A42309">
        <w:rPr>
          <w:rFonts w:eastAsia="Times New Roman"/>
        </w:rPr>
        <w:lastRenderedPageBreak/>
        <w:t>United States for a variety of reasons</w:t>
      </w:r>
      <w:r w:rsidR="00A82836">
        <w:rPr>
          <w:rFonts w:eastAsia="Times New Roman"/>
        </w:rPr>
        <w:t xml:space="preserve"> (Yamasaki et al</w:t>
      </w:r>
      <w:r w:rsidR="00BD4080">
        <w:rPr>
          <w:rFonts w:eastAsia="Times New Roman"/>
        </w:rPr>
        <w:t>.</w:t>
      </w:r>
      <w:r w:rsidR="00A82836">
        <w:rPr>
          <w:rFonts w:eastAsia="Times New Roman"/>
        </w:rPr>
        <w:t xml:space="preserve"> 2014)</w:t>
      </w:r>
      <w:r w:rsidR="00A42309">
        <w:rPr>
          <w:rFonts w:eastAsia="Times New Roman"/>
        </w:rPr>
        <w:t xml:space="preserve">, including a reduction in disturbances and even-aged management like clearcutting. </w:t>
      </w:r>
    </w:p>
    <w:p w14:paraId="65D7EDDC" w14:textId="788AFB78" w:rsidR="001C3FFA" w:rsidRDefault="002D0D4B">
      <w:pPr>
        <w:spacing w:line="480" w:lineRule="auto"/>
        <w:rPr>
          <w:rFonts w:eastAsia="Times New Roman"/>
        </w:rPr>
      </w:pPr>
      <w:r>
        <w:rPr>
          <w:rFonts w:eastAsia="Times New Roman"/>
        </w:rPr>
        <w:tab/>
        <w:t xml:space="preserve">The regenerative effects of clearcutting in the </w:t>
      </w:r>
      <w:r w:rsidR="00A72634">
        <w:rPr>
          <w:rFonts w:eastAsia="Times New Roman"/>
        </w:rPr>
        <w:t>C</w:t>
      </w:r>
      <w:r>
        <w:rPr>
          <w:rFonts w:eastAsia="Times New Roman"/>
        </w:rPr>
        <w:t xml:space="preserve">entral </w:t>
      </w:r>
      <w:r w:rsidR="00A72634">
        <w:rPr>
          <w:rFonts w:eastAsia="Times New Roman"/>
        </w:rPr>
        <w:t>H</w:t>
      </w:r>
      <w:r>
        <w:rPr>
          <w:rFonts w:eastAsia="Times New Roman"/>
        </w:rPr>
        <w:t xml:space="preserve">ardwoods </w:t>
      </w:r>
      <w:r w:rsidR="00A72634">
        <w:rPr>
          <w:rFonts w:eastAsia="Times New Roman"/>
        </w:rPr>
        <w:t>R</w:t>
      </w:r>
      <w:r>
        <w:rPr>
          <w:rFonts w:eastAsia="Times New Roman"/>
        </w:rPr>
        <w:t xml:space="preserve">egion have been well documented. Tulip poplar is </w:t>
      </w:r>
      <w:r w:rsidR="00A82836">
        <w:rPr>
          <w:rFonts w:eastAsia="Times New Roman"/>
        </w:rPr>
        <w:t xml:space="preserve">one of the </w:t>
      </w:r>
      <w:r w:rsidR="0055485C">
        <w:rPr>
          <w:rFonts w:eastAsia="Times New Roman"/>
        </w:rPr>
        <w:t>greatest</w:t>
      </w:r>
      <w:r w:rsidR="00A82836">
        <w:rPr>
          <w:rFonts w:eastAsia="Times New Roman"/>
        </w:rPr>
        <w:t xml:space="preserve"> beneficiaries</w:t>
      </w:r>
      <w:r>
        <w:rPr>
          <w:rFonts w:eastAsia="Times New Roman"/>
        </w:rPr>
        <w:t xml:space="preserve"> of a clearcut harvest</w:t>
      </w:r>
      <w:r w:rsidR="0034102C">
        <w:rPr>
          <w:rFonts w:eastAsia="Times New Roman"/>
        </w:rPr>
        <w:t xml:space="preserve"> in the Central Hardwoods Region</w:t>
      </w:r>
      <w:r w:rsidR="00A72634">
        <w:rPr>
          <w:rFonts w:eastAsia="Times New Roman"/>
        </w:rPr>
        <w:t>, and a very common species throughout the region</w:t>
      </w:r>
      <w:r w:rsidR="00A82836">
        <w:rPr>
          <w:rFonts w:eastAsia="Times New Roman"/>
        </w:rPr>
        <w:t xml:space="preserve"> where moisture permits</w:t>
      </w:r>
      <w:r>
        <w:rPr>
          <w:rFonts w:eastAsia="Times New Roman"/>
        </w:rPr>
        <w:t>.</w:t>
      </w:r>
      <w:r w:rsidR="0034102C">
        <w:rPr>
          <w:rFonts w:eastAsia="Times New Roman"/>
        </w:rPr>
        <w:t xml:space="preserve"> Poplar is the state tree of Indiana, Kentucky, and Tennessee</w:t>
      </w:r>
      <w:r w:rsidR="00053EB8">
        <w:rPr>
          <w:rFonts w:eastAsia="Times New Roman"/>
        </w:rPr>
        <w:t xml:space="preserve"> (McPherson 2013)</w:t>
      </w:r>
      <w:r w:rsidR="0034102C">
        <w:rPr>
          <w:rFonts w:eastAsia="Times New Roman"/>
        </w:rPr>
        <w:t>.</w:t>
      </w:r>
      <w:r>
        <w:rPr>
          <w:rFonts w:eastAsia="Times New Roman"/>
        </w:rPr>
        <w:t xml:space="preserve"> This sun-loving species has</w:t>
      </w:r>
      <w:r w:rsidR="00A44862">
        <w:rPr>
          <w:rFonts w:eastAsia="Times New Roman"/>
        </w:rPr>
        <w:t xml:space="preserve"> wind-dispersed</w:t>
      </w:r>
      <w:r>
        <w:rPr>
          <w:rFonts w:eastAsia="Times New Roman"/>
        </w:rPr>
        <w:t xml:space="preserve"> seed that remains viable in the seed bank for up to seven years</w:t>
      </w:r>
      <w:r w:rsidR="00AE095F">
        <w:rPr>
          <w:rFonts w:eastAsia="Times New Roman"/>
        </w:rPr>
        <w:t>, and it is a prolific stump sprouter</w:t>
      </w:r>
      <w:r w:rsidR="00B5632A">
        <w:rPr>
          <w:rFonts w:eastAsia="Times New Roman"/>
        </w:rPr>
        <w:t xml:space="preserve"> (Beck</w:t>
      </w:r>
      <w:r w:rsidR="00702090">
        <w:rPr>
          <w:rFonts w:eastAsia="Times New Roman"/>
        </w:rPr>
        <w:t xml:space="preserve"> and Della-Bianca 1981)</w:t>
      </w:r>
      <w:r>
        <w:rPr>
          <w:rFonts w:eastAsia="Times New Roman"/>
        </w:rPr>
        <w:t xml:space="preserve">. </w:t>
      </w:r>
      <w:r w:rsidR="00B934C4">
        <w:rPr>
          <w:rFonts w:eastAsia="Times New Roman"/>
        </w:rPr>
        <w:t>Poplar</w:t>
      </w:r>
      <w:r>
        <w:rPr>
          <w:rFonts w:eastAsia="Times New Roman"/>
        </w:rPr>
        <w:t xml:space="preserve"> grows incredibly quickly on the newly disturbed site. </w:t>
      </w:r>
      <w:r w:rsidR="00A44862">
        <w:rPr>
          <w:rFonts w:eastAsia="Times New Roman"/>
        </w:rPr>
        <w:t xml:space="preserve">Oak species also regenerate </w:t>
      </w:r>
      <w:r w:rsidR="00CB2FFE">
        <w:rPr>
          <w:rFonts w:eastAsia="Times New Roman"/>
        </w:rPr>
        <w:t>consistently</w:t>
      </w:r>
      <w:r w:rsidR="00A44862">
        <w:rPr>
          <w:rFonts w:eastAsia="Times New Roman"/>
        </w:rPr>
        <w:t xml:space="preserve"> on clearcut sites, provided that there is a nearby seed source</w:t>
      </w:r>
      <w:r w:rsidR="00A82836">
        <w:rPr>
          <w:rFonts w:eastAsia="Times New Roman"/>
        </w:rPr>
        <w:t>, advanced regeneration</w:t>
      </w:r>
      <w:r w:rsidR="00B934C4">
        <w:rPr>
          <w:rFonts w:eastAsia="Times New Roman"/>
        </w:rPr>
        <w:t xml:space="preserve"> or an intact root system </w:t>
      </w:r>
      <w:r w:rsidR="00A82836">
        <w:rPr>
          <w:rFonts w:eastAsia="Times New Roman"/>
        </w:rPr>
        <w:t>for sprouting</w:t>
      </w:r>
      <w:r w:rsidR="00A44862">
        <w:rPr>
          <w:rFonts w:eastAsia="Times New Roman"/>
        </w:rPr>
        <w:t>. There are other harvest strategies that target oaks specifically, such as shelterwoods, but on average site, clearcutting will usually regenerate oak to an acceptable level</w:t>
      </w:r>
      <w:r w:rsidR="00B5632A">
        <w:rPr>
          <w:rFonts w:eastAsia="Times New Roman"/>
        </w:rPr>
        <w:t xml:space="preserve"> if advanced regeneration and or stump sprouts are present</w:t>
      </w:r>
      <w:r w:rsidR="00B934C4">
        <w:rPr>
          <w:rFonts w:eastAsia="Times New Roman"/>
        </w:rPr>
        <w:t xml:space="preserve"> (McGee 1992)</w:t>
      </w:r>
      <w:r w:rsidR="00A44862">
        <w:rPr>
          <w:rFonts w:eastAsia="Times New Roman"/>
        </w:rPr>
        <w:t>.</w:t>
      </w:r>
      <w:r w:rsidR="00B5632A">
        <w:rPr>
          <w:rFonts w:eastAsia="Times New Roman"/>
        </w:rPr>
        <w:t xml:space="preserve"> New oak seedlings cannot compete with already established reproduction o</w:t>
      </w:r>
      <w:r w:rsidR="00A82836">
        <w:rPr>
          <w:rFonts w:eastAsia="Times New Roman"/>
        </w:rPr>
        <w:t>r</w:t>
      </w:r>
      <w:r w:rsidR="00B5632A">
        <w:rPr>
          <w:rFonts w:eastAsia="Times New Roman"/>
        </w:rPr>
        <w:t xml:space="preserve"> sprouts (Johnson and Krinard 1976).</w:t>
      </w:r>
      <w:r w:rsidR="00A44862">
        <w:rPr>
          <w:rFonts w:eastAsia="Times New Roman"/>
        </w:rPr>
        <w:t xml:space="preserve"> Shade</w:t>
      </w:r>
      <w:r w:rsidR="00976B97">
        <w:rPr>
          <w:rFonts w:eastAsia="Times New Roman"/>
        </w:rPr>
        <w:t>-</w:t>
      </w:r>
      <w:r w:rsidR="00A44862">
        <w:rPr>
          <w:rFonts w:eastAsia="Times New Roman"/>
        </w:rPr>
        <w:t xml:space="preserve">tolerant species such as maple grow </w:t>
      </w:r>
      <w:r w:rsidR="00B934C4">
        <w:rPr>
          <w:rFonts w:eastAsia="Times New Roman"/>
        </w:rPr>
        <w:t>slowly</w:t>
      </w:r>
      <w:r w:rsidR="00A82836">
        <w:rPr>
          <w:rFonts w:eastAsia="Times New Roman"/>
        </w:rPr>
        <w:t xml:space="preserve"> and</w:t>
      </w:r>
      <w:r w:rsidR="00A44862">
        <w:rPr>
          <w:rFonts w:eastAsia="Times New Roman"/>
        </w:rPr>
        <w:t xml:space="preserve"> colonize an area after a clearcut</w:t>
      </w:r>
      <w:r w:rsidR="00B934C4">
        <w:rPr>
          <w:rFonts w:eastAsia="Times New Roman"/>
        </w:rPr>
        <w:t xml:space="preserve"> if their propagules are present</w:t>
      </w:r>
      <w:r w:rsidR="00A44862">
        <w:rPr>
          <w:rFonts w:eastAsia="Times New Roman"/>
        </w:rPr>
        <w:t>. They are still found in areas that have been clearcut, but</w:t>
      </w:r>
      <w:r w:rsidR="00A82836">
        <w:rPr>
          <w:rFonts w:eastAsia="Times New Roman"/>
        </w:rPr>
        <w:t xml:space="preserve"> they</w:t>
      </w:r>
      <w:r w:rsidR="00A44862">
        <w:rPr>
          <w:rFonts w:eastAsia="Times New Roman"/>
        </w:rPr>
        <w:t xml:space="preserve"> are generally relegated to the edges of the harvest area or are quickly overtaken by faster</w:t>
      </w:r>
      <w:r w:rsidR="00A82836">
        <w:rPr>
          <w:rFonts w:eastAsia="Times New Roman"/>
        </w:rPr>
        <w:t>-</w:t>
      </w:r>
      <w:r w:rsidR="00A44862">
        <w:rPr>
          <w:rFonts w:eastAsia="Times New Roman"/>
        </w:rPr>
        <w:t>growing species like poplar</w:t>
      </w:r>
      <w:r w:rsidR="00B934C4">
        <w:rPr>
          <w:rFonts w:eastAsia="Times New Roman"/>
        </w:rPr>
        <w:t xml:space="preserve"> (McGee 1992)</w:t>
      </w:r>
      <w:r w:rsidR="00A44862">
        <w:rPr>
          <w:rFonts w:eastAsia="Times New Roman"/>
        </w:rPr>
        <w:t xml:space="preserve">. </w:t>
      </w:r>
      <w:r w:rsidR="00B44984">
        <w:rPr>
          <w:rFonts w:eastAsia="Times New Roman"/>
        </w:rPr>
        <w:t>Maple will persist in the new stand in the midstory and understory. The ability to persist in the understory has made red maple (</w:t>
      </w:r>
      <w:r w:rsidR="00B44984">
        <w:rPr>
          <w:rFonts w:eastAsia="Times New Roman"/>
          <w:i/>
          <w:iCs/>
        </w:rPr>
        <w:t>Acer rubrum</w:t>
      </w:r>
      <w:r w:rsidR="00B44984">
        <w:rPr>
          <w:rFonts w:eastAsia="Times New Roman"/>
        </w:rPr>
        <w:t>) the most common tree in Tennessee (Oswalt et al</w:t>
      </w:r>
      <w:r w:rsidR="004944D7">
        <w:rPr>
          <w:rFonts w:eastAsia="Times New Roman"/>
        </w:rPr>
        <w:t>.</w:t>
      </w:r>
      <w:r w:rsidR="00B44984">
        <w:rPr>
          <w:rFonts w:eastAsia="Times New Roman"/>
        </w:rPr>
        <w:t xml:space="preserve"> 2009).</w:t>
      </w:r>
    </w:p>
    <w:p w14:paraId="10EE1DC7" w14:textId="0C75433D" w:rsidR="00EA01EA" w:rsidRDefault="00EA01EA">
      <w:pPr>
        <w:spacing w:line="480" w:lineRule="auto"/>
        <w:rPr>
          <w:rFonts w:eastAsia="Times New Roman"/>
        </w:rPr>
      </w:pPr>
      <w:r>
        <w:rPr>
          <w:rFonts w:eastAsia="Times New Roman"/>
        </w:rPr>
        <w:tab/>
        <w:t xml:space="preserve">Aesthetics aside, one of the largest impacts of harvesting is on the soil. All types of harvesting require careful planning and effective use of best management practices to minimize soil disturbances, but the less time spent in an area harvesting, the less potential for soil </w:t>
      </w:r>
      <w:r>
        <w:rPr>
          <w:rFonts w:eastAsia="Times New Roman"/>
        </w:rPr>
        <w:lastRenderedPageBreak/>
        <w:t>compaction and erosion</w:t>
      </w:r>
      <w:r w:rsidR="009B07D1">
        <w:rPr>
          <w:rFonts w:eastAsia="Times New Roman"/>
        </w:rPr>
        <w:t xml:space="preserve"> (TDA-DF 2003)</w:t>
      </w:r>
      <w:r>
        <w:rPr>
          <w:rFonts w:eastAsia="Times New Roman"/>
        </w:rPr>
        <w:t xml:space="preserve">. Every harvest area requires a road and or skid trails to make the harvest area accessible. These factors make clearcutting one of the least invasive harvest </w:t>
      </w:r>
      <w:r w:rsidR="009B07D1">
        <w:rPr>
          <w:rFonts w:eastAsia="Times New Roman"/>
        </w:rPr>
        <w:t>regimes</w:t>
      </w:r>
      <w:r>
        <w:rPr>
          <w:rFonts w:eastAsia="Times New Roman"/>
        </w:rPr>
        <w:t xml:space="preserve"> from a soil perspective. The stand is only entered once to harvest, and the need for</w:t>
      </w:r>
      <w:r w:rsidR="00B934C4">
        <w:rPr>
          <w:rFonts w:eastAsia="Times New Roman"/>
        </w:rPr>
        <w:t xml:space="preserve"> several</w:t>
      </w:r>
      <w:r>
        <w:rPr>
          <w:rFonts w:eastAsia="Times New Roman"/>
        </w:rPr>
        <w:t xml:space="preserve"> roads is usually reduced. </w:t>
      </w:r>
      <w:r w:rsidR="005E08E1">
        <w:rPr>
          <w:rFonts w:eastAsia="Times New Roman"/>
        </w:rPr>
        <w:t xml:space="preserve">Patch cuts require a road for every harvest site. Shelterwood harvests require multiple entries into the stand to harvest. Using best management practices, loggers can prevent soil issues from arising due to </w:t>
      </w:r>
      <w:r w:rsidR="00A72634">
        <w:rPr>
          <w:rFonts w:eastAsia="Times New Roman"/>
        </w:rPr>
        <w:t xml:space="preserve">any type of </w:t>
      </w:r>
      <w:r w:rsidR="005E08E1">
        <w:rPr>
          <w:rFonts w:eastAsia="Times New Roman"/>
        </w:rPr>
        <w:t>harvesting, but clearcutting, contrary to popular belief, actually minimize</w:t>
      </w:r>
      <w:r w:rsidR="00A72634">
        <w:rPr>
          <w:rFonts w:eastAsia="Times New Roman"/>
        </w:rPr>
        <w:t>s</w:t>
      </w:r>
      <w:r w:rsidR="005E08E1">
        <w:rPr>
          <w:rFonts w:eastAsia="Times New Roman"/>
        </w:rPr>
        <w:t xml:space="preserve"> the possibilit</w:t>
      </w:r>
      <w:r w:rsidR="00B675A7">
        <w:rPr>
          <w:rFonts w:eastAsia="Times New Roman"/>
        </w:rPr>
        <w:t>y</w:t>
      </w:r>
      <w:r w:rsidR="005E08E1">
        <w:rPr>
          <w:rFonts w:eastAsia="Times New Roman"/>
        </w:rPr>
        <w:t xml:space="preserve"> </w:t>
      </w:r>
      <w:r w:rsidR="00B675A7">
        <w:rPr>
          <w:rFonts w:eastAsia="Times New Roman"/>
        </w:rPr>
        <w:t>of</w:t>
      </w:r>
      <w:r w:rsidR="005E08E1">
        <w:rPr>
          <w:rFonts w:eastAsia="Times New Roman"/>
        </w:rPr>
        <w:t xml:space="preserve"> harvest</w:t>
      </w:r>
      <w:r w:rsidR="009B07D1">
        <w:rPr>
          <w:rFonts w:eastAsia="Times New Roman"/>
        </w:rPr>
        <w:t>-</w:t>
      </w:r>
      <w:r w:rsidR="005E08E1">
        <w:rPr>
          <w:rFonts w:eastAsia="Times New Roman"/>
        </w:rPr>
        <w:t>related soil issues</w:t>
      </w:r>
      <w:r w:rsidR="00A72634">
        <w:rPr>
          <w:rFonts w:eastAsia="Times New Roman"/>
        </w:rPr>
        <w:t xml:space="preserve"> since the stand is only entered once. (McGee 1992)</w:t>
      </w:r>
      <w:r w:rsidR="005E08E1">
        <w:rPr>
          <w:rFonts w:eastAsia="Times New Roman"/>
        </w:rPr>
        <w:t xml:space="preserve">. </w:t>
      </w:r>
      <w:r w:rsidR="00B934C4">
        <w:rPr>
          <w:rFonts w:eastAsia="Times New Roman"/>
        </w:rPr>
        <w:t>While</w:t>
      </w:r>
      <w:r w:rsidR="00425249">
        <w:rPr>
          <w:rFonts w:eastAsia="Times New Roman"/>
        </w:rPr>
        <w:t xml:space="preserve"> best management practices have been nearly universally adopted in developed countries like the United States, this is not the case worldwide. </w:t>
      </w:r>
      <w:r w:rsidR="005A3E0B">
        <w:rPr>
          <w:rFonts w:eastAsia="Times New Roman"/>
        </w:rPr>
        <w:t>Unsustainable clearcut harvests in places like the Amazon rainforest</w:t>
      </w:r>
      <w:r w:rsidR="00B675A7">
        <w:rPr>
          <w:rFonts w:eastAsia="Times New Roman"/>
        </w:rPr>
        <w:t xml:space="preserve"> seen on various news outlets</w:t>
      </w:r>
      <w:r w:rsidR="005A3E0B">
        <w:rPr>
          <w:rFonts w:eastAsia="Times New Roman"/>
        </w:rPr>
        <w:t xml:space="preserve"> </w:t>
      </w:r>
      <w:r w:rsidR="009B07D1">
        <w:rPr>
          <w:rFonts w:eastAsia="Times New Roman"/>
        </w:rPr>
        <w:t>have given clearcutting a very negative reputation.</w:t>
      </w:r>
    </w:p>
    <w:p w14:paraId="0B7A5593" w14:textId="3168E3E2" w:rsidR="00EC76D1" w:rsidRDefault="00E11E7D">
      <w:pPr>
        <w:spacing w:line="480" w:lineRule="auto"/>
        <w:rPr>
          <w:rFonts w:eastAsia="Times New Roman"/>
        </w:rPr>
      </w:pPr>
      <w:r>
        <w:rPr>
          <w:rFonts w:eastAsia="Times New Roman"/>
        </w:rPr>
        <w:tab/>
        <w:t>A study conducted in New Hampshire by Yamasaki et al</w:t>
      </w:r>
      <w:r w:rsidR="00BD4080">
        <w:rPr>
          <w:rFonts w:eastAsia="Times New Roman"/>
        </w:rPr>
        <w:t>.</w:t>
      </w:r>
      <w:r>
        <w:rPr>
          <w:rFonts w:eastAsia="Times New Roman"/>
        </w:rPr>
        <w:t xml:space="preserve"> </w:t>
      </w:r>
      <w:r w:rsidR="00B934C4">
        <w:rPr>
          <w:rFonts w:eastAsia="Times New Roman"/>
        </w:rPr>
        <w:t>(</w:t>
      </w:r>
      <w:r>
        <w:rPr>
          <w:rFonts w:eastAsia="Times New Roman"/>
        </w:rPr>
        <w:t>2014</w:t>
      </w:r>
      <w:r w:rsidR="00B934C4">
        <w:rPr>
          <w:rFonts w:eastAsia="Times New Roman"/>
        </w:rPr>
        <w:t>)</w:t>
      </w:r>
      <w:r>
        <w:rPr>
          <w:rFonts w:eastAsia="Times New Roman"/>
        </w:rPr>
        <w:t xml:space="preserve"> observed the regenerative effects of patch cuts in comparison to those of clearcuts and shelterwood cuts. The study observed regeneration at the harvest sites approximately eight years after the cuts took place. The findings showed that all of the patch</w:t>
      </w:r>
      <w:r w:rsidR="009B07D1">
        <w:rPr>
          <w:rFonts w:eastAsia="Times New Roman"/>
        </w:rPr>
        <w:t>-</w:t>
      </w:r>
      <w:r>
        <w:rPr>
          <w:rFonts w:eastAsia="Times New Roman"/>
        </w:rPr>
        <w:t>cut areas regenerated a significant amount of birch species (</w:t>
      </w:r>
      <w:r>
        <w:rPr>
          <w:rFonts w:eastAsia="Times New Roman"/>
          <w:i/>
        </w:rPr>
        <w:t xml:space="preserve">Betula </w:t>
      </w:r>
      <w:r w:rsidRPr="00BD4080">
        <w:rPr>
          <w:rFonts w:eastAsia="Times New Roman"/>
          <w:iCs/>
        </w:rPr>
        <w:t>spp</w:t>
      </w:r>
      <w:r>
        <w:rPr>
          <w:rFonts w:eastAsia="Times New Roman"/>
          <w:i/>
        </w:rPr>
        <w:t>.</w:t>
      </w:r>
      <w:r>
        <w:rPr>
          <w:rFonts w:eastAsia="Times New Roman"/>
        </w:rPr>
        <w:t>). Some of the patches also included significant regeneration of beech and aspen (</w:t>
      </w:r>
      <w:r>
        <w:rPr>
          <w:rFonts w:eastAsia="Times New Roman"/>
          <w:i/>
        </w:rPr>
        <w:t xml:space="preserve">Populus </w:t>
      </w:r>
      <w:r w:rsidRPr="00BD4080">
        <w:rPr>
          <w:rFonts w:eastAsia="Times New Roman"/>
          <w:iCs/>
        </w:rPr>
        <w:t>spp</w:t>
      </w:r>
      <w:r>
        <w:rPr>
          <w:rFonts w:eastAsia="Times New Roman"/>
          <w:i/>
        </w:rPr>
        <w:t>.</w:t>
      </w:r>
      <w:r>
        <w:rPr>
          <w:rFonts w:eastAsia="Times New Roman"/>
        </w:rPr>
        <w:t xml:space="preserve">). The group of species found in New England is significantly different than those in the </w:t>
      </w:r>
      <w:r w:rsidR="000002E1">
        <w:rPr>
          <w:rFonts w:eastAsia="Times New Roman"/>
        </w:rPr>
        <w:t>C</w:t>
      </w:r>
      <w:r>
        <w:rPr>
          <w:rFonts w:eastAsia="Times New Roman"/>
        </w:rPr>
        <w:t xml:space="preserve">entral </w:t>
      </w:r>
      <w:r w:rsidR="000002E1">
        <w:rPr>
          <w:rFonts w:eastAsia="Times New Roman"/>
        </w:rPr>
        <w:t>H</w:t>
      </w:r>
      <w:r>
        <w:rPr>
          <w:rFonts w:eastAsia="Times New Roman"/>
        </w:rPr>
        <w:t xml:space="preserve">ardwoods </w:t>
      </w:r>
      <w:r w:rsidR="000002E1">
        <w:rPr>
          <w:rFonts w:eastAsia="Times New Roman"/>
        </w:rPr>
        <w:t>R</w:t>
      </w:r>
      <w:r>
        <w:rPr>
          <w:rFonts w:eastAsia="Times New Roman"/>
        </w:rPr>
        <w:t>egion.  However, birch and aspen play similar roles in the New England system as poplar</w:t>
      </w:r>
      <w:r w:rsidR="0005310E">
        <w:rPr>
          <w:rFonts w:eastAsia="Times New Roman"/>
        </w:rPr>
        <w:t xml:space="preserve"> and sweetgum</w:t>
      </w:r>
      <w:r>
        <w:rPr>
          <w:rFonts w:eastAsia="Times New Roman"/>
        </w:rPr>
        <w:t xml:space="preserve"> do in the </w:t>
      </w:r>
      <w:r w:rsidR="000002E1">
        <w:rPr>
          <w:rFonts w:eastAsia="Times New Roman"/>
        </w:rPr>
        <w:t>C</w:t>
      </w:r>
      <w:r>
        <w:rPr>
          <w:rFonts w:eastAsia="Times New Roman"/>
        </w:rPr>
        <w:t xml:space="preserve">entral </w:t>
      </w:r>
      <w:r w:rsidR="000002E1">
        <w:rPr>
          <w:rFonts w:eastAsia="Times New Roman"/>
        </w:rPr>
        <w:t>H</w:t>
      </w:r>
      <w:r>
        <w:rPr>
          <w:rFonts w:eastAsia="Times New Roman"/>
        </w:rPr>
        <w:t xml:space="preserve">ardwoods </w:t>
      </w:r>
      <w:r w:rsidR="000002E1">
        <w:rPr>
          <w:rFonts w:eastAsia="Times New Roman"/>
        </w:rPr>
        <w:t>R</w:t>
      </w:r>
      <w:r>
        <w:rPr>
          <w:rFonts w:eastAsia="Times New Roman"/>
        </w:rPr>
        <w:t xml:space="preserve">egion. </w:t>
      </w:r>
      <w:r w:rsidR="000002E1">
        <w:rPr>
          <w:rFonts w:eastAsia="Times New Roman"/>
        </w:rPr>
        <w:t xml:space="preserve">The length of time in the </w:t>
      </w:r>
      <w:r>
        <w:rPr>
          <w:rFonts w:eastAsia="Times New Roman"/>
        </w:rPr>
        <w:t>Yamasaki et al</w:t>
      </w:r>
      <w:r w:rsidR="004944D7">
        <w:rPr>
          <w:rFonts w:eastAsia="Times New Roman"/>
        </w:rPr>
        <w:t>.</w:t>
      </w:r>
      <w:r>
        <w:rPr>
          <w:rFonts w:eastAsia="Times New Roman"/>
        </w:rPr>
        <w:t xml:space="preserve"> </w:t>
      </w:r>
      <w:r w:rsidR="000002E1">
        <w:rPr>
          <w:rFonts w:eastAsia="Times New Roman"/>
        </w:rPr>
        <w:t>(</w:t>
      </w:r>
      <w:r>
        <w:rPr>
          <w:rFonts w:eastAsia="Times New Roman"/>
        </w:rPr>
        <w:t>2014</w:t>
      </w:r>
      <w:r w:rsidR="000002E1">
        <w:rPr>
          <w:rFonts w:eastAsia="Times New Roman"/>
        </w:rPr>
        <w:t>) study</w:t>
      </w:r>
      <w:r>
        <w:rPr>
          <w:rFonts w:eastAsia="Times New Roman"/>
        </w:rPr>
        <w:t xml:space="preserve"> differs from this study in that the regeneration was sampled at an age of eight years.</w:t>
      </w:r>
    </w:p>
    <w:p w14:paraId="78C3BC36" w14:textId="00EE949E" w:rsidR="009969C6" w:rsidRDefault="00EC76D1" w:rsidP="00EC76D1">
      <w:pPr>
        <w:spacing w:line="480" w:lineRule="auto"/>
        <w:ind w:firstLine="720"/>
        <w:rPr>
          <w:rFonts w:eastAsia="Times New Roman"/>
        </w:rPr>
      </w:pPr>
      <w:r>
        <w:rPr>
          <w:rFonts w:eastAsia="Times New Roman"/>
        </w:rPr>
        <w:t>Another objective</w:t>
      </w:r>
      <w:r w:rsidR="0045366E">
        <w:rPr>
          <w:rFonts w:eastAsia="Times New Roman"/>
        </w:rPr>
        <w:t xml:space="preserve"> of Yamas</w:t>
      </w:r>
      <w:r>
        <w:rPr>
          <w:rFonts w:eastAsia="Times New Roman"/>
        </w:rPr>
        <w:t>a</w:t>
      </w:r>
      <w:r w:rsidR="0045366E">
        <w:rPr>
          <w:rFonts w:eastAsia="Times New Roman"/>
        </w:rPr>
        <w:t>ki et al</w:t>
      </w:r>
      <w:r w:rsidR="004944D7">
        <w:rPr>
          <w:rFonts w:eastAsia="Times New Roman"/>
        </w:rPr>
        <w:t>.</w:t>
      </w:r>
      <w:r w:rsidR="0045366E">
        <w:rPr>
          <w:rFonts w:eastAsia="Times New Roman"/>
        </w:rPr>
        <w:t xml:space="preserve"> </w:t>
      </w:r>
      <w:r w:rsidR="009B07D1">
        <w:rPr>
          <w:rFonts w:eastAsia="Times New Roman"/>
        </w:rPr>
        <w:t>(</w:t>
      </w:r>
      <w:r w:rsidR="0045366E">
        <w:rPr>
          <w:rFonts w:eastAsia="Times New Roman"/>
        </w:rPr>
        <w:t>2014</w:t>
      </w:r>
      <w:r w:rsidR="009B07D1">
        <w:rPr>
          <w:rFonts w:eastAsia="Times New Roman"/>
        </w:rPr>
        <w:t>)</w:t>
      </w:r>
      <w:r w:rsidR="0045366E">
        <w:rPr>
          <w:rFonts w:eastAsia="Times New Roman"/>
        </w:rPr>
        <w:t xml:space="preserve"> was to determine the impacts of different harvest </w:t>
      </w:r>
      <w:r w:rsidR="000002E1">
        <w:rPr>
          <w:rFonts w:eastAsia="Times New Roman"/>
        </w:rPr>
        <w:t>regimes</w:t>
      </w:r>
      <w:r w:rsidR="0045366E">
        <w:rPr>
          <w:rFonts w:eastAsia="Times New Roman"/>
        </w:rPr>
        <w:t xml:space="preserve"> on breeding bird populations. They mention that early successional habitat is </w:t>
      </w:r>
      <w:r w:rsidR="0045366E">
        <w:rPr>
          <w:rFonts w:eastAsia="Times New Roman"/>
        </w:rPr>
        <w:lastRenderedPageBreak/>
        <w:t>declining across the Eastern United States. This decline is due to a variety of factors, one of which is a reduction of even-aged management. The reduction in even</w:t>
      </w:r>
      <w:r w:rsidR="009B07D1">
        <w:rPr>
          <w:rFonts w:eastAsia="Times New Roman"/>
        </w:rPr>
        <w:t>-</w:t>
      </w:r>
      <w:r w:rsidR="0045366E">
        <w:rPr>
          <w:rFonts w:eastAsia="Times New Roman"/>
        </w:rPr>
        <w:t>aged management is a result of less disturbance (</w:t>
      </w:r>
      <w:r w:rsidR="000F78B4">
        <w:rPr>
          <w:rFonts w:eastAsia="Times New Roman"/>
        </w:rPr>
        <w:t xml:space="preserve">highly effective wildfire control) and waning use of clearcutting </w:t>
      </w:r>
      <w:r w:rsidR="000002E1">
        <w:rPr>
          <w:rFonts w:eastAsia="Times New Roman"/>
        </w:rPr>
        <w:t>to initiate early successional habitat</w:t>
      </w:r>
      <w:r w:rsidR="000F78B4">
        <w:rPr>
          <w:rFonts w:eastAsia="Times New Roman"/>
        </w:rPr>
        <w:t>. Yamasaki et al</w:t>
      </w:r>
      <w:r w:rsidR="004944D7">
        <w:rPr>
          <w:rFonts w:eastAsia="Times New Roman"/>
        </w:rPr>
        <w:t>.</w:t>
      </w:r>
      <w:r w:rsidR="000F78B4">
        <w:rPr>
          <w:rFonts w:eastAsia="Times New Roman"/>
        </w:rPr>
        <w:t xml:space="preserve"> </w:t>
      </w:r>
      <w:r w:rsidR="00D1358E">
        <w:rPr>
          <w:rFonts w:eastAsia="Times New Roman"/>
        </w:rPr>
        <w:t>(</w:t>
      </w:r>
      <w:r w:rsidR="000F78B4">
        <w:rPr>
          <w:rFonts w:eastAsia="Times New Roman"/>
        </w:rPr>
        <w:t>2014</w:t>
      </w:r>
      <w:r w:rsidR="00D1358E">
        <w:rPr>
          <w:rFonts w:eastAsia="Times New Roman"/>
        </w:rPr>
        <w:t>)</w:t>
      </w:r>
      <w:r w:rsidR="000F78B4">
        <w:rPr>
          <w:rFonts w:eastAsia="Times New Roman"/>
        </w:rPr>
        <w:t xml:space="preserve"> determined that all three </w:t>
      </w:r>
      <w:r w:rsidR="00D1358E">
        <w:rPr>
          <w:rFonts w:eastAsia="Times New Roman"/>
        </w:rPr>
        <w:t>regeneration</w:t>
      </w:r>
      <w:r w:rsidR="000F78B4">
        <w:rPr>
          <w:rFonts w:eastAsia="Times New Roman"/>
        </w:rPr>
        <w:t xml:space="preserve"> methods they implemented (clearcut, patch cut, and shelterwood) increased the early successional, brushy species favored by a majority of the breeding bird population. However, the results showed that clearcutting produced a significantly richer breeding bird population, especially 3-6 years post-harvest.</w:t>
      </w:r>
      <w:r>
        <w:rPr>
          <w:rFonts w:eastAsia="Times New Roman"/>
        </w:rPr>
        <w:t xml:space="preserve"> </w:t>
      </w:r>
      <w:r w:rsidR="000F78B4">
        <w:rPr>
          <w:rFonts w:eastAsia="Times New Roman"/>
        </w:rPr>
        <w:t>Patch cuts can produce similar results, but the smaller scale and greater edge effect limits the amount of early successional habitat</w:t>
      </w:r>
      <w:r>
        <w:rPr>
          <w:rFonts w:eastAsia="Times New Roman"/>
        </w:rPr>
        <w:t xml:space="preserve"> availabl</w:t>
      </w:r>
      <w:r w:rsidR="00D1358E">
        <w:rPr>
          <w:rFonts w:eastAsia="Times New Roman"/>
        </w:rPr>
        <w:t>e</w:t>
      </w:r>
      <w:r>
        <w:rPr>
          <w:rFonts w:eastAsia="Times New Roman"/>
        </w:rPr>
        <w:t>. It can also create habitat fragmentation due to the areas of uncut forest between patches. There were also bird species with range sizes greater than the size of the patch cuts. These bird species were found in the clearcut areas, but not in the patch</w:t>
      </w:r>
      <w:r w:rsidR="00B52A4B">
        <w:rPr>
          <w:rFonts w:eastAsia="Times New Roman"/>
        </w:rPr>
        <w:t>-</w:t>
      </w:r>
      <w:r>
        <w:rPr>
          <w:rFonts w:eastAsia="Times New Roman"/>
        </w:rPr>
        <w:t xml:space="preserve">cut areas or shelterwoods. The conclusions of their research describe early successional as ephemeral and reiterate that the best management scheme for wildlife that uses this type of habitat </w:t>
      </w:r>
      <w:r w:rsidR="00D1358E">
        <w:rPr>
          <w:rFonts w:eastAsia="Times New Roman"/>
        </w:rPr>
        <w:t xml:space="preserve">is </w:t>
      </w:r>
      <w:r>
        <w:rPr>
          <w:rFonts w:eastAsia="Times New Roman"/>
        </w:rPr>
        <w:t xml:space="preserve">a harvest rotation that </w:t>
      </w:r>
      <w:r w:rsidR="00EA01EA">
        <w:rPr>
          <w:rFonts w:eastAsia="Times New Roman"/>
        </w:rPr>
        <w:t>always keeps early successional habitat available</w:t>
      </w:r>
      <w:r w:rsidR="00B675A7">
        <w:rPr>
          <w:rFonts w:eastAsia="Times New Roman"/>
        </w:rPr>
        <w:t>, a management scheme used on many public lands</w:t>
      </w:r>
      <w:r w:rsidR="00EA01EA">
        <w:rPr>
          <w:rFonts w:eastAsia="Times New Roman"/>
        </w:rPr>
        <w:t>.</w:t>
      </w:r>
    </w:p>
    <w:p w14:paraId="2F5B23CC" w14:textId="625C1876" w:rsidR="00456335" w:rsidRDefault="00456335" w:rsidP="00EC76D1">
      <w:pPr>
        <w:spacing w:line="480" w:lineRule="auto"/>
        <w:ind w:firstLine="720"/>
        <w:rPr>
          <w:rFonts w:eastAsia="Times New Roman"/>
        </w:rPr>
      </w:pPr>
      <w:r>
        <w:rPr>
          <w:rFonts w:eastAsia="Times New Roman"/>
        </w:rPr>
        <w:t>Management decisions on public lands are subject to a great deal of scrutiny. Managing multi-use areas has always proved difficult due to the number of stakeholders with conflicting interests. Recent trends have shown that while the number of traditional natural resource users like</w:t>
      </w:r>
      <w:r w:rsidR="007A7F5B">
        <w:rPr>
          <w:rFonts w:eastAsia="Times New Roman"/>
        </w:rPr>
        <w:t xml:space="preserve"> hunters and anglers has declined, the number of non-consumptive users has increased (Youn et al</w:t>
      </w:r>
      <w:r w:rsidR="00BD4080">
        <w:rPr>
          <w:rFonts w:eastAsia="Times New Roman"/>
        </w:rPr>
        <w:t>.</w:t>
      </w:r>
      <w:r w:rsidR="007A7F5B">
        <w:rPr>
          <w:rFonts w:eastAsia="Times New Roman"/>
        </w:rPr>
        <w:t xml:space="preserve"> 2017).</w:t>
      </w:r>
      <w:r w:rsidR="002224FF">
        <w:rPr>
          <w:rFonts w:eastAsia="Times New Roman"/>
        </w:rPr>
        <w:t xml:space="preserve"> This change in use requires a shift in perspective when making management decisions. However, this shift is not easily made, as under the current funding system in much of the United States, consumptive natural resource users are the ones who fund management the most (Poudyal et al</w:t>
      </w:r>
      <w:r w:rsidR="00BD4080">
        <w:rPr>
          <w:rFonts w:eastAsia="Times New Roman"/>
        </w:rPr>
        <w:t>.</w:t>
      </w:r>
      <w:r w:rsidR="002224FF">
        <w:rPr>
          <w:rFonts w:eastAsia="Times New Roman"/>
        </w:rPr>
        <w:t xml:space="preserve"> 201</w:t>
      </w:r>
      <w:r w:rsidR="009B07D1">
        <w:rPr>
          <w:rFonts w:eastAsia="Times New Roman"/>
        </w:rPr>
        <w:t>2</w:t>
      </w:r>
      <w:r w:rsidR="002224FF">
        <w:rPr>
          <w:rFonts w:eastAsia="Times New Roman"/>
        </w:rPr>
        <w:t xml:space="preserve">). Regardless of use, public </w:t>
      </w:r>
      <w:r w:rsidR="00C03C49">
        <w:rPr>
          <w:rFonts w:eastAsia="Times New Roman"/>
        </w:rPr>
        <w:t xml:space="preserve">participation in natural resource </w:t>
      </w:r>
      <w:r w:rsidR="00C03C49">
        <w:rPr>
          <w:rFonts w:eastAsia="Times New Roman"/>
        </w:rPr>
        <w:lastRenderedPageBreak/>
        <w:t>policymaking has been increasing (Youn et al</w:t>
      </w:r>
      <w:r w:rsidR="004944D7">
        <w:rPr>
          <w:rFonts w:eastAsia="Times New Roman"/>
        </w:rPr>
        <w:t xml:space="preserve">. </w:t>
      </w:r>
      <w:r w:rsidR="00C03C49">
        <w:rPr>
          <w:rFonts w:eastAsia="Times New Roman"/>
        </w:rPr>
        <w:t>2017</w:t>
      </w:r>
      <w:r w:rsidR="00712BC6">
        <w:rPr>
          <w:rFonts w:eastAsia="Times New Roman"/>
        </w:rPr>
        <w:t xml:space="preserve"> and </w:t>
      </w:r>
      <w:r w:rsidR="00712BC6" w:rsidRPr="00DE0529">
        <w:rPr>
          <w:rFonts w:eastAsia="Times New Roman"/>
          <w:lang w:val="en-US"/>
        </w:rPr>
        <w:t>Kakoyannis</w:t>
      </w:r>
      <w:r w:rsidR="00712BC6">
        <w:rPr>
          <w:rFonts w:eastAsia="Times New Roman"/>
          <w:lang w:val="en-US"/>
        </w:rPr>
        <w:t xml:space="preserve"> et al</w:t>
      </w:r>
      <w:r w:rsidR="00BD4080">
        <w:rPr>
          <w:rFonts w:eastAsia="Times New Roman"/>
          <w:lang w:val="en-US"/>
        </w:rPr>
        <w:t>.</w:t>
      </w:r>
      <w:r w:rsidR="00712BC6">
        <w:rPr>
          <w:rFonts w:eastAsia="Times New Roman"/>
          <w:lang w:val="en-US"/>
        </w:rPr>
        <w:t xml:space="preserve"> 2001</w:t>
      </w:r>
      <w:r w:rsidR="00C03C49">
        <w:rPr>
          <w:rFonts w:eastAsia="Times New Roman"/>
        </w:rPr>
        <w:t>).</w:t>
      </w:r>
      <w:r w:rsidR="00560ABF">
        <w:rPr>
          <w:rFonts w:eastAsia="Times New Roman"/>
        </w:rPr>
        <w:t xml:space="preserve"> In Tennessee, state forests are managed by TDF, and outlined by the state forest management plan</w:t>
      </w:r>
      <w:r w:rsidR="00C6095E">
        <w:rPr>
          <w:rFonts w:eastAsia="Times New Roman"/>
        </w:rPr>
        <w:t>, which establishes that TDF is responsible for maintaining a state forest system via multiple use management of renewable and non-renewable resources to suit the needs of the people of Tennessee</w:t>
      </w:r>
      <w:r w:rsidR="009B07D1">
        <w:rPr>
          <w:rFonts w:eastAsia="Times New Roman"/>
        </w:rPr>
        <w:t xml:space="preserve"> (TDA-DF 2009).</w:t>
      </w:r>
      <w:r w:rsidR="00560ABF">
        <w:rPr>
          <w:rFonts w:eastAsia="Times New Roman"/>
        </w:rPr>
        <w:t xml:space="preserve"> According to the state forest management plan, no state appropriated funding is used in the management</w:t>
      </w:r>
      <w:r w:rsidR="009B07D1">
        <w:rPr>
          <w:rFonts w:eastAsia="Times New Roman"/>
        </w:rPr>
        <w:t xml:space="preserve"> (fire, recreation, timber, infrastructure, maintenance)</w:t>
      </w:r>
      <w:r w:rsidR="00560ABF">
        <w:rPr>
          <w:rFonts w:eastAsia="Times New Roman"/>
        </w:rPr>
        <w:t xml:space="preserve"> of the state forest system. Thus, the state forest system must be self-sustaining through income generated via timber harvesting. </w:t>
      </w:r>
      <w:r w:rsidR="00C6095E">
        <w:rPr>
          <w:rFonts w:eastAsia="Times New Roman"/>
        </w:rPr>
        <w:t xml:space="preserve">This balancing act of providing </w:t>
      </w:r>
      <w:r w:rsidR="002122EA">
        <w:rPr>
          <w:rFonts w:eastAsia="Times New Roman"/>
        </w:rPr>
        <w:t>multi</w:t>
      </w:r>
      <w:r w:rsidR="00A0674B">
        <w:rPr>
          <w:rFonts w:eastAsia="Times New Roman"/>
        </w:rPr>
        <w:t>-</w:t>
      </w:r>
      <w:r w:rsidR="002122EA">
        <w:rPr>
          <w:rFonts w:eastAsia="Times New Roman"/>
        </w:rPr>
        <w:t>use recreation whilst also harvesting timber in a manner that is sustainable both economically and environmentally makes management decisions at Tennessee state forests very complex.</w:t>
      </w:r>
    </w:p>
    <w:p w14:paraId="08184E3E" w14:textId="64355A8A" w:rsidR="001C2CD8" w:rsidRDefault="001C2CD8" w:rsidP="0005310E">
      <w:pPr>
        <w:spacing w:line="480" w:lineRule="auto"/>
        <w:rPr>
          <w:rFonts w:eastAsia="Times New Roman"/>
        </w:rPr>
      </w:pPr>
    </w:p>
    <w:p w14:paraId="5C1822D8" w14:textId="77777777" w:rsidR="009969C6" w:rsidRDefault="009969C6">
      <w:pPr>
        <w:spacing w:line="480" w:lineRule="auto"/>
        <w:rPr>
          <w:rFonts w:eastAsia="Times New Roman"/>
        </w:rPr>
      </w:pPr>
    </w:p>
    <w:p w14:paraId="6AAEEC6B" w14:textId="77777777" w:rsidR="00FF3232" w:rsidRDefault="00FF3232">
      <w:pPr>
        <w:rPr>
          <w:rFonts w:eastAsia="Times New Roman"/>
          <w:b/>
        </w:rPr>
      </w:pPr>
      <w:r>
        <w:rPr>
          <w:rFonts w:eastAsia="Times New Roman"/>
          <w:b/>
        </w:rPr>
        <w:br w:type="page"/>
      </w:r>
    </w:p>
    <w:p w14:paraId="277E6649" w14:textId="4332EB4F" w:rsidR="009969C6" w:rsidRDefault="007D4B92">
      <w:pPr>
        <w:spacing w:line="480" w:lineRule="auto"/>
        <w:rPr>
          <w:rFonts w:eastAsia="Times New Roman"/>
          <w:b/>
        </w:rPr>
      </w:pPr>
      <w:r>
        <w:rPr>
          <w:rFonts w:eastAsia="Times New Roman"/>
          <w:b/>
        </w:rPr>
        <w:lastRenderedPageBreak/>
        <w:t xml:space="preserve">Chapter 3: </w:t>
      </w:r>
      <w:r w:rsidR="00521F36">
        <w:rPr>
          <w:rFonts w:eastAsia="Times New Roman"/>
          <w:b/>
        </w:rPr>
        <w:t>Research Objectives</w:t>
      </w:r>
    </w:p>
    <w:p w14:paraId="32E7C413" w14:textId="2E38FC95" w:rsidR="001C2CD8" w:rsidRDefault="00E11E7D" w:rsidP="001C2CD8">
      <w:pPr>
        <w:spacing w:line="480" w:lineRule="auto"/>
        <w:rPr>
          <w:rFonts w:eastAsia="Times New Roman"/>
        </w:rPr>
      </w:pPr>
      <w:r>
        <w:rPr>
          <w:rFonts w:eastAsia="Times New Roman"/>
        </w:rPr>
        <w:tab/>
      </w:r>
      <w:r w:rsidR="00521F36">
        <w:rPr>
          <w:rFonts w:eastAsia="Times New Roman"/>
        </w:rPr>
        <w:t xml:space="preserve">The objective of this study is to determine the regenerative effects of the change in harvest </w:t>
      </w:r>
      <w:r w:rsidR="00D1358E">
        <w:rPr>
          <w:rFonts w:eastAsia="Times New Roman"/>
        </w:rPr>
        <w:t>regime</w:t>
      </w:r>
      <w:r w:rsidR="00521F36">
        <w:rPr>
          <w:rFonts w:eastAsia="Times New Roman"/>
        </w:rPr>
        <w:t xml:space="preserve"> at NTSF in the 1990’s. This objective will be completed by determining the species composition of the patch</w:t>
      </w:r>
      <w:r w:rsidR="00B52A4B">
        <w:rPr>
          <w:rFonts w:eastAsia="Times New Roman"/>
        </w:rPr>
        <w:t>-</w:t>
      </w:r>
      <w:r w:rsidR="00521F36">
        <w:rPr>
          <w:rFonts w:eastAsia="Times New Roman"/>
        </w:rPr>
        <w:t>cut areas, as well as the species composition of clearcut areas that were harvested prior to the change.</w:t>
      </w:r>
      <w:r w:rsidR="00BD4080">
        <w:rPr>
          <w:rFonts w:eastAsia="Times New Roman"/>
        </w:rPr>
        <w:t xml:space="preserve"> A secondary objective of this study is to determine the effect location </w:t>
      </w:r>
      <w:r w:rsidR="0055485C">
        <w:rPr>
          <w:rFonts w:eastAsia="Times New Roman"/>
        </w:rPr>
        <w:t xml:space="preserve">has </w:t>
      </w:r>
      <w:r w:rsidR="00BD4080">
        <w:rPr>
          <w:rFonts w:eastAsia="Times New Roman"/>
        </w:rPr>
        <w:t>within the harvested area on what species regenerate. This objective will be completed by taking plots at various locations relative to the edge throughout the areas that were harvested.</w:t>
      </w:r>
      <w:r w:rsidR="00521F36">
        <w:rPr>
          <w:rFonts w:eastAsia="Times New Roman"/>
        </w:rPr>
        <w:t xml:space="preserve"> The hypothesis of this study is that the change in harvest method will result in more regeneration of shade</w:t>
      </w:r>
      <w:r w:rsidR="004C6539">
        <w:rPr>
          <w:rFonts w:eastAsia="Times New Roman"/>
        </w:rPr>
        <w:t>-</w:t>
      </w:r>
      <w:r w:rsidR="00521F36">
        <w:rPr>
          <w:rFonts w:eastAsia="Times New Roman"/>
        </w:rPr>
        <w:t>tolerant species that are of lower timber and wildlife value than shade</w:t>
      </w:r>
      <w:r w:rsidR="004C6539">
        <w:rPr>
          <w:rFonts w:eastAsia="Times New Roman"/>
        </w:rPr>
        <w:t>-</w:t>
      </w:r>
      <w:r w:rsidR="00521F36">
        <w:rPr>
          <w:rFonts w:eastAsia="Times New Roman"/>
        </w:rPr>
        <w:t>intolerant pioneer species and intermediate oak species</w:t>
      </w:r>
      <w:r w:rsidR="001C2CD8">
        <w:rPr>
          <w:rFonts w:eastAsia="Times New Roman"/>
        </w:rPr>
        <w:t>.</w:t>
      </w:r>
      <w:r w:rsidR="00A83FB0">
        <w:rPr>
          <w:rFonts w:eastAsia="Times New Roman"/>
        </w:rPr>
        <w:t xml:space="preserve"> </w:t>
      </w:r>
      <w:r w:rsidR="00AA5688">
        <w:rPr>
          <w:rFonts w:eastAsia="Times New Roman"/>
        </w:rPr>
        <w:t>This study encompasses 25 to 30</w:t>
      </w:r>
      <w:r w:rsidR="004C6539">
        <w:rPr>
          <w:rFonts w:eastAsia="Times New Roman"/>
        </w:rPr>
        <w:t>-</w:t>
      </w:r>
      <w:r w:rsidR="00AA5688">
        <w:rPr>
          <w:rFonts w:eastAsia="Times New Roman"/>
        </w:rPr>
        <w:t>year results, which is a period of time not found in the literature.</w:t>
      </w:r>
    </w:p>
    <w:p w14:paraId="0DB4A8BD" w14:textId="76C91E96" w:rsidR="009969C6" w:rsidRPr="001C2CD8" w:rsidRDefault="001C2CD8" w:rsidP="00CB46C9">
      <w:pPr>
        <w:rPr>
          <w:rFonts w:eastAsia="Times New Roman"/>
        </w:rPr>
      </w:pPr>
      <w:r>
        <w:rPr>
          <w:rFonts w:eastAsia="Times New Roman"/>
        </w:rPr>
        <w:br w:type="page"/>
      </w:r>
    </w:p>
    <w:p w14:paraId="4C777E2D" w14:textId="765DC057" w:rsidR="009969C6" w:rsidRDefault="007D4B92">
      <w:pPr>
        <w:spacing w:line="480" w:lineRule="auto"/>
        <w:rPr>
          <w:rFonts w:eastAsia="Times New Roman"/>
          <w:b/>
        </w:rPr>
      </w:pPr>
      <w:r>
        <w:rPr>
          <w:rFonts w:eastAsia="Times New Roman"/>
          <w:b/>
        </w:rPr>
        <w:lastRenderedPageBreak/>
        <w:t xml:space="preserve">Chapter 4: </w:t>
      </w:r>
      <w:r w:rsidR="00E11E7D">
        <w:rPr>
          <w:rFonts w:eastAsia="Times New Roman"/>
          <w:b/>
        </w:rPr>
        <w:t>Methods</w:t>
      </w:r>
    </w:p>
    <w:p w14:paraId="1F3061EF" w14:textId="0621A277" w:rsidR="009969C6" w:rsidRDefault="00E11E7D">
      <w:pPr>
        <w:spacing w:line="480" w:lineRule="auto"/>
        <w:rPr>
          <w:rFonts w:eastAsia="Times New Roman"/>
        </w:rPr>
      </w:pPr>
      <w:r>
        <w:rPr>
          <w:rFonts w:eastAsia="Times New Roman"/>
          <w:b/>
        </w:rPr>
        <w:tab/>
      </w:r>
      <w:r>
        <w:rPr>
          <w:rFonts w:eastAsia="Times New Roman"/>
        </w:rPr>
        <w:t xml:space="preserve">This study was conducted at Natchez Trace State Forest </w:t>
      </w:r>
      <w:r w:rsidR="00AA5688">
        <w:rPr>
          <w:rFonts w:eastAsia="Times New Roman"/>
        </w:rPr>
        <w:t>near</w:t>
      </w:r>
      <w:r>
        <w:rPr>
          <w:rFonts w:eastAsia="Times New Roman"/>
        </w:rPr>
        <w:t xml:space="preserve"> Wildersville, Tennessee. Data used in the study w</w:t>
      </w:r>
      <w:r w:rsidR="004C6539">
        <w:rPr>
          <w:rFonts w:eastAsia="Times New Roman"/>
        </w:rPr>
        <w:t>ere</w:t>
      </w:r>
      <w:r>
        <w:rPr>
          <w:rFonts w:eastAsia="Times New Roman"/>
        </w:rPr>
        <w:t xml:space="preserve"> collected in June of 2020. </w:t>
      </w:r>
    </w:p>
    <w:p w14:paraId="411B6740" w14:textId="352814FB" w:rsidR="007D4B92" w:rsidRDefault="00E11E7D" w:rsidP="007D4B92">
      <w:pPr>
        <w:spacing w:line="480" w:lineRule="auto"/>
        <w:rPr>
          <w:rFonts w:eastAsia="Times New Roman"/>
        </w:rPr>
      </w:pPr>
      <w:r>
        <w:rPr>
          <w:rFonts w:eastAsia="Times New Roman"/>
        </w:rPr>
        <w:tab/>
        <w:t xml:space="preserve">NTSF harvest maps were supplied by the Tennessee Division of Forestry. Using these harvest maps, "patch cuts" were identified and selected to be studied. The maps are on the "harvest unit" scale. </w:t>
      </w:r>
      <w:r w:rsidR="007D4B92">
        <w:rPr>
          <w:rFonts w:eastAsia="Times New Roman"/>
        </w:rPr>
        <w:t>Four harvest unit maps</w:t>
      </w:r>
      <w:r>
        <w:rPr>
          <w:rFonts w:eastAsia="Times New Roman"/>
        </w:rPr>
        <w:t xml:space="preserve"> located throughout NTSF were selected to ensure an accurate representation of the area. Within each harvest unit, there are many individual patch cuts. Four patch cuts were selected from each harvest unit</w:t>
      </w:r>
      <w:r w:rsidR="00AA5688">
        <w:rPr>
          <w:rFonts w:eastAsia="Times New Roman"/>
        </w:rPr>
        <w:t xml:space="preserve"> (Figure 3)</w:t>
      </w:r>
      <w:r>
        <w:rPr>
          <w:rFonts w:eastAsia="Times New Roman"/>
        </w:rPr>
        <w:t>. Patch cuts were selected with regard to accessibility as 25+ years of growth make finding some patch cuts difficult. Once the patch cuts were selected, six 1/20th acre plots were taken in each one.</w:t>
      </w:r>
      <w:r w:rsidR="007B76D2">
        <w:rPr>
          <w:rFonts w:eastAsia="Times New Roman"/>
        </w:rPr>
        <w:t xml:space="preserve"> The plots taken within the patch cuts were also categorized based on their proximity to the edge of the harvest area. </w:t>
      </w:r>
      <w:r>
        <w:rPr>
          <w:rFonts w:eastAsia="Times New Roman"/>
        </w:rPr>
        <w:t xml:space="preserve"> Two plots were taken near the edge of the </w:t>
      </w:r>
      <w:r w:rsidR="007B76D2">
        <w:rPr>
          <w:rFonts w:eastAsia="Times New Roman"/>
        </w:rPr>
        <w:t>harvest area, two plots near the center, as well as two plots in the intermediate</w:t>
      </w:r>
      <w:r w:rsidR="004C6539">
        <w:rPr>
          <w:rFonts w:eastAsia="Times New Roman"/>
        </w:rPr>
        <w:t xml:space="preserve"> range</w:t>
      </w:r>
      <w:r w:rsidR="007B76D2">
        <w:rPr>
          <w:rFonts w:eastAsia="Times New Roman"/>
        </w:rPr>
        <w:t xml:space="preserve"> between the edge and center</w:t>
      </w:r>
      <w:r w:rsidR="00AA5688">
        <w:rPr>
          <w:rFonts w:eastAsia="Times New Roman"/>
        </w:rPr>
        <w:t xml:space="preserve"> (Figure 4)</w:t>
      </w:r>
      <w:r w:rsidR="007B76D2">
        <w:rPr>
          <w:rFonts w:eastAsia="Times New Roman"/>
        </w:rPr>
        <w:t>.</w:t>
      </w:r>
      <w:r w:rsidR="004C6539">
        <w:rPr>
          <w:rFonts w:eastAsia="Times New Roman"/>
        </w:rPr>
        <w:t xml:space="preserve"> Since the cuts sizes and shapes varied drastically, plot selection was subjective, but without pre-conceived bias.</w:t>
      </w:r>
      <w:r w:rsidR="007B76D2">
        <w:rPr>
          <w:rFonts w:eastAsia="Times New Roman"/>
        </w:rPr>
        <w:t xml:space="preserve"> This was done to determine if there was a noticeable change in species composition along the gradient of light conditions that would have been seen at the time of harvest. </w:t>
      </w:r>
      <w:r>
        <w:rPr>
          <w:rFonts w:eastAsia="Times New Roman"/>
        </w:rPr>
        <w:t>Within each plot, every tree with a DBH of 5 inches or greater was measured and species determined. Diameter was determined using a logger's tape and measured to the nearest inch. This process yielded a total of 96 plots taken in patch</w:t>
      </w:r>
      <w:r w:rsidR="00B52A4B">
        <w:rPr>
          <w:rFonts w:eastAsia="Times New Roman"/>
        </w:rPr>
        <w:t>-</w:t>
      </w:r>
      <w:r>
        <w:rPr>
          <w:rFonts w:eastAsia="Times New Roman"/>
        </w:rPr>
        <w:t>cut areas.</w:t>
      </w:r>
      <w:r w:rsidR="007D4B92">
        <w:rPr>
          <w:rFonts w:eastAsia="Times New Roman"/>
        </w:rPr>
        <w:t xml:space="preserve"> </w:t>
      </w:r>
    </w:p>
    <w:p w14:paraId="34BFA0F0" w14:textId="6E0DC886" w:rsidR="007D4B92" w:rsidRDefault="007D4B92" w:rsidP="00C356C0">
      <w:pPr>
        <w:spacing w:line="480" w:lineRule="auto"/>
        <w:ind w:firstLine="720"/>
        <w:rPr>
          <w:rFonts w:eastAsia="Times New Roman"/>
        </w:rPr>
      </w:pPr>
      <w:r>
        <w:rPr>
          <w:rFonts w:eastAsia="Times New Roman"/>
        </w:rPr>
        <w:t>A similar process was used to measure four different large clearcut areas. The clearcut areas were once again selected using maps provided by TDF</w:t>
      </w:r>
      <w:r w:rsidR="00843048">
        <w:rPr>
          <w:rFonts w:eastAsia="Times New Roman"/>
        </w:rPr>
        <w:t xml:space="preserve"> (Figure 5)</w:t>
      </w:r>
      <w:r>
        <w:rPr>
          <w:rFonts w:eastAsia="Times New Roman"/>
        </w:rPr>
        <w:t xml:space="preserve">. Four large clearcut areas from the early to mid-1980's were selected and measured. For each clearcut, nine 1/20th acre plots were taken. Three plots were taken near the edge of the cut, three plots in the intermediate </w:t>
      </w:r>
      <w:r>
        <w:rPr>
          <w:rFonts w:eastAsia="Times New Roman"/>
        </w:rPr>
        <w:lastRenderedPageBreak/>
        <w:t xml:space="preserve">range, and three plots near the center of the cut. As with the patch cuts, all trees with a DBH of 5 or more inches were measured using a logger's tape and species determined. This process yielded a total of 36 plots taken in clearcut areas. </w:t>
      </w:r>
    </w:p>
    <w:p w14:paraId="141CDD62" w14:textId="589C96E8" w:rsidR="007D4B92" w:rsidRDefault="007D4B92" w:rsidP="007D4B92">
      <w:pPr>
        <w:spacing w:line="480" w:lineRule="auto"/>
        <w:ind w:firstLine="720"/>
        <w:rPr>
          <w:rFonts w:eastAsia="Times New Roman"/>
        </w:rPr>
      </w:pPr>
      <w:r>
        <w:rPr>
          <w:rFonts w:eastAsia="Times New Roman"/>
        </w:rPr>
        <w:t>The collected plot data were entered into a Microsoft Excel spreadsheet. Data from the four patch-cut harvest units w</w:t>
      </w:r>
      <w:r w:rsidR="00C356C0">
        <w:rPr>
          <w:rFonts w:eastAsia="Times New Roman"/>
        </w:rPr>
        <w:t>ere</w:t>
      </w:r>
      <w:r>
        <w:rPr>
          <w:rFonts w:eastAsia="Times New Roman"/>
        </w:rPr>
        <w:t xml:space="preserve"> compiled into one sheet, and the data from the four clearcut harvest units were also compiled into one sheet. Patch-cut data were also organized separately based on the location of the plots relative to the edge, as was mentioned above. Using these two groupings, as well as the patch-cut sub-groupings, various metrics of species composition, tree growth, and stand stocking were calculated. These metrics were analyzed and compared in order to determine the validity of the study hypothesis, and the state of those forests 25-30 years after harvest. Data were also compiled using JMP to determine the statistical significance of the harvest regime and plot location effects on species composition. </w:t>
      </w:r>
      <w:r w:rsidR="00A94D2E">
        <w:rPr>
          <w:rFonts w:eastAsia="Times New Roman"/>
        </w:rPr>
        <w:t>In JMP, trees per acre and basal area per acre were calculated for each species. These values were used to run an effect test with treatments of harvest regime and location within a harvest, as well as a blocking factor of harvest site.</w:t>
      </w:r>
      <w:r w:rsidR="00C356C0">
        <w:rPr>
          <w:rFonts w:eastAsia="Times New Roman"/>
        </w:rPr>
        <w:t xml:space="preserve"> </w:t>
      </w:r>
    </w:p>
    <w:p w14:paraId="50913C95" w14:textId="3265AD34" w:rsidR="007D4B92" w:rsidRDefault="007D4B92" w:rsidP="007D4B92">
      <w:pPr>
        <w:spacing w:line="480" w:lineRule="auto"/>
        <w:ind w:firstLine="720"/>
        <w:rPr>
          <w:rFonts w:eastAsia="Times New Roman"/>
        </w:rPr>
      </w:pPr>
    </w:p>
    <w:p w14:paraId="1E29E2A5" w14:textId="6ECDF279" w:rsidR="007B76D2" w:rsidRDefault="007B76D2">
      <w:pPr>
        <w:spacing w:line="480" w:lineRule="auto"/>
        <w:rPr>
          <w:rFonts w:eastAsia="Times New Roman"/>
        </w:rPr>
      </w:pPr>
    </w:p>
    <w:p w14:paraId="7FFFDD11" w14:textId="77777777" w:rsidR="007B76D2" w:rsidRDefault="007B76D2">
      <w:pPr>
        <w:rPr>
          <w:rFonts w:eastAsia="Times New Roman"/>
        </w:rPr>
      </w:pPr>
      <w:r>
        <w:rPr>
          <w:rFonts w:eastAsia="Times New Roman"/>
        </w:rPr>
        <w:br w:type="page"/>
      </w:r>
    </w:p>
    <w:p w14:paraId="24417652" w14:textId="77777777" w:rsidR="009969C6" w:rsidRDefault="009969C6">
      <w:pPr>
        <w:spacing w:line="480" w:lineRule="auto"/>
        <w:rPr>
          <w:rFonts w:eastAsia="Times New Roman"/>
        </w:rPr>
      </w:pPr>
    </w:p>
    <w:p w14:paraId="438E546C" w14:textId="77777777" w:rsidR="007B76D2" w:rsidRDefault="007B76D2" w:rsidP="007B76D2">
      <w:pPr>
        <w:keepNext/>
        <w:spacing w:line="480" w:lineRule="auto"/>
        <w:jc w:val="center"/>
      </w:pPr>
      <w:r>
        <w:rPr>
          <w:rFonts w:eastAsia="Times New Roman"/>
          <w:noProof/>
        </w:rPr>
        <w:drawing>
          <wp:inline distT="0" distB="0" distL="0" distR="0" wp14:anchorId="0FAF5533" wp14:editId="097D72D2">
            <wp:extent cx="5542508" cy="7286625"/>
            <wp:effectExtent l="0" t="0" r="1270" b="0"/>
            <wp:docPr id="11" name="Picture 1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ap&#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545498" cy="7290556"/>
                    </a:xfrm>
                    <a:prstGeom prst="rect">
                      <a:avLst/>
                    </a:prstGeom>
                  </pic:spPr>
                </pic:pic>
              </a:graphicData>
            </a:graphic>
          </wp:inline>
        </w:drawing>
      </w:r>
    </w:p>
    <w:p w14:paraId="7237DE55" w14:textId="6513AFF1" w:rsidR="007B76D2" w:rsidRPr="00C27B2D" w:rsidRDefault="007B76D2" w:rsidP="007B76D2">
      <w:pPr>
        <w:pStyle w:val="Caption"/>
        <w:jc w:val="center"/>
        <w:rPr>
          <w:rFonts w:eastAsia="Times New Roman"/>
          <w:i w:val="0"/>
          <w:iCs w:val="0"/>
          <w:color w:val="auto"/>
          <w:sz w:val="24"/>
          <w:szCs w:val="24"/>
        </w:rPr>
      </w:pPr>
      <w:bookmarkStart w:id="1" w:name="_Hlk65575495"/>
      <w:r w:rsidRPr="00C27B2D">
        <w:rPr>
          <w:i w:val="0"/>
          <w:iCs w:val="0"/>
          <w:color w:val="auto"/>
          <w:sz w:val="24"/>
          <w:szCs w:val="24"/>
        </w:rPr>
        <w:t xml:space="preserve">Figure </w:t>
      </w:r>
      <w:r w:rsidR="00AA5688" w:rsidRPr="00C27B2D">
        <w:rPr>
          <w:i w:val="0"/>
          <w:iCs w:val="0"/>
          <w:color w:val="auto"/>
          <w:sz w:val="24"/>
          <w:szCs w:val="24"/>
        </w:rPr>
        <w:t>3</w:t>
      </w:r>
      <w:r w:rsidRPr="00C27B2D">
        <w:rPr>
          <w:i w:val="0"/>
          <w:iCs w:val="0"/>
          <w:color w:val="auto"/>
          <w:sz w:val="24"/>
          <w:szCs w:val="24"/>
        </w:rPr>
        <w:t xml:space="preserve">: Harvest </w:t>
      </w:r>
      <w:r w:rsidR="002F3B84" w:rsidRPr="00C27B2D">
        <w:rPr>
          <w:i w:val="0"/>
          <w:iCs w:val="0"/>
          <w:color w:val="auto"/>
          <w:sz w:val="24"/>
          <w:szCs w:val="24"/>
        </w:rPr>
        <w:t>u</w:t>
      </w:r>
      <w:r w:rsidRPr="00C27B2D">
        <w:rPr>
          <w:i w:val="0"/>
          <w:iCs w:val="0"/>
          <w:color w:val="auto"/>
          <w:sz w:val="24"/>
          <w:szCs w:val="24"/>
        </w:rPr>
        <w:t xml:space="preserve">nit </w:t>
      </w:r>
      <w:r w:rsidR="002F3B84" w:rsidRPr="00C27B2D">
        <w:rPr>
          <w:i w:val="0"/>
          <w:iCs w:val="0"/>
          <w:color w:val="auto"/>
          <w:sz w:val="24"/>
          <w:szCs w:val="24"/>
        </w:rPr>
        <w:t>m</w:t>
      </w:r>
      <w:r w:rsidRPr="00C27B2D">
        <w:rPr>
          <w:i w:val="0"/>
          <w:iCs w:val="0"/>
          <w:color w:val="auto"/>
          <w:sz w:val="24"/>
          <w:szCs w:val="24"/>
        </w:rPr>
        <w:t>ap</w:t>
      </w:r>
      <w:r w:rsidR="002F3B84" w:rsidRPr="00C27B2D">
        <w:rPr>
          <w:i w:val="0"/>
          <w:iCs w:val="0"/>
          <w:color w:val="auto"/>
          <w:sz w:val="24"/>
          <w:szCs w:val="24"/>
        </w:rPr>
        <w:t xml:space="preserve"> provided by TDF</w:t>
      </w:r>
      <w:r w:rsidRPr="00C27B2D">
        <w:rPr>
          <w:i w:val="0"/>
          <w:iCs w:val="0"/>
          <w:color w:val="auto"/>
          <w:sz w:val="24"/>
          <w:szCs w:val="24"/>
        </w:rPr>
        <w:t xml:space="preserve"> showing both patch cuts and a clearcut</w:t>
      </w:r>
    </w:p>
    <w:bookmarkEnd w:id="1"/>
    <w:p w14:paraId="4237124E" w14:textId="77777777" w:rsidR="00412787" w:rsidRDefault="00412787" w:rsidP="00412787">
      <w:pPr>
        <w:keepNext/>
        <w:jc w:val="center"/>
      </w:pPr>
      <w:r>
        <w:rPr>
          <w:rFonts w:eastAsia="Times New Roman"/>
        </w:rPr>
        <w:br w:type="page"/>
      </w:r>
      <w:r>
        <w:rPr>
          <w:rFonts w:eastAsia="Times New Roman"/>
          <w:noProof/>
        </w:rPr>
        <w:lastRenderedPageBreak/>
        <w:drawing>
          <wp:inline distT="0" distB="0" distL="0" distR="0" wp14:anchorId="517D8004" wp14:editId="351B89F9">
            <wp:extent cx="5317320" cy="6124575"/>
            <wp:effectExtent l="0" t="0" r="0" b="0"/>
            <wp:docPr id="13" name="Picture 1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354886" cy="6167844"/>
                    </a:xfrm>
                    <a:prstGeom prst="rect">
                      <a:avLst/>
                    </a:prstGeom>
                  </pic:spPr>
                </pic:pic>
              </a:graphicData>
            </a:graphic>
          </wp:inline>
        </w:drawing>
      </w:r>
    </w:p>
    <w:p w14:paraId="2F91FB83" w14:textId="5BC597C0" w:rsidR="00412787" w:rsidRPr="00C27B2D" w:rsidRDefault="00412787" w:rsidP="00412787">
      <w:pPr>
        <w:pStyle w:val="Caption"/>
        <w:jc w:val="center"/>
        <w:rPr>
          <w:rFonts w:eastAsia="Times New Roman"/>
          <w:i w:val="0"/>
          <w:iCs w:val="0"/>
          <w:color w:val="auto"/>
          <w:sz w:val="24"/>
          <w:szCs w:val="24"/>
        </w:rPr>
      </w:pPr>
      <w:bookmarkStart w:id="2" w:name="_Hlk65575542"/>
      <w:r w:rsidRPr="00C27B2D">
        <w:rPr>
          <w:i w:val="0"/>
          <w:iCs w:val="0"/>
          <w:color w:val="auto"/>
          <w:sz w:val="24"/>
          <w:szCs w:val="24"/>
        </w:rPr>
        <w:t xml:space="preserve">Figure </w:t>
      </w:r>
      <w:r w:rsidR="00AA5688" w:rsidRPr="00C27B2D">
        <w:rPr>
          <w:i w:val="0"/>
          <w:iCs w:val="0"/>
          <w:color w:val="auto"/>
          <w:sz w:val="24"/>
          <w:szCs w:val="24"/>
        </w:rPr>
        <w:t>4</w:t>
      </w:r>
      <w:r w:rsidRPr="00C27B2D">
        <w:rPr>
          <w:i w:val="0"/>
          <w:iCs w:val="0"/>
          <w:color w:val="auto"/>
          <w:sz w:val="24"/>
          <w:szCs w:val="24"/>
        </w:rPr>
        <w:t>: Example of how plots were arranged in a patch cut</w:t>
      </w:r>
    </w:p>
    <w:bookmarkEnd w:id="2"/>
    <w:p w14:paraId="3A08351E" w14:textId="77777777" w:rsidR="007B76D2" w:rsidRDefault="007B76D2" w:rsidP="007B76D2">
      <w:pPr>
        <w:spacing w:line="480" w:lineRule="auto"/>
        <w:jc w:val="center"/>
        <w:rPr>
          <w:rFonts w:eastAsia="Times New Roman"/>
        </w:rPr>
      </w:pPr>
    </w:p>
    <w:p w14:paraId="686279E4" w14:textId="743D566B" w:rsidR="009969C6" w:rsidRDefault="009969C6" w:rsidP="00F67E0B">
      <w:pPr>
        <w:rPr>
          <w:rFonts w:eastAsia="Times New Roman"/>
        </w:rPr>
      </w:pPr>
    </w:p>
    <w:p w14:paraId="6AB30BF4" w14:textId="77777777" w:rsidR="002F3B84" w:rsidRDefault="002F3B84" w:rsidP="002F3B84">
      <w:pPr>
        <w:keepNext/>
        <w:spacing w:line="480" w:lineRule="auto"/>
        <w:jc w:val="center"/>
      </w:pPr>
      <w:r>
        <w:rPr>
          <w:rFonts w:eastAsia="Times New Roman"/>
          <w:noProof/>
        </w:rPr>
        <w:lastRenderedPageBreak/>
        <w:drawing>
          <wp:inline distT="0" distB="0" distL="0" distR="0" wp14:anchorId="04906204" wp14:editId="5200A14A">
            <wp:extent cx="5371678" cy="7086600"/>
            <wp:effectExtent l="0" t="0" r="635" b="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392964" cy="7114681"/>
                    </a:xfrm>
                    <a:prstGeom prst="rect">
                      <a:avLst/>
                    </a:prstGeom>
                  </pic:spPr>
                </pic:pic>
              </a:graphicData>
            </a:graphic>
          </wp:inline>
        </w:drawing>
      </w:r>
    </w:p>
    <w:p w14:paraId="059591E8" w14:textId="380A3621" w:rsidR="002F3B84" w:rsidRPr="00C27B2D" w:rsidRDefault="002F3B84" w:rsidP="002F3B84">
      <w:pPr>
        <w:pStyle w:val="Caption"/>
        <w:jc w:val="center"/>
        <w:rPr>
          <w:rFonts w:eastAsia="Times New Roman"/>
          <w:i w:val="0"/>
          <w:iCs w:val="0"/>
          <w:color w:val="auto"/>
          <w:sz w:val="24"/>
          <w:szCs w:val="24"/>
        </w:rPr>
      </w:pPr>
      <w:bookmarkStart w:id="3" w:name="_Hlk65575564"/>
      <w:r w:rsidRPr="00C27B2D">
        <w:rPr>
          <w:i w:val="0"/>
          <w:iCs w:val="0"/>
          <w:color w:val="auto"/>
          <w:sz w:val="24"/>
          <w:szCs w:val="24"/>
        </w:rPr>
        <w:t xml:space="preserve">Figure </w:t>
      </w:r>
      <w:r w:rsidR="003A75E1" w:rsidRPr="00C27B2D">
        <w:rPr>
          <w:i w:val="0"/>
          <w:iCs w:val="0"/>
          <w:color w:val="auto"/>
          <w:sz w:val="24"/>
          <w:szCs w:val="24"/>
        </w:rPr>
        <w:t>5</w:t>
      </w:r>
      <w:r w:rsidRPr="00C27B2D">
        <w:rPr>
          <w:i w:val="0"/>
          <w:iCs w:val="0"/>
          <w:color w:val="auto"/>
          <w:sz w:val="24"/>
          <w:szCs w:val="24"/>
        </w:rPr>
        <w:t>: Harvest unit map provided showing a clearcut</w:t>
      </w:r>
    </w:p>
    <w:bookmarkEnd w:id="3"/>
    <w:p w14:paraId="7AE14C57" w14:textId="77777777" w:rsidR="002F3B84" w:rsidRDefault="00E11E7D">
      <w:pPr>
        <w:spacing w:line="480" w:lineRule="auto"/>
        <w:rPr>
          <w:rFonts w:eastAsia="Times New Roman"/>
        </w:rPr>
      </w:pPr>
      <w:r>
        <w:rPr>
          <w:rFonts w:eastAsia="Times New Roman"/>
        </w:rPr>
        <w:tab/>
      </w:r>
    </w:p>
    <w:p w14:paraId="1AE778C4" w14:textId="7A47079E" w:rsidR="009969C6" w:rsidRDefault="009969C6">
      <w:pPr>
        <w:spacing w:line="480" w:lineRule="auto"/>
        <w:rPr>
          <w:rFonts w:eastAsia="Times New Roman"/>
          <w:b/>
        </w:rPr>
      </w:pPr>
    </w:p>
    <w:p w14:paraId="3D10C2A8" w14:textId="69CFFED7" w:rsidR="009969C6" w:rsidRDefault="007D4B92">
      <w:pPr>
        <w:spacing w:line="480" w:lineRule="auto"/>
        <w:rPr>
          <w:rFonts w:eastAsia="Times New Roman"/>
          <w:b/>
        </w:rPr>
      </w:pPr>
      <w:r>
        <w:rPr>
          <w:rFonts w:eastAsia="Times New Roman"/>
          <w:b/>
        </w:rPr>
        <w:lastRenderedPageBreak/>
        <w:t xml:space="preserve">Chapter 5: </w:t>
      </w:r>
      <w:r w:rsidR="00E11E7D">
        <w:rPr>
          <w:rFonts w:eastAsia="Times New Roman"/>
          <w:b/>
        </w:rPr>
        <w:t>Results</w:t>
      </w:r>
    </w:p>
    <w:p w14:paraId="6B707012" w14:textId="29671D82" w:rsidR="00BF042E" w:rsidRPr="00BF042E" w:rsidRDefault="00BF042E">
      <w:pPr>
        <w:spacing w:line="480" w:lineRule="auto"/>
        <w:rPr>
          <w:rFonts w:eastAsia="Times New Roman"/>
          <w:b/>
        </w:rPr>
      </w:pPr>
      <w:r>
        <w:rPr>
          <w:rFonts w:eastAsia="Times New Roman"/>
          <w:b/>
        </w:rPr>
        <w:t>Patch Cuts</w:t>
      </w:r>
    </w:p>
    <w:p w14:paraId="5CB2E8CD" w14:textId="114F8B91" w:rsidR="007D5CB2" w:rsidRDefault="00E11E7D" w:rsidP="00BF042E">
      <w:pPr>
        <w:spacing w:line="480" w:lineRule="auto"/>
        <w:rPr>
          <w:rFonts w:eastAsia="Times New Roman"/>
        </w:rPr>
      </w:pPr>
      <w:r>
        <w:rPr>
          <w:rFonts w:eastAsia="Times New Roman"/>
        </w:rPr>
        <w:tab/>
      </w:r>
      <w:r w:rsidR="00E13C52">
        <w:rPr>
          <w:rFonts w:eastAsia="Times New Roman"/>
        </w:rPr>
        <w:t>Th</w:t>
      </w:r>
      <w:r w:rsidR="0055485C">
        <w:rPr>
          <w:rFonts w:eastAsia="Times New Roman"/>
        </w:rPr>
        <w:t>e</w:t>
      </w:r>
      <w:r w:rsidR="00E13C52">
        <w:rPr>
          <w:rFonts w:eastAsia="Times New Roman"/>
        </w:rPr>
        <w:t xml:space="preserve"> patch cut areas of this study were harvested from 1991-1995. Four patch cut harvest units were selected. For each harvest unit, four patches were selected. Each patch was sampled by taking 6 1/20</w:t>
      </w:r>
      <w:r w:rsidR="00E13C52" w:rsidRPr="00E13C52">
        <w:rPr>
          <w:rFonts w:eastAsia="Times New Roman"/>
          <w:vertAlign w:val="superscript"/>
        </w:rPr>
        <w:t>th</w:t>
      </w:r>
      <w:r w:rsidR="00E13C52">
        <w:rPr>
          <w:rFonts w:eastAsia="Times New Roman"/>
        </w:rPr>
        <w:t xml:space="preserve"> acre plots (Figure 4). This process yielded 96 total plots, with 969 total trees sampled. </w:t>
      </w:r>
      <w:r w:rsidR="007D5CB2">
        <w:rPr>
          <w:rFonts w:eastAsia="Times New Roman"/>
        </w:rPr>
        <w:t>When all patch cuts were compiled, there w</w:t>
      </w:r>
      <w:r w:rsidR="00934596">
        <w:rPr>
          <w:rFonts w:eastAsia="Times New Roman"/>
        </w:rPr>
        <w:t>as an average of</w:t>
      </w:r>
      <w:r w:rsidR="007D5CB2">
        <w:rPr>
          <w:rFonts w:eastAsia="Times New Roman"/>
        </w:rPr>
        <w:t xml:space="preserve"> 201.7 trees per acre and 65.6 square feet of basal area per acre. </w:t>
      </w:r>
    </w:p>
    <w:p w14:paraId="495A6676" w14:textId="56141DED" w:rsidR="00BF042E" w:rsidRDefault="00E11E7D" w:rsidP="007D5CB2">
      <w:pPr>
        <w:spacing w:line="480" w:lineRule="auto"/>
        <w:ind w:firstLine="720"/>
        <w:rPr>
          <w:rFonts w:eastAsia="Times New Roman"/>
        </w:rPr>
      </w:pPr>
      <w:r>
        <w:rPr>
          <w:rFonts w:eastAsia="Times New Roman"/>
        </w:rPr>
        <w:t>Tulip poplar was by far the most dominant species present, accounting for 44% of the total stems measured</w:t>
      </w:r>
      <w:r w:rsidR="004307CF">
        <w:rPr>
          <w:rFonts w:eastAsia="Times New Roman"/>
        </w:rPr>
        <w:t xml:space="preserve"> (Figure </w:t>
      </w:r>
      <w:r w:rsidR="003A75E1">
        <w:rPr>
          <w:rFonts w:eastAsia="Times New Roman"/>
        </w:rPr>
        <w:t>6</w:t>
      </w:r>
      <w:r w:rsidR="004307CF">
        <w:rPr>
          <w:rFonts w:eastAsia="Times New Roman"/>
        </w:rPr>
        <w:t>)</w:t>
      </w:r>
      <w:r w:rsidR="007D5CB2">
        <w:rPr>
          <w:rFonts w:eastAsia="Times New Roman"/>
        </w:rPr>
        <w:t xml:space="preserve"> with 88.5 trees per acre</w:t>
      </w:r>
      <w:r>
        <w:rPr>
          <w:rFonts w:eastAsia="Times New Roman"/>
        </w:rPr>
        <w:t>. Sweetgum (19%</w:t>
      </w:r>
      <w:r w:rsidR="004D56FB">
        <w:rPr>
          <w:rFonts w:eastAsia="Times New Roman"/>
        </w:rPr>
        <w:t>, 39 TPA</w:t>
      </w:r>
      <w:r>
        <w:rPr>
          <w:rFonts w:eastAsia="Times New Roman"/>
        </w:rPr>
        <w:t>) and cherry (13%</w:t>
      </w:r>
      <w:r w:rsidR="004D56FB">
        <w:rPr>
          <w:rFonts w:eastAsia="Times New Roman"/>
        </w:rPr>
        <w:t>, 27.1 TPA</w:t>
      </w:r>
      <w:r>
        <w:rPr>
          <w:rFonts w:eastAsia="Times New Roman"/>
        </w:rPr>
        <w:t xml:space="preserve">) were the next most </w:t>
      </w:r>
      <w:r w:rsidR="00BF1DB0">
        <w:rPr>
          <w:rFonts w:eastAsia="Times New Roman"/>
        </w:rPr>
        <w:t>commonly observed</w:t>
      </w:r>
      <w:r>
        <w:rPr>
          <w:rFonts w:eastAsia="Times New Roman"/>
        </w:rPr>
        <w:t xml:space="preserve"> species</w:t>
      </w:r>
      <w:r w:rsidR="00BF1DB0">
        <w:rPr>
          <w:rFonts w:eastAsia="Times New Roman"/>
        </w:rPr>
        <w:t xml:space="preserve"> in the patch cuts</w:t>
      </w:r>
      <w:r>
        <w:rPr>
          <w:rFonts w:eastAsia="Times New Roman"/>
        </w:rPr>
        <w:t xml:space="preserve">. </w:t>
      </w:r>
      <w:r w:rsidR="00BF1DB0">
        <w:rPr>
          <w:rFonts w:eastAsia="Times New Roman"/>
        </w:rPr>
        <w:t>Red oaks and white oaks combined</w:t>
      </w:r>
      <w:r>
        <w:rPr>
          <w:rFonts w:eastAsia="Times New Roman"/>
        </w:rPr>
        <w:t xml:space="preserve"> only made up 3% of the total stems</w:t>
      </w:r>
      <w:r w:rsidR="007D5CB2">
        <w:rPr>
          <w:rFonts w:eastAsia="Times New Roman"/>
        </w:rPr>
        <w:t xml:space="preserve"> with a combined 6.5 trees per acre</w:t>
      </w:r>
      <w:r>
        <w:rPr>
          <w:rFonts w:eastAsia="Times New Roman"/>
        </w:rPr>
        <w:t>. The rest of the trees were maple (6%</w:t>
      </w:r>
      <w:r w:rsidR="004D56FB">
        <w:rPr>
          <w:rFonts w:eastAsia="Times New Roman"/>
        </w:rPr>
        <w:t>, 11.5 TPA</w:t>
      </w:r>
      <w:r>
        <w:rPr>
          <w:rFonts w:eastAsia="Times New Roman"/>
        </w:rPr>
        <w:t>) or fell into the miscellaneous category (15%</w:t>
      </w:r>
      <w:r w:rsidR="004D56FB">
        <w:rPr>
          <w:rFonts w:eastAsia="Times New Roman"/>
        </w:rPr>
        <w:t>, 29.2 TPA</w:t>
      </w:r>
      <w:r>
        <w:rPr>
          <w:rFonts w:eastAsia="Times New Roman"/>
        </w:rPr>
        <w:t>).</w:t>
      </w:r>
    </w:p>
    <w:p w14:paraId="6D261A68" w14:textId="460A0912" w:rsidR="00BF042E" w:rsidRDefault="00E11E7D" w:rsidP="00BF042E">
      <w:pPr>
        <w:spacing w:line="480" w:lineRule="auto"/>
        <w:ind w:firstLine="720"/>
        <w:rPr>
          <w:rFonts w:eastAsia="Times New Roman"/>
        </w:rPr>
      </w:pPr>
      <w:r>
        <w:rPr>
          <w:rFonts w:eastAsia="Times New Roman"/>
        </w:rPr>
        <w:t xml:space="preserve"> </w:t>
      </w:r>
      <w:r w:rsidR="007D4B92">
        <w:rPr>
          <w:rFonts w:eastAsia="Times New Roman"/>
        </w:rPr>
        <w:t xml:space="preserve">The diameter distribution follows the reverse-J pattern that is expected of stratified, even-aged stands (Figure 7). </w:t>
      </w:r>
      <w:r w:rsidR="00BF042E">
        <w:rPr>
          <w:rFonts w:eastAsia="Times New Roman"/>
        </w:rPr>
        <w:t>Poplar was not only the most plentiful species, but also the largest, with an average DBH of 7.8 inches (Figure 8). Sweetgum was the next ranking species in diameter.</w:t>
      </w:r>
    </w:p>
    <w:p w14:paraId="381DC53F" w14:textId="0A0AD19B" w:rsidR="005F3346" w:rsidRDefault="00BF042E" w:rsidP="00BF1DB0">
      <w:pPr>
        <w:spacing w:line="480" w:lineRule="auto"/>
        <w:ind w:firstLine="720"/>
        <w:rPr>
          <w:rFonts w:eastAsia="Times New Roman"/>
        </w:rPr>
      </w:pPr>
      <w:r>
        <w:rPr>
          <w:rFonts w:eastAsia="Times New Roman"/>
        </w:rPr>
        <w:t xml:space="preserve"> The species composition was also calculated using total basal area</w:t>
      </w:r>
      <w:r w:rsidR="00CF6B27">
        <w:rPr>
          <w:rFonts w:eastAsia="Times New Roman"/>
        </w:rPr>
        <w:t xml:space="preserve"> of each species</w:t>
      </w:r>
      <w:r>
        <w:rPr>
          <w:rFonts w:eastAsia="Times New Roman"/>
        </w:rPr>
        <w:t xml:space="preserve"> (Figure 9). Poplar was even more dominant by this metric, making up 50% of the total basal area</w:t>
      </w:r>
      <w:r w:rsidR="007D5CB2">
        <w:rPr>
          <w:rFonts w:eastAsia="Times New Roman"/>
        </w:rPr>
        <w:t xml:space="preserve"> with 32.7 square feet of basal area per acre</w:t>
      </w:r>
      <w:r>
        <w:rPr>
          <w:rFonts w:eastAsia="Times New Roman"/>
        </w:rPr>
        <w:t xml:space="preserve"> measured in the patch-cut areas.</w:t>
      </w:r>
      <w:r w:rsidR="00CF6B27">
        <w:rPr>
          <w:rFonts w:eastAsia="Times New Roman"/>
        </w:rPr>
        <w:t xml:space="preserve"> Sweetgum and cherry were still the next two most prevalent species</w:t>
      </w:r>
      <w:r w:rsidR="00503565">
        <w:rPr>
          <w:rFonts w:eastAsia="Times New Roman"/>
        </w:rPr>
        <w:t xml:space="preserve"> with 11.5 and 6.2 square feet of basal area per acre, respectively.</w:t>
      </w:r>
      <w:r w:rsidR="008055DF">
        <w:rPr>
          <w:rFonts w:eastAsia="Times New Roman"/>
        </w:rPr>
        <w:t xml:space="preserve"> </w:t>
      </w:r>
      <w:r w:rsidR="00503565">
        <w:rPr>
          <w:rFonts w:eastAsia="Times New Roman"/>
        </w:rPr>
        <w:t>Red and white oaks combined represented only</w:t>
      </w:r>
      <w:r w:rsidR="008055DF">
        <w:rPr>
          <w:rFonts w:eastAsia="Times New Roman"/>
        </w:rPr>
        <w:t xml:space="preserve"> 3% of the total basal area with</w:t>
      </w:r>
      <w:r w:rsidR="00503565">
        <w:rPr>
          <w:rFonts w:eastAsia="Times New Roman"/>
        </w:rPr>
        <w:t xml:space="preserve"> 2 square feet of basal area per acre.</w:t>
      </w:r>
    </w:p>
    <w:p w14:paraId="364E0B33" w14:textId="77777777" w:rsidR="004C6539" w:rsidRDefault="00A83FB0">
      <w:pPr>
        <w:spacing w:line="480" w:lineRule="auto"/>
        <w:rPr>
          <w:rFonts w:eastAsia="Times New Roman"/>
        </w:rPr>
      </w:pPr>
      <w:r>
        <w:rPr>
          <w:noProof/>
        </w:rPr>
        <w:lastRenderedPageBreak/>
        <mc:AlternateContent>
          <mc:Choice Requires="wps">
            <w:drawing>
              <wp:anchor distT="0" distB="0" distL="114300" distR="114300" simplePos="0" relativeHeight="251665408" behindDoc="0" locked="0" layoutInCell="1" allowOverlap="1" wp14:anchorId="30E3D912" wp14:editId="729E0528">
                <wp:simplePos x="0" y="0"/>
                <wp:positionH relativeFrom="margin">
                  <wp:align>right</wp:align>
                </wp:positionH>
                <wp:positionV relativeFrom="paragraph">
                  <wp:posOffset>3698240</wp:posOffset>
                </wp:positionV>
                <wp:extent cx="5943600" cy="635"/>
                <wp:effectExtent l="0" t="0" r="0" b="2540"/>
                <wp:wrapTopAndBottom/>
                <wp:docPr id="18" name="Text Box 1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236CF9F" w14:textId="25B26C0F" w:rsidR="007D4B92" w:rsidRPr="00C27B2D" w:rsidRDefault="007D4B92" w:rsidP="00A83FB0">
                            <w:pPr>
                              <w:pStyle w:val="Caption"/>
                              <w:jc w:val="center"/>
                              <w:rPr>
                                <w:rFonts w:eastAsia="Times New Roman"/>
                                <w:i w:val="0"/>
                                <w:iCs w:val="0"/>
                                <w:color w:val="auto"/>
                                <w:sz w:val="24"/>
                                <w:szCs w:val="24"/>
                              </w:rPr>
                            </w:pPr>
                            <w:r w:rsidRPr="00C27B2D">
                              <w:rPr>
                                <w:i w:val="0"/>
                                <w:iCs w:val="0"/>
                                <w:color w:val="auto"/>
                                <w:sz w:val="24"/>
                                <w:szCs w:val="24"/>
                              </w:rPr>
                              <w:t>Figure 6: Total patch cut species composition calculated with trees per acre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0E3D912" id="_x0000_t202" coordsize="21600,21600" o:spt="202" path="m,l,21600r21600,l21600,xe">
                <v:stroke joinstyle="miter"/>
                <v:path gradientshapeok="t" o:connecttype="rect"/>
              </v:shapetype>
              <v:shape id="Text Box 18" o:spid="_x0000_s1026" type="#_x0000_t202" style="position:absolute;margin-left:416.8pt;margin-top:291.2pt;width:468pt;height:.05pt;z-index:25166540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" stroked="f">
                <v:textbox style="mso-fit-shape-to-text:t" inset="0,0,0,0">
                  <w:txbxContent>
                    <w:p w14:paraId="6236CF9F" w14:textId="25B26C0F" w:rsidR="007D4B92" w:rsidRPr="00C27B2D" w:rsidRDefault="007D4B92" w:rsidP="00A83FB0">
                      <w:pPr>
                        <w:pStyle w:val="Caption"/>
                        <w:jc w:val="center"/>
                        <w:rPr>
                          <w:rFonts w:eastAsia="Times New Roman"/>
                          <w:i w:val="0"/>
                          <w:iCs w:val="0"/>
                          <w:color w:val="auto"/>
                          <w:sz w:val="24"/>
                          <w:szCs w:val="24"/>
                        </w:rPr>
                      </w:pPr>
                      <w:r w:rsidRPr="00C27B2D">
                        <w:rPr>
                          <w:i w:val="0"/>
                          <w:iCs w:val="0"/>
                          <w:color w:val="auto"/>
                          <w:sz w:val="24"/>
                          <w:szCs w:val="24"/>
                        </w:rPr>
                        <w:t>Figure 6: Total patch cut species composition calculated with trees per acre</w:t>
                      </w:r>
                    </w:p>
                  </w:txbxContent>
                </v:textbox>
                <w10:wrap type="topAndBottom" anchorx="margin"/>
              </v:shape>
            </w:pict>
          </mc:Fallback>
        </mc:AlternateContent>
      </w:r>
      <w:r w:rsidR="00E11E7D">
        <w:rPr>
          <w:noProof/>
        </w:rPr>
        <w:drawing>
          <wp:inline distT="0" distB="0" distL="0" distR="0" wp14:anchorId="0B0ED555" wp14:editId="20041B5A">
            <wp:extent cx="5943600" cy="3594100"/>
            <wp:effectExtent l="0" t="0" r="0" b="635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5943600" cy="3594100"/>
                    </a:xfrm>
                    <a:prstGeom prst="rect">
                      <a:avLst/>
                    </a:prstGeom>
                    <a:ln/>
                  </pic:spPr>
                </pic:pic>
              </a:graphicData>
            </a:graphic>
          </wp:inline>
        </w:drawing>
      </w:r>
    </w:p>
    <w:p w14:paraId="2B80377B" w14:textId="77777777" w:rsidR="00BF042E" w:rsidRDefault="00BF042E">
      <w:pPr>
        <w:spacing w:line="480" w:lineRule="auto"/>
        <w:rPr>
          <w:rFonts w:eastAsia="Times New Roman"/>
        </w:rPr>
      </w:pPr>
    </w:p>
    <w:p w14:paraId="3002F053" w14:textId="77777777" w:rsidR="00A83FB0" w:rsidRPr="00BF042E" w:rsidRDefault="00E11E7D" w:rsidP="00A83FB0">
      <w:pPr>
        <w:keepNext/>
        <w:spacing w:line="480" w:lineRule="auto"/>
        <w:jc w:val="center"/>
      </w:pPr>
      <w:r w:rsidRPr="00BF042E">
        <w:rPr>
          <w:rFonts w:eastAsia="Times New Roman"/>
          <w:noProof/>
        </w:rPr>
        <w:drawing>
          <wp:inline distT="114300" distB="114300" distL="114300" distR="114300" wp14:anchorId="48C70BBF" wp14:editId="171A6DBD">
            <wp:extent cx="5943600" cy="342900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5943600" cy="3429000"/>
                    </a:xfrm>
                    <a:prstGeom prst="rect">
                      <a:avLst/>
                    </a:prstGeom>
                    <a:ln/>
                  </pic:spPr>
                </pic:pic>
              </a:graphicData>
            </a:graphic>
          </wp:inline>
        </w:drawing>
      </w:r>
    </w:p>
    <w:p w14:paraId="3C4A7AC0" w14:textId="3E9BF413" w:rsidR="001014F1" w:rsidRPr="00BF042E" w:rsidRDefault="00A83FB0" w:rsidP="00BF042E">
      <w:pPr>
        <w:pStyle w:val="Caption"/>
        <w:jc w:val="center"/>
        <w:rPr>
          <w:rFonts w:eastAsia="Times New Roman"/>
          <w:i w:val="0"/>
          <w:iCs w:val="0"/>
          <w:color w:val="auto"/>
          <w:sz w:val="24"/>
          <w:szCs w:val="24"/>
        </w:rPr>
      </w:pPr>
      <w:r w:rsidRPr="00C27B2D">
        <w:rPr>
          <w:i w:val="0"/>
          <w:iCs w:val="0"/>
          <w:color w:val="auto"/>
          <w:sz w:val="24"/>
          <w:szCs w:val="24"/>
        </w:rPr>
        <w:t xml:space="preserve">Figure </w:t>
      </w:r>
      <w:r w:rsidR="003A75E1" w:rsidRPr="00C27B2D">
        <w:rPr>
          <w:i w:val="0"/>
          <w:iCs w:val="0"/>
          <w:color w:val="auto"/>
          <w:sz w:val="24"/>
          <w:szCs w:val="24"/>
        </w:rPr>
        <w:t>7</w:t>
      </w:r>
      <w:r w:rsidR="00B65044" w:rsidRPr="00C27B2D">
        <w:rPr>
          <w:i w:val="0"/>
          <w:iCs w:val="0"/>
          <w:color w:val="auto"/>
          <w:sz w:val="24"/>
          <w:szCs w:val="24"/>
        </w:rPr>
        <w:t xml:space="preserve">: </w:t>
      </w:r>
      <w:bookmarkStart w:id="4" w:name="_Hlk68033218"/>
      <w:r w:rsidR="00B65044" w:rsidRPr="00C27B2D">
        <w:rPr>
          <w:i w:val="0"/>
          <w:iCs w:val="0"/>
          <w:color w:val="auto"/>
          <w:sz w:val="24"/>
          <w:szCs w:val="24"/>
        </w:rPr>
        <w:t>Diameter distribution of patch cuts</w:t>
      </w:r>
      <w:bookmarkEnd w:id="4"/>
    </w:p>
    <w:p w14:paraId="5B580871" w14:textId="1ED556E8" w:rsidR="00CB46C9" w:rsidRDefault="00BF042E" w:rsidP="00BF042E">
      <w:pPr>
        <w:spacing w:line="480" w:lineRule="auto"/>
        <w:jc w:val="center"/>
        <w:rPr>
          <w:rFonts w:eastAsia="Times New Roman"/>
        </w:rPr>
      </w:pPr>
      <w:r>
        <w:rPr>
          <w:noProof/>
        </w:rPr>
        <w:lastRenderedPageBreak/>
        <mc:AlternateContent>
          <mc:Choice Requires="wps">
            <w:drawing>
              <wp:anchor distT="0" distB="0" distL="114300" distR="114300" simplePos="0" relativeHeight="251667456" behindDoc="0" locked="0" layoutInCell="1" allowOverlap="1" wp14:anchorId="191C5BFE" wp14:editId="10982F81">
                <wp:simplePos x="0" y="0"/>
                <wp:positionH relativeFrom="margin">
                  <wp:align>right</wp:align>
                </wp:positionH>
                <wp:positionV relativeFrom="paragraph">
                  <wp:posOffset>3403600</wp:posOffset>
                </wp:positionV>
                <wp:extent cx="5943600" cy="635"/>
                <wp:effectExtent l="0" t="0" r="0" b="2540"/>
                <wp:wrapTopAndBottom/>
                <wp:docPr id="22" name="Text Box 22"/>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302F729" w14:textId="72F5B6D1" w:rsidR="007D4B92" w:rsidRPr="00C27B2D" w:rsidRDefault="007D4B92" w:rsidP="00A83FB0">
                            <w:pPr>
                              <w:pStyle w:val="Caption"/>
                              <w:jc w:val="center"/>
                              <w:rPr>
                                <w:rFonts w:eastAsia="Times New Roman"/>
                                <w:i w:val="0"/>
                                <w:iCs w:val="0"/>
                                <w:color w:val="auto"/>
                                <w:sz w:val="24"/>
                                <w:szCs w:val="24"/>
                              </w:rPr>
                            </w:pPr>
                            <w:r w:rsidRPr="00C27B2D">
                              <w:rPr>
                                <w:i w:val="0"/>
                                <w:iCs w:val="0"/>
                                <w:color w:val="auto"/>
                                <w:sz w:val="24"/>
                                <w:szCs w:val="24"/>
                              </w:rPr>
                              <w:t>Figure 8: Average DBH of notable species in patch cuts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91C5BFE" id="Text Box 22" o:spid="_x0000_s1027" type="#_x0000_t202" style="position:absolute;left:0;text-align:left;margin-left:416.8pt;margin-top:268pt;width:468pt;height:.05pt;z-index:25166745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" stroked="f">
                <v:textbox style="mso-fit-shape-to-text:t" inset="0,0,0,0">
                  <w:txbxContent>
                    <w:p w14:paraId="6302F729" w14:textId="72F5B6D1" w:rsidR="007D4B92" w:rsidRPr="00C27B2D" w:rsidRDefault="007D4B92" w:rsidP="00A83FB0">
                      <w:pPr>
                        <w:pStyle w:val="Caption"/>
                        <w:jc w:val="center"/>
                        <w:rPr>
                          <w:rFonts w:eastAsia="Times New Roman"/>
                          <w:i w:val="0"/>
                          <w:iCs w:val="0"/>
                          <w:color w:val="auto"/>
                          <w:sz w:val="24"/>
                          <w:szCs w:val="24"/>
                        </w:rPr>
                      </w:pPr>
                      <w:r w:rsidRPr="00C27B2D">
                        <w:rPr>
                          <w:i w:val="0"/>
                          <w:iCs w:val="0"/>
                          <w:color w:val="auto"/>
                          <w:sz w:val="24"/>
                          <w:szCs w:val="24"/>
                        </w:rPr>
                        <w:t>Figure 8: Average DBH of notable species in patch cuts</w:t>
                      </w:r>
                    </w:p>
                  </w:txbxContent>
                </v:textbox>
                <w10:wrap type="topAndBottom" anchorx="margin"/>
              </v:shape>
            </w:pict>
          </mc:Fallback>
        </mc:AlternateContent>
      </w:r>
      <w:r w:rsidR="00E11E7D">
        <w:rPr>
          <w:noProof/>
        </w:rPr>
        <w:drawing>
          <wp:inline distT="0" distB="0" distL="0" distR="0" wp14:anchorId="6BF0ACD8" wp14:editId="2EBD6389">
            <wp:extent cx="5648325" cy="3371850"/>
            <wp:effectExtent l="0" t="0" r="9525"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648325" cy="3371850"/>
                    </a:xfrm>
                    <a:prstGeom prst="rect">
                      <a:avLst/>
                    </a:prstGeom>
                    <a:ln/>
                  </pic:spPr>
                </pic:pic>
              </a:graphicData>
            </a:graphic>
          </wp:inline>
        </w:drawing>
      </w:r>
    </w:p>
    <w:p w14:paraId="7973B348" w14:textId="77777777" w:rsidR="00BF042E" w:rsidRDefault="00BF042E" w:rsidP="00BF042E">
      <w:pPr>
        <w:spacing w:line="480" w:lineRule="auto"/>
        <w:jc w:val="center"/>
        <w:rPr>
          <w:rFonts w:eastAsia="Times New Roman"/>
        </w:rPr>
      </w:pPr>
    </w:p>
    <w:p w14:paraId="040A3AFA" w14:textId="77777777" w:rsidR="00BF042E" w:rsidRDefault="00BF042E" w:rsidP="00BF042E">
      <w:pPr>
        <w:keepNext/>
        <w:spacing w:line="480" w:lineRule="auto"/>
        <w:jc w:val="center"/>
      </w:pPr>
      <w:r>
        <w:rPr>
          <w:rFonts w:eastAsia="Times New Roman"/>
          <w:noProof/>
        </w:rPr>
        <w:drawing>
          <wp:inline distT="114300" distB="114300" distL="114300" distR="114300" wp14:anchorId="50C55BA7" wp14:editId="24594963">
            <wp:extent cx="4829175" cy="3543300"/>
            <wp:effectExtent l="0" t="0" r="9525"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4829175" cy="3543300"/>
                    </a:xfrm>
                    <a:prstGeom prst="rect">
                      <a:avLst/>
                    </a:prstGeom>
                    <a:ln/>
                  </pic:spPr>
                </pic:pic>
              </a:graphicData>
            </a:graphic>
          </wp:inline>
        </w:drawing>
      </w:r>
    </w:p>
    <w:p w14:paraId="4BD33196" w14:textId="25FF8CE0" w:rsidR="00BF042E" w:rsidRPr="00BF042E" w:rsidRDefault="00BF042E" w:rsidP="00BF042E">
      <w:pPr>
        <w:pStyle w:val="Caption"/>
        <w:jc w:val="center"/>
        <w:rPr>
          <w:rFonts w:eastAsia="Times New Roman"/>
          <w:i w:val="0"/>
          <w:iCs w:val="0"/>
          <w:color w:val="auto"/>
          <w:sz w:val="24"/>
          <w:szCs w:val="24"/>
        </w:rPr>
      </w:pPr>
      <w:r w:rsidRPr="00BF042E">
        <w:rPr>
          <w:i w:val="0"/>
          <w:iCs w:val="0"/>
          <w:color w:val="auto"/>
          <w:sz w:val="24"/>
          <w:szCs w:val="24"/>
        </w:rPr>
        <w:t>Figure 9: Total patch cut species composition calculated with basal area per acre</w:t>
      </w:r>
    </w:p>
    <w:p w14:paraId="7C7CA126" w14:textId="02929194" w:rsidR="001014F1" w:rsidRPr="00BF042E" w:rsidRDefault="00BF042E">
      <w:pPr>
        <w:spacing w:line="480" w:lineRule="auto"/>
        <w:rPr>
          <w:rFonts w:eastAsia="Times New Roman"/>
          <w:b/>
          <w:bCs/>
        </w:rPr>
      </w:pPr>
      <w:r>
        <w:rPr>
          <w:rFonts w:eastAsia="Times New Roman"/>
          <w:b/>
          <w:bCs/>
        </w:rPr>
        <w:lastRenderedPageBreak/>
        <w:t>Clearcuts</w:t>
      </w:r>
    </w:p>
    <w:p w14:paraId="4B8412DB" w14:textId="103661B8" w:rsidR="00CB3B21" w:rsidRDefault="009159CA" w:rsidP="00EA39B6">
      <w:pPr>
        <w:spacing w:line="480" w:lineRule="auto"/>
        <w:ind w:firstLine="720"/>
        <w:rPr>
          <w:rFonts w:eastAsia="Times New Roman"/>
        </w:rPr>
      </w:pPr>
      <w:r>
        <w:rPr>
          <w:rFonts w:eastAsia="Times New Roman"/>
        </w:rPr>
        <w:t>The clearcut areas of this study were harvested in 1979-1981. Four clearcuts were selected. Each clearcut was sampled with 9 1/20</w:t>
      </w:r>
      <w:r w:rsidRPr="009159CA">
        <w:rPr>
          <w:rFonts w:eastAsia="Times New Roman"/>
          <w:vertAlign w:val="superscript"/>
        </w:rPr>
        <w:t>th</w:t>
      </w:r>
      <w:r>
        <w:rPr>
          <w:rFonts w:eastAsia="Times New Roman"/>
        </w:rPr>
        <w:t xml:space="preserve"> acre plots (</w:t>
      </w:r>
      <w:r w:rsidR="0055485C">
        <w:rPr>
          <w:rFonts w:eastAsia="Times New Roman"/>
        </w:rPr>
        <w:t>3 edge, 3 intermediate, 3 middle)</w:t>
      </w:r>
      <w:r>
        <w:rPr>
          <w:rFonts w:eastAsia="Times New Roman"/>
        </w:rPr>
        <w:t xml:space="preserve"> for a total of 36 plots, which contained 311 trees.</w:t>
      </w:r>
      <w:r w:rsidR="00CB3B21">
        <w:rPr>
          <w:rFonts w:eastAsia="Times New Roman"/>
        </w:rPr>
        <w:t xml:space="preserve"> When compiled, the clearcuts averaged 172.8 trees per acre and 98.9 square feet of basal area per acre.</w:t>
      </w:r>
    </w:p>
    <w:p w14:paraId="61D71B24" w14:textId="522E33A9" w:rsidR="00EA39B6" w:rsidRDefault="00E11E7D" w:rsidP="00EA39B6">
      <w:pPr>
        <w:spacing w:line="480" w:lineRule="auto"/>
        <w:ind w:firstLine="720"/>
        <w:rPr>
          <w:rFonts w:eastAsia="Times New Roman"/>
        </w:rPr>
      </w:pPr>
      <w:r>
        <w:rPr>
          <w:rFonts w:eastAsia="Times New Roman"/>
        </w:rPr>
        <w:t>Poplar was also the most prevalent</w:t>
      </w:r>
      <w:r w:rsidR="003A75E1">
        <w:rPr>
          <w:rFonts w:eastAsia="Times New Roman"/>
        </w:rPr>
        <w:t xml:space="preserve"> individual</w:t>
      </w:r>
      <w:r>
        <w:rPr>
          <w:rFonts w:eastAsia="Times New Roman"/>
        </w:rPr>
        <w:t xml:space="preserve"> species in these areas, accounting for 21% of the total stems</w:t>
      </w:r>
      <w:r w:rsidR="00E81CF3">
        <w:rPr>
          <w:rFonts w:eastAsia="Times New Roman"/>
        </w:rPr>
        <w:t xml:space="preserve"> (Figure </w:t>
      </w:r>
      <w:r w:rsidR="003A75E1">
        <w:rPr>
          <w:rFonts w:eastAsia="Times New Roman"/>
        </w:rPr>
        <w:t>10</w:t>
      </w:r>
      <w:r w:rsidR="00E81CF3">
        <w:rPr>
          <w:rFonts w:eastAsia="Times New Roman"/>
        </w:rPr>
        <w:t>)</w:t>
      </w:r>
      <w:r w:rsidR="00CB3B21">
        <w:rPr>
          <w:rFonts w:eastAsia="Times New Roman"/>
        </w:rPr>
        <w:t xml:space="preserve"> and 36.1 trees per acre</w:t>
      </w:r>
      <w:r>
        <w:rPr>
          <w:rFonts w:eastAsia="Times New Roman"/>
        </w:rPr>
        <w:t>. Red oaks make up 20% of the total stems</w:t>
      </w:r>
      <w:r w:rsidR="00CB3B21">
        <w:rPr>
          <w:rFonts w:eastAsia="Times New Roman"/>
        </w:rPr>
        <w:t xml:space="preserve"> (33.9 TPA)</w:t>
      </w:r>
      <w:r>
        <w:rPr>
          <w:rFonts w:eastAsia="Times New Roman"/>
        </w:rPr>
        <w:t xml:space="preserve"> and white oaks make up 18%</w:t>
      </w:r>
      <w:r w:rsidR="00CB3B21">
        <w:rPr>
          <w:rFonts w:eastAsia="Times New Roman"/>
        </w:rPr>
        <w:t xml:space="preserve"> (30.6 TPA)</w:t>
      </w:r>
      <w:r w:rsidR="00E81CF3">
        <w:rPr>
          <w:rFonts w:eastAsia="Times New Roman"/>
        </w:rPr>
        <w:t xml:space="preserve"> in the clearcut areas</w:t>
      </w:r>
      <w:r w:rsidR="003A75E1">
        <w:rPr>
          <w:rFonts w:eastAsia="Times New Roman"/>
        </w:rPr>
        <w:t>, making oak the dominant species when combining these two groups</w:t>
      </w:r>
      <w:r>
        <w:rPr>
          <w:rFonts w:eastAsia="Times New Roman"/>
        </w:rPr>
        <w:t>. Other species included sweetgum (9%</w:t>
      </w:r>
      <w:r w:rsidR="00CB3B21">
        <w:rPr>
          <w:rFonts w:eastAsia="Times New Roman"/>
        </w:rPr>
        <w:t>, 16.1 TPA</w:t>
      </w:r>
      <w:r>
        <w:rPr>
          <w:rFonts w:eastAsia="Times New Roman"/>
        </w:rPr>
        <w:t>), cherry (7%</w:t>
      </w:r>
      <w:r w:rsidR="00CB3B21">
        <w:rPr>
          <w:rFonts w:eastAsia="Times New Roman"/>
        </w:rPr>
        <w:t>, 12.8 TPA</w:t>
      </w:r>
      <w:r>
        <w:rPr>
          <w:rFonts w:eastAsia="Times New Roman"/>
        </w:rPr>
        <w:t>), and maple (5%</w:t>
      </w:r>
      <w:r w:rsidR="00CB3B21">
        <w:rPr>
          <w:rFonts w:eastAsia="Times New Roman"/>
        </w:rPr>
        <w:t>, 11.1 TPA</w:t>
      </w:r>
      <w:r>
        <w:rPr>
          <w:rFonts w:eastAsia="Times New Roman"/>
        </w:rPr>
        <w:t>). Miscellaneous species</w:t>
      </w:r>
      <w:r w:rsidR="00CB3B21">
        <w:rPr>
          <w:rFonts w:eastAsia="Times New Roman"/>
        </w:rPr>
        <w:t xml:space="preserve"> (species that account for less than 4% of the total stems)</w:t>
      </w:r>
      <w:r>
        <w:rPr>
          <w:rFonts w:eastAsia="Times New Roman"/>
        </w:rPr>
        <w:t xml:space="preserve"> accounted for 19% of the total stems</w:t>
      </w:r>
      <w:r w:rsidR="00CB3B21">
        <w:rPr>
          <w:rFonts w:eastAsia="Times New Roman"/>
        </w:rPr>
        <w:t xml:space="preserve"> and 32.2 trees per acre.</w:t>
      </w:r>
    </w:p>
    <w:p w14:paraId="7863D1CB" w14:textId="77777777" w:rsidR="00EA39B6" w:rsidRDefault="00EA39B6" w:rsidP="00EA39B6">
      <w:pPr>
        <w:spacing w:line="480" w:lineRule="auto"/>
        <w:ind w:firstLine="720"/>
        <w:rPr>
          <w:rFonts w:eastAsia="Times New Roman"/>
        </w:rPr>
      </w:pPr>
      <w:r>
        <w:rPr>
          <w:rFonts w:eastAsia="Times New Roman"/>
        </w:rPr>
        <w:t>Diameter distribution once again follows a reverse-J shape (Figure 11), though there is some slight variation. Poplar also had the greatest average DBH with an average of 11 inches (Figure 12). The average diameters of white oak (10 inches) and red oak (9.6 inches) followed poplar.</w:t>
      </w:r>
    </w:p>
    <w:p w14:paraId="70BD46FE" w14:textId="04EBC882" w:rsidR="009969C6" w:rsidRDefault="00EA39B6" w:rsidP="009159CA">
      <w:pPr>
        <w:spacing w:line="480" w:lineRule="auto"/>
        <w:ind w:firstLine="720"/>
        <w:rPr>
          <w:rFonts w:eastAsia="Times New Roman"/>
        </w:rPr>
      </w:pPr>
      <w:r>
        <w:rPr>
          <w:rFonts w:eastAsia="Times New Roman"/>
        </w:rPr>
        <w:t xml:space="preserve">The species composition of the clearcuts was also calculated using total basal area (Figure 13). Poplar </w:t>
      </w:r>
      <w:r w:rsidR="00CB3B21">
        <w:rPr>
          <w:rFonts w:eastAsia="Times New Roman"/>
        </w:rPr>
        <w:t>made up the highest proportion of total basal area (27%) with 47.7 square feet per acre.</w:t>
      </w:r>
      <w:r>
        <w:rPr>
          <w:rFonts w:eastAsia="Times New Roman"/>
        </w:rPr>
        <w:t xml:space="preserve"> but the oaks remained strong as well</w:t>
      </w:r>
      <w:r w:rsidR="00CB3B21">
        <w:rPr>
          <w:rFonts w:eastAsia="Times New Roman"/>
        </w:rPr>
        <w:t xml:space="preserve"> with 34.4 square feet of basal area per acre for red oak and 36.2 square feet per acre for white oak</w:t>
      </w:r>
      <w:r>
        <w:rPr>
          <w:rFonts w:eastAsia="Times New Roman"/>
        </w:rPr>
        <w:t xml:space="preserve">. If white oaks and red oaks were combined, these two categories </w:t>
      </w:r>
      <w:r w:rsidR="00CB3B21">
        <w:rPr>
          <w:rFonts w:eastAsia="Times New Roman"/>
        </w:rPr>
        <w:t>made up a greater proportion of the total basal area</w:t>
      </w:r>
      <w:r>
        <w:rPr>
          <w:rFonts w:eastAsia="Times New Roman"/>
        </w:rPr>
        <w:t xml:space="preserve"> (39%) than poplar (27%).</w:t>
      </w:r>
      <w:r w:rsidR="008B0F12">
        <w:rPr>
          <w:rFonts w:eastAsia="Times New Roman"/>
        </w:rPr>
        <w:t xml:space="preserve"> Sweetgum accounts for 12.6 square feet of basal area per acre (7% of the total) and cherry accounts for 8.6 square feet per acre (5% of the total). </w:t>
      </w:r>
    </w:p>
    <w:p w14:paraId="2E3A33AA" w14:textId="46DF6BEC" w:rsidR="001014F1" w:rsidRDefault="00EA39B6" w:rsidP="00EA39B6">
      <w:pPr>
        <w:spacing w:line="480" w:lineRule="auto"/>
        <w:jc w:val="center"/>
        <w:rPr>
          <w:rFonts w:eastAsia="Times New Roman"/>
        </w:rPr>
      </w:pPr>
      <w:r>
        <w:rPr>
          <w:noProof/>
        </w:rPr>
        <w:lastRenderedPageBreak/>
        <mc:AlternateContent>
          <mc:Choice Requires="wps">
            <w:drawing>
              <wp:anchor distT="0" distB="0" distL="114300" distR="114300" simplePos="0" relativeHeight="251669504" behindDoc="0" locked="0" layoutInCell="1" allowOverlap="1" wp14:anchorId="144B1104" wp14:editId="69E5890E">
                <wp:simplePos x="0" y="0"/>
                <wp:positionH relativeFrom="margin">
                  <wp:align>right</wp:align>
                </wp:positionH>
                <wp:positionV relativeFrom="paragraph">
                  <wp:posOffset>3662680</wp:posOffset>
                </wp:positionV>
                <wp:extent cx="5943600" cy="635"/>
                <wp:effectExtent l="0" t="0" r="0" b="2540"/>
                <wp:wrapTopAndBottom/>
                <wp:docPr id="23" name="Text Box 23"/>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B8E5159" w14:textId="525842A8" w:rsidR="007D4B92" w:rsidRPr="00C27B2D" w:rsidRDefault="007D4B92" w:rsidP="00A83FB0">
                            <w:pPr>
                              <w:pStyle w:val="Caption"/>
                              <w:jc w:val="center"/>
                              <w:rPr>
                                <w:rFonts w:eastAsia="Times New Roman"/>
                                <w:i w:val="0"/>
                                <w:iCs w:val="0"/>
                                <w:color w:val="auto"/>
                                <w:sz w:val="24"/>
                                <w:szCs w:val="24"/>
                              </w:rPr>
                            </w:pPr>
                            <w:r w:rsidRPr="00C27B2D">
                              <w:rPr>
                                <w:i w:val="0"/>
                                <w:iCs w:val="0"/>
                                <w:color w:val="auto"/>
                                <w:sz w:val="24"/>
                                <w:szCs w:val="24"/>
                              </w:rPr>
                              <w:t>Figure 10: Total clearcut species composition calculated with trees per acre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4B1104" id="Text Box 23" o:spid="_x0000_s1028" type="#_x0000_t202" style="position:absolute;left:0;text-align:left;margin-left:416.8pt;margin-top:288.4pt;width:468pt;height:.05pt;z-index:25166950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" stroked="f">
                <v:textbox style="mso-fit-shape-to-text:t" inset="0,0,0,0">
                  <w:txbxContent>
                    <w:p w14:paraId="4B8E5159" w14:textId="525842A8" w:rsidR="007D4B92" w:rsidRPr="00C27B2D" w:rsidRDefault="007D4B92" w:rsidP="00A83FB0">
                      <w:pPr>
                        <w:pStyle w:val="Caption"/>
                        <w:jc w:val="center"/>
                        <w:rPr>
                          <w:rFonts w:eastAsia="Times New Roman"/>
                          <w:i w:val="0"/>
                          <w:iCs w:val="0"/>
                          <w:color w:val="auto"/>
                          <w:sz w:val="24"/>
                          <w:szCs w:val="24"/>
                        </w:rPr>
                      </w:pPr>
                      <w:r w:rsidRPr="00C27B2D">
                        <w:rPr>
                          <w:i w:val="0"/>
                          <w:iCs w:val="0"/>
                          <w:color w:val="auto"/>
                          <w:sz w:val="24"/>
                          <w:szCs w:val="24"/>
                        </w:rPr>
                        <w:t>Figure 10: Total clearcut species composition calculated with trees per acre</w:t>
                      </w:r>
                    </w:p>
                  </w:txbxContent>
                </v:textbox>
                <w10:wrap type="topAndBottom" anchorx="margin"/>
              </v:shape>
            </w:pict>
          </mc:Fallback>
        </mc:AlternateContent>
      </w:r>
      <w:r w:rsidR="001014F1">
        <w:rPr>
          <w:noProof/>
        </w:rPr>
        <w:drawing>
          <wp:inline distT="0" distB="0" distL="0" distR="0" wp14:anchorId="63DBF405" wp14:editId="66C48BBA">
            <wp:extent cx="5695950" cy="3514725"/>
            <wp:effectExtent l="0" t="0" r="0" b="9525"/>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5695950" cy="3514725"/>
                    </a:xfrm>
                    <a:prstGeom prst="rect">
                      <a:avLst/>
                    </a:prstGeom>
                    <a:ln/>
                  </pic:spPr>
                </pic:pic>
              </a:graphicData>
            </a:graphic>
          </wp:inline>
        </w:drawing>
      </w:r>
    </w:p>
    <w:p w14:paraId="043C0EDC" w14:textId="77777777" w:rsidR="00EA39B6" w:rsidRDefault="00EA39B6" w:rsidP="00EA39B6">
      <w:pPr>
        <w:spacing w:line="480" w:lineRule="auto"/>
        <w:jc w:val="center"/>
        <w:rPr>
          <w:rFonts w:eastAsia="Times New Roman"/>
        </w:rPr>
      </w:pPr>
    </w:p>
    <w:p w14:paraId="79814854" w14:textId="389264D6" w:rsidR="001014F1" w:rsidRDefault="00EA39B6">
      <w:pPr>
        <w:spacing w:line="480" w:lineRule="auto"/>
        <w:rPr>
          <w:rFonts w:eastAsia="Times New Roman"/>
        </w:rPr>
      </w:pPr>
      <w:r>
        <w:rPr>
          <w:noProof/>
        </w:rPr>
        <w:drawing>
          <wp:inline distT="0" distB="0" distL="0" distR="0" wp14:anchorId="633338B0" wp14:editId="3F1294B3">
            <wp:extent cx="5934075" cy="3114675"/>
            <wp:effectExtent l="0" t="0" r="9525" b="9525"/>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a:xfrm>
                      <a:off x="0" y="0"/>
                      <a:ext cx="5934075" cy="3114675"/>
                    </a:xfrm>
                    <a:prstGeom prst="rect">
                      <a:avLst/>
                    </a:prstGeom>
                    <a:ln/>
                  </pic:spPr>
                </pic:pic>
              </a:graphicData>
            </a:graphic>
          </wp:inline>
        </w:drawing>
      </w:r>
    </w:p>
    <w:p w14:paraId="5BDFEB7B" w14:textId="08713F97" w:rsidR="001014F1" w:rsidRDefault="00EA39B6" w:rsidP="00EA39B6">
      <w:pPr>
        <w:spacing w:line="480" w:lineRule="auto"/>
        <w:jc w:val="center"/>
        <w:rPr>
          <w:rFonts w:eastAsia="Times New Roman"/>
        </w:rPr>
      </w:pPr>
      <w:r>
        <w:rPr>
          <w:noProof/>
        </w:rPr>
        <mc:AlternateContent>
          <mc:Choice Requires="wps">
            <w:drawing>
              <wp:inline distT="0" distB="0" distL="0" distR="0" wp14:anchorId="7BE888AB" wp14:editId="45CF9448">
                <wp:extent cx="5943600" cy="635"/>
                <wp:effectExtent l="0" t="0" r="0" b="2540"/>
                <wp:docPr id="24" name="Text Box 24"/>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626B2A3" w14:textId="318F98AC" w:rsidR="007D4B92" w:rsidRPr="00C27B2D" w:rsidRDefault="007D4B92" w:rsidP="00A83FB0">
                            <w:pPr>
                              <w:pStyle w:val="Caption"/>
                              <w:jc w:val="center"/>
                              <w:rPr>
                                <w:i w:val="0"/>
                                <w:iCs w:val="0"/>
                                <w:noProof/>
                                <w:color w:val="auto"/>
                                <w:sz w:val="24"/>
                                <w:szCs w:val="24"/>
                              </w:rPr>
                            </w:pPr>
                            <w:r w:rsidRPr="00C27B2D">
                              <w:rPr>
                                <w:i w:val="0"/>
                                <w:iCs w:val="0"/>
                                <w:color w:val="auto"/>
                                <w:sz w:val="24"/>
                                <w:szCs w:val="24"/>
                              </w:rPr>
                              <w:t>Figure 11: Diameter distribution of clearcuts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7BE888AB" id="Text Box 24" o:spid="_x0000_s1029" type="#_x0000_t202"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" stroked="f">
                <v:textbox style="mso-fit-shape-to-text:t" inset="0,0,0,0">
                  <w:txbxContent>
                    <w:p w14:paraId="2626B2A3" w14:textId="318F98AC" w:rsidR="007D4B92" w:rsidRPr="00C27B2D" w:rsidRDefault="007D4B92" w:rsidP="00A83FB0">
                      <w:pPr>
                        <w:pStyle w:val="Caption"/>
                        <w:jc w:val="center"/>
                        <w:rPr>
                          <w:i w:val="0"/>
                          <w:iCs w:val="0"/>
                          <w:noProof/>
                          <w:color w:val="auto"/>
                          <w:sz w:val="24"/>
                          <w:szCs w:val="24"/>
                        </w:rPr>
                      </w:pPr>
                      <w:r w:rsidRPr="00C27B2D">
                        <w:rPr>
                          <w:i w:val="0"/>
                          <w:iCs w:val="0"/>
                          <w:color w:val="auto"/>
                          <w:sz w:val="24"/>
                          <w:szCs w:val="24"/>
                        </w:rPr>
                        <w:t>Figure 11: Diameter distribution of clearcuts</w:t>
                      </w:r>
                    </w:p>
                  </w:txbxContent>
                </v:textbox>
                <w10:anchorlock/>
              </v:shape>
            </w:pict>
          </mc:Fallback>
        </mc:AlternateContent>
      </w:r>
    </w:p>
    <w:p w14:paraId="156E587C" w14:textId="45FFF546" w:rsidR="001014F1" w:rsidRDefault="001014F1">
      <w:pPr>
        <w:spacing w:line="480" w:lineRule="auto"/>
        <w:rPr>
          <w:rFonts w:eastAsia="Times New Roman"/>
        </w:rPr>
      </w:pPr>
    </w:p>
    <w:p w14:paraId="7C4B8175" w14:textId="3ABE4060" w:rsidR="001014F1" w:rsidRDefault="00EA39B6" w:rsidP="00EA39B6">
      <w:pPr>
        <w:spacing w:line="480" w:lineRule="auto"/>
        <w:jc w:val="center"/>
        <w:rPr>
          <w:rFonts w:eastAsia="Times New Roman"/>
        </w:rPr>
      </w:pPr>
      <w:r>
        <w:rPr>
          <w:noProof/>
        </w:rPr>
        <w:drawing>
          <wp:anchor distT="114300" distB="114300" distL="114300" distR="114300" simplePos="0" relativeHeight="251663360" behindDoc="0" locked="0" layoutInCell="1" hidden="0" allowOverlap="1" wp14:anchorId="367DFDDA" wp14:editId="2A6B0224">
            <wp:simplePos x="0" y="0"/>
            <wp:positionH relativeFrom="margin">
              <wp:align>center</wp:align>
            </wp:positionH>
            <wp:positionV relativeFrom="paragraph">
              <wp:posOffset>3630930</wp:posOffset>
            </wp:positionV>
            <wp:extent cx="4905375" cy="3552825"/>
            <wp:effectExtent l="0" t="0" r="9525" b="9525"/>
            <wp:wrapTopAndBottom distT="114300" distB="11430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extLst>
                        <a:ext uri="{28A0092B-C50C-407E-A947-70E740481C1C}">
                          <a14:useLocalDpi xmlns:a14="http://schemas.microsoft.com/office/drawing/2010/main" val="0"/>
                        </a:ext>
                      </a:extLst>
                    </a:blip>
                    <a:srcRect/>
                    <a:stretch>
                      <a:fillRect/>
                    </a:stretch>
                  </pic:blipFill>
                  <pic:spPr>
                    <a:xfrm>
                      <a:off x="0" y="0"/>
                      <a:ext cx="4905375" cy="3552825"/>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3600" behindDoc="0" locked="0" layoutInCell="1" allowOverlap="1" wp14:anchorId="453EB036" wp14:editId="542A0401">
                <wp:simplePos x="0" y="0"/>
                <wp:positionH relativeFrom="margin">
                  <wp:align>right</wp:align>
                </wp:positionH>
                <wp:positionV relativeFrom="paragraph">
                  <wp:posOffset>3162300</wp:posOffset>
                </wp:positionV>
                <wp:extent cx="5943600" cy="635"/>
                <wp:effectExtent l="0" t="0" r="0" b="2540"/>
                <wp:wrapTopAndBottom/>
                <wp:docPr id="25" name="Text Box 25"/>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A29ABD9" w14:textId="45A8A940" w:rsidR="007D4B92" w:rsidRPr="00C27B2D" w:rsidRDefault="007D4B92" w:rsidP="00A83FB0">
                            <w:pPr>
                              <w:pStyle w:val="Caption"/>
                              <w:jc w:val="center"/>
                              <w:rPr>
                                <w:i w:val="0"/>
                                <w:iCs w:val="0"/>
                                <w:noProof/>
                                <w:color w:val="auto"/>
                                <w:sz w:val="24"/>
                                <w:szCs w:val="24"/>
                              </w:rPr>
                            </w:pPr>
                            <w:r w:rsidRPr="00C27B2D">
                              <w:rPr>
                                <w:i w:val="0"/>
                                <w:iCs w:val="0"/>
                                <w:color w:val="auto"/>
                                <w:sz w:val="24"/>
                                <w:szCs w:val="24"/>
                              </w:rPr>
                              <w:t>Figure 12: Average DBH of notable species in clearcuts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3EB036" id="Text Box 25" o:spid="_x0000_s1030" type="#_x0000_t202" style="position:absolute;left:0;text-align:left;margin-left:416.8pt;margin-top:249pt;width:468pt;height:.05pt;z-index:25167360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" stroked="f">
                <v:textbox style="mso-fit-shape-to-text:t" inset="0,0,0,0">
                  <w:txbxContent>
                    <w:p w14:paraId="5A29ABD9" w14:textId="45A8A940" w:rsidR="007D4B92" w:rsidRPr="00C27B2D" w:rsidRDefault="007D4B92" w:rsidP="00A83FB0">
                      <w:pPr>
                        <w:pStyle w:val="Caption"/>
                        <w:jc w:val="center"/>
                        <w:rPr>
                          <w:i w:val="0"/>
                          <w:iCs w:val="0"/>
                          <w:noProof/>
                          <w:color w:val="auto"/>
                          <w:sz w:val="24"/>
                          <w:szCs w:val="24"/>
                        </w:rPr>
                      </w:pPr>
                      <w:r w:rsidRPr="00C27B2D">
                        <w:rPr>
                          <w:i w:val="0"/>
                          <w:iCs w:val="0"/>
                          <w:color w:val="auto"/>
                          <w:sz w:val="24"/>
                          <w:szCs w:val="24"/>
                        </w:rPr>
                        <w:t>Figure 12: Average DBH of notable species in clearcuts</w:t>
                      </w:r>
                    </w:p>
                  </w:txbxContent>
                </v:textbox>
                <w10:wrap type="topAndBottom" anchorx="margin"/>
              </v:shape>
            </w:pict>
          </mc:Fallback>
        </mc:AlternateContent>
      </w:r>
      <w:r w:rsidR="00A83FB0">
        <w:rPr>
          <w:noProof/>
        </w:rPr>
        <w:drawing>
          <wp:inline distT="0" distB="0" distL="0" distR="0" wp14:anchorId="28D93A60" wp14:editId="4150EEE6">
            <wp:extent cx="5876925" cy="3019425"/>
            <wp:effectExtent l="0" t="0" r="9525" b="9525"/>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extLst>
                        <a:ext uri="{28A0092B-C50C-407E-A947-70E740481C1C}">
                          <a14:useLocalDpi xmlns:a14="http://schemas.microsoft.com/office/drawing/2010/main" val="0"/>
                        </a:ext>
                      </a:extLst>
                    </a:blip>
                    <a:srcRect/>
                    <a:stretch>
                      <a:fillRect/>
                    </a:stretch>
                  </pic:blipFill>
                  <pic:spPr>
                    <a:xfrm>
                      <a:off x="0" y="0"/>
                      <a:ext cx="5876925" cy="3019425"/>
                    </a:xfrm>
                    <a:prstGeom prst="rect">
                      <a:avLst/>
                    </a:prstGeom>
                    <a:ln/>
                  </pic:spPr>
                </pic:pic>
              </a:graphicData>
            </a:graphic>
          </wp:inline>
        </w:drawing>
      </w:r>
    </w:p>
    <w:p w14:paraId="4D6484BD" w14:textId="663DDEB1" w:rsidR="009969C6" w:rsidRDefault="00EA39B6">
      <w:pPr>
        <w:spacing w:line="480" w:lineRule="auto"/>
        <w:rPr>
          <w:rFonts w:eastAsia="Times New Roman"/>
        </w:rPr>
      </w:pPr>
      <w:r>
        <w:rPr>
          <w:noProof/>
        </w:rPr>
        <mc:AlternateContent>
          <mc:Choice Requires="wps">
            <w:drawing>
              <wp:inline distT="0" distB="0" distL="0" distR="0" wp14:anchorId="181DD002" wp14:editId="62A55605">
                <wp:extent cx="5800725" cy="635"/>
                <wp:effectExtent l="0" t="0" r="9525" b="2540"/>
                <wp:docPr id="26" name="Text Box 26"/>
                <wp:cNvGraphicFramePr/>
                <a:graphic xmlns:a="http://schemas.openxmlformats.org/drawingml/2006/main">
                  <a:graphicData uri="http://schemas.microsoft.com/office/word/2010/wordprocessingShape">
                    <wps:wsp>
                      <wps:cNvSpPr txBox="1"/>
                      <wps:spPr>
                        <a:xfrm>
                          <a:off x="0" y="0"/>
                          <a:ext cx="5800725" cy="635"/>
                        </a:xfrm>
                        <a:prstGeom prst="rect">
                          <a:avLst/>
                        </a:prstGeom>
                        <a:solidFill>
                          <a:prstClr val="white"/>
                        </a:solidFill>
                        <a:ln>
                          <a:noFill/>
                        </a:ln>
                      </wps:spPr>
                      <wps:txbx>
                        <w:txbxContent>
                          <w:p w14:paraId="6A2A9D25" w14:textId="7AC2CB79" w:rsidR="007D4B92" w:rsidRPr="00C27B2D" w:rsidRDefault="007D4B92" w:rsidP="00EA39B6">
                            <w:pPr>
                              <w:pStyle w:val="Caption"/>
                              <w:jc w:val="center"/>
                              <w:rPr>
                                <w:rFonts w:eastAsia="Times New Roman"/>
                                <w:i w:val="0"/>
                                <w:iCs w:val="0"/>
                                <w:color w:val="auto"/>
                                <w:sz w:val="24"/>
                                <w:szCs w:val="24"/>
                              </w:rPr>
                            </w:pPr>
                            <w:r w:rsidRPr="00C27B2D">
                              <w:rPr>
                                <w:i w:val="0"/>
                                <w:iCs w:val="0"/>
                                <w:color w:val="auto"/>
                                <w:sz w:val="24"/>
                                <w:szCs w:val="24"/>
                              </w:rPr>
                              <w:t>Figure 13: Total species composition of clearcuts calculated with basal area per acre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181DD002" id="Text Box 26" o:spid="_x0000_s1031" type="#_x0000_t202" style="width:456.7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" stroked="f">
                <v:textbox style="mso-fit-shape-to-text:t" inset="0,0,0,0">
                  <w:txbxContent>
                    <w:p w14:paraId="6A2A9D25" w14:textId="7AC2CB79" w:rsidR="007D4B92" w:rsidRPr="00C27B2D" w:rsidRDefault="007D4B92" w:rsidP="00EA39B6">
                      <w:pPr>
                        <w:pStyle w:val="Caption"/>
                        <w:jc w:val="center"/>
                        <w:rPr>
                          <w:rFonts w:eastAsia="Times New Roman"/>
                          <w:i w:val="0"/>
                          <w:iCs w:val="0"/>
                          <w:color w:val="auto"/>
                          <w:sz w:val="24"/>
                          <w:szCs w:val="24"/>
                        </w:rPr>
                      </w:pPr>
                      <w:r w:rsidRPr="00C27B2D">
                        <w:rPr>
                          <w:i w:val="0"/>
                          <w:iCs w:val="0"/>
                          <w:color w:val="auto"/>
                          <w:sz w:val="24"/>
                          <w:szCs w:val="24"/>
                        </w:rPr>
                        <w:t>Figure 13: Total species composition of clearcuts calculated with basal area per acre</w:t>
                      </w:r>
                    </w:p>
                  </w:txbxContent>
                </v:textbox>
                <w10:anchorlock/>
              </v:shape>
            </w:pict>
          </mc:Fallback>
        </mc:AlternateContent>
      </w:r>
    </w:p>
    <w:p w14:paraId="5FDAEE1F" w14:textId="3FE6A83E" w:rsidR="00F4092A" w:rsidRPr="00F4092A" w:rsidRDefault="00AF3144" w:rsidP="001014F1">
      <w:pPr>
        <w:spacing w:line="480" w:lineRule="auto"/>
        <w:rPr>
          <w:rFonts w:eastAsia="Times New Roman"/>
          <w:b/>
          <w:bCs/>
        </w:rPr>
      </w:pPr>
      <w:r>
        <w:rPr>
          <w:rFonts w:eastAsia="Times New Roman"/>
          <w:b/>
          <w:bCs/>
        </w:rPr>
        <w:lastRenderedPageBreak/>
        <w:t>Plot Location</w:t>
      </w:r>
    </w:p>
    <w:p w14:paraId="60C73976" w14:textId="110FB8BB" w:rsidR="001014F1" w:rsidRDefault="001014F1" w:rsidP="001014F1">
      <w:pPr>
        <w:spacing w:line="480" w:lineRule="auto"/>
        <w:rPr>
          <w:rFonts w:eastAsia="Times New Roman"/>
        </w:rPr>
      </w:pPr>
      <w:r>
        <w:rPr>
          <w:rFonts w:eastAsia="Times New Roman"/>
        </w:rPr>
        <w:tab/>
        <w:t xml:space="preserve">The plots taken within the patch cuts were also categorized based on their proximity to the edge of the harvest area. For plots nearest to the edge of the patch, poplar was still the most common tree, accounting for 34% of the total stems in those plots (Figure 14).  </w:t>
      </w:r>
      <w:r>
        <w:t xml:space="preserve">The species composition varied slightly regarding the position of the plot within a patch (Table </w:t>
      </w:r>
      <w:r w:rsidR="00F95D5F">
        <w:t>1</w:t>
      </w:r>
      <w:r>
        <w:t xml:space="preserve">). </w:t>
      </w:r>
      <w:r>
        <w:rPr>
          <w:rFonts w:eastAsia="Times New Roman"/>
        </w:rPr>
        <w:t>The increase in miscellaneous species in the edge plots was primarily due to an increase in loblolly</w:t>
      </w:r>
      <w:r w:rsidR="007337A9">
        <w:rPr>
          <w:rFonts w:eastAsia="Times New Roman"/>
        </w:rPr>
        <w:t xml:space="preserve"> pine</w:t>
      </w:r>
      <w:r>
        <w:rPr>
          <w:rFonts w:eastAsia="Times New Roman"/>
        </w:rPr>
        <w:t xml:space="preserve"> in those plots.</w:t>
      </w:r>
    </w:p>
    <w:p w14:paraId="1D5A47EC" w14:textId="33A9E43C" w:rsidR="00EA39B6" w:rsidRDefault="00EA39B6" w:rsidP="00EA39B6">
      <w:pPr>
        <w:spacing w:line="480" w:lineRule="auto"/>
        <w:ind w:firstLine="720"/>
        <w:jc w:val="both"/>
      </w:pPr>
      <w:r>
        <w:t>Data were also analyzed using JMP Pro 15. An effect test for harvest method</w:t>
      </w:r>
      <w:r w:rsidR="00EE1AD0">
        <w:t>, harvest site, and</w:t>
      </w:r>
      <w:r>
        <w:t xml:space="preserve"> plot location was run for each species of interest</w:t>
      </w:r>
      <w:r w:rsidR="00EE1AD0">
        <w:t>. The test was run using the trees per acre by species for each treatment/factor.</w:t>
      </w:r>
      <w:r w:rsidR="00012DBB">
        <w:t xml:space="preserve"> Harvest regime returned a P-value of &lt; 0.05 for every species of interest except maple</w:t>
      </w:r>
      <w:r w:rsidR="007337A9">
        <w:t xml:space="preserve"> (Table 2), indicating a statistically significant relationship between harvest regime and trees per acre for those species</w:t>
      </w:r>
      <w:r w:rsidR="00012DBB">
        <w:t>. Location returned a P-value of &lt; 0.05 for poplar</w:t>
      </w:r>
      <w:r w:rsidR="007337A9">
        <w:t xml:space="preserve"> (Table 2), indicating a statistically significant relationship between poplar trees per acre and location within a cut</w:t>
      </w:r>
      <w:r w:rsidR="00012DBB">
        <w:t>.</w:t>
      </w:r>
      <w:r w:rsidR="007337A9">
        <w:t xml:space="preserve"> Harvest site was statistically non-significant.</w:t>
      </w:r>
    </w:p>
    <w:p w14:paraId="5DDA0230" w14:textId="670178C6" w:rsidR="003A75E1" w:rsidRPr="00EA39B6" w:rsidRDefault="00EA39B6" w:rsidP="00EA39B6">
      <w:r>
        <w:br w:type="page"/>
      </w:r>
    </w:p>
    <w:p w14:paraId="353E4B92" w14:textId="77777777" w:rsidR="007337A9" w:rsidRDefault="007337A9" w:rsidP="007337A9">
      <w:pPr>
        <w:keepNext/>
        <w:spacing w:line="480" w:lineRule="auto"/>
        <w:jc w:val="center"/>
      </w:pPr>
      <w:r>
        <w:rPr>
          <w:rFonts w:eastAsia="Times New Roman"/>
          <w:noProof/>
        </w:rPr>
        <w:lastRenderedPageBreak/>
        <w:drawing>
          <wp:inline distT="0" distB="0" distL="0" distR="0" wp14:anchorId="0E2BE6AC" wp14:editId="453D184B">
            <wp:extent cx="4669800" cy="3634740"/>
            <wp:effectExtent l="0" t="0" r="0" b="3810"/>
            <wp:docPr id="14" name="Picture 14"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pie char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4693244" cy="3652988"/>
                    </a:xfrm>
                    <a:prstGeom prst="rect">
                      <a:avLst/>
                    </a:prstGeom>
                  </pic:spPr>
                </pic:pic>
              </a:graphicData>
            </a:graphic>
          </wp:inline>
        </w:drawing>
      </w:r>
    </w:p>
    <w:p w14:paraId="7E41EACD" w14:textId="0871AB9E" w:rsidR="007337A9" w:rsidRPr="00EA39B6" w:rsidRDefault="007337A9" w:rsidP="007337A9">
      <w:pPr>
        <w:pStyle w:val="Caption"/>
        <w:jc w:val="center"/>
        <w:rPr>
          <w:i w:val="0"/>
          <w:iCs w:val="0"/>
          <w:color w:val="auto"/>
          <w:sz w:val="24"/>
          <w:szCs w:val="24"/>
        </w:rPr>
      </w:pPr>
      <w:r w:rsidRPr="007337A9">
        <w:rPr>
          <w:i w:val="0"/>
          <w:iCs w:val="0"/>
          <w:color w:val="auto"/>
          <w:sz w:val="24"/>
          <w:szCs w:val="24"/>
        </w:rPr>
        <w:t xml:space="preserve">Figure </w:t>
      </w:r>
      <w:bookmarkStart w:id="5" w:name="_Hlk68033007"/>
      <w:r>
        <w:rPr>
          <w:i w:val="0"/>
          <w:iCs w:val="0"/>
          <w:color w:val="auto"/>
          <w:sz w:val="24"/>
          <w:szCs w:val="24"/>
        </w:rPr>
        <w:t>14:</w:t>
      </w:r>
      <w:r w:rsidRPr="007337A9">
        <w:rPr>
          <w:i w:val="0"/>
          <w:iCs w:val="0"/>
          <w:color w:val="auto"/>
          <w:sz w:val="24"/>
          <w:szCs w:val="24"/>
        </w:rPr>
        <w:t xml:space="preserve"> </w:t>
      </w:r>
      <w:r w:rsidRPr="00C27B2D">
        <w:rPr>
          <w:i w:val="0"/>
          <w:iCs w:val="0"/>
          <w:color w:val="auto"/>
          <w:sz w:val="24"/>
          <w:szCs w:val="24"/>
        </w:rPr>
        <w:t>Species composition of patch cut edge plots calculated using basal area per acre</w:t>
      </w:r>
      <w:bookmarkEnd w:id="5"/>
    </w:p>
    <w:p w14:paraId="5082E770" w14:textId="41D9A7CB" w:rsidR="007337A9" w:rsidRDefault="007337A9" w:rsidP="007337A9">
      <w:pPr>
        <w:pStyle w:val="Caption"/>
        <w:jc w:val="center"/>
        <w:rPr>
          <w:rFonts w:eastAsia="Times New Roman"/>
        </w:rPr>
      </w:pPr>
    </w:p>
    <w:p w14:paraId="5D4E3A52" w14:textId="77777777" w:rsidR="007337A9" w:rsidRDefault="007337A9" w:rsidP="008A70D7">
      <w:pPr>
        <w:spacing w:line="480" w:lineRule="auto"/>
        <w:jc w:val="center"/>
        <w:rPr>
          <w:rFonts w:eastAsia="Times New Roman"/>
        </w:rPr>
      </w:pPr>
    </w:p>
    <w:p w14:paraId="79D85A96" w14:textId="77777777" w:rsidR="007337A9" w:rsidRDefault="007337A9" w:rsidP="008A70D7">
      <w:pPr>
        <w:spacing w:line="480" w:lineRule="auto"/>
        <w:jc w:val="center"/>
        <w:rPr>
          <w:rFonts w:eastAsia="Times New Roman"/>
        </w:rPr>
      </w:pPr>
    </w:p>
    <w:p w14:paraId="04D9655F" w14:textId="1D2043DE" w:rsidR="00C55EE3" w:rsidRPr="00C27B2D" w:rsidRDefault="00C55EE3" w:rsidP="008A70D7">
      <w:pPr>
        <w:spacing w:line="480" w:lineRule="auto"/>
        <w:jc w:val="center"/>
        <w:rPr>
          <w:rFonts w:eastAsia="Times New Roman"/>
        </w:rPr>
      </w:pPr>
      <w:r w:rsidRPr="00C27B2D">
        <w:rPr>
          <w:rFonts w:eastAsia="Times New Roman"/>
        </w:rPr>
        <w:t xml:space="preserve">Table </w:t>
      </w:r>
      <w:r w:rsidR="00F95D5F" w:rsidRPr="00C27B2D">
        <w:rPr>
          <w:rFonts w:eastAsia="Times New Roman"/>
        </w:rPr>
        <w:t>1</w:t>
      </w:r>
      <w:r w:rsidR="00C27B2D" w:rsidRPr="00C27B2D">
        <w:rPr>
          <w:rFonts w:eastAsia="Times New Roman"/>
        </w:rPr>
        <w:t>:</w:t>
      </w:r>
      <w:r w:rsidRPr="00C27B2D">
        <w:rPr>
          <w:rFonts w:eastAsia="Times New Roman"/>
        </w:rPr>
        <w:t xml:space="preserve"> Species composition as a percentage of total trees per species for each of the three patch cut plot locations.</w:t>
      </w:r>
    </w:p>
    <w:tbl>
      <w:tblPr>
        <w:tblStyle w:val="TableGrid"/>
        <w:tblpPr w:leftFromText="180" w:rightFromText="180" w:vertAnchor="text" w:horzAnchor="margin" w:tblpXSpec="center" w:tblpY="188"/>
        <w:tblW w:w="7070" w:type="dxa"/>
        <w:tblLook w:val="04A0" w:firstRow="1" w:lastRow="0" w:firstColumn="1" w:lastColumn="0" w:noHBand="0" w:noVBand="1"/>
      </w:tblPr>
      <w:tblGrid>
        <w:gridCol w:w="1923"/>
        <w:gridCol w:w="1415"/>
        <w:gridCol w:w="1983"/>
        <w:gridCol w:w="1749"/>
      </w:tblGrid>
      <w:tr w:rsidR="008A5179" w:rsidRPr="00C55EE3" w14:paraId="56190A38" w14:textId="77777777" w:rsidTr="008A5179">
        <w:trPr>
          <w:trHeight w:val="371"/>
        </w:trPr>
        <w:tc>
          <w:tcPr>
            <w:tcW w:w="1923" w:type="dxa"/>
            <w:shd w:val="clear" w:color="auto" w:fill="FFC000"/>
            <w:noWrap/>
            <w:hideMark/>
          </w:tcPr>
          <w:p w14:paraId="2611AF53" w14:textId="77777777" w:rsidR="00C55EE3" w:rsidRPr="00C55EE3" w:rsidRDefault="00C55EE3" w:rsidP="00C55EE3">
            <w:pPr>
              <w:rPr>
                <w:rFonts w:ascii="Calibri" w:eastAsia="Times New Roman" w:hAnsi="Calibri" w:cs="Calibri"/>
                <w:b/>
                <w:bCs/>
                <w:color w:val="000000"/>
                <w:lang w:val="en-US"/>
              </w:rPr>
            </w:pPr>
            <w:r w:rsidRPr="00C55EE3">
              <w:rPr>
                <w:rFonts w:ascii="Calibri" w:eastAsia="Times New Roman" w:hAnsi="Calibri" w:cs="Calibri"/>
                <w:b/>
                <w:bCs/>
                <w:color w:val="000000"/>
                <w:lang w:val="en-US"/>
              </w:rPr>
              <w:t>Species</w:t>
            </w:r>
          </w:p>
        </w:tc>
        <w:tc>
          <w:tcPr>
            <w:tcW w:w="1415" w:type="dxa"/>
            <w:shd w:val="clear" w:color="auto" w:fill="FF0000"/>
            <w:noWrap/>
            <w:hideMark/>
          </w:tcPr>
          <w:p w14:paraId="0F7FB8A8" w14:textId="77777777" w:rsidR="00C55EE3" w:rsidRPr="00C55EE3" w:rsidRDefault="00C55EE3" w:rsidP="00C55EE3">
            <w:pPr>
              <w:jc w:val="center"/>
              <w:rPr>
                <w:rFonts w:ascii="Calibri" w:eastAsia="Times New Roman" w:hAnsi="Calibri" w:cs="Calibri"/>
                <w:b/>
                <w:bCs/>
                <w:color w:val="000000"/>
                <w:lang w:val="en-US"/>
              </w:rPr>
            </w:pPr>
            <w:r w:rsidRPr="00C55EE3">
              <w:rPr>
                <w:rFonts w:ascii="Calibri" w:eastAsia="Times New Roman" w:hAnsi="Calibri" w:cs="Calibri"/>
                <w:b/>
                <w:bCs/>
                <w:color w:val="000000"/>
                <w:lang w:val="en-US"/>
              </w:rPr>
              <w:t>Edge</w:t>
            </w:r>
          </w:p>
        </w:tc>
        <w:tc>
          <w:tcPr>
            <w:tcW w:w="1983" w:type="dxa"/>
            <w:shd w:val="clear" w:color="auto" w:fill="0070C0"/>
            <w:noWrap/>
            <w:hideMark/>
          </w:tcPr>
          <w:p w14:paraId="31DBACAB" w14:textId="77777777" w:rsidR="00C55EE3" w:rsidRPr="00C55EE3" w:rsidRDefault="00C55EE3" w:rsidP="00C55EE3">
            <w:pPr>
              <w:jc w:val="center"/>
              <w:rPr>
                <w:rFonts w:ascii="Calibri" w:eastAsia="Times New Roman" w:hAnsi="Calibri" w:cs="Calibri"/>
                <w:b/>
                <w:bCs/>
                <w:color w:val="000000"/>
                <w:lang w:val="en-US"/>
              </w:rPr>
            </w:pPr>
            <w:r w:rsidRPr="00C55EE3">
              <w:rPr>
                <w:rFonts w:ascii="Calibri" w:eastAsia="Times New Roman" w:hAnsi="Calibri" w:cs="Calibri"/>
                <w:b/>
                <w:bCs/>
                <w:color w:val="000000"/>
                <w:lang w:val="en-US"/>
              </w:rPr>
              <w:t>Intermediate</w:t>
            </w:r>
          </w:p>
        </w:tc>
        <w:tc>
          <w:tcPr>
            <w:tcW w:w="1749" w:type="dxa"/>
            <w:shd w:val="clear" w:color="auto" w:fill="00B050"/>
            <w:noWrap/>
            <w:hideMark/>
          </w:tcPr>
          <w:p w14:paraId="537BF955" w14:textId="77777777" w:rsidR="00C55EE3" w:rsidRPr="00C55EE3" w:rsidRDefault="00C55EE3" w:rsidP="00C55EE3">
            <w:pPr>
              <w:jc w:val="center"/>
              <w:rPr>
                <w:rFonts w:ascii="Calibri" w:eastAsia="Times New Roman" w:hAnsi="Calibri" w:cs="Calibri"/>
                <w:b/>
                <w:bCs/>
                <w:color w:val="000000"/>
                <w:lang w:val="en-US"/>
              </w:rPr>
            </w:pPr>
            <w:r w:rsidRPr="00C55EE3">
              <w:rPr>
                <w:rFonts w:ascii="Calibri" w:eastAsia="Times New Roman" w:hAnsi="Calibri" w:cs="Calibri"/>
                <w:b/>
                <w:bCs/>
                <w:color w:val="000000"/>
                <w:lang w:val="en-US"/>
              </w:rPr>
              <w:t>Middle</w:t>
            </w:r>
          </w:p>
        </w:tc>
      </w:tr>
      <w:tr w:rsidR="00C55EE3" w:rsidRPr="00C55EE3" w14:paraId="7E39B437" w14:textId="77777777" w:rsidTr="008A5179">
        <w:trPr>
          <w:trHeight w:val="353"/>
        </w:trPr>
        <w:tc>
          <w:tcPr>
            <w:tcW w:w="1923" w:type="dxa"/>
            <w:shd w:val="clear" w:color="auto" w:fill="F79646" w:themeFill="accent6"/>
            <w:noWrap/>
            <w:hideMark/>
          </w:tcPr>
          <w:p w14:paraId="19A9E61B" w14:textId="77777777" w:rsidR="00C55EE3" w:rsidRPr="00C55EE3" w:rsidRDefault="00C55EE3" w:rsidP="00C55EE3">
            <w:pPr>
              <w:rPr>
                <w:rFonts w:ascii="Calibri" w:eastAsia="Times New Roman" w:hAnsi="Calibri" w:cs="Calibri"/>
                <w:b/>
                <w:bCs/>
                <w:color w:val="000000"/>
                <w:lang w:val="en-US"/>
              </w:rPr>
            </w:pPr>
            <w:r w:rsidRPr="00C55EE3">
              <w:rPr>
                <w:rFonts w:ascii="Calibri" w:eastAsia="Times New Roman" w:hAnsi="Calibri" w:cs="Calibri"/>
                <w:b/>
                <w:bCs/>
                <w:color w:val="000000"/>
                <w:lang w:val="en-US"/>
              </w:rPr>
              <w:t>Cherry</w:t>
            </w:r>
          </w:p>
        </w:tc>
        <w:tc>
          <w:tcPr>
            <w:tcW w:w="1415" w:type="dxa"/>
            <w:noWrap/>
            <w:hideMark/>
          </w:tcPr>
          <w:p w14:paraId="25ED5288"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14.4%</w:t>
            </w:r>
          </w:p>
        </w:tc>
        <w:tc>
          <w:tcPr>
            <w:tcW w:w="1983" w:type="dxa"/>
            <w:noWrap/>
            <w:hideMark/>
          </w:tcPr>
          <w:p w14:paraId="1C83F224"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12.0%</w:t>
            </w:r>
          </w:p>
        </w:tc>
        <w:tc>
          <w:tcPr>
            <w:tcW w:w="1749" w:type="dxa"/>
            <w:noWrap/>
            <w:hideMark/>
          </w:tcPr>
          <w:p w14:paraId="0CED148A"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13.8%</w:t>
            </w:r>
          </w:p>
        </w:tc>
      </w:tr>
      <w:tr w:rsidR="00C55EE3" w:rsidRPr="00C55EE3" w14:paraId="63921D62" w14:textId="77777777" w:rsidTr="008A5179">
        <w:trPr>
          <w:trHeight w:val="353"/>
        </w:trPr>
        <w:tc>
          <w:tcPr>
            <w:tcW w:w="1923" w:type="dxa"/>
            <w:shd w:val="clear" w:color="auto" w:fill="F79646" w:themeFill="accent6"/>
            <w:noWrap/>
            <w:hideMark/>
          </w:tcPr>
          <w:p w14:paraId="06C3AA21" w14:textId="77777777" w:rsidR="00C55EE3" w:rsidRPr="00C55EE3" w:rsidRDefault="00C55EE3" w:rsidP="00C55EE3">
            <w:pPr>
              <w:rPr>
                <w:rFonts w:ascii="Calibri" w:eastAsia="Times New Roman" w:hAnsi="Calibri" w:cs="Calibri"/>
                <w:b/>
                <w:bCs/>
                <w:color w:val="000000"/>
                <w:lang w:val="en-US"/>
              </w:rPr>
            </w:pPr>
            <w:r w:rsidRPr="00C55EE3">
              <w:rPr>
                <w:rFonts w:ascii="Calibri" w:eastAsia="Times New Roman" w:hAnsi="Calibri" w:cs="Calibri"/>
                <w:b/>
                <w:bCs/>
                <w:color w:val="000000"/>
                <w:lang w:val="en-US"/>
              </w:rPr>
              <w:t>Poplar</w:t>
            </w:r>
          </w:p>
        </w:tc>
        <w:tc>
          <w:tcPr>
            <w:tcW w:w="1415" w:type="dxa"/>
            <w:noWrap/>
            <w:hideMark/>
          </w:tcPr>
          <w:p w14:paraId="1B62691D"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34.1%</w:t>
            </w:r>
          </w:p>
        </w:tc>
        <w:tc>
          <w:tcPr>
            <w:tcW w:w="1983" w:type="dxa"/>
            <w:noWrap/>
            <w:hideMark/>
          </w:tcPr>
          <w:p w14:paraId="29674F0F"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50.8%</w:t>
            </w:r>
          </w:p>
        </w:tc>
        <w:tc>
          <w:tcPr>
            <w:tcW w:w="1749" w:type="dxa"/>
            <w:noWrap/>
            <w:hideMark/>
          </w:tcPr>
          <w:p w14:paraId="7B50BDE6" w14:textId="63F99FBF"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45.6%</w:t>
            </w:r>
          </w:p>
        </w:tc>
      </w:tr>
      <w:tr w:rsidR="00C55EE3" w:rsidRPr="00C55EE3" w14:paraId="11638057" w14:textId="77777777" w:rsidTr="008A5179">
        <w:trPr>
          <w:trHeight w:val="353"/>
        </w:trPr>
        <w:tc>
          <w:tcPr>
            <w:tcW w:w="1923" w:type="dxa"/>
            <w:shd w:val="clear" w:color="auto" w:fill="F79646" w:themeFill="accent6"/>
            <w:noWrap/>
            <w:hideMark/>
          </w:tcPr>
          <w:p w14:paraId="777E2A1D" w14:textId="77777777" w:rsidR="00C55EE3" w:rsidRPr="00C55EE3" w:rsidRDefault="00C55EE3" w:rsidP="00C55EE3">
            <w:pPr>
              <w:rPr>
                <w:rFonts w:ascii="Calibri" w:eastAsia="Times New Roman" w:hAnsi="Calibri" w:cs="Calibri"/>
                <w:b/>
                <w:bCs/>
                <w:color w:val="000000"/>
                <w:lang w:val="en-US"/>
              </w:rPr>
            </w:pPr>
            <w:r w:rsidRPr="00C55EE3">
              <w:rPr>
                <w:rFonts w:ascii="Calibri" w:eastAsia="Times New Roman" w:hAnsi="Calibri" w:cs="Calibri"/>
                <w:b/>
                <w:bCs/>
                <w:color w:val="000000"/>
                <w:lang w:val="en-US"/>
              </w:rPr>
              <w:t>Sweetgum</w:t>
            </w:r>
          </w:p>
        </w:tc>
        <w:tc>
          <w:tcPr>
            <w:tcW w:w="1415" w:type="dxa"/>
            <w:noWrap/>
            <w:hideMark/>
          </w:tcPr>
          <w:p w14:paraId="3E22A1DB"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18.1%</w:t>
            </w:r>
          </w:p>
        </w:tc>
        <w:tc>
          <w:tcPr>
            <w:tcW w:w="1983" w:type="dxa"/>
            <w:noWrap/>
            <w:hideMark/>
          </w:tcPr>
          <w:p w14:paraId="51A82A32"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13.6%</w:t>
            </w:r>
          </w:p>
        </w:tc>
        <w:tc>
          <w:tcPr>
            <w:tcW w:w="1749" w:type="dxa"/>
            <w:noWrap/>
            <w:hideMark/>
          </w:tcPr>
          <w:p w14:paraId="3B679FA0" w14:textId="085A56CF"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24.9%</w:t>
            </w:r>
          </w:p>
        </w:tc>
      </w:tr>
      <w:tr w:rsidR="00C55EE3" w:rsidRPr="00C55EE3" w14:paraId="03AB2DEE" w14:textId="77777777" w:rsidTr="008A5179">
        <w:trPr>
          <w:trHeight w:val="353"/>
        </w:trPr>
        <w:tc>
          <w:tcPr>
            <w:tcW w:w="1923" w:type="dxa"/>
            <w:shd w:val="clear" w:color="auto" w:fill="F79646" w:themeFill="accent6"/>
            <w:noWrap/>
            <w:hideMark/>
          </w:tcPr>
          <w:p w14:paraId="313F3A76" w14:textId="77777777" w:rsidR="00C55EE3" w:rsidRPr="00C55EE3" w:rsidRDefault="00C55EE3" w:rsidP="00C55EE3">
            <w:pPr>
              <w:rPr>
                <w:rFonts w:ascii="Calibri" w:eastAsia="Times New Roman" w:hAnsi="Calibri" w:cs="Calibri"/>
                <w:b/>
                <w:bCs/>
                <w:color w:val="000000"/>
                <w:lang w:val="en-US"/>
              </w:rPr>
            </w:pPr>
            <w:r w:rsidRPr="00C55EE3">
              <w:rPr>
                <w:rFonts w:ascii="Calibri" w:eastAsia="Times New Roman" w:hAnsi="Calibri" w:cs="Calibri"/>
                <w:b/>
                <w:bCs/>
                <w:color w:val="000000"/>
                <w:lang w:val="en-US"/>
              </w:rPr>
              <w:t>Maple</w:t>
            </w:r>
          </w:p>
        </w:tc>
        <w:tc>
          <w:tcPr>
            <w:tcW w:w="1415" w:type="dxa"/>
            <w:noWrap/>
            <w:hideMark/>
          </w:tcPr>
          <w:p w14:paraId="61B284D3"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8.4%</w:t>
            </w:r>
          </w:p>
        </w:tc>
        <w:tc>
          <w:tcPr>
            <w:tcW w:w="1983" w:type="dxa"/>
            <w:noWrap/>
            <w:hideMark/>
          </w:tcPr>
          <w:p w14:paraId="189E8931" w14:textId="0C8E0DCA"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7.1%</w:t>
            </w:r>
          </w:p>
        </w:tc>
        <w:tc>
          <w:tcPr>
            <w:tcW w:w="1749" w:type="dxa"/>
            <w:noWrap/>
            <w:hideMark/>
          </w:tcPr>
          <w:p w14:paraId="1501DDEB"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3.0%</w:t>
            </w:r>
          </w:p>
        </w:tc>
      </w:tr>
      <w:tr w:rsidR="00C55EE3" w:rsidRPr="00C55EE3" w14:paraId="7BDDB6CA" w14:textId="77777777" w:rsidTr="008A5179">
        <w:trPr>
          <w:trHeight w:val="353"/>
        </w:trPr>
        <w:tc>
          <w:tcPr>
            <w:tcW w:w="1923" w:type="dxa"/>
            <w:shd w:val="clear" w:color="auto" w:fill="F79646" w:themeFill="accent6"/>
            <w:noWrap/>
            <w:hideMark/>
          </w:tcPr>
          <w:p w14:paraId="590DC7B8" w14:textId="2E25C053" w:rsidR="00C55EE3" w:rsidRPr="00C55EE3" w:rsidRDefault="00C55EE3" w:rsidP="00C55EE3">
            <w:pPr>
              <w:rPr>
                <w:rFonts w:ascii="Calibri" w:eastAsia="Times New Roman" w:hAnsi="Calibri" w:cs="Calibri"/>
                <w:b/>
                <w:bCs/>
                <w:color w:val="000000"/>
                <w:lang w:val="en-US"/>
              </w:rPr>
            </w:pPr>
            <w:r w:rsidRPr="00C55EE3">
              <w:rPr>
                <w:rFonts w:ascii="Calibri" w:eastAsia="Times New Roman" w:hAnsi="Calibri" w:cs="Calibri"/>
                <w:b/>
                <w:bCs/>
                <w:color w:val="000000"/>
                <w:lang w:val="en-US"/>
              </w:rPr>
              <w:t>White Oak</w:t>
            </w:r>
          </w:p>
        </w:tc>
        <w:tc>
          <w:tcPr>
            <w:tcW w:w="1415" w:type="dxa"/>
            <w:noWrap/>
            <w:hideMark/>
          </w:tcPr>
          <w:p w14:paraId="00B3C9E5" w14:textId="64509C78"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2.3%</w:t>
            </w:r>
          </w:p>
        </w:tc>
        <w:tc>
          <w:tcPr>
            <w:tcW w:w="1983" w:type="dxa"/>
            <w:noWrap/>
            <w:hideMark/>
          </w:tcPr>
          <w:p w14:paraId="0C5506D3"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1.6%</w:t>
            </w:r>
          </w:p>
        </w:tc>
        <w:tc>
          <w:tcPr>
            <w:tcW w:w="1749" w:type="dxa"/>
            <w:noWrap/>
            <w:hideMark/>
          </w:tcPr>
          <w:p w14:paraId="34F37BB6"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1.7%</w:t>
            </w:r>
          </w:p>
        </w:tc>
      </w:tr>
      <w:tr w:rsidR="00C55EE3" w:rsidRPr="00C55EE3" w14:paraId="5A095898" w14:textId="77777777" w:rsidTr="008A5179">
        <w:trPr>
          <w:trHeight w:val="353"/>
        </w:trPr>
        <w:tc>
          <w:tcPr>
            <w:tcW w:w="1923" w:type="dxa"/>
            <w:shd w:val="clear" w:color="auto" w:fill="F79646" w:themeFill="accent6"/>
            <w:noWrap/>
            <w:hideMark/>
          </w:tcPr>
          <w:p w14:paraId="03BA5863" w14:textId="77777777" w:rsidR="00C55EE3" w:rsidRPr="00C55EE3" w:rsidRDefault="00C55EE3" w:rsidP="00C55EE3">
            <w:pPr>
              <w:rPr>
                <w:rFonts w:ascii="Calibri" w:eastAsia="Times New Roman" w:hAnsi="Calibri" w:cs="Calibri"/>
                <w:b/>
                <w:bCs/>
                <w:color w:val="000000"/>
                <w:lang w:val="en-US"/>
              </w:rPr>
            </w:pPr>
            <w:r w:rsidRPr="00C55EE3">
              <w:rPr>
                <w:rFonts w:ascii="Calibri" w:eastAsia="Times New Roman" w:hAnsi="Calibri" w:cs="Calibri"/>
                <w:b/>
                <w:bCs/>
                <w:color w:val="000000"/>
                <w:lang w:val="en-US"/>
              </w:rPr>
              <w:t>Red Oak</w:t>
            </w:r>
          </w:p>
        </w:tc>
        <w:tc>
          <w:tcPr>
            <w:tcW w:w="1415" w:type="dxa"/>
            <w:noWrap/>
            <w:hideMark/>
          </w:tcPr>
          <w:p w14:paraId="1EDD868A"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0.3%</w:t>
            </w:r>
          </w:p>
        </w:tc>
        <w:tc>
          <w:tcPr>
            <w:tcW w:w="1983" w:type="dxa"/>
            <w:noWrap/>
            <w:hideMark/>
          </w:tcPr>
          <w:p w14:paraId="337F14EE"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2.6%</w:t>
            </w:r>
          </w:p>
        </w:tc>
        <w:tc>
          <w:tcPr>
            <w:tcW w:w="1749" w:type="dxa"/>
            <w:noWrap/>
            <w:hideMark/>
          </w:tcPr>
          <w:p w14:paraId="2D52BC2A"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1.1%</w:t>
            </w:r>
          </w:p>
        </w:tc>
      </w:tr>
      <w:tr w:rsidR="00C55EE3" w:rsidRPr="00C55EE3" w14:paraId="6486A5BE" w14:textId="77777777" w:rsidTr="008A5179">
        <w:trPr>
          <w:trHeight w:val="353"/>
        </w:trPr>
        <w:tc>
          <w:tcPr>
            <w:tcW w:w="1923" w:type="dxa"/>
            <w:shd w:val="clear" w:color="auto" w:fill="F79646" w:themeFill="accent6"/>
            <w:noWrap/>
            <w:hideMark/>
          </w:tcPr>
          <w:p w14:paraId="3398A80B" w14:textId="77777777" w:rsidR="00C55EE3" w:rsidRPr="00C55EE3" w:rsidRDefault="00C55EE3" w:rsidP="00C55EE3">
            <w:pPr>
              <w:rPr>
                <w:rFonts w:ascii="Calibri" w:eastAsia="Times New Roman" w:hAnsi="Calibri" w:cs="Calibri"/>
                <w:b/>
                <w:bCs/>
                <w:color w:val="000000"/>
                <w:lang w:val="en-US"/>
              </w:rPr>
            </w:pPr>
            <w:r w:rsidRPr="00C55EE3">
              <w:rPr>
                <w:rFonts w:ascii="Calibri" w:eastAsia="Times New Roman" w:hAnsi="Calibri" w:cs="Calibri"/>
                <w:b/>
                <w:bCs/>
                <w:color w:val="000000"/>
                <w:lang w:val="en-US"/>
              </w:rPr>
              <w:t>Misc</w:t>
            </w:r>
          </w:p>
        </w:tc>
        <w:tc>
          <w:tcPr>
            <w:tcW w:w="1415" w:type="dxa"/>
            <w:noWrap/>
            <w:hideMark/>
          </w:tcPr>
          <w:p w14:paraId="02738C43"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22.4%</w:t>
            </w:r>
          </w:p>
        </w:tc>
        <w:tc>
          <w:tcPr>
            <w:tcW w:w="1983" w:type="dxa"/>
            <w:noWrap/>
            <w:hideMark/>
          </w:tcPr>
          <w:p w14:paraId="25D886C9"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12.3%</w:t>
            </w:r>
          </w:p>
        </w:tc>
        <w:tc>
          <w:tcPr>
            <w:tcW w:w="1749" w:type="dxa"/>
            <w:noWrap/>
            <w:hideMark/>
          </w:tcPr>
          <w:p w14:paraId="7EB79972" w14:textId="77777777" w:rsidR="00C55EE3" w:rsidRPr="00C55EE3" w:rsidRDefault="00C55EE3" w:rsidP="00C55EE3">
            <w:pPr>
              <w:jc w:val="right"/>
              <w:rPr>
                <w:rFonts w:ascii="Calibri" w:eastAsia="Times New Roman" w:hAnsi="Calibri" w:cs="Calibri"/>
                <w:color w:val="000000"/>
                <w:lang w:val="en-US"/>
              </w:rPr>
            </w:pPr>
            <w:r w:rsidRPr="00C55EE3">
              <w:rPr>
                <w:rFonts w:ascii="Calibri" w:eastAsia="Times New Roman" w:hAnsi="Calibri" w:cs="Calibri"/>
                <w:color w:val="000000"/>
                <w:lang w:val="en-US"/>
              </w:rPr>
              <w:t>9.9%</w:t>
            </w:r>
          </w:p>
        </w:tc>
      </w:tr>
    </w:tbl>
    <w:p w14:paraId="24452539" w14:textId="03324542" w:rsidR="007B76D2" w:rsidRDefault="007B76D2"/>
    <w:p w14:paraId="2160A405" w14:textId="77777777" w:rsidR="00F35743" w:rsidRDefault="00F35743" w:rsidP="00C55EE3"/>
    <w:p w14:paraId="5D69944D" w14:textId="4CB9A762" w:rsidR="009969C6" w:rsidRDefault="009969C6" w:rsidP="009E2C3A"/>
    <w:p w14:paraId="09573711" w14:textId="71E84032" w:rsidR="009E2C3A" w:rsidRDefault="009E2C3A" w:rsidP="009E2C3A"/>
    <w:p w14:paraId="75F3A0C4" w14:textId="1E6B80E8" w:rsidR="009E2C3A" w:rsidRDefault="009E2C3A" w:rsidP="009E2C3A"/>
    <w:p w14:paraId="1D3D07F2" w14:textId="49668337" w:rsidR="009E2C3A" w:rsidRDefault="009E2C3A" w:rsidP="009E2C3A"/>
    <w:p w14:paraId="7CC4A693" w14:textId="1F374E30" w:rsidR="009E2C3A" w:rsidRDefault="009E2C3A" w:rsidP="009E2C3A"/>
    <w:p w14:paraId="27BF59C9" w14:textId="72E43F65" w:rsidR="009E2C3A" w:rsidRDefault="009E2C3A" w:rsidP="009E2C3A"/>
    <w:p w14:paraId="3960FB8E" w14:textId="589F45C9" w:rsidR="009E2C3A" w:rsidRDefault="009E2C3A" w:rsidP="009E2C3A"/>
    <w:p w14:paraId="714509A2" w14:textId="008F6EFC" w:rsidR="009E2C3A" w:rsidRDefault="009E2C3A" w:rsidP="009E2C3A"/>
    <w:p w14:paraId="19A17904" w14:textId="62AC3C29" w:rsidR="009E2C3A" w:rsidRDefault="009E2C3A" w:rsidP="009E2C3A"/>
    <w:p w14:paraId="23E7A4C3" w14:textId="4E25B739" w:rsidR="005A274A" w:rsidRPr="00EA39B6" w:rsidRDefault="005A274A" w:rsidP="007337A9">
      <w:pPr>
        <w:pStyle w:val="Caption"/>
        <w:rPr>
          <w:i w:val="0"/>
          <w:iCs w:val="0"/>
          <w:color w:val="auto"/>
          <w:sz w:val="24"/>
          <w:szCs w:val="24"/>
        </w:rPr>
      </w:pPr>
    </w:p>
    <w:p w14:paraId="46FE4AAE" w14:textId="77777777" w:rsidR="005A274A" w:rsidRDefault="005A274A" w:rsidP="000D4F40">
      <w:pPr>
        <w:spacing w:line="480" w:lineRule="auto"/>
        <w:jc w:val="both"/>
      </w:pPr>
    </w:p>
    <w:p w14:paraId="4CA5E05A" w14:textId="77777777" w:rsidR="00EA39B6" w:rsidRDefault="00EA39B6" w:rsidP="000F7AA0">
      <w:pPr>
        <w:spacing w:line="480" w:lineRule="auto"/>
        <w:jc w:val="center"/>
      </w:pPr>
    </w:p>
    <w:p w14:paraId="4D7B6386" w14:textId="2D5F9C2F" w:rsidR="000D4F40" w:rsidRPr="00C27B2D" w:rsidRDefault="000F7AA0" w:rsidP="000F7AA0">
      <w:pPr>
        <w:spacing w:line="480" w:lineRule="auto"/>
        <w:jc w:val="center"/>
      </w:pPr>
      <w:r w:rsidRPr="00C27B2D">
        <w:t xml:space="preserve">Table 2: P-values from JMP for harvest </w:t>
      </w:r>
      <w:r w:rsidR="005F3346">
        <w:t>regime</w:t>
      </w:r>
      <w:r w:rsidRPr="00C27B2D">
        <w:t xml:space="preserve"> and location effect tests for species of interest</w:t>
      </w:r>
      <w:r w:rsidR="006E534D">
        <w:t>. (Values in red show a significant (P &lt; 0.05) relationship)</w:t>
      </w:r>
    </w:p>
    <w:tbl>
      <w:tblPr>
        <w:tblStyle w:val="TableGrid"/>
        <w:tblW w:w="0" w:type="auto"/>
        <w:tblLook w:val="04A0" w:firstRow="1" w:lastRow="0" w:firstColumn="1" w:lastColumn="0" w:noHBand="0" w:noVBand="1"/>
      </w:tblPr>
      <w:tblGrid>
        <w:gridCol w:w="1975"/>
        <w:gridCol w:w="1108"/>
        <w:gridCol w:w="1111"/>
        <w:gridCol w:w="1268"/>
        <w:gridCol w:w="1207"/>
        <w:gridCol w:w="1336"/>
        <w:gridCol w:w="1345"/>
      </w:tblGrid>
      <w:tr w:rsidR="000F7AA0" w14:paraId="6104FF7A" w14:textId="77777777" w:rsidTr="000F7AA0">
        <w:trPr>
          <w:trHeight w:val="350"/>
        </w:trPr>
        <w:tc>
          <w:tcPr>
            <w:tcW w:w="1975" w:type="dxa"/>
            <w:shd w:val="clear" w:color="auto" w:fill="F79646" w:themeFill="accent6"/>
          </w:tcPr>
          <w:p w14:paraId="647A2F64" w14:textId="27EE4AC4" w:rsidR="00D631D8" w:rsidRPr="00D631D8" w:rsidRDefault="00D631D8" w:rsidP="00D631D8">
            <w:pPr>
              <w:spacing w:line="480" w:lineRule="auto"/>
              <w:jc w:val="center"/>
            </w:pPr>
            <w:r w:rsidRPr="000F7AA0">
              <w:rPr>
                <w:b/>
                <w:bCs/>
              </w:rPr>
              <w:t>Effect</w:t>
            </w:r>
          </w:p>
        </w:tc>
        <w:tc>
          <w:tcPr>
            <w:tcW w:w="1108" w:type="dxa"/>
            <w:shd w:val="clear" w:color="auto" w:fill="F79646" w:themeFill="accent6"/>
          </w:tcPr>
          <w:p w14:paraId="3E78FBF9" w14:textId="19BFE5BC" w:rsidR="00D631D8" w:rsidRPr="00D631D8" w:rsidRDefault="00D631D8" w:rsidP="00D631D8">
            <w:pPr>
              <w:spacing w:line="480" w:lineRule="auto"/>
              <w:jc w:val="center"/>
            </w:pPr>
            <w:r w:rsidRPr="000F7AA0">
              <w:rPr>
                <w:b/>
                <w:bCs/>
              </w:rPr>
              <w:t>Cherry</w:t>
            </w:r>
          </w:p>
        </w:tc>
        <w:tc>
          <w:tcPr>
            <w:tcW w:w="1111" w:type="dxa"/>
            <w:shd w:val="clear" w:color="auto" w:fill="F79646" w:themeFill="accent6"/>
          </w:tcPr>
          <w:p w14:paraId="412789E3" w14:textId="65FB0820" w:rsidR="00D631D8" w:rsidRDefault="00D631D8" w:rsidP="00D631D8">
            <w:pPr>
              <w:spacing w:line="480" w:lineRule="auto"/>
              <w:jc w:val="center"/>
            </w:pPr>
            <w:r w:rsidRPr="000F7AA0">
              <w:rPr>
                <w:b/>
                <w:bCs/>
              </w:rPr>
              <w:t>Maple</w:t>
            </w:r>
          </w:p>
        </w:tc>
        <w:tc>
          <w:tcPr>
            <w:tcW w:w="1268" w:type="dxa"/>
            <w:shd w:val="clear" w:color="auto" w:fill="F79646" w:themeFill="accent6"/>
          </w:tcPr>
          <w:p w14:paraId="426767D5" w14:textId="56EF9B59" w:rsidR="00D631D8" w:rsidRDefault="00D631D8" w:rsidP="00D631D8">
            <w:pPr>
              <w:spacing w:line="480" w:lineRule="auto"/>
              <w:jc w:val="center"/>
            </w:pPr>
            <w:r w:rsidRPr="000F7AA0">
              <w:rPr>
                <w:b/>
                <w:bCs/>
              </w:rPr>
              <w:t>Poplar</w:t>
            </w:r>
          </w:p>
        </w:tc>
        <w:tc>
          <w:tcPr>
            <w:tcW w:w="1207" w:type="dxa"/>
            <w:shd w:val="clear" w:color="auto" w:fill="F79646" w:themeFill="accent6"/>
          </w:tcPr>
          <w:p w14:paraId="14073132" w14:textId="288577D2" w:rsidR="00D631D8" w:rsidRPr="000F7AA0" w:rsidRDefault="00D631D8" w:rsidP="00D631D8">
            <w:pPr>
              <w:spacing w:line="480" w:lineRule="auto"/>
              <w:jc w:val="center"/>
              <w:rPr>
                <w:b/>
                <w:bCs/>
              </w:rPr>
            </w:pPr>
            <w:r w:rsidRPr="000F7AA0">
              <w:rPr>
                <w:b/>
                <w:bCs/>
              </w:rPr>
              <w:t>Red Oak</w:t>
            </w:r>
          </w:p>
        </w:tc>
        <w:tc>
          <w:tcPr>
            <w:tcW w:w="1336" w:type="dxa"/>
            <w:shd w:val="clear" w:color="auto" w:fill="F79646" w:themeFill="accent6"/>
          </w:tcPr>
          <w:p w14:paraId="72F70455" w14:textId="21EFCD3D" w:rsidR="00D631D8" w:rsidRDefault="00D631D8" w:rsidP="00D631D8">
            <w:pPr>
              <w:spacing w:line="480" w:lineRule="auto"/>
              <w:jc w:val="center"/>
            </w:pPr>
            <w:r w:rsidRPr="000F7AA0">
              <w:rPr>
                <w:b/>
                <w:bCs/>
              </w:rPr>
              <w:t>Sweetgum</w:t>
            </w:r>
          </w:p>
        </w:tc>
        <w:tc>
          <w:tcPr>
            <w:tcW w:w="1345" w:type="dxa"/>
            <w:shd w:val="clear" w:color="auto" w:fill="F79646" w:themeFill="accent6"/>
          </w:tcPr>
          <w:p w14:paraId="096E216D" w14:textId="39B91817" w:rsidR="00D631D8" w:rsidRPr="000F7AA0" w:rsidRDefault="00D631D8" w:rsidP="00D631D8">
            <w:pPr>
              <w:spacing w:line="480" w:lineRule="auto"/>
              <w:jc w:val="center"/>
              <w:rPr>
                <w:b/>
                <w:bCs/>
              </w:rPr>
            </w:pPr>
            <w:r w:rsidRPr="000F7AA0">
              <w:rPr>
                <w:b/>
                <w:bCs/>
              </w:rPr>
              <w:t>White Oak</w:t>
            </w:r>
          </w:p>
        </w:tc>
      </w:tr>
      <w:tr w:rsidR="00D631D8" w14:paraId="119C82C6" w14:textId="77777777" w:rsidTr="000F7AA0">
        <w:tc>
          <w:tcPr>
            <w:tcW w:w="1975" w:type="dxa"/>
            <w:shd w:val="clear" w:color="auto" w:fill="F79646" w:themeFill="accent6"/>
          </w:tcPr>
          <w:p w14:paraId="17C9E3F5" w14:textId="54FFD2DA" w:rsidR="00D631D8" w:rsidRPr="00D631D8" w:rsidRDefault="00D631D8" w:rsidP="000D4F40">
            <w:pPr>
              <w:spacing w:line="480" w:lineRule="auto"/>
              <w:jc w:val="both"/>
            </w:pPr>
            <w:r w:rsidRPr="000F7AA0">
              <w:rPr>
                <w:b/>
                <w:bCs/>
              </w:rPr>
              <w:t>Harvest</w:t>
            </w:r>
            <w:r>
              <w:t xml:space="preserve"> </w:t>
            </w:r>
            <w:r w:rsidR="005F3346" w:rsidRPr="00BB653B">
              <w:rPr>
                <w:b/>
                <w:bCs/>
              </w:rPr>
              <w:t>Regime</w:t>
            </w:r>
          </w:p>
        </w:tc>
        <w:tc>
          <w:tcPr>
            <w:tcW w:w="1108" w:type="dxa"/>
          </w:tcPr>
          <w:p w14:paraId="373AF26A" w14:textId="471BAF80" w:rsidR="00D631D8" w:rsidRPr="00EE1AD0" w:rsidRDefault="00EE1AD0" w:rsidP="00D631D8">
            <w:pPr>
              <w:spacing w:line="480" w:lineRule="auto"/>
              <w:jc w:val="center"/>
              <w:rPr>
                <w:color w:val="FF0000"/>
              </w:rPr>
            </w:pPr>
            <w:r>
              <w:rPr>
                <w:color w:val="FF0000"/>
              </w:rPr>
              <w:t>0.0333</w:t>
            </w:r>
          </w:p>
        </w:tc>
        <w:tc>
          <w:tcPr>
            <w:tcW w:w="1111" w:type="dxa"/>
          </w:tcPr>
          <w:p w14:paraId="7DE408C8" w14:textId="731F66D9" w:rsidR="00D631D8" w:rsidRDefault="00D631D8" w:rsidP="00D631D8">
            <w:pPr>
              <w:spacing w:line="480" w:lineRule="auto"/>
              <w:jc w:val="center"/>
            </w:pPr>
            <w:r>
              <w:t>0.</w:t>
            </w:r>
            <w:r w:rsidR="00EE1AD0">
              <w:t>9165</w:t>
            </w:r>
          </w:p>
        </w:tc>
        <w:tc>
          <w:tcPr>
            <w:tcW w:w="1268" w:type="dxa"/>
          </w:tcPr>
          <w:p w14:paraId="6B72A020" w14:textId="07DECA20" w:rsidR="00D631D8" w:rsidRPr="00D631D8" w:rsidRDefault="00D631D8" w:rsidP="00D631D8">
            <w:pPr>
              <w:spacing w:line="480" w:lineRule="auto"/>
              <w:jc w:val="center"/>
              <w:rPr>
                <w:color w:val="FF0000"/>
              </w:rPr>
            </w:pPr>
            <w:r>
              <w:rPr>
                <w:color w:val="FF0000"/>
              </w:rPr>
              <w:t>0.0</w:t>
            </w:r>
            <w:r w:rsidR="00EE1AD0">
              <w:rPr>
                <w:color w:val="FF0000"/>
              </w:rPr>
              <w:t>141</w:t>
            </w:r>
          </w:p>
        </w:tc>
        <w:tc>
          <w:tcPr>
            <w:tcW w:w="1207" w:type="dxa"/>
          </w:tcPr>
          <w:p w14:paraId="2775E0BD" w14:textId="2DED30E0" w:rsidR="00D631D8" w:rsidRPr="00EE1AD0" w:rsidRDefault="00EE1AD0" w:rsidP="00D631D8">
            <w:pPr>
              <w:spacing w:line="480" w:lineRule="auto"/>
              <w:jc w:val="center"/>
              <w:rPr>
                <w:color w:val="FF0000"/>
              </w:rPr>
            </w:pPr>
            <w:r>
              <w:rPr>
                <w:color w:val="FF0000"/>
              </w:rPr>
              <w:t>0.</w:t>
            </w:r>
            <w:r w:rsidR="00012DBB">
              <w:rPr>
                <w:color w:val="FF0000"/>
              </w:rPr>
              <w:t>0226</w:t>
            </w:r>
          </w:p>
        </w:tc>
        <w:tc>
          <w:tcPr>
            <w:tcW w:w="1336" w:type="dxa"/>
          </w:tcPr>
          <w:p w14:paraId="703B88E6" w14:textId="08B17F43" w:rsidR="00D631D8" w:rsidRPr="00012DBB" w:rsidRDefault="00012DBB" w:rsidP="00D631D8">
            <w:pPr>
              <w:spacing w:line="480" w:lineRule="auto"/>
              <w:jc w:val="center"/>
              <w:rPr>
                <w:color w:val="FF0000"/>
              </w:rPr>
            </w:pPr>
            <w:r>
              <w:rPr>
                <w:color w:val="FF0000"/>
              </w:rPr>
              <w:t>0.0072</w:t>
            </w:r>
          </w:p>
        </w:tc>
        <w:tc>
          <w:tcPr>
            <w:tcW w:w="1345" w:type="dxa"/>
          </w:tcPr>
          <w:p w14:paraId="36FFE261" w14:textId="284D8086" w:rsidR="00D631D8" w:rsidRPr="00EE1AD0" w:rsidRDefault="00EE1AD0" w:rsidP="000F7AA0">
            <w:pPr>
              <w:spacing w:line="480" w:lineRule="auto"/>
              <w:jc w:val="center"/>
              <w:rPr>
                <w:color w:val="FF0000"/>
              </w:rPr>
            </w:pPr>
            <w:r>
              <w:rPr>
                <w:color w:val="FF0000"/>
              </w:rPr>
              <w:t>0.0498</w:t>
            </w:r>
          </w:p>
        </w:tc>
      </w:tr>
      <w:tr w:rsidR="00D631D8" w14:paraId="0B503BF8" w14:textId="77777777" w:rsidTr="000F7AA0">
        <w:tc>
          <w:tcPr>
            <w:tcW w:w="1975" w:type="dxa"/>
            <w:shd w:val="clear" w:color="auto" w:fill="F79646" w:themeFill="accent6"/>
          </w:tcPr>
          <w:p w14:paraId="3C51B01C" w14:textId="7394C0A1" w:rsidR="00D631D8" w:rsidRPr="00EE1AD0" w:rsidRDefault="00EE1AD0" w:rsidP="000D4F40">
            <w:pPr>
              <w:spacing w:line="480" w:lineRule="auto"/>
              <w:jc w:val="both"/>
              <w:rPr>
                <w:b/>
                <w:bCs/>
              </w:rPr>
            </w:pPr>
            <w:r>
              <w:rPr>
                <w:b/>
                <w:bCs/>
              </w:rPr>
              <w:t>Harvest Site</w:t>
            </w:r>
          </w:p>
        </w:tc>
        <w:tc>
          <w:tcPr>
            <w:tcW w:w="1108" w:type="dxa"/>
          </w:tcPr>
          <w:p w14:paraId="24DDF545" w14:textId="42E37F9E" w:rsidR="00D631D8" w:rsidRDefault="00D631D8" w:rsidP="00D631D8">
            <w:pPr>
              <w:spacing w:line="480" w:lineRule="auto"/>
              <w:jc w:val="center"/>
            </w:pPr>
            <w:r>
              <w:t>0.</w:t>
            </w:r>
            <w:r w:rsidR="00EE1AD0">
              <w:t>3844</w:t>
            </w:r>
          </w:p>
        </w:tc>
        <w:tc>
          <w:tcPr>
            <w:tcW w:w="1111" w:type="dxa"/>
          </w:tcPr>
          <w:p w14:paraId="05162377" w14:textId="2618AABC" w:rsidR="00D631D8" w:rsidRDefault="00D631D8" w:rsidP="00D631D8">
            <w:pPr>
              <w:spacing w:line="480" w:lineRule="auto"/>
              <w:jc w:val="center"/>
            </w:pPr>
            <w:r>
              <w:t>0.</w:t>
            </w:r>
            <w:r w:rsidR="00EE1AD0">
              <w:t>3838</w:t>
            </w:r>
          </w:p>
        </w:tc>
        <w:tc>
          <w:tcPr>
            <w:tcW w:w="1268" w:type="dxa"/>
          </w:tcPr>
          <w:p w14:paraId="72171C66" w14:textId="6E146B5C" w:rsidR="00D631D8" w:rsidRDefault="00D631D8" w:rsidP="00D631D8">
            <w:pPr>
              <w:spacing w:line="480" w:lineRule="auto"/>
              <w:jc w:val="center"/>
            </w:pPr>
            <w:r>
              <w:t>0.</w:t>
            </w:r>
            <w:r w:rsidR="00EE1AD0">
              <w:t>9506</w:t>
            </w:r>
          </w:p>
        </w:tc>
        <w:tc>
          <w:tcPr>
            <w:tcW w:w="1207" w:type="dxa"/>
          </w:tcPr>
          <w:p w14:paraId="7BA96811" w14:textId="2D3FBAB7" w:rsidR="00D631D8" w:rsidRDefault="00D631D8" w:rsidP="00D631D8">
            <w:pPr>
              <w:spacing w:line="480" w:lineRule="auto"/>
              <w:jc w:val="center"/>
            </w:pPr>
            <w:r>
              <w:t>0.9494</w:t>
            </w:r>
          </w:p>
        </w:tc>
        <w:tc>
          <w:tcPr>
            <w:tcW w:w="1336" w:type="dxa"/>
          </w:tcPr>
          <w:p w14:paraId="2D0A4D7C" w14:textId="242C9CEF" w:rsidR="00D631D8" w:rsidRDefault="00D631D8" w:rsidP="00D631D8">
            <w:pPr>
              <w:spacing w:line="480" w:lineRule="auto"/>
              <w:jc w:val="center"/>
            </w:pPr>
            <w:r>
              <w:t>0.</w:t>
            </w:r>
            <w:r w:rsidR="00012DBB">
              <w:t>2916</w:t>
            </w:r>
          </w:p>
        </w:tc>
        <w:tc>
          <w:tcPr>
            <w:tcW w:w="1345" w:type="dxa"/>
          </w:tcPr>
          <w:p w14:paraId="7F4B6AE1" w14:textId="6C4D1015" w:rsidR="00D631D8" w:rsidRDefault="000F7AA0" w:rsidP="000F7AA0">
            <w:pPr>
              <w:spacing w:line="480" w:lineRule="auto"/>
              <w:jc w:val="center"/>
            </w:pPr>
            <w:r>
              <w:t>0.</w:t>
            </w:r>
            <w:r w:rsidR="00EE1AD0">
              <w:t>9776</w:t>
            </w:r>
          </w:p>
        </w:tc>
      </w:tr>
      <w:tr w:rsidR="00EE1AD0" w14:paraId="4246E903" w14:textId="77777777" w:rsidTr="000F7AA0">
        <w:tc>
          <w:tcPr>
            <w:tcW w:w="1975" w:type="dxa"/>
            <w:shd w:val="clear" w:color="auto" w:fill="F79646" w:themeFill="accent6"/>
          </w:tcPr>
          <w:p w14:paraId="11E2595C" w14:textId="3FAA6DBD" w:rsidR="00EE1AD0" w:rsidRPr="000F7AA0" w:rsidRDefault="00EE1AD0" w:rsidP="000D4F40">
            <w:pPr>
              <w:spacing w:line="480" w:lineRule="auto"/>
              <w:jc w:val="both"/>
              <w:rPr>
                <w:b/>
                <w:bCs/>
              </w:rPr>
            </w:pPr>
            <w:r>
              <w:rPr>
                <w:b/>
                <w:bCs/>
              </w:rPr>
              <w:t>Location</w:t>
            </w:r>
          </w:p>
        </w:tc>
        <w:tc>
          <w:tcPr>
            <w:tcW w:w="1108" w:type="dxa"/>
          </w:tcPr>
          <w:p w14:paraId="338AE1DC" w14:textId="04771631" w:rsidR="00EE1AD0" w:rsidRDefault="00EE1AD0" w:rsidP="00D631D8">
            <w:pPr>
              <w:spacing w:line="480" w:lineRule="auto"/>
              <w:jc w:val="center"/>
            </w:pPr>
            <w:r>
              <w:t>0.7148</w:t>
            </w:r>
          </w:p>
        </w:tc>
        <w:tc>
          <w:tcPr>
            <w:tcW w:w="1111" w:type="dxa"/>
          </w:tcPr>
          <w:p w14:paraId="72077AAD" w14:textId="446B69E9" w:rsidR="00EE1AD0" w:rsidRDefault="00EE1AD0" w:rsidP="00D631D8">
            <w:pPr>
              <w:spacing w:line="480" w:lineRule="auto"/>
              <w:jc w:val="center"/>
            </w:pPr>
            <w:r>
              <w:t>0.5576</w:t>
            </w:r>
          </w:p>
        </w:tc>
        <w:tc>
          <w:tcPr>
            <w:tcW w:w="1268" w:type="dxa"/>
          </w:tcPr>
          <w:p w14:paraId="23FA432C" w14:textId="6116ECAE" w:rsidR="00EE1AD0" w:rsidRPr="00EE1AD0" w:rsidRDefault="00EE1AD0" w:rsidP="00D631D8">
            <w:pPr>
              <w:spacing w:line="480" w:lineRule="auto"/>
              <w:jc w:val="center"/>
              <w:rPr>
                <w:color w:val="FF0000"/>
              </w:rPr>
            </w:pPr>
            <w:r>
              <w:rPr>
                <w:color w:val="FF0000"/>
              </w:rPr>
              <w:t>0.0332</w:t>
            </w:r>
          </w:p>
        </w:tc>
        <w:tc>
          <w:tcPr>
            <w:tcW w:w="1207" w:type="dxa"/>
          </w:tcPr>
          <w:p w14:paraId="52EFC06E" w14:textId="15B56F79" w:rsidR="00EE1AD0" w:rsidRDefault="00012DBB" w:rsidP="00D631D8">
            <w:pPr>
              <w:spacing w:line="480" w:lineRule="auto"/>
              <w:jc w:val="center"/>
            </w:pPr>
            <w:r>
              <w:t>0.4487</w:t>
            </w:r>
          </w:p>
        </w:tc>
        <w:tc>
          <w:tcPr>
            <w:tcW w:w="1336" w:type="dxa"/>
          </w:tcPr>
          <w:p w14:paraId="52B626CF" w14:textId="749B96FA" w:rsidR="00EE1AD0" w:rsidRDefault="00012DBB" w:rsidP="00D631D8">
            <w:pPr>
              <w:spacing w:line="480" w:lineRule="auto"/>
              <w:jc w:val="center"/>
            </w:pPr>
            <w:r>
              <w:t>0.1058</w:t>
            </w:r>
          </w:p>
        </w:tc>
        <w:tc>
          <w:tcPr>
            <w:tcW w:w="1345" w:type="dxa"/>
          </w:tcPr>
          <w:p w14:paraId="30FBADCA" w14:textId="46E35891" w:rsidR="00EE1AD0" w:rsidRDefault="00EE1AD0" w:rsidP="000F7AA0">
            <w:pPr>
              <w:spacing w:line="480" w:lineRule="auto"/>
              <w:jc w:val="center"/>
            </w:pPr>
            <w:r>
              <w:t>0.6724</w:t>
            </w:r>
          </w:p>
        </w:tc>
      </w:tr>
    </w:tbl>
    <w:p w14:paraId="31C6F4A6" w14:textId="77777777" w:rsidR="009E2C3A" w:rsidRPr="009E2C3A" w:rsidRDefault="009E2C3A" w:rsidP="009E2C3A"/>
    <w:p w14:paraId="69BC57B6" w14:textId="797DC272" w:rsidR="00CB46C9" w:rsidRDefault="00CB46C9" w:rsidP="00CB46C9">
      <w:pPr>
        <w:rPr>
          <w:rFonts w:eastAsia="Times New Roman"/>
          <w:b/>
        </w:rPr>
      </w:pPr>
      <w:r>
        <w:rPr>
          <w:rFonts w:eastAsia="Times New Roman"/>
          <w:b/>
        </w:rPr>
        <w:br w:type="page"/>
      </w:r>
    </w:p>
    <w:p w14:paraId="0BB1B807" w14:textId="1EF5AE2A" w:rsidR="009969C6" w:rsidRDefault="00AF3144">
      <w:pPr>
        <w:spacing w:line="480" w:lineRule="auto"/>
        <w:rPr>
          <w:rFonts w:eastAsia="Times New Roman"/>
          <w:b/>
        </w:rPr>
      </w:pPr>
      <w:r>
        <w:rPr>
          <w:rFonts w:eastAsia="Times New Roman"/>
          <w:b/>
        </w:rPr>
        <w:lastRenderedPageBreak/>
        <w:t xml:space="preserve">Chapter 6: </w:t>
      </w:r>
      <w:r w:rsidR="00E11E7D">
        <w:rPr>
          <w:rFonts w:eastAsia="Times New Roman"/>
          <w:b/>
        </w:rPr>
        <w:t>Discussion</w:t>
      </w:r>
    </w:p>
    <w:p w14:paraId="3BEDA07C" w14:textId="20A07C9E" w:rsidR="009969C6" w:rsidRDefault="00E11E7D">
      <w:pPr>
        <w:spacing w:line="480" w:lineRule="auto"/>
        <w:rPr>
          <w:rFonts w:eastAsia="Times New Roman"/>
        </w:rPr>
      </w:pPr>
      <w:r>
        <w:rPr>
          <w:rFonts w:eastAsia="Times New Roman"/>
        </w:rPr>
        <w:tab/>
        <w:t xml:space="preserve">Little research has been conducted on patch cuts in the </w:t>
      </w:r>
      <w:r w:rsidR="00C933D2">
        <w:rPr>
          <w:rFonts w:eastAsia="Times New Roman"/>
        </w:rPr>
        <w:t>C</w:t>
      </w:r>
      <w:r>
        <w:rPr>
          <w:rFonts w:eastAsia="Times New Roman"/>
        </w:rPr>
        <w:t xml:space="preserve">entral </w:t>
      </w:r>
      <w:r w:rsidR="00C933D2">
        <w:rPr>
          <w:rFonts w:eastAsia="Times New Roman"/>
        </w:rPr>
        <w:t>H</w:t>
      </w:r>
      <w:r>
        <w:rPr>
          <w:rFonts w:eastAsia="Times New Roman"/>
        </w:rPr>
        <w:t xml:space="preserve">ardwoods </w:t>
      </w:r>
      <w:r w:rsidR="00C933D2">
        <w:rPr>
          <w:rFonts w:eastAsia="Times New Roman"/>
        </w:rPr>
        <w:t>R</w:t>
      </w:r>
      <w:r>
        <w:rPr>
          <w:rFonts w:eastAsia="Times New Roman"/>
        </w:rPr>
        <w:t>egion. This is due in large part to the seldom use of that harvest method in the region. The seldom use of the patch cut can be attributed to a variety of factor</w:t>
      </w:r>
      <w:r w:rsidR="00F26D12">
        <w:rPr>
          <w:rFonts w:eastAsia="Times New Roman"/>
        </w:rPr>
        <w:t>s such as economic returns and cost of harvesting</w:t>
      </w:r>
      <w:r>
        <w:rPr>
          <w:rFonts w:eastAsia="Times New Roman"/>
        </w:rPr>
        <w:t xml:space="preserve">. </w:t>
      </w:r>
      <w:r w:rsidR="00F26D12">
        <w:rPr>
          <w:rFonts w:eastAsia="Times New Roman"/>
        </w:rPr>
        <w:t>More commonly used regeneration methods include clearcutting, which provides the greatest single harvest returns and shelterwood, which creates optimal light conditions to regenerate oaks</w:t>
      </w:r>
      <w:r>
        <w:rPr>
          <w:rFonts w:eastAsia="Times New Roman"/>
        </w:rPr>
        <w:t xml:space="preserve">. </w:t>
      </w:r>
      <w:r w:rsidR="00A014AF">
        <w:rPr>
          <w:rFonts w:eastAsia="Times New Roman"/>
        </w:rPr>
        <w:t>Clearcuts also allow for large areas of early successional habitat for 5-10 years, which is excellent habitat for many wildlife species. However, aesthetics play a role in management of public lands, and that will only continue to grow with</w:t>
      </w:r>
      <w:r>
        <w:rPr>
          <w:rFonts w:eastAsia="Times New Roman"/>
        </w:rPr>
        <w:t xml:space="preserve"> </w:t>
      </w:r>
      <w:r w:rsidR="00A014AF">
        <w:rPr>
          <w:rFonts w:eastAsia="Times New Roman"/>
        </w:rPr>
        <w:t>increased social emphasis on natural resource</w:t>
      </w:r>
      <w:r w:rsidR="00B675A7">
        <w:rPr>
          <w:rFonts w:eastAsia="Times New Roman"/>
        </w:rPr>
        <w:t xml:space="preserve"> management</w:t>
      </w:r>
      <w:r w:rsidR="00A014AF">
        <w:rPr>
          <w:rFonts w:eastAsia="Times New Roman"/>
        </w:rPr>
        <w:t xml:space="preserve">. Patch cutting was a solution to this </w:t>
      </w:r>
      <w:r w:rsidR="00B675A7">
        <w:rPr>
          <w:rFonts w:eastAsia="Times New Roman"/>
        </w:rPr>
        <w:t>issue of aesthetics</w:t>
      </w:r>
      <w:r w:rsidR="00A014AF">
        <w:rPr>
          <w:rFonts w:eastAsia="Times New Roman"/>
        </w:rPr>
        <w:t xml:space="preserve"> faced by the managers of NTSF. </w:t>
      </w:r>
    </w:p>
    <w:p w14:paraId="0895B7BE" w14:textId="77777777" w:rsidR="00F26D12" w:rsidRDefault="00A67A63">
      <w:pPr>
        <w:spacing w:line="480" w:lineRule="auto"/>
        <w:rPr>
          <w:rFonts w:eastAsia="Times New Roman"/>
        </w:rPr>
      </w:pPr>
      <w:r>
        <w:rPr>
          <w:rFonts w:eastAsia="Times New Roman"/>
        </w:rPr>
        <w:tab/>
        <w:t>The patch</w:t>
      </w:r>
      <w:r w:rsidR="00F26D12">
        <w:rPr>
          <w:rFonts w:eastAsia="Times New Roman"/>
        </w:rPr>
        <w:t>-</w:t>
      </w:r>
      <w:r>
        <w:rPr>
          <w:rFonts w:eastAsia="Times New Roman"/>
        </w:rPr>
        <w:t>cut survey results were surprising. While the hypothesis of this study predicted that shade</w:t>
      </w:r>
      <w:r w:rsidR="00F26D12">
        <w:rPr>
          <w:rFonts w:eastAsia="Times New Roman"/>
        </w:rPr>
        <w:t>-</w:t>
      </w:r>
      <w:r>
        <w:rPr>
          <w:rFonts w:eastAsia="Times New Roman"/>
        </w:rPr>
        <w:t>tolerant species would make up a significantly higher proportion of the species composition in the patch</w:t>
      </w:r>
      <w:r w:rsidR="00F26D12">
        <w:rPr>
          <w:rFonts w:eastAsia="Times New Roman"/>
        </w:rPr>
        <w:t>-</w:t>
      </w:r>
      <w:r>
        <w:rPr>
          <w:rFonts w:eastAsia="Times New Roman"/>
        </w:rPr>
        <w:t>cut areas when compared to the clearcut areas, this was not the case. Poplar dominated the patch</w:t>
      </w:r>
      <w:r w:rsidR="00F26D12">
        <w:rPr>
          <w:rFonts w:eastAsia="Times New Roman"/>
        </w:rPr>
        <w:t>-</w:t>
      </w:r>
      <w:r>
        <w:rPr>
          <w:rFonts w:eastAsia="Times New Roman"/>
        </w:rPr>
        <w:t>cut areas, including the edges.</w:t>
      </w:r>
      <w:r w:rsidR="00B675A7">
        <w:rPr>
          <w:rFonts w:eastAsia="Times New Roman"/>
        </w:rPr>
        <w:t xml:space="preserve"> Literature from the region regarding group</w:t>
      </w:r>
      <w:r w:rsidR="00F26D12">
        <w:rPr>
          <w:rFonts w:eastAsia="Times New Roman"/>
        </w:rPr>
        <w:t>-</w:t>
      </w:r>
      <w:r w:rsidR="00B675A7">
        <w:rPr>
          <w:rFonts w:eastAsia="Times New Roman"/>
        </w:rPr>
        <w:t>selection harvests had given the expectation that poplar would be present in the middle/intermediate areas of the patches, but it would not be as common near the edge (McNabb and Oprean 2021).</w:t>
      </w:r>
      <w:r>
        <w:rPr>
          <w:rFonts w:eastAsia="Times New Roman"/>
        </w:rPr>
        <w:t xml:space="preserve"> </w:t>
      </w:r>
      <w:r w:rsidR="00A014AF">
        <w:rPr>
          <w:rFonts w:eastAsia="Times New Roman"/>
        </w:rPr>
        <w:t>While the surrounding areas were not sampled, t</w:t>
      </w:r>
      <w:r>
        <w:rPr>
          <w:rFonts w:eastAsia="Times New Roman"/>
        </w:rPr>
        <w:t xml:space="preserve">he change in species composition </w:t>
      </w:r>
      <w:r w:rsidR="00A014AF">
        <w:rPr>
          <w:rFonts w:eastAsia="Times New Roman"/>
        </w:rPr>
        <w:t>from the patch</w:t>
      </w:r>
      <w:r w:rsidR="00F26D12">
        <w:rPr>
          <w:rFonts w:eastAsia="Times New Roman"/>
        </w:rPr>
        <w:t>-</w:t>
      </w:r>
      <w:r w:rsidR="00A014AF">
        <w:rPr>
          <w:rFonts w:eastAsia="Times New Roman"/>
        </w:rPr>
        <w:t xml:space="preserve">cut site to the uncut surroundings </w:t>
      </w:r>
      <w:r>
        <w:rPr>
          <w:rFonts w:eastAsia="Times New Roman"/>
        </w:rPr>
        <w:t xml:space="preserve">was stark enough that it could be noticed when walking through the </w:t>
      </w:r>
      <w:r w:rsidR="00B675A7">
        <w:rPr>
          <w:rFonts w:eastAsia="Times New Roman"/>
        </w:rPr>
        <w:t>forest</w:t>
      </w:r>
      <w:r>
        <w:rPr>
          <w:rFonts w:eastAsia="Times New Roman"/>
        </w:rPr>
        <w:t xml:space="preserve"> trying to find the patch</w:t>
      </w:r>
      <w:r w:rsidR="00F26D12">
        <w:rPr>
          <w:rFonts w:eastAsia="Times New Roman"/>
        </w:rPr>
        <w:t>-</w:t>
      </w:r>
      <w:r>
        <w:rPr>
          <w:rFonts w:eastAsia="Times New Roman"/>
        </w:rPr>
        <w:t>cut harvest sites.</w:t>
      </w:r>
      <w:r w:rsidR="00DE65F6">
        <w:rPr>
          <w:rFonts w:eastAsia="Times New Roman"/>
        </w:rPr>
        <w:t xml:space="preserve"> </w:t>
      </w:r>
    </w:p>
    <w:p w14:paraId="7C0BC17F" w14:textId="5E54975D" w:rsidR="00DC1013" w:rsidRDefault="00DE65F6" w:rsidP="00F26D12">
      <w:pPr>
        <w:spacing w:line="480" w:lineRule="auto"/>
        <w:ind w:firstLine="720"/>
        <w:rPr>
          <w:rFonts w:eastAsia="Times New Roman"/>
        </w:rPr>
      </w:pPr>
      <w:r>
        <w:rPr>
          <w:rFonts w:eastAsia="Times New Roman"/>
        </w:rPr>
        <w:t>Poplar was prevalent all the way to the edge of the harvest areas.</w:t>
      </w:r>
      <w:r w:rsidR="001A0D69">
        <w:rPr>
          <w:rFonts w:eastAsia="Times New Roman"/>
        </w:rPr>
        <w:t xml:space="preserve"> Shade</w:t>
      </w:r>
      <w:r w:rsidR="00F26D12">
        <w:rPr>
          <w:rFonts w:eastAsia="Times New Roman"/>
        </w:rPr>
        <w:t>-</w:t>
      </w:r>
      <w:r w:rsidR="001A0D69">
        <w:rPr>
          <w:rFonts w:eastAsia="Times New Roman"/>
        </w:rPr>
        <w:t>tolerant species such as maple were present, but virtually absent from the overstory</w:t>
      </w:r>
      <w:r w:rsidR="003950AC">
        <w:rPr>
          <w:rFonts w:eastAsia="Times New Roman"/>
        </w:rPr>
        <w:t>.</w:t>
      </w:r>
      <w:r w:rsidR="00A67A63">
        <w:rPr>
          <w:rFonts w:eastAsia="Times New Roman"/>
        </w:rPr>
        <w:t xml:space="preserve"> Given the domination of poplar on these sites, it was not surprising that cherry and sweetgum were </w:t>
      </w:r>
      <w:r w:rsidR="003950AC">
        <w:rPr>
          <w:rFonts w:eastAsia="Times New Roman"/>
        </w:rPr>
        <w:t xml:space="preserve">the next most </w:t>
      </w:r>
      <w:r w:rsidR="003950AC">
        <w:rPr>
          <w:rFonts w:eastAsia="Times New Roman"/>
        </w:rPr>
        <w:lastRenderedPageBreak/>
        <w:t>commonly observed species</w:t>
      </w:r>
      <w:r w:rsidR="00A67A63">
        <w:rPr>
          <w:rFonts w:eastAsia="Times New Roman"/>
        </w:rPr>
        <w:t xml:space="preserve">. </w:t>
      </w:r>
      <w:r w:rsidR="005E7EFC">
        <w:rPr>
          <w:rFonts w:eastAsia="Times New Roman"/>
        </w:rPr>
        <w:t>Sweetgum regenerates with poplar at sites within the stand where it is too moist for poplar</w:t>
      </w:r>
      <w:r w:rsidR="003950AC">
        <w:rPr>
          <w:rFonts w:eastAsia="Times New Roman"/>
        </w:rPr>
        <w:t xml:space="preserve"> (Eyre 1980)</w:t>
      </w:r>
      <w:r w:rsidR="005E7EFC">
        <w:rPr>
          <w:rFonts w:eastAsia="Times New Roman"/>
        </w:rPr>
        <w:t>.</w:t>
      </w:r>
      <w:r w:rsidR="00A67A63">
        <w:rPr>
          <w:rFonts w:eastAsia="Times New Roman"/>
        </w:rPr>
        <w:t xml:space="preserve"> </w:t>
      </w:r>
      <w:r w:rsidR="005E7EFC">
        <w:rPr>
          <w:rFonts w:eastAsia="Times New Roman"/>
        </w:rPr>
        <w:t>Cherry is shade intolerant and</w:t>
      </w:r>
      <w:r w:rsidR="007337A9">
        <w:rPr>
          <w:rFonts w:eastAsia="Times New Roman"/>
        </w:rPr>
        <w:t xml:space="preserve"> is</w:t>
      </w:r>
      <w:r w:rsidR="005E7EFC">
        <w:rPr>
          <w:rFonts w:eastAsia="Times New Roman"/>
        </w:rPr>
        <w:t xml:space="preserve"> often associated with poplar as a pioneer species, especially at the edge of harvest area</w:t>
      </w:r>
      <w:r w:rsidR="000B62F6">
        <w:rPr>
          <w:rFonts w:eastAsia="Times New Roman"/>
        </w:rPr>
        <w:t xml:space="preserve"> (Eyre</w:t>
      </w:r>
      <w:r w:rsidR="003950AC">
        <w:rPr>
          <w:rFonts w:eastAsia="Times New Roman"/>
        </w:rPr>
        <w:t xml:space="preserve"> 1980</w:t>
      </w:r>
      <w:r w:rsidR="000B62F6">
        <w:rPr>
          <w:rFonts w:eastAsia="Times New Roman"/>
        </w:rPr>
        <w:t>)</w:t>
      </w:r>
      <w:r w:rsidR="005E7EFC">
        <w:rPr>
          <w:rFonts w:eastAsia="Times New Roman"/>
        </w:rPr>
        <w:t xml:space="preserve">. The results of this study, however, do not show a difference in cherry prevalence </w:t>
      </w:r>
      <w:r w:rsidR="003950AC">
        <w:rPr>
          <w:rFonts w:eastAsia="Times New Roman"/>
        </w:rPr>
        <w:t>regardless of</w:t>
      </w:r>
      <w:r w:rsidR="005E7EFC">
        <w:rPr>
          <w:rFonts w:eastAsia="Times New Roman"/>
        </w:rPr>
        <w:t xml:space="preserve"> location within the patch cuts.</w:t>
      </w:r>
      <w:r w:rsidR="00A014AF">
        <w:rPr>
          <w:rFonts w:eastAsia="Times New Roman"/>
        </w:rPr>
        <w:t xml:space="preserve"> </w:t>
      </w:r>
      <w:r w:rsidR="006D26DF">
        <w:rPr>
          <w:rFonts w:eastAsia="Times New Roman"/>
        </w:rPr>
        <w:t>Regardless of its dominance in relation to other species, the growth of poplar on the patch</w:t>
      </w:r>
      <w:r w:rsidR="00B52A4B">
        <w:rPr>
          <w:rFonts w:eastAsia="Times New Roman"/>
        </w:rPr>
        <w:t>-</w:t>
      </w:r>
      <w:r w:rsidR="006D26DF">
        <w:rPr>
          <w:rFonts w:eastAsia="Times New Roman"/>
        </w:rPr>
        <w:t xml:space="preserve">cut sites shows that these sites are highly productive. While height measurements were not recorded, </w:t>
      </w:r>
      <w:r w:rsidR="0017594E">
        <w:rPr>
          <w:rFonts w:eastAsia="Times New Roman"/>
        </w:rPr>
        <w:t xml:space="preserve">the average DBH of poplar after approximately 25 years </w:t>
      </w:r>
      <w:r w:rsidR="000D3F5A">
        <w:rPr>
          <w:rFonts w:eastAsia="Times New Roman"/>
        </w:rPr>
        <w:t>should translate to a high site index (Beck 19</w:t>
      </w:r>
      <w:r w:rsidR="00712BC6">
        <w:rPr>
          <w:rFonts w:eastAsia="Times New Roman"/>
        </w:rPr>
        <w:t>80</w:t>
      </w:r>
      <w:r w:rsidR="000D3F5A">
        <w:rPr>
          <w:rFonts w:eastAsia="Times New Roman"/>
        </w:rPr>
        <w:t xml:space="preserve">). </w:t>
      </w:r>
    </w:p>
    <w:p w14:paraId="6DEC49A2" w14:textId="2ADEB0E3" w:rsidR="009B10A6" w:rsidRDefault="000D3F5A" w:rsidP="00F26D12">
      <w:pPr>
        <w:spacing w:line="480" w:lineRule="auto"/>
        <w:ind w:firstLine="720"/>
        <w:rPr>
          <w:rFonts w:eastAsia="Times New Roman"/>
        </w:rPr>
      </w:pPr>
      <w:r>
        <w:rPr>
          <w:rFonts w:eastAsia="Times New Roman"/>
        </w:rPr>
        <w:t>When using basal area to calculate the species composition of the patch</w:t>
      </w:r>
      <w:r w:rsidR="00B52A4B">
        <w:rPr>
          <w:rFonts w:eastAsia="Times New Roman"/>
        </w:rPr>
        <w:t>-</w:t>
      </w:r>
      <w:r>
        <w:rPr>
          <w:rFonts w:eastAsia="Times New Roman"/>
        </w:rPr>
        <w:t>cut areas, poplar made up 50% of the total species composition (Figure 9). This increase over poplar’s percentage of total stems shows that poplar stems are also the largest and take up the most growing space.</w:t>
      </w:r>
      <w:r w:rsidR="009125D5">
        <w:rPr>
          <w:rFonts w:eastAsia="Times New Roman"/>
        </w:rPr>
        <w:t xml:space="preserve"> Maple was the shade</w:t>
      </w:r>
      <w:r w:rsidR="00DC1013">
        <w:rPr>
          <w:rFonts w:eastAsia="Times New Roman"/>
        </w:rPr>
        <w:t>-</w:t>
      </w:r>
      <w:r w:rsidR="009125D5">
        <w:rPr>
          <w:rFonts w:eastAsia="Times New Roman"/>
        </w:rPr>
        <w:t xml:space="preserve">tolerant </w:t>
      </w:r>
      <w:r w:rsidR="00DF733F">
        <w:rPr>
          <w:rFonts w:eastAsia="Times New Roman"/>
        </w:rPr>
        <w:t>species expected to be the beneficiary of the patch</w:t>
      </w:r>
      <w:r w:rsidR="00DC1013">
        <w:rPr>
          <w:rFonts w:eastAsia="Times New Roman"/>
        </w:rPr>
        <w:t>-</w:t>
      </w:r>
      <w:r w:rsidR="00DF733F">
        <w:rPr>
          <w:rFonts w:eastAsia="Times New Roman"/>
        </w:rPr>
        <w:t>cut harvest regime</w:t>
      </w:r>
      <w:r w:rsidR="003950AC">
        <w:rPr>
          <w:rFonts w:eastAsia="Times New Roman"/>
        </w:rPr>
        <w:t xml:space="preserve"> along the edges</w:t>
      </w:r>
      <w:r w:rsidR="00DF733F">
        <w:rPr>
          <w:rFonts w:eastAsia="Times New Roman"/>
        </w:rPr>
        <w:t>, but it accounted for 6% of stems (Figure 6) and only 4% of the basal area (Figure 9) in the patch</w:t>
      </w:r>
      <w:r w:rsidR="00B52A4B">
        <w:rPr>
          <w:rFonts w:eastAsia="Times New Roman"/>
        </w:rPr>
        <w:t>-</w:t>
      </w:r>
      <w:r w:rsidR="00DF733F">
        <w:rPr>
          <w:rFonts w:eastAsia="Times New Roman"/>
        </w:rPr>
        <w:t xml:space="preserve">cut areas. </w:t>
      </w:r>
      <w:r w:rsidR="005E7EFC">
        <w:rPr>
          <w:rFonts w:eastAsia="Times New Roman"/>
        </w:rPr>
        <w:t xml:space="preserve"> </w:t>
      </w:r>
      <w:r w:rsidR="000D4E21">
        <w:rPr>
          <w:rFonts w:eastAsia="Times New Roman"/>
        </w:rPr>
        <w:t>The patch cuts have not regenerated a suitable forest for the management goals of NTSF.</w:t>
      </w:r>
      <w:r w:rsidR="003950AC">
        <w:rPr>
          <w:rFonts w:eastAsia="Times New Roman"/>
        </w:rPr>
        <w:t xml:space="preserve"> While shade</w:t>
      </w:r>
      <w:r w:rsidR="00DC1013">
        <w:rPr>
          <w:rFonts w:eastAsia="Times New Roman"/>
        </w:rPr>
        <w:t>-</w:t>
      </w:r>
      <w:r w:rsidR="003950AC">
        <w:rPr>
          <w:rFonts w:eastAsia="Times New Roman"/>
        </w:rPr>
        <w:t>tolerant species have not come to dominate the regenerated openings as was hypothesized,</w:t>
      </w:r>
      <w:r w:rsidR="000D4E21">
        <w:rPr>
          <w:rFonts w:eastAsia="Times New Roman"/>
        </w:rPr>
        <w:t xml:space="preserve"> </w:t>
      </w:r>
      <w:r w:rsidR="003950AC">
        <w:rPr>
          <w:rFonts w:eastAsia="Times New Roman"/>
        </w:rPr>
        <w:t>t</w:t>
      </w:r>
      <w:r w:rsidR="000D4E21">
        <w:rPr>
          <w:rFonts w:eastAsia="Times New Roman"/>
        </w:rPr>
        <w:t xml:space="preserve">he regenerated </w:t>
      </w:r>
      <w:r w:rsidR="003950AC">
        <w:rPr>
          <w:rFonts w:eastAsia="Times New Roman"/>
        </w:rPr>
        <w:t>openings</w:t>
      </w:r>
      <w:r w:rsidR="000D4E21">
        <w:rPr>
          <w:rFonts w:eastAsia="Times New Roman"/>
        </w:rPr>
        <w:t xml:space="preserve"> are dominated by poplar</w:t>
      </w:r>
      <w:r w:rsidR="006B06F1">
        <w:rPr>
          <w:rFonts w:eastAsia="Times New Roman"/>
        </w:rPr>
        <w:t xml:space="preserve"> and sweetgum, which do provide a some timber value, but offer very little in the way of providing wildlife habitat when compared to oak-hickory forests. The lower species diversity</w:t>
      </w:r>
      <w:r w:rsidR="003950AC">
        <w:rPr>
          <w:rFonts w:eastAsia="Times New Roman"/>
        </w:rPr>
        <w:t xml:space="preserve"> combined with poor wildlife habitat</w:t>
      </w:r>
      <w:r w:rsidR="006B06F1">
        <w:rPr>
          <w:rFonts w:eastAsia="Times New Roman"/>
        </w:rPr>
        <w:t xml:space="preserve"> also makes these stands less aesthetically pleasing.</w:t>
      </w:r>
    </w:p>
    <w:p w14:paraId="3DDD6401" w14:textId="0BD172B1" w:rsidR="00DC1013" w:rsidRDefault="005A3E0B" w:rsidP="00C87FBD">
      <w:pPr>
        <w:spacing w:line="480" w:lineRule="auto"/>
        <w:ind w:firstLine="720"/>
        <w:rPr>
          <w:rFonts w:eastAsia="Times New Roman"/>
        </w:rPr>
      </w:pPr>
      <w:r>
        <w:rPr>
          <w:rFonts w:eastAsia="Times New Roman"/>
        </w:rPr>
        <w:t>The edge plots did show an increased proportion of shade</w:t>
      </w:r>
      <w:r w:rsidR="00DC1013">
        <w:rPr>
          <w:rFonts w:eastAsia="Times New Roman"/>
        </w:rPr>
        <w:t>-</w:t>
      </w:r>
      <w:r>
        <w:rPr>
          <w:rFonts w:eastAsia="Times New Roman"/>
        </w:rPr>
        <w:t>tolerant species when compared to the intermediate and middle plots</w:t>
      </w:r>
      <w:r w:rsidR="005C0EA1">
        <w:rPr>
          <w:rFonts w:eastAsia="Times New Roman"/>
        </w:rPr>
        <w:t xml:space="preserve"> (Table </w:t>
      </w:r>
      <w:r w:rsidR="00F95D5F">
        <w:rPr>
          <w:rFonts w:eastAsia="Times New Roman"/>
        </w:rPr>
        <w:t>1</w:t>
      </w:r>
      <w:r w:rsidR="005C0EA1">
        <w:rPr>
          <w:rFonts w:eastAsia="Times New Roman"/>
        </w:rPr>
        <w:t>)</w:t>
      </w:r>
      <w:r>
        <w:rPr>
          <w:rFonts w:eastAsia="Times New Roman"/>
        </w:rPr>
        <w:t>. However, this increase was not as large as expected.</w:t>
      </w:r>
      <w:r w:rsidR="000B62F6">
        <w:rPr>
          <w:rFonts w:eastAsia="Times New Roman"/>
        </w:rPr>
        <w:t xml:space="preserve"> The basis for this expectation was the assumed decrease in sunlight</w:t>
      </w:r>
      <w:r w:rsidR="00C87FBD">
        <w:rPr>
          <w:rFonts w:eastAsia="Times New Roman"/>
        </w:rPr>
        <w:t xml:space="preserve"> on the ground in these edge areas at the time of stand initiation</w:t>
      </w:r>
      <w:r w:rsidR="00A77F14">
        <w:rPr>
          <w:rFonts w:eastAsia="Times New Roman"/>
        </w:rPr>
        <w:t xml:space="preserve">. Literature review also led to the expectation that </w:t>
      </w:r>
      <w:r w:rsidR="00A77F14">
        <w:rPr>
          <w:rFonts w:eastAsia="Times New Roman"/>
        </w:rPr>
        <w:lastRenderedPageBreak/>
        <w:t>shade</w:t>
      </w:r>
      <w:r w:rsidR="00DC1013">
        <w:rPr>
          <w:rFonts w:eastAsia="Times New Roman"/>
        </w:rPr>
        <w:t>-</w:t>
      </w:r>
      <w:r w:rsidR="00A77F14">
        <w:rPr>
          <w:rFonts w:eastAsia="Times New Roman"/>
        </w:rPr>
        <w:t>tolerant and intermediate species would be more common near the edge of a patch</w:t>
      </w:r>
      <w:r w:rsidR="00DC1013">
        <w:rPr>
          <w:rFonts w:eastAsia="Times New Roman"/>
        </w:rPr>
        <w:t>-</w:t>
      </w:r>
      <w:r w:rsidR="00A77F14">
        <w:rPr>
          <w:rFonts w:eastAsia="Times New Roman"/>
        </w:rPr>
        <w:t xml:space="preserve">cut harvest. </w:t>
      </w:r>
      <w:r w:rsidR="00B11910">
        <w:rPr>
          <w:rFonts w:eastAsia="Times New Roman"/>
        </w:rPr>
        <w:t xml:space="preserve">Species composition did not change linearly from edge to intermediate to middle, except for maple (Table </w:t>
      </w:r>
      <w:r w:rsidR="00F95D5F">
        <w:rPr>
          <w:rFonts w:eastAsia="Times New Roman"/>
        </w:rPr>
        <w:t>1</w:t>
      </w:r>
      <w:r w:rsidR="00B11910">
        <w:rPr>
          <w:rFonts w:eastAsia="Times New Roman"/>
        </w:rPr>
        <w:t>). This is likely due to the intermediate and middle plots having similar light conditions at stand initiation. Maple being the most shade tolerant of any of the species of interest was likely the only species that was sensitive enough to light conditions to see a step down at each level from edge to middle.</w:t>
      </w:r>
    </w:p>
    <w:p w14:paraId="7A0908BC" w14:textId="358527E8" w:rsidR="00DC1013" w:rsidRDefault="00A77F14" w:rsidP="00C87FBD">
      <w:pPr>
        <w:spacing w:line="480" w:lineRule="auto"/>
        <w:ind w:firstLine="720"/>
        <w:rPr>
          <w:rFonts w:eastAsia="Times New Roman"/>
        </w:rPr>
      </w:pPr>
      <w:r>
        <w:rPr>
          <w:rFonts w:eastAsia="Times New Roman"/>
        </w:rPr>
        <w:t xml:space="preserve"> Species composition was expected to change somewhat linearly along the gradient of the three plot locations because of the different light conditions at each location.</w:t>
      </w:r>
      <w:r w:rsidR="000B62F6">
        <w:rPr>
          <w:rFonts w:eastAsia="Times New Roman"/>
        </w:rPr>
        <w:t xml:space="preserve"> The species composition was similar to that of the patch cuts as a whole, but the decrease in the prevalence of poplar when compared to the patch</w:t>
      </w:r>
      <w:r w:rsidR="00C109B5">
        <w:rPr>
          <w:rFonts w:eastAsia="Times New Roman"/>
        </w:rPr>
        <w:t xml:space="preserve"> </w:t>
      </w:r>
      <w:r w:rsidR="000B62F6">
        <w:rPr>
          <w:rFonts w:eastAsia="Times New Roman"/>
        </w:rPr>
        <w:t>cut totals was made up for by a slight increase in cherry and maple stems and a larger increase in the percentage of miscellaneous stems. The increase in miscellaneous stems was largely an increase in loblolly</w:t>
      </w:r>
      <w:r w:rsidR="00DC1013">
        <w:rPr>
          <w:rFonts w:eastAsia="Times New Roman"/>
        </w:rPr>
        <w:t xml:space="preserve"> pine</w:t>
      </w:r>
      <w:r w:rsidR="000B62F6">
        <w:rPr>
          <w:rFonts w:eastAsia="Times New Roman"/>
        </w:rPr>
        <w:t xml:space="preserve"> stems, which likely established at the time of harvest due to seed sources in the adjacent unharvested area. Loblolly</w:t>
      </w:r>
      <w:r w:rsidR="00DC1013">
        <w:rPr>
          <w:rFonts w:eastAsia="Times New Roman"/>
        </w:rPr>
        <w:t xml:space="preserve"> pine</w:t>
      </w:r>
      <w:r w:rsidR="000B62F6">
        <w:rPr>
          <w:rFonts w:eastAsia="Times New Roman"/>
        </w:rPr>
        <w:t xml:space="preserve"> was not categorized because it will eventually be outcompeted by hardwoods and is </w:t>
      </w:r>
      <w:r w:rsidR="005C0EA1">
        <w:rPr>
          <w:rFonts w:eastAsia="Times New Roman"/>
        </w:rPr>
        <w:t>not a targeted species for either of the regeneration methods observed in this study</w:t>
      </w:r>
      <w:r w:rsidR="000B62F6">
        <w:rPr>
          <w:rFonts w:eastAsia="Times New Roman"/>
        </w:rPr>
        <w:t>.</w:t>
      </w:r>
      <w:r w:rsidR="005A3E0B">
        <w:rPr>
          <w:rFonts w:eastAsia="Times New Roman"/>
        </w:rPr>
        <w:t xml:space="preserve"> </w:t>
      </w:r>
    </w:p>
    <w:p w14:paraId="5916A0DD" w14:textId="09ADF18D" w:rsidR="005A3E0B" w:rsidRDefault="005A3E0B" w:rsidP="00C87FBD">
      <w:pPr>
        <w:spacing w:line="480" w:lineRule="auto"/>
        <w:ind w:firstLine="720"/>
        <w:rPr>
          <w:rFonts w:eastAsia="Times New Roman"/>
        </w:rPr>
      </w:pPr>
      <w:r>
        <w:rPr>
          <w:rFonts w:eastAsia="Times New Roman"/>
        </w:rPr>
        <w:t xml:space="preserve">Poplar was still by far the most dominant species </w:t>
      </w:r>
      <w:r w:rsidR="00110A67">
        <w:rPr>
          <w:rFonts w:eastAsia="Times New Roman"/>
        </w:rPr>
        <w:t>at the edge</w:t>
      </w:r>
      <w:r w:rsidR="005C0EA1">
        <w:rPr>
          <w:rFonts w:eastAsia="Times New Roman"/>
        </w:rPr>
        <w:t xml:space="preserve"> (Figure 14)</w:t>
      </w:r>
      <w:r w:rsidR="00110A67">
        <w:rPr>
          <w:rFonts w:eastAsia="Times New Roman"/>
        </w:rPr>
        <w:t xml:space="preserve">. This leads to the assumption that the soils in the area must be productive enough that a </w:t>
      </w:r>
      <w:r w:rsidR="009047BC">
        <w:rPr>
          <w:rFonts w:eastAsia="Times New Roman"/>
        </w:rPr>
        <w:t>fast-growing</w:t>
      </w:r>
      <w:r w:rsidR="00A87FD3">
        <w:rPr>
          <w:rFonts w:eastAsia="Times New Roman"/>
        </w:rPr>
        <w:t>,</w:t>
      </w:r>
      <w:r w:rsidR="00110A67">
        <w:rPr>
          <w:rFonts w:eastAsia="Times New Roman"/>
        </w:rPr>
        <w:t xml:space="preserve"> shade</w:t>
      </w:r>
      <w:r w:rsidR="00A87FD3">
        <w:rPr>
          <w:rFonts w:eastAsia="Times New Roman"/>
        </w:rPr>
        <w:t>-</w:t>
      </w:r>
      <w:r w:rsidR="00110A67">
        <w:rPr>
          <w:rFonts w:eastAsia="Times New Roman"/>
        </w:rPr>
        <w:t xml:space="preserve">intolerant species like poplar can </w:t>
      </w:r>
      <w:r w:rsidR="00A87FD3">
        <w:rPr>
          <w:rFonts w:eastAsia="Times New Roman"/>
        </w:rPr>
        <w:t>outcompete</w:t>
      </w:r>
      <w:r w:rsidR="00110A67">
        <w:rPr>
          <w:rFonts w:eastAsia="Times New Roman"/>
        </w:rPr>
        <w:t xml:space="preserve"> already established shade</w:t>
      </w:r>
      <w:r w:rsidR="00A87FD3">
        <w:rPr>
          <w:rFonts w:eastAsia="Times New Roman"/>
        </w:rPr>
        <w:t>-</w:t>
      </w:r>
      <w:r w:rsidR="00110A67">
        <w:rPr>
          <w:rFonts w:eastAsia="Times New Roman"/>
        </w:rPr>
        <w:t>tolerant species to the canopy</w:t>
      </w:r>
      <w:r w:rsidR="00C87FBD">
        <w:rPr>
          <w:rFonts w:eastAsia="Times New Roman"/>
        </w:rPr>
        <w:t>, despite the diminished light conditions when compared to the center of the patches</w:t>
      </w:r>
      <w:r w:rsidR="00110A67">
        <w:rPr>
          <w:rFonts w:eastAsia="Times New Roman"/>
        </w:rPr>
        <w:t>.</w:t>
      </w:r>
      <w:r w:rsidR="007337A9">
        <w:rPr>
          <w:rFonts w:eastAsia="Times New Roman"/>
        </w:rPr>
        <w:t xml:space="preserve"> Although poplar is classified as a pioneer, highly shade-</w:t>
      </w:r>
      <w:r w:rsidR="006E534D">
        <w:rPr>
          <w:rFonts w:eastAsia="Times New Roman"/>
        </w:rPr>
        <w:t>in</w:t>
      </w:r>
      <w:r w:rsidR="007337A9">
        <w:rPr>
          <w:rFonts w:eastAsia="Times New Roman"/>
        </w:rPr>
        <w:t>tolerant species (Beck and Della-Bianca 1981), based on this research, poplar is more adaptable to and aggressive in slightly less amounts of sunlight than originally perceived by the author.</w:t>
      </w:r>
      <w:r w:rsidR="00110A67">
        <w:rPr>
          <w:rFonts w:eastAsia="Times New Roman"/>
        </w:rPr>
        <w:t xml:space="preserve"> </w:t>
      </w:r>
      <w:r w:rsidR="009B10A6">
        <w:t xml:space="preserve">As seen in Table </w:t>
      </w:r>
      <w:r w:rsidR="00F95D5F">
        <w:t>1</w:t>
      </w:r>
      <w:r w:rsidR="009B10A6">
        <w:t xml:space="preserve">, the miscellaneous species composition </w:t>
      </w:r>
      <w:r w:rsidR="00A87FD3">
        <w:t>percentage is reduced</w:t>
      </w:r>
      <w:r w:rsidR="009B10A6">
        <w:t xml:space="preserve"> sharply toward the middle of the patch. </w:t>
      </w:r>
      <w:r w:rsidR="009B10A6">
        <w:lastRenderedPageBreak/>
        <w:t>Poplar gained a significant portion of the species composition when moving towards the center of the patches, but it was still the most dominant even on the edge. Oak species showed little variation in prevalence regardless of plot location</w:t>
      </w:r>
      <w:r w:rsidR="005C0EA1">
        <w:t>, though there were so few oaks</w:t>
      </w:r>
      <w:r w:rsidR="009B10A6">
        <w:t xml:space="preserve">. </w:t>
      </w:r>
    </w:p>
    <w:p w14:paraId="27EA232C" w14:textId="77777777" w:rsidR="00A87FD3" w:rsidRDefault="00E11E7D">
      <w:pPr>
        <w:spacing w:line="480" w:lineRule="auto"/>
        <w:rPr>
          <w:rFonts w:eastAsia="Times New Roman"/>
        </w:rPr>
      </w:pPr>
      <w:r>
        <w:rPr>
          <w:rFonts w:eastAsia="Times New Roman"/>
        </w:rPr>
        <w:tab/>
        <w:t>The clearcut areas show a very high proportion of oak in the canopy</w:t>
      </w:r>
      <w:r w:rsidR="00A87FD3">
        <w:rPr>
          <w:rFonts w:eastAsia="Times New Roman"/>
        </w:rPr>
        <w:t xml:space="preserve"> (Figure 10)</w:t>
      </w:r>
      <w:r>
        <w:rPr>
          <w:rFonts w:eastAsia="Times New Roman"/>
        </w:rPr>
        <w:t>.</w:t>
      </w:r>
      <w:r w:rsidR="00F67E0B">
        <w:rPr>
          <w:rFonts w:eastAsia="Times New Roman"/>
        </w:rPr>
        <w:t xml:space="preserve"> This was unexpected given how prolific the poplar was on the patch</w:t>
      </w:r>
      <w:r w:rsidR="00A87FD3">
        <w:rPr>
          <w:rFonts w:eastAsia="Times New Roman"/>
        </w:rPr>
        <w:t>-</w:t>
      </w:r>
      <w:r w:rsidR="00F67E0B">
        <w:rPr>
          <w:rFonts w:eastAsia="Times New Roman"/>
        </w:rPr>
        <w:t>cut sites</w:t>
      </w:r>
      <w:r w:rsidR="005C0EA1">
        <w:rPr>
          <w:rFonts w:eastAsia="Times New Roman"/>
        </w:rPr>
        <w:t>, combined with the virtual absence of oak from those sites</w:t>
      </w:r>
      <w:r w:rsidR="00F67E0B">
        <w:rPr>
          <w:rFonts w:eastAsia="Times New Roman"/>
        </w:rPr>
        <w:t xml:space="preserve">. While the </w:t>
      </w:r>
      <w:r w:rsidR="00F06F16">
        <w:rPr>
          <w:rFonts w:eastAsia="Times New Roman"/>
        </w:rPr>
        <w:t xml:space="preserve">approximately </w:t>
      </w:r>
      <w:r w:rsidR="00F67E0B">
        <w:rPr>
          <w:rFonts w:eastAsia="Times New Roman"/>
        </w:rPr>
        <w:t>10</w:t>
      </w:r>
      <w:r w:rsidR="000F322D">
        <w:rPr>
          <w:rFonts w:eastAsia="Times New Roman"/>
        </w:rPr>
        <w:t>-</w:t>
      </w:r>
      <w:r w:rsidR="00F67E0B">
        <w:rPr>
          <w:rFonts w:eastAsia="Times New Roman"/>
        </w:rPr>
        <w:t>year age difference between the patch cuts and clearcuts has given the slower</w:t>
      </w:r>
      <w:r w:rsidR="00A87FD3">
        <w:rPr>
          <w:rFonts w:eastAsia="Times New Roman"/>
        </w:rPr>
        <w:t>-</w:t>
      </w:r>
      <w:r w:rsidR="00F67E0B">
        <w:rPr>
          <w:rFonts w:eastAsia="Times New Roman"/>
        </w:rPr>
        <w:t>growing oak more time to mature, the near absence of oak in the patch cuts guarantees that it will not be present in those stands if left unmanaged.</w:t>
      </w:r>
      <w:r w:rsidR="005C0EA1">
        <w:rPr>
          <w:rFonts w:eastAsia="Times New Roman"/>
        </w:rPr>
        <w:t xml:space="preserve"> The </w:t>
      </w:r>
      <w:r w:rsidR="000F322D">
        <w:rPr>
          <w:rFonts w:eastAsia="Times New Roman"/>
        </w:rPr>
        <w:t>10-year</w:t>
      </w:r>
      <w:r w:rsidR="005C0EA1">
        <w:rPr>
          <w:rFonts w:eastAsia="Times New Roman"/>
        </w:rPr>
        <w:t xml:space="preserve"> age difference is visible in the diameter distribution and average DBH of the species of interest</w:t>
      </w:r>
      <w:r w:rsidR="00A87FD3">
        <w:rPr>
          <w:rFonts w:eastAsia="Times New Roman"/>
        </w:rPr>
        <w:t xml:space="preserve"> (Figures 11 and 12)</w:t>
      </w:r>
      <w:r w:rsidR="005C0EA1">
        <w:rPr>
          <w:rFonts w:eastAsia="Times New Roman"/>
        </w:rPr>
        <w:t>.</w:t>
      </w:r>
      <w:r w:rsidR="000D4E21">
        <w:rPr>
          <w:rFonts w:eastAsia="Times New Roman"/>
        </w:rPr>
        <w:t xml:space="preserve"> Poplar was the largest species by average DBH found in the clearcut areas, as it was in the patch cuts. This further affirms that the soils at NTSF are very productive for poplar.</w:t>
      </w:r>
    </w:p>
    <w:p w14:paraId="3CFF8755" w14:textId="7A02F21A" w:rsidR="00A87FD3" w:rsidRDefault="00110A67" w:rsidP="00A87FD3">
      <w:pPr>
        <w:spacing w:line="480" w:lineRule="auto"/>
        <w:ind w:firstLine="720"/>
        <w:rPr>
          <w:rFonts w:eastAsia="Times New Roman"/>
        </w:rPr>
      </w:pPr>
      <w:r>
        <w:rPr>
          <w:rFonts w:eastAsia="Times New Roman"/>
        </w:rPr>
        <w:t>When combined across the two groups, oaks are the most dominant species group in the clearcut areas, even overtaking poplar. This was an unexpected result</w:t>
      </w:r>
      <w:r w:rsidR="00AB1B82">
        <w:rPr>
          <w:rFonts w:eastAsia="Times New Roman"/>
        </w:rPr>
        <w:t xml:space="preserve"> given </w:t>
      </w:r>
      <w:r w:rsidR="00C87FBD">
        <w:rPr>
          <w:rFonts w:eastAsia="Times New Roman"/>
        </w:rPr>
        <w:t>that the stands had seen little to no management and how dominant poplar was in the patch</w:t>
      </w:r>
      <w:r w:rsidR="00C109B5">
        <w:rPr>
          <w:rFonts w:eastAsia="Times New Roman"/>
        </w:rPr>
        <w:t>-</w:t>
      </w:r>
      <w:r w:rsidR="00C87FBD">
        <w:rPr>
          <w:rFonts w:eastAsia="Times New Roman"/>
        </w:rPr>
        <w:t>cut areas</w:t>
      </w:r>
      <w:r>
        <w:rPr>
          <w:rFonts w:eastAsia="Times New Roman"/>
        </w:rPr>
        <w:t xml:space="preserve">. </w:t>
      </w:r>
      <w:r w:rsidR="00AB1B82">
        <w:rPr>
          <w:rFonts w:eastAsia="Times New Roman"/>
        </w:rPr>
        <w:t>The oak in these stands was also of high quality, but no data w</w:t>
      </w:r>
      <w:r w:rsidR="00A87FD3">
        <w:rPr>
          <w:rFonts w:eastAsia="Times New Roman"/>
        </w:rPr>
        <w:t>ere</w:t>
      </w:r>
      <w:r w:rsidR="00AB1B82">
        <w:rPr>
          <w:rFonts w:eastAsia="Times New Roman"/>
        </w:rPr>
        <w:t xml:space="preserve"> collected regarding the quality of the trees since the focus of this study was on species composition.</w:t>
      </w:r>
      <w:r w:rsidR="00DF2006">
        <w:rPr>
          <w:rFonts w:eastAsia="Times New Roman"/>
        </w:rPr>
        <w:t xml:space="preserve"> </w:t>
      </w:r>
    </w:p>
    <w:p w14:paraId="26329AE0" w14:textId="1082A01F" w:rsidR="009969C6" w:rsidRDefault="00DF2006" w:rsidP="00A87FD3">
      <w:pPr>
        <w:spacing w:line="480" w:lineRule="auto"/>
        <w:ind w:firstLine="720"/>
        <w:rPr>
          <w:rFonts w:eastAsia="Times New Roman"/>
        </w:rPr>
      </w:pPr>
      <w:r>
        <w:rPr>
          <w:rFonts w:eastAsia="Times New Roman"/>
        </w:rPr>
        <w:t>The older age of the clearcut areas was also seen in the diameter distribution (Figure 11). While it still follows the reverse</w:t>
      </w:r>
      <w:r w:rsidR="00A87FD3">
        <w:rPr>
          <w:rFonts w:eastAsia="Times New Roman"/>
        </w:rPr>
        <w:t>-</w:t>
      </w:r>
      <w:r>
        <w:rPr>
          <w:rFonts w:eastAsia="Times New Roman"/>
        </w:rPr>
        <w:t>J pattern expected of stratified even-aged stands, there is more variation than there was with the patch</w:t>
      </w:r>
      <w:r w:rsidR="00A87FD3">
        <w:rPr>
          <w:rFonts w:eastAsia="Times New Roman"/>
        </w:rPr>
        <w:t>-</w:t>
      </w:r>
      <w:r>
        <w:rPr>
          <w:rFonts w:eastAsia="Times New Roman"/>
        </w:rPr>
        <w:t xml:space="preserve">cut diameter distribution (Figure 7). Poplar was once again the species with the largest average DBH (Figure 12). Oaks were the next </w:t>
      </w:r>
      <w:r w:rsidR="00A87FD3">
        <w:rPr>
          <w:rFonts w:eastAsia="Times New Roman"/>
        </w:rPr>
        <w:t>greatest</w:t>
      </w:r>
      <w:r>
        <w:rPr>
          <w:rFonts w:eastAsia="Times New Roman"/>
        </w:rPr>
        <w:t xml:space="preserve"> species by average DBH not far behind that of poplar.</w:t>
      </w:r>
      <w:r w:rsidR="00B44984">
        <w:rPr>
          <w:rFonts w:eastAsia="Times New Roman"/>
        </w:rPr>
        <w:t xml:space="preserve"> Overall, the species composition of the areas that were clearcut is very diverse</w:t>
      </w:r>
      <w:r w:rsidR="00881498">
        <w:rPr>
          <w:rFonts w:eastAsia="Times New Roman"/>
        </w:rPr>
        <w:t xml:space="preserve"> when compared to the patch cuts</w:t>
      </w:r>
      <w:r w:rsidR="00B44984">
        <w:rPr>
          <w:rFonts w:eastAsia="Times New Roman"/>
        </w:rPr>
        <w:t>.</w:t>
      </w:r>
      <w:r w:rsidR="00881498">
        <w:rPr>
          <w:rFonts w:eastAsia="Times New Roman"/>
        </w:rPr>
        <w:t xml:space="preserve"> Comparing Figure 9 and Figure </w:t>
      </w:r>
      <w:r w:rsidR="00881498">
        <w:rPr>
          <w:rFonts w:eastAsia="Times New Roman"/>
        </w:rPr>
        <w:lastRenderedPageBreak/>
        <w:t>13 highlights the difference in species diversity between the two harvest regimes. The difference between the clearcut harvests and the uncut surroundings was much harder to distinguish when compared to the stark contrast seen with the patch cuts.</w:t>
      </w:r>
      <w:r w:rsidR="000D4E21">
        <w:rPr>
          <w:rFonts w:eastAsia="Times New Roman"/>
        </w:rPr>
        <w:t xml:space="preserve"> </w:t>
      </w:r>
      <w:r w:rsidR="00E11E7D">
        <w:rPr>
          <w:rFonts w:eastAsia="Times New Roman"/>
        </w:rPr>
        <w:t xml:space="preserve">The species composition found in the clearcut areas </w:t>
      </w:r>
      <w:r w:rsidR="001C2CD8">
        <w:rPr>
          <w:rFonts w:eastAsia="Times New Roman"/>
        </w:rPr>
        <w:t>satisfies</w:t>
      </w:r>
      <w:r w:rsidR="00E11E7D">
        <w:rPr>
          <w:rFonts w:eastAsia="Times New Roman"/>
        </w:rPr>
        <w:t xml:space="preserve"> </w:t>
      </w:r>
      <w:r w:rsidR="00A87FD3">
        <w:rPr>
          <w:rFonts w:eastAsia="Times New Roman"/>
        </w:rPr>
        <w:t>many</w:t>
      </w:r>
      <w:r w:rsidR="00E11E7D">
        <w:rPr>
          <w:rFonts w:eastAsia="Times New Roman"/>
        </w:rPr>
        <w:t xml:space="preserve"> of the management objectives at NTSF</w:t>
      </w:r>
      <w:r w:rsidR="00C87FBD">
        <w:rPr>
          <w:rFonts w:eastAsia="Times New Roman"/>
        </w:rPr>
        <w:t xml:space="preserve"> for a mature forest</w:t>
      </w:r>
      <w:r w:rsidR="00E11E7D">
        <w:rPr>
          <w:rFonts w:eastAsia="Times New Roman"/>
        </w:rPr>
        <w:t xml:space="preserve">. </w:t>
      </w:r>
      <w:r w:rsidR="00AE095F">
        <w:rPr>
          <w:rFonts w:eastAsia="Times New Roman"/>
        </w:rPr>
        <w:t xml:space="preserve">This forest composition provides ample recreation opportunities, high timber value, and is aesthetically pleasing. </w:t>
      </w:r>
    </w:p>
    <w:p w14:paraId="45516388" w14:textId="102C0161" w:rsidR="00A87FD3" w:rsidRDefault="00502470">
      <w:pPr>
        <w:spacing w:line="480" w:lineRule="auto"/>
        <w:rPr>
          <w:rFonts w:eastAsia="Times New Roman"/>
        </w:rPr>
      </w:pPr>
      <w:r>
        <w:rPr>
          <w:rFonts w:eastAsia="Times New Roman"/>
        </w:rPr>
        <w:tab/>
        <w:t>The near absence of oak in areas that were patch cut despite oak being dominant in areas that were clearcut is perplexing. Overall light conditions are different between the two harvest regimes, but oak being a shade</w:t>
      </w:r>
      <w:r w:rsidR="00976B97">
        <w:rPr>
          <w:rFonts w:eastAsia="Times New Roman"/>
        </w:rPr>
        <w:t>-</w:t>
      </w:r>
      <w:r>
        <w:rPr>
          <w:rFonts w:eastAsia="Times New Roman"/>
        </w:rPr>
        <w:t xml:space="preserve">intermediate species </w:t>
      </w:r>
      <w:r w:rsidR="00120E0F">
        <w:rPr>
          <w:rFonts w:eastAsia="Times New Roman"/>
        </w:rPr>
        <w:t>leads to the expectation that it would</w:t>
      </w:r>
      <w:r>
        <w:rPr>
          <w:rFonts w:eastAsia="Times New Roman"/>
        </w:rPr>
        <w:t xml:space="preserve"> appear more often than it did in the patch</w:t>
      </w:r>
      <w:r w:rsidR="00A87FD3">
        <w:rPr>
          <w:rFonts w:eastAsia="Times New Roman"/>
        </w:rPr>
        <w:t>-</w:t>
      </w:r>
      <w:r>
        <w:rPr>
          <w:rFonts w:eastAsia="Times New Roman"/>
        </w:rPr>
        <w:t>cut areas given the precedent of the clearcuts which took place at an earlier point in time.</w:t>
      </w:r>
      <w:r w:rsidR="00710625">
        <w:rPr>
          <w:rFonts w:eastAsia="Times New Roman"/>
        </w:rPr>
        <w:t xml:space="preserve"> While disturbances and mast cycles certainly play an important role in oak regeneration, the areas that were sampled for this study were harvested across multiple years, meaning that any </w:t>
      </w:r>
      <w:r w:rsidR="00545830">
        <w:rPr>
          <w:rFonts w:eastAsia="Times New Roman"/>
        </w:rPr>
        <w:t>one-year</w:t>
      </w:r>
      <w:r w:rsidR="00710625">
        <w:rPr>
          <w:rFonts w:eastAsia="Times New Roman"/>
        </w:rPr>
        <w:t xml:space="preserve"> disturbance or mast event would be noticeable when comparing harvest sites.</w:t>
      </w:r>
      <w:r w:rsidR="00545830">
        <w:rPr>
          <w:rFonts w:eastAsia="Times New Roman"/>
        </w:rPr>
        <w:t xml:space="preserve"> </w:t>
      </w:r>
    </w:p>
    <w:p w14:paraId="4D2A66EE" w14:textId="783E30B0" w:rsidR="00A87FD3" w:rsidRDefault="00545830" w:rsidP="00A87FD3">
      <w:pPr>
        <w:spacing w:line="480" w:lineRule="auto"/>
        <w:ind w:firstLine="720"/>
        <w:rPr>
          <w:rFonts w:eastAsia="Times New Roman"/>
        </w:rPr>
      </w:pPr>
      <w:r>
        <w:rPr>
          <w:rFonts w:eastAsia="Times New Roman"/>
        </w:rPr>
        <w:t>Selecting harvest sites throughout NTSF also</w:t>
      </w:r>
      <w:r w:rsidR="00A101FC">
        <w:rPr>
          <w:rFonts w:eastAsia="Times New Roman"/>
        </w:rPr>
        <w:t xml:space="preserve"> ensured that site conditions were </w:t>
      </w:r>
      <w:r w:rsidR="00A87FD3">
        <w:rPr>
          <w:rFonts w:eastAsia="Times New Roman"/>
        </w:rPr>
        <w:t>similar</w:t>
      </w:r>
      <w:r w:rsidR="00A101FC">
        <w:rPr>
          <w:rFonts w:eastAsia="Times New Roman"/>
        </w:rPr>
        <w:t>. One potential explanation for the difference in oak prevalence is moisture conditions at the sites at stand initiation. The larger openings created by clearcuts allow full sunlight on a significantly larger area than patch cuts. This increased sunlight could reduce the amount of moisture in the soil, making for conditions that allow oak to compete with poplar. The clearcut areas have also had 10-15 more years to grow than</w:t>
      </w:r>
      <w:r w:rsidR="001145CE">
        <w:rPr>
          <w:rFonts w:eastAsia="Times New Roman"/>
        </w:rPr>
        <w:t xml:space="preserve"> the patch</w:t>
      </w:r>
      <w:r w:rsidR="00A87FD3">
        <w:rPr>
          <w:rFonts w:eastAsia="Times New Roman"/>
        </w:rPr>
        <w:t>-</w:t>
      </w:r>
      <w:r w:rsidR="001145CE">
        <w:rPr>
          <w:rFonts w:eastAsia="Times New Roman"/>
        </w:rPr>
        <w:t>cut areas, giving oak more time to c</w:t>
      </w:r>
      <w:r w:rsidR="00F06F16">
        <w:rPr>
          <w:rFonts w:eastAsia="Times New Roman"/>
        </w:rPr>
        <w:t>atch up to</w:t>
      </w:r>
      <w:r w:rsidR="001145CE">
        <w:rPr>
          <w:rFonts w:eastAsia="Times New Roman"/>
        </w:rPr>
        <w:t xml:space="preserve"> the faster</w:t>
      </w:r>
      <w:r w:rsidR="00A87FD3">
        <w:rPr>
          <w:rFonts w:eastAsia="Times New Roman"/>
        </w:rPr>
        <w:t>-</w:t>
      </w:r>
      <w:r w:rsidR="001145CE">
        <w:rPr>
          <w:rFonts w:eastAsia="Times New Roman"/>
        </w:rPr>
        <w:t>growing poplar. However, there is so</w:t>
      </w:r>
      <w:r w:rsidR="00724FBF">
        <w:rPr>
          <w:rFonts w:eastAsia="Times New Roman"/>
        </w:rPr>
        <w:t xml:space="preserve"> little oak in the patch</w:t>
      </w:r>
      <w:r w:rsidR="00C109B5">
        <w:rPr>
          <w:rFonts w:eastAsia="Times New Roman"/>
        </w:rPr>
        <w:t>-</w:t>
      </w:r>
      <w:r w:rsidR="00724FBF">
        <w:rPr>
          <w:rFonts w:eastAsia="Times New Roman"/>
        </w:rPr>
        <w:t>cut areas that there is no path for it to become a dominant species in those areas</w:t>
      </w:r>
      <w:r w:rsidR="00BD480E">
        <w:rPr>
          <w:rFonts w:eastAsia="Times New Roman"/>
        </w:rPr>
        <w:t xml:space="preserve"> even with more time to grow.</w:t>
      </w:r>
      <w:r w:rsidR="00881498">
        <w:rPr>
          <w:rFonts w:eastAsia="Times New Roman"/>
        </w:rPr>
        <w:t xml:space="preserve"> </w:t>
      </w:r>
    </w:p>
    <w:p w14:paraId="1ADB57BA" w14:textId="022364AD" w:rsidR="00502470" w:rsidRDefault="00881498" w:rsidP="00A87FD3">
      <w:pPr>
        <w:spacing w:line="480" w:lineRule="auto"/>
        <w:ind w:firstLine="720"/>
        <w:rPr>
          <w:rFonts w:eastAsia="Times New Roman"/>
        </w:rPr>
      </w:pPr>
      <w:r>
        <w:rPr>
          <w:rFonts w:eastAsia="Times New Roman"/>
        </w:rPr>
        <w:lastRenderedPageBreak/>
        <w:t>Another consideration is the state of oak regeneration in the patch</w:t>
      </w:r>
      <w:r w:rsidR="00C109B5">
        <w:rPr>
          <w:rFonts w:eastAsia="Times New Roman"/>
        </w:rPr>
        <w:t>-</w:t>
      </w:r>
      <w:r>
        <w:rPr>
          <w:rFonts w:eastAsia="Times New Roman"/>
        </w:rPr>
        <w:t xml:space="preserve">cut areas at the time they were harvested. Pre-harvest regeneration data for the areas that were patch cut at NTSF </w:t>
      </w:r>
      <w:r w:rsidR="00A87FD3">
        <w:rPr>
          <w:rFonts w:eastAsia="Times New Roman"/>
        </w:rPr>
        <w:t>are</w:t>
      </w:r>
      <w:r>
        <w:rPr>
          <w:rFonts w:eastAsia="Times New Roman"/>
        </w:rPr>
        <w:t xml:space="preserve"> </w:t>
      </w:r>
      <w:r w:rsidR="00A87FD3">
        <w:rPr>
          <w:rFonts w:eastAsia="Times New Roman"/>
        </w:rPr>
        <w:t>not available</w:t>
      </w:r>
      <w:r>
        <w:rPr>
          <w:rFonts w:eastAsia="Times New Roman"/>
        </w:rPr>
        <w:t>.</w:t>
      </w:r>
      <w:r w:rsidR="00504D89">
        <w:rPr>
          <w:rFonts w:eastAsia="Times New Roman"/>
        </w:rPr>
        <w:t xml:space="preserve"> As noted in the literature review, new oak seedlings cannot compete with poplar. If there was very little advanced oak regeneration in the patches at the time of harvest and few stumps to sprout from, there was </w:t>
      </w:r>
      <w:r w:rsidR="00A87FD3">
        <w:rPr>
          <w:rFonts w:eastAsia="Times New Roman"/>
        </w:rPr>
        <w:t>little</w:t>
      </w:r>
      <w:r w:rsidR="00504D89">
        <w:rPr>
          <w:rFonts w:eastAsia="Times New Roman"/>
        </w:rPr>
        <w:t xml:space="preserve"> chance for oak to regenerate in the patch</w:t>
      </w:r>
      <w:r w:rsidR="00C109B5">
        <w:rPr>
          <w:rFonts w:eastAsia="Times New Roman"/>
        </w:rPr>
        <w:t>-</w:t>
      </w:r>
      <w:r w:rsidR="00504D89">
        <w:rPr>
          <w:rFonts w:eastAsia="Times New Roman"/>
        </w:rPr>
        <w:t>cut areas</w:t>
      </w:r>
      <w:r w:rsidR="00A87FD3">
        <w:rPr>
          <w:rFonts w:eastAsia="Times New Roman"/>
        </w:rPr>
        <w:t xml:space="preserve"> (Schweitzer et al</w:t>
      </w:r>
      <w:r w:rsidR="004944D7">
        <w:rPr>
          <w:rFonts w:eastAsia="Times New Roman"/>
        </w:rPr>
        <w:t>.</w:t>
      </w:r>
      <w:r w:rsidR="00A87FD3">
        <w:rPr>
          <w:rFonts w:eastAsia="Times New Roman"/>
        </w:rPr>
        <w:t xml:space="preserve"> 2016)</w:t>
      </w:r>
      <w:r w:rsidR="00504D89">
        <w:rPr>
          <w:rFonts w:eastAsia="Times New Roman"/>
        </w:rPr>
        <w:t xml:space="preserve">. Thus, when oak regeneration is a management objective, regeneration surveys should be conducted prior to harvest. </w:t>
      </w:r>
      <w:r w:rsidR="004E3DDD">
        <w:rPr>
          <w:rFonts w:eastAsia="Times New Roman"/>
        </w:rPr>
        <w:t>Given the incredibly small percentage of oak in the patch cuts, it is assumed that there was very little advanced regeneration at the harvest sites.</w:t>
      </w:r>
      <w:r w:rsidR="000D4E21">
        <w:rPr>
          <w:rFonts w:eastAsia="Times New Roman"/>
        </w:rPr>
        <w:t xml:space="preserve"> The average DBH of the poplar in the clearcut areas is proportional to the average DBH of the poplar in the patch</w:t>
      </w:r>
      <w:r w:rsidR="00C109B5">
        <w:rPr>
          <w:rFonts w:eastAsia="Times New Roman"/>
        </w:rPr>
        <w:t>-</w:t>
      </w:r>
      <w:r w:rsidR="000D4E21">
        <w:rPr>
          <w:rFonts w:eastAsia="Times New Roman"/>
        </w:rPr>
        <w:t>cut areas, given the age difference (Figures 8 and 12).</w:t>
      </w:r>
      <w:r w:rsidR="00CF516A">
        <w:rPr>
          <w:rFonts w:eastAsia="Times New Roman"/>
        </w:rPr>
        <w:t xml:space="preserve"> </w:t>
      </w:r>
      <w:r w:rsidR="000D4E21">
        <w:rPr>
          <w:rFonts w:eastAsia="Times New Roman"/>
        </w:rPr>
        <w:t xml:space="preserve"> Given similar site productivity, the difference in regeneration method played a major role in the regenerative success, or lack thereof, of oak species.</w:t>
      </w:r>
      <w:r w:rsidR="0079385F">
        <w:rPr>
          <w:rFonts w:eastAsia="Times New Roman"/>
        </w:rPr>
        <w:t xml:space="preserve"> </w:t>
      </w:r>
    </w:p>
    <w:p w14:paraId="7895E28D" w14:textId="6A097CB9" w:rsidR="00CF516A" w:rsidRDefault="008B2C72" w:rsidP="00CF516A">
      <w:pPr>
        <w:spacing w:line="480" w:lineRule="auto"/>
        <w:ind w:firstLine="720"/>
        <w:rPr>
          <w:rFonts w:eastAsia="Times New Roman"/>
        </w:rPr>
      </w:pPr>
      <w:r>
        <w:rPr>
          <w:rFonts w:eastAsia="Times New Roman"/>
        </w:rPr>
        <w:t xml:space="preserve">The statistical analysis portion of this study was used to determine if the comparisons made regarding harvest regimes were statistically significant. </w:t>
      </w:r>
      <w:r w:rsidR="00CF516A">
        <w:rPr>
          <w:rFonts w:eastAsia="Times New Roman"/>
        </w:rPr>
        <w:t xml:space="preserve">Statistical analysis showed that there was a significant (P &lt; 0.05) relationship between harvest </w:t>
      </w:r>
      <w:r w:rsidR="003B76EE">
        <w:rPr>
          <w:rFonts w:eastAsia="Times New Roman"/>
        </w:rPr>
        <w:t>regime</w:t>
      </w:r>
      <w:r w:rsidR="00CF516A">
        <w:rPr>
          <w:rFonts w:eastAsia="Times New Roman"/>
        </w:rPr>
        <w:t xml:space="preserve"> </w:t>
      </w:r>
      <w:r w:rsidR="003B76EE">
        <w:rPr>
          <w:rFonts w:eastAsia="Times New Roman"/>
        </w:rPr>
        <w:t>trees per acre for every species of interest other than maple</w:t>
      </w:r>
      <w:r w:rsidR="00777C3B">
        <w:rPr>
          <w:rFonts w:eastAsia="Times New Roman"/>
        </w:rPr>
        <w:t xml:space="preserve">, and the null hypothesis that harvest method did not have an effect on poplar </w:t>
      </w:r>
      <w:r w:rsidR="00245669">
        <w:rPr>
          <w:rFonts w:eastAsia="Times New Roman"/>
        </w:rPr>
        <w:t>trees per acre</w:t>
      </w:r>
      <w:r w:rsidR="00777C3B">
        <w:rPr>
          <w:rFonts w:eastAsia="Times New Roman"/>
        </w:rPr>
        <w:t xml:space="preserve"> can be rejected</w:t>
      </w:r>
      <w:r w:rsidR="00245669">
        <w:rPr>
          <w:rFonts w:eastAsia="Times New Roman"/>
        </w:rPr>
        <w:t xml:space="preserve"> (Table 2)</w:t>
      </w:r>
      <w:r w:rsidR="00777C3B">
        <w:rPr>
          <w:rFonts w:eastAsia="Times New Roman"/>
        </w:rPr>
        <w:t>.</w:t>
      </w:r>
      <w:r w:rsidR="003B76EE">
        <w:rPr>
          <w:rFonts w:eastAsia="Times New Roman"/>
        </w:rPr>
        <w:t xml:space="preserve"> Poplar was the only species of interest that showed location as a statistically significant treatment (Table 2)</w:t>
      </w:r>
      <w:r w:rsidR="00245669">
        <w:rPr>
          <w:rFonts w:eastAsia="Times New Roman"/>
        </w:rPr>
        <w:t>.</w:t>
      </w:r>
      <w:r w:rsidR="003B76EE">
        <w:rPr>
          <w:rFonts w:eastAsia="Times New Roman"/>
        </w:rPr>
        <w:t xml:space="preserve"> The blocking factor of harvest site did not prove to be statistically significant</w:t>
      </w:r>
      <w:r>
        <w:rPr>
          <w:rFonts w:eastAsia="Times New Roman"/>
        </w:rPr>
        <w:t xml:space="preserve"> for any species</w:t>
      </w:r>
      <w:r w:rsidR="003B76EE">
        <w:rPr>
          <w:rFonts w:eastAsia="Times New Roman"/>
        </w:rPr>
        <w:t>. These findings support the conclusion that harvest regime did have an effect on the species composition of the now-regenerated harvests.</w:t>
      </w:r>
    </w:p>
    <w:p w14:paraId="61768E4D" w14:textId="75935ECB" w:rsidR="00C27B2D" w:rsidRDefault="004E3DDD">
      <w:pPr>
        <w:spacing w:line="480" w:lineRule="auto"/>
        <w:rPr>
          <w:rFonts w:eastAsia="Times New Roman"/>
        </w:rPr>
      </w:pPr>
      <w:r>
        <w:rPr>
          <w:rFonts w:eastAsia="Times New Roman"/>
        </w:rPr>
        <w:tab/>
        <w:t>Location of the patches could also play a role in the regeneration that occurred following harvest. There was no information available regarding the criteria used to select individual patch</w:t>
      </w:r>
      <w:r w:rsidR="00B52A4B">
        <w:rPr>
          <w:rFonts w:eastAsia="Times New Roman"/>
        </w:rPr>
        <w:t>-</w:t>
      </w:r>
      <w:r>
        <w:rPr>
          <w:rFonts w:eastAsia="Times New Roman"/>
        </w:rPr>
        <w:lastRenderedPageBreak/>
        <w:t>cut sites. The harvest units where the patch cuts were located were the areas that were to be harvested based on the rotation regardless of the harvest regime at the time. If a lack of advanced regeneration at the patch</w:t>
      </w:r>
      <w:r w:rsidR="00A87FD3">
        <w:rPr>
          <w:rFonts w:eastAsia="Times New Roman"/>
        </w:rPr>
        <w:t>-</w:t>
      </w:r>
      <w:r>
        <w:rPr>
          <w:rFonts w:eastAsia="Times New Roman"/>
        </w:rPr>
        <w:t xml:space="preserve">cut sites is to blame for the absence of oak in the new stand, then different patches should have been selected to meet the management objectives. Patch cutting is a much more intensive and </w:t>
      </w:r>
      <w:r w:rsidR="00E86FFE">
        <w:rPr>
          <w:rFonts w:eastAsia="Times New Roman"/>
        </w:rPr>
        <w:t>time-consuming</w:t>
      </w:r>
      <w:r>
        <w:rPr>
          <w:rFonts w:eastAsia="Times New Roman"/>
        </w:rPr>
        <w:t xml:space="preserve"> harvest regime, but this increased effort should allow for</w:t>
      </w:r>
      <w:r w:rsidR="00B004D3">
        <w:rPr>
          <w:rFonts w:eastAsia="Times New Roman"/>
        </w:rPr>
        <w:t xml:space="preserve"> adjustments like tailoring the patch sites to areas with more advanced oak regeneration. If advanced oak regeneration was not present throughout the harvest unit, alternative </w:t>
      </w:r>
      <w:r w:rsidR="00E86FFE">
        <w:rPr>
          <w:rFonts w:eastAsia="Times New Roman"/>
        </w:rPr>
        <w:t>management decisions should be made to increase the amount of oak regeneration, or management objectives should be re-evaluated.</w:t>
      </w:r>
    </w:p>
    <w:p w14:paraId="6D64AB9E" w14:textId="28CC01DB" w:rsidR="00AE095F" w:rsidRDefault="00AE095F">
      <w:pPr>
        <w:spacing w:line="480" w:lineRule="auto"/>
        <w:rPr>
          <w:rFonts w:eastAsia="Times New Roman"/>
        </w:rPr>
      </w:pPr>
      <w:r>
        <w:rPr>
          <w:rFonts w:eastAsia="Times New Roman"/>
        </w:rPr>
        <w:tab/>
        <w:t xml:space="preserve">The results of this study make a strong case for continued use of the clearcut harvest regime at NTSF. However, the areas that were patch cut are not at a complete loss. Poplar and sweetgum can provide timber value in a normal market. Poplar’s fast rate of growth also means </w:t>
      </w:r>
      <w:r w:rsidR="00B574E7">
        <w:rPr>
          <w:rFonts w:eastAsia="Times New Roman"/>
        </w:rPr>
        <w:t>shorter harvest rotations</w:t>
      </w:r>
      <w:r>
        <w:rPr>
          <w:rFonts w:eastAsia="Times New Roman"/>
        </w:rPr>
        <w:t xml:space="preserve">. Nevertheless, the areas that were clearcut are of much greater value to NTSF. </w:t>
      </w:r>
      <w:r w:rsidR="008F694F">
        <w:rPr>
          <w:rFonts w:eastAsia="Times New Roman"/>
        </w:rPr>
        <w:t>The high proportion of oak found in these areas not only provides a great deal of economic value when the areas are harvested again</w:t>
      </w:r>
      <w:r w:rsidR="00502470">
        <w:rPr>
          <w:rFonts w:eastAsia="Times New Roman"/>
        </w:rPr>
        <w:t xml:space="preserve">, but also provided excellent wildlife habitat and food supply. Increased wildlife value of an area also increases the recreational value by providing excellent hunting and wildlife watching opportunities. </w:t>
      </w:r>
      <w:r w:rsidR="00B44984">
        <w:rPr>
          <w:rFonts w:eastAsia="Times New Roman"/>
        </w:rPr>
        <w:t>The increased species diversity of the clearcut areas also makes them more resilient to disturbances.</w:t>
      </w:r>
      <w:r w:rsidR="000F322D">
        <w:rPr>
          <w:rFonts w:eastAsia="Times New Roman"/>
        </w:rPr>
        <w:t xml:space="preserve"> Intermediate operations, while costly, can help increase the amount of oak regeneration in the understory of the patch</w:t>
      </w:r>
      <w:r w:rsidR="00B52A4B">
        <w:rPr>
          <w:rFonts w:eastAsia="Times New Roman"/>
        </w:rPr>
        <w:t>-</w:t>
      </w:r>
      <w:r w:rsidR="000F322D">
        <w:rPr>
          <w:rFonts w:eastAsia="Times New Roman"/>
        </w:rPr>
        <w:t xml:space="preserve">cut sites. </w:t>
      </w:r>
    </w:p>
    <w:p w14:paraId="29727993" w14:textId="39EA7439" w:rsidR="00DF733F" w:rsidRDefault="00244BC0" w:rsidP="00A014AF">
      <w:pPr>
        <w:spacing w:line="480" w:lineRule="auto"/>
        <w:rPr>
          <w:rFonts w:eastAsia="Times New Roman"/>
        </w:rPr>
      </w:pPr>
      <w:r>
        <w:rPr>
          <w:rFonts w:eastAsia="Times New Roman"/>
        </w:rPr>
        <w:tab/>
      </w:r>
    </w:p>
    <w:p w14:paraId="7E37B367" w14:textId="3B55B615" w:rsidR="001C2CD8" w:rsidRDefault="00DF733F" w:rsidP="00DF733F">
      <w:pPr>
        <w:rPr>
          <w:rFonts w:eastAsia="Times New Roman"/>
        </w:rPr>
      </w:pPr>
      <w:r>
        <w:rPr>
          <w:rFonts w:eastAsia="Times New Roman"/>
        </w:rPr>
        <w:br w:type="page"/>
      </w:r>
    </w:p>
    <w:p w14:paraId="78A022BA" w14:textId="48AA2CDB" w:rsidR="001C2CD8" w:rsidRPr="001C2CD8" w:rsidRDefault="00AF3144">
      <w:pPr>
        <w:spacing w:line="480" w:lineRule="auto"/>
        <w:rPr>
          <w:rFonts w:eastAsia="Times New Roman"/>
        </w:rPr>
      </w:pPr>
      <w:r>
        <w:rPr>
          <w:rFonts w:eastAsia="Times New Roman"/>
          <w:b/>
          <w:bCs/>
        </w:rPr>
        <w:lastRenderedPageBreak/>
        <w:t xml:space="preserve">Chapter 7: </w:t>
      </w:r>
      <w:r w:rsidR="001C2CD8">
        <w:rPr>
          <w:rFonts w:eastAsia="Times New Roman"/>
          <w:b/>
          <w:bCs/>
        </w:rPr>
        <w:t>Conclusion</w:t>
      </w:r>
    </w:p>
    <w:p w14:paraId="7E6C5771" w14:textId="385E30A1" w:rsidR="009969C6" w:rsidRDefault="00E11E7D">
      <w:pPr>
        <w:spacing w:line="480" w:lineRule="auto"/>
        <w:rPr>
          <w:rFonts w:eastAsia="Times New Roman"/>
        </w:rPr>
      </w:pPr>
      <w:r>
        <w:rPr>
          <w:rFonts w:eastAsia="Times New Roman"/>
        </w:rPr>
        <w:tab/>
      </w:r>
      <w:r w:rsidR="00EC7057">
        <w:rPr>
          <w:rFonts w:eastAsia="Times New Roman"/>
        </w:rPr>
        <w:t xml:space="preserve">The results of this study show that patch cutting is not </w:t>
      </w:r>
      <w:r w:rsidR="00940A09">
        <w:rPr>
          <w:rFonts w:eastAsia="Times New Roman"/>
        </w:rPr>
        <w:t>effective to create the species composition and species diversity needed</w:t>
      </w:r>
      <w:r w:rsidR="00EC7057">
        <w:rPr>
          <w:rFonts w:eastAsia="Times New Roman"/>
        </w:rPr>
        <w:t xml:space="preserve"> to meet the needs of a multi-use area like Natchez Trace State Forest in the </w:t>
      </w:r>
      <w:r w:rsidR="00940A09">
        <w:rPr>
          <w:rFonts w:eastAsia="Times New Roman"/>
        </w:rPr>
        <w:t>C</w:t>
      </w:r>
      <w:r w:rsidR="00EC7057">
        <w:rPr>
          <w:rFonts w:eastAsia="Times New Roman"/>
        </w:rPr>
        <w:t xml:space="preserve">entral </w:t>
      </w:r>
      <w:r w:rsidR="00940A09">
        <w:rPr>
          <w:rFonts w:eastAsia="Times New Roman"/>
        </w:rPr>
        <w:t>H</w:t>
      </w:r>
      <w:r w:rsidR="00EC7057">
        <w:rPr>
          <w:rFonts w:eastAsia="Times New Roman"/>
        </w:rPr>
        <w:t xml:space="preserve">ardwoods </w:t>
      </w:r>
      <w:r w:rsidR="00940A09">
        <w:rPr>
          <w:rFonts w:eastAsia="Times New Roman"/>
        </w:rPr>
        <w:t>R</w:t>
      </w:r>
      <w:r w:rsidR="00EC7057">
        <w:rPr>
          <w:rFonts w:eastAsia="Times New Roman"/>
        </w:rPr>
        <w:t>egion. Additional research at other sites throughout the region could help determine</w:t>
      </w:r>
      <w:r w:rsidR="00F10ACC">
        <w:rPr>
          <w:rFonts w:eastAsia="Times New Roman"/>
        </w:rPr>
        <w:t xml:space="preserve"> how site quality plays a role in the species composition of patch</w:t>
      </w:r>
      <w:r w:rsidR="00B574E7">
        <w:rPr>
          <w:rFonts w:eastAsia="Times New Roman"/>
        </w:rPr>
        <w:t>-</w:t>
      </w:r>
      <w:r w:rsidR="00F10ACC">
        <w:rPr>
          <w:rFonts w:eastAsia="Times New Roman"/>
        </w:rPr>
        <w:t xml:space="preserve">cut regeneration. </w:t>
      </w:r>
      <w:r w:rsidR="005C14C4">
        <w:rPr>
          <w:rFonts w:eastAsia="Times New Roman"/>
        </w:rPr>
        <w:t>The current state of the clearcut areas shows a highly desirable</w:t>
      </w:r>
      <w:r w:rsidR="00940A09">
        <w:rPr>
          <w:rFonts w:eastAsia="Times New Roman"/>
        </w:rPr>
        <w:t xml:space="preserve"> and diverse</w:t>
      </w:r>
      <w:r w:rsidR="005C14C4">
        <w:rPr>
          <w:rFonts w:eastAsia="Times New Roman"/>
        </w:rPr>
        <w:t xml:space="preserve"> species composition that meets </w:t>
      </w:r>
      <w:r w:rsidR="00CB46C9">
        <w:rPr>
          <w:rFonts w:eastAsia="Times New Roman"/>
        </w:rPr>
        <w:t>many</w:t>
      </w:r>
      <w:r w:rsidR="005C14C4">
        <w:rPr>
          <w:rFonts w:eastAsia="Times New Roman"/>
        </w:rPr>
        <w:t xml:space="preserve"> of the management objectives at NTSF</w:t>
      </w:r>
      <w:r w:rsidR="00940A09">
        <w:rPr>
          <w:rFonts w:eastAsia="Times New Roman"/>
        </w:rPr>
        <w:t>, while the patch cuts are composed mainly of monotypic poplar.</w:t>
      </w:r>
      <w:r w:rsidR="009125D5">
        <w:rPr>
          <w:rFonts w:eastAsia="Times New Roman"/>
        </w:rPr>
        <w:t xml:space="preserve"> </w:t>
      </w:r>
      <w:r w:rsidR="00504D89">
        <w:rPr>
          <w:rFonts w:eastAsia="Times New Roman"/>
        </w:rPr>
        <w:t>There are a variety of hypothesized reasons for the domination of poplar on the patch</w:t>
      </w:r>
      <w:r w:rsidR="00B52A4B">
        <w:rPr>
          <w:rFonts w:eastAsia="Times New Roman"/>
        </w:rPr>
        <w:t>-</w:t>
      </w:r>
      <w:r w:rsidR="00504D89">
        <w:rPr>
          <w:rFonts w:eastAsia="Times New Roman"/>
        </w:rPr>
        <w:t>cut sites, but given the success of oak on the clearcut sites and clearcutting being a less intensive harvest regime than patch cutting, clearcutting is the better</w:t>
      </w:r>
      <w:r w:rsidR="00315565">
        <w:rPr>
          <w:rFonts w:eastAsia="Times New Roman"/>
        </w:rPr>
        <w:t xml:space="preserve"> </w:t>
      </w:r>
      <w:r w:rsidR="00B574E7">
        <w:rPr>
          <w:rFonts w:eastAsia="Times New Roman"/>
        </w:rPr>
        <w:t>regeneration method</w:t>
      </w:r>
      <w:r w:rsidR="00315565">
        <w:rPr>
          <w:rFonts w:eastAsia="Times New Roman"/>
        </w:rPr>
        <w:t xml:space="preserve"> for NTSF.</w:t>
      </w:r>
    </w:p>
    <w:p w14:paraId="432A6C95" w14:textId="44AF6744" w:rsidR="009047BC" w:rsidRDefault="009047BC">
      <w:pPr>
        <w:spacing w:line="480" w:lineRule="auto"/>
        <w:rPr>
          <w:rFonts w:eastAsia="Times New Roman"/>
        </w:rPr>
      </w:pPr>
      <w:r>
        <w:rPr>
          <w:rFonts w:eastAsia="Times New Roman"/>
        </w:rPr>
        <w:tab/>
      </w:r>
      <w:r w:rsidR="00CB46C9">
        <w:rPr>
          <w:rFonts w:eastAsia="Times New Roman"/>
        </w:rPr>
        <w:t>The results of this study raise a variety of questions that could be answered with further research</w:t>
      </w:r>
      <w:r w:rsidR="00244BC0">
        <w:rPr>
          <w:rFonts w:eastAsia="Times New Roman"/>
        </w:rPr>
        <w:t xml:space="preserve">. </w:t>
      </w:r>
      <w:r w:rsidR="0024093E">
        <w:rPr>
          <w:rFonts w:eastAsia="Times New Roman"/>
        </w:rPr>
        <w:t>To start, there is the question of scale, and how applicable the results of this study are for the Central Hardwoods Region as a whole. This question could be answered with additional study sites at locations that have been patch cut throughout the region.</w:t>
      </w:r>
      <w:r w:rsidR="00244BC0">
        <w:rPr>
          <w:rFonts w:eastAsia="Times New Roman"/>
        </w:rPr>
        <w:t xml:space="preserve"> </w:t>
      </w:r>
      <w:r w:rsidR="0024093E">
        <w:rPr>
          <w:rFonts w:eastAsia="Times New Roman"/>
        </w:rPr>
        <w:t>Another interesting measurement that this study did not incorporate is tree quality. Adding additional measures of tree quality could help more specifically determine the economic consequences of the harvest regimes, as well as answer species specific growth questions.</w:t>
      </w:r>
      <w:r w:rsidR="002E5599">
        <w:rPr>
          <w:rFonts w:eastAsia="Times New Roman"/>
        </w:rPr>
        <w:t xml:space="preserve"> </w:t>
      </w:r>
      <w:r w:rsidR="0024093E">
        <w:rPr>
          <w:rFonts w:eastAsia="Times New Roman"/>
        </w:rPr>
        <w:t>The stark difference in the proportion of oak between the two harvest regimes was unexpected. The patch</w:t>
      </w:r>
      <w:r w:rsidR="00B574E7">
        <w:rPr>
          <w:rFonts w:eastAsia="Times New Roman"/>
        </w:rPr>
        <w:t>-</w:t>
      </w:r>
      <w:r w:rsidR="0024093E">
        <w:rPr>
          <w:rFonts w:eastAsia="Times New Roman"/>
        </w:rPr>
        <w:t xml:space="preserve">cut areas were the initial point of interest in this study, and they were sampled much more intensively than the clearcut areas. While efforts were made to ensure that plots were representative of the stands as a whole, additional clearcut sites could help further justify the findings of this study in regards to the oak prevalence in clearcut areas. Further research could also test various explanations for the </w:t>
      </w:r>
      <w:r w:rsidR="0024093E">
        <w:rPr>
          <w:rFonts w:eastAsia="Times New Roman"/>
        </w:rPr>
        <w:lastRenderedPageBreak/>
        <w:t>differences between the two harvest regimes. Light and moisture measurements at the time of stand initiation in both patch cuts and clearcuts could help determine the effects of those site conditions on regeneration.</w:t>
      </w:r>
      <w:r w:rsidR="00315565">
        <w:rPr>
          <w:rFonts w:eastAsia="Times New Roman"/>
        </w:rPr>
        <w:t xml:space="preserve"> Sampling regeneration before a patch</w:t>
      </w:r>
      <w:r w:rsidR="00B52A4B">
        <w:rPr>
          <w:rFonts w:eastAsia="Times New Roman"/>
        </w:rPr>
        <w:t>-</w:t>
      </w:r>
      <w:r w:rsidR="00315565">
        <w:rPr>
          <w:rFonts w:eastAsia="Times New Roman"/>
        </w:rPr>
        <w:t xml:space="preserve">cut harvest and then conducting a survey 25 years post-harvest like this study could also answer questions regarding the state of advanced regeneration when the NTSF patch cuts occurred.  </w:t>
      </w:r>
    </w:p>
    <w:p w14:paraId="243D3D65" w14:textId="736CAEE5" w:rsidR="00052230" w:rsidRDefault="00052230">
      <w:pPr>
        <w:spacing w:line="480" w:lineRule="auto"/>
        <w:rPr>
          <w:rFonts w:eastAsia="Times New Roman"/>
        </w:rPr>
      </w:pPr>
      <w:r>
        <w:rPr>
          <w:rFonts w:eastAsia="Times New Roman"/>
        </w:rPr>
        <w:tab/>
        <w:t>Poplar was expected to be a component of the regenerated patch cuts as indicated by the literature. However, it was not expected to dominate the regenerated stands all the way up to the edge.</w:t>
      </w:r>
      <w:r w:rsidR="000D4F40">
        <w:rPr>
          <w:rFonts w:eastAsia="Times New Roman"/>
        </w:rPr>
        <w:t xml:space="preserve"> Poplar is very adaptable and can prosper on a wide range of sites (Beck 1980). In this study, it flourished even in areas where light conditions were not optimal.</w:t>
      </w:r>
      <w:r>
        <w:rPr>
          <w:rFonts w:eastAsia="Times New Roman"/>
        </w:rPr>
        <w:t xml:space="preserve"> </w:t>
      </w:r>
      <w:r w:rsidR="00264948">
        <w:rPr>
          <w:rFonts w:eastAsia="Times New Roman"/>
        </w:rPr>
        <w:t>Further research as outlined in the preceding paragraph</w:t>
      </w:r>
      <w:r w:rsidR="00B64664">
        <w:rPr>
          <w:rFonts w:eastAsia="Times New Roman"/>
        </w:rPr>
        <w:t xml:space="preserve"> would be required to determine specifically what led to its domination of the sites. </w:t>
      </w:r>
    </w:p>
    <w:p w14:paraId="23565CB1" w14:textId="0E60F190" w:rsidR="00AB1B82" w:rsidRDefault="00AB1B82">
      <w:pPr>
        <w:spacing w:line="480" w:lineRule="auto"/>
      </w:pPr>
      <w:r>
        <w:rPr>
          <w:rFonts w:eastAsia="Times New Roman"/>
        </w:rPr>
        <w:tab/>
        <w:t xml:space="preserve">Changes in harvest </w:t>
      </w:r>
      <w:r w:rsidR="00940A09">
        <w:rPr>
          <w:rFonts w:eastAsia="Times New Roman"/>
        </w:rPr>
        <w:t>regimes</w:t>
      </w:r>
      <w:r>
        <w:rPr>
          <w:rFonts w:eastAsia="Times New Roman"/>
        </w:rPr>
        <w:t xml:space="preserve"> on public lands are rarely quick and easy processes. Given the number of stakeholders, </w:t>
      </w:r>
      <w:r w:rsidR="00940A09">
        <w:rPr>
          <w:rFonts w:eastAsia="Times New Roman"/>
        </w:rPr>
        <w:t>finding a palatable solution that satisfies all of the stakeholders is very difficult</w:t>
      </w:r>
      <w:r>
        <w:rPr>
          <w:rFonts w:eastAsia="Times New Roman"/>
        </w:rPr>
        <w:t xml:space="preserve">. </w:t>
      </w:r>
      <w:r w:rsidR="00940A09">
        <w:rPr>
          <w:rFonts w:eastAsia="Times New Roman"/>
        </w:rPr>
        <w:t xml:space="preserve">Social science concerns </w:t>
      </w:r>
      <w:r w:rsidR="00C27B2D">
        <w:rPr>
          <w:rFonts w:eastAsia="Times New Roman"/>
        </w:rPr>
        <w:t>must</w:t>
      </w:r>
      <w:r w:rsidR="00940A09">
        <w:rPr>
          <w:rFonts w:eastAsia="Times New Roman"/>
        </w:rPr>
        <w:t xml:space="preserve"> be addressed when managing public lands</w:t>
      </w:r>
      <w:r w:rsidR="00244BC0">
        <w:rPr>
          <w:rFonts w:eastAsia="Times New Roman"/>
        </w:rPr>
        <w:t xml:space="preserve">. </w:t>
      </w:r>
      <w:r>
        <w:rPr>
          <w:rFonts w:eastAsia="Times New Roman"/>
        </w:rPr>
        <w:t xml:space="preserve">However, managers of these areas </w:t>
      </w:r>
      <w:r w:rsidR="00940A09">
        <w:rPr>
          <w:rFonts w:eastAsia="Times New Roman"/>
        </w:rPr>
        <w:t>are trained to provide suitable solutions to meet the needs of their forest management plan and to maintain healthy and sustainable forests</w:t>
      </w:r>
      <w:r w:rsidR="009047BC">
        <w:rPr>
          <w:rFonts w:eastAsia="Times New Roman"/>
        </w:rPr>
        <w:t>.</w:t>
      </w:r>
      <w:r w:rsidR="00244BC0">
        <w:rPr>
          <w:rFonts w:eastAsia="Times New Roman"/>
        </w:rPr>
        <w:t xml:space="preserve"> One of the objectives of this study was to provide </w:t>
      </w:r>
      <w:r w:rsidR="00940A09">
        <w:rPr>
          <w:rFonts w:eastAsia="Times New Roman"/>
        </w:rPr>
        <w:t>additional guidance for these management decisions.</w:t>
      </w:r>
    </w:p>
    <w:p w14:paraId="50862553" w14:textId="4552B0F4" w:rsidR="00EC7057" w:rsidRDefault="00EC7057">
      <w:r>
        <w:br w:type="page"/>
      </w:r>
    </w:p>
    <w:p w14:paraId="105B53AA" w14:textId="3F09DDE7" w:rsidR="00EC7057" w:rsidRPr="00EC7057" w:rsidRDefault="00EC7057">
      <w:pPr>
        <w:spacing w:line="480" w:lineRule="auto"/>
        <w:rPr>
          <w:rFonts w:eastAsia="Times New Roman"/>
        </w:rPr>
      </w:pPr>
      <w:r>
        <w:rPr>
          <w:rFonts w:eastAsia="Times New Roman"/>
          <w:b/>
          <w:bCs/>
        </w:rPr>
        <w:lastRenderedPageBreak/>
        <w:t>References</w:t>
      </w:r>
    </w:p>
    <w:p w14:paraId="486B0667" w14:textId="4FE8496A" w:rsidR="005807B2" w:rsidRDefault="005807B2" w:rsidP="005807B2">
      <w:pPr>
        <w:spacing w:before="100" w:beforeAutospacing="1" w:after="100" w:afterAutospacing="1" w:line="240" w:lineRule="auto"/>
        <w:ind w:left="567" w:hanging="567"/>
        <w:rPr>
          <w:rFonts w:eastAsia="Times New Roman"/>
          <w:lang w:val="en-US"/>
        </w:rPr>
      </w:pPr>
      <w:r w:rsidRPr="005807B2">
        <w:rPr>
          <w:rFonts w:eastAsia="Times New Roman"/>
          <w:lang w:val="en-US"/>
        </w:rPr>
        <w:t xml:space="preserve">Beck, Donald E. “Yellow-Poplar.” USFS Southern Research Station. United States Forest Service, 1980. https://www.srs.fs.usda.gov/pubs/misc/ag_654/volume_2/liriodendron/tulipifera.htm. </w:t>
      </w:r>
    </w:p>
    <w:p w14:paraId="69C9AB62" w14:textId="303B0EF9" w:rsidR="00702090" w:rsidRDefault="00702090" w:rsidP="005807B2">
      <w:pPr>
        <w:spacing w:before="100" w:beforeAutospacing="1" w:after="100" w:afterAutospacing="1" w:line="240" w:lineRule="auto"/>
        <w:ind w:left="567" w:hanging="567"/>
        <w:rPr>
          <w:rFonts w:eastAsia="Times New Roman"/>
        </w:rPr>
      </w:pPr>
      <w:r w:rsidRPr="00702090">
        <w:rPr>
          <w:rFonts w:eastAsia="Times New Roman"/>
        </w:rPr>
        <w:t>Beck, Donald E</w:t>
      </w:r>
      <w:r>
        <w:rPr>
          <w:rFonts w:eastAsia="Times New Roman"/>
        </w:rPr>
        <w:t>, and</w:t>
      </w:r>
      <w:r w:rsidRPr="00702090">
        <w:rPr>
          <w:rFonts w:eastAsia="Times New Roman"/>
        </w:rPr>
        <w:t xml:space="preserve"> Lino Della-Bianca, </w:t>
      </w:r>
      <w:r>
        <w:rPr>
          <w:rFonts w:eastAsia="Times New Roman"/>
        </w:rPr>
        <w:t>“</w:t>
      </w:r>
      <w:r w:rsidRPr="00702090">
        <w:rPr>
          <w:rFonts w:eastAsia="Times New Roman"/>
        </w:rPr>
        <w:t>Yellow-Poplar: Characteristics and Management</w:t>
      </w:r>
      <w:r>
        <w:rPr>
          <w:rFonts w:eastAsia="Times New Roman"/>
        </w:rPr>
        <w:t>”</w:t>
      </w:r>
      <w:r w:rsidRPr="00702090">
        <w:rPr>
          <w:rFonts w:eastAsia="Times New Roman"/>
        </w:rPr>
        <w:t>. Agriculture Handbook Number 583. 92p.</w:t>
      </w:r>
      <w:r>
        <w:rPr>
          <w:rFonts w:eastAsia="Times New Roman"/>
        </w:rPr>
        <w:t xml:space="preserve"> 1981.</w:t>
      </w:r>
    </w:p>
    <w:p w14:paraId="3A77D3DA" w14:textId="5EB324E6" w:rsidR="00387C70" w:rsidRDefault="00387C70" w:rsidP="00387C70">
      <w:pPr>
        <w:spacing w:before="100" w:beforeAutospacing="1" w:after="100" w:afterAutospacing="1" w:line="240" w:lineRule="auto"/>
        <w:ind w:left="567" w:hanging="567"/>
        <w:rPr>
          <w:rFonts w:eastAsia="Times New Roman"/>
          <w:lang w:val="en-US"/>
        </w:rPr>
      </w:pPr>
      <w:r w:rsidRPr="00387C70">
        <w:rPr>
          <w:rFonts w:eastAsia="Times New Roman"/>
          <w:lang w:val="en-US"/>
        </w:rPr>
        <w:t>Clatterbuck, W</w:t>
      </w:r>
      <w:r w:rsidR="008E5664">
        <w:rPr>
          <w:rFonts w:eastAsia="Times New Roman"/>
          <w:lang w:val="en-US"/>
        </w:rPr>
        <w:t>.</w:t>
      </w:r>
      <w:r w:rsidRPr="00387C70">
        <w:rPr>
          <w:rFonts w:eastAsia="Times New Roman"/>
          <w:lang w:val="en-US"/>
        </w:rPr>
        <w:t xml:space="preserve"> K</w:t>
      </w:r>
      <w:r w:rsidR="008E5664">
        <w:rPr>
          <w:rFonts w:eastAsia="Times New Roman"/>
          <w:lang w:val="en-US"/>
        </w:rPr>
        <w:t>.</w:t>
      </w:r>
      <w:r w:rsidRPr="00387C70">
        <w:rPr>
          <w:rFonts w:eastAsia="Times New Roman"/>
          <w:lang w:val="en-US"/>
        </w:rPr>
        <w:t>, and J</w:t>
      </w:r>
      <w:r w:rsidR="008E5664">
        <w:rPr>
          <w:rFonts w:eastAsia="Times New Roman"/>
          <w:lang w:val="en-US"/>
        </w:rPr>
        <w:t>.</w:t>
      </w:r>
      <w:r w:rsidRPr="00387C70">
        <w:rPr>
          <w:rFonts w:eastAsia="Times New Roman"/>
          <w:lang w:val="en-US"/>
        </w:rPr>
        <w:t xml:space="preserve"> S</w:t>
      </w:r>
      <w:r w:rsidR="008E5664">
        <w:rPr>
          <w:rFonts w:eastAsia="Times New Roman"/>
          <w:lang w:val="en-US"/>
        </w:rPr>
        <w:t>.</w:t>
      </w:r>
      <w:r w:rsidRPr="00387C70">
        <w:rPr>
          <w:rFonts w:eastAsia="Times New Roman"/>
          <w:lang w:val="en-US"/>
        </w:rPr>
        <w:t xml:space="preserve"> Meadows. “Regenerating Oaks in the Bottomlands.” In </w:t>
      </w:r>
      <w:r w:rsidRPr="00387C70">
        <w:rPr>
          <w:rFonts w:eastAsia="Times New Roman"/>
          <w:i/>
          <w:iCs/>
          <w:lang w:val="en-US"/>
        </w:rPr>
        <w:t>Oak Regeneration: Serious Problems Practical Recommendations</w:t>
      </w:r>
      <w:r w:rsidRPr="00387C70">
        <w:rPr>
          <w:rFonts w:eastAsia="Times New Roman"/>
          <w:lang w:val="en-US"/>
        </w:rPr>
        <w:t xml:space="preserve">, 184–95. Asheville, NC: USFS Southern Research Station, 1993. </w:t>
      </w:r>
    </w:p>
    <w:p w14:paraId="52CD5B1C" w14:textId="0B61AEF5" w:rsidR="00D95784" w:rsidRDefault="00D95784" w:rsidP="00D95784">
      <w:pPr>
        <w:pStyle w:val="NormalWeb"/>
        <w:ind w:left="567" w:hanging="567"/>
      </w:pPr>
      <w:r>
        <w:t>Eyre, F</w:t>
      </w:r>
      <w:r w:rsidR="008E5664">
        <w:t>.</w:t>
      </w:r>
      <w:r>
        <w:t xml:space="preserve"> H</w:t>
      </w:r>
      <w:r w:rsidR="008E5664">
        <w:t>.</w:t>
      </w:r>
      <w:r>
        <w:t xml:space="preserve">, ed. </w:t>
      </w:r>
      <w:r>
        <w:rPr>
          <w:i/>
          <w:iCs/>
        </w:rPr>
        <w:t>Forest Cover Types of the United States and Canada</w:t>
      </w:r>
      <w:r>
        <w:t xml:space="preserve">. Washington, D.C.: Society of American Foresters, 1980. </w:t>
      </w:r>
    </w:p>
    <w:p w14:paraId="3D81AF77" w14:textId="7BBAAEF9" w:rsidR="00346446" w:rsidRPr="00346446" w:rsidRDefault="00346446" w:rsidP="00346446">
      <w:pPr>
        <w:spacing w:before="100" w:beforeAutospacing="1" w:after="100" w:afterAutospacing="1" w:line="240" w:lineRule="auto"/>
        <w:ind w:left="567" w:hanging="567"/>
        <w:rPr>
          <w:rFonts w:eastAsia="Times New Roman"/>
          <w:lang w:val="en-US"/>
        </w:rPr>
      </w:pPr>
      <w:r w:rsidRPr="00346446">
        <w:rPr>
          <w:rFonts w:eastAsia="Times New Roman"/>
          <w:lang w:val="en-US"/>
        </w:rPr>
        <w:t xml:space="preserve">Fox, Thomas R., Carola A. Haas, David W. Smith, David L. Loftis, Shepard M. Zedaker, Robert H. Jones, and A.L. Hammett. “Alternative Silvicultural Practices in Appalachian Forest Ecosystems: Implications for Species Diversity, Ecosystem Resilience, and Commercial Timber Production.” U.S. Forest Service. USDA, 2007. https://www.srs.fs.usda.gov/pubs/29226. </w:t>
      </w:r>
    </w:p>
    <w:p w14:paraId="44B2E368" w14:textId="45A053F2" w:rsidR="0034102C" w:rsidRDefault="0034102C" w:rsidP="00D95784">
      <w:pPr>
        <w:pStyle w:val="NormalWeb"/>
        <w:ind w:left="567" w:hanging="567"/>
        <w:rPr>
          <w:lang w:val="en"/>
        </w:rPr>
      </w:pPr>
      <w:r w:rsidRPr="0034102C">
        <w:rPr>
          <w:lang w:val="en"/>
        </w:rPr>
        <w:t xml:space="preserve">Fralish, James S. </w:t>
      </w:r>
      <w:r w:rsidR="00594253">
        <w:rPr>
          <w:lang w:val="en"/>
        </w:rPr>
        <w:t>“</w:t>
      </w:r>
      <w:r w:rsidRPr="00594253">
        <w:rPr>
          <w:lang w:val="en"/>
        </w:rPr>
        <w:t>The Central Hardwood Forest: Its Boundaries and Physiographic Provinces</w:t>
      </w:r>
      <w:r w:rsidR="00594253">
        <w:rPr>
          <w:lang w:val="en"/>
        </w:rPr>
        <w:t>”</w:t>
      </w:r>
      <w:r w:rsidRPr="0034102C">
        <w:rPr>
          <w:lang w:val="en"/>
        </w:rPr>
        <w:t>. General Technical Report NC-234. St. Paul, MN: U.S. Dept. of Agriculture, Forest Service, North Central Research Station</w:t>
      </w:r>
      <w:r>
        <w:rPr>
          <w:lang w:val="en"/>
        </w:rPr>
        <w:t>, 2003.</w:t>
      </w:r>
    </w:p>
    <w:p w14:paraId="1EE9917F" w14:textId="1AF893EC" w:rsidR="003C141D" w:rsidRDefault="003C141D" w:rsidP="009B07D1">
      <w:pPr>
        <w:spacing w:before="100" w:beforeAutospacing="1" w:after="100" w:afterAutospacing="1" w:line="240" w:lineRule="auto"/>
        <w:ind w:left="567" w:hanging="567"/>
        <w:rPr>
          <w:rFonts w:eastAsia="Times New Roman"/>
          <w:lang w:val="en-US"/>
        </w:rPr>
      </w:pPr>
      <w:r w:rsidRPr="003C141D">
        <w:rPr>
          <w:rFonts w:eastAsia="Times New Roman"/>
        </w:rPr>
        <w:t>JMP</w:t>
      </w:r>
      <w:r w:rsidRPr="003C141D">
        <w:rPr>
          <w:rFonts w:eastAsia="Times New Roman"/>
          <w:vertAlign w:val="superscript"/>
        </w:rPr>
        <w:t>®</w:t>
      </w:r>
      <w:r w:rsidRPr="003C141D">
        <w:rPr>
          <w:rFonts w:eastAsia="Times New Roman"/>
        </w:rPr>
        <w:t>, Version </w:t>
      </w:r>
      <w:r>
        <w:rPr>
          <w:rFonts w:eastAsia="Times New Roman"/>
          <w:i/>
          <w:iCs/>
        </w:rPr>
        <w:t>15</w:t>
      </w:r>
      <w:r w:rsidRPr="003C141D">
        <w:rPr>
          <w:rFonts w:eastAsia="Times New Roman"/>
        </w:rPr>
        <w:t>. SAS Institute Inc., Cary, NC, 1989-2019</w:t>
      </w:r>
    </w:p>
    <w:p w14:paraId="0E40B977" w14:textId="24F9BFDD" w:rsidR="008601F4" w:rsidRPr="00713A53" w:rsidRDefault="008601F4" w:rsidP="008601F4">
      <w:pPr>
        <w:spacing w:before="100" w:beforeAutospacing="1" w:after="100" w:afterAutospacing="1" w:line="240" w:lineRule="auto"/>
        <w:ind w:left="567" w:hanging="567"/>
        <w:rPr>
          <w:rFonts w:eastAsia="Times New Roman"/>
          <w:lang w:val="en-US"/>
        </w:rPr>
      </w:pPr>
      <w:r w:rsidRPr="008601F4">
        <w:rPr>
          <w:rFonts w:eastAsia="Times New Roman"/>
          <w:lang w:val="en-US"/>
        </w:rPr>
        <w:t xml:space="preserve">Johnson, Paul S., Stephen R. Shifley, and Robert Rogers. </w:t>
      </w:r>
      <w:r w:rsidRPr="008601F4">
        <w:rPr>
          <w:rFonts w:eastAsia="Times New Roman"/>
          <w:i/>
          <w:iCs/>
          <w:lang w:val="en-US"/>
        </w:rPr>
        <w:t>The Ecology and Silviculture of Oaks</w:t>
      </w:r>
      <w:r w:rsidRPr="008601F4">
        <w:rPr>
          <w:rFonts w:eastAsia="Times New Roman"/>
          <w:lang w:val="en-US"/>
        </w:rPr>
        <w:t xml:space="preserve">. Wallingford: CABI, 2002. </w:t>
      </w:r>
    </w:p>
    <w:p w14:paraId="4C90586F" w14:textId="6D4883C0" w:rsidR="00CE360F" w:rsidRDefault="00CE360F" w:rsidP="00CE360F">
      <w:pPr>
        <w:spacing w:before="100" w:beforeAutospacing="1" w:after="100" w:afterAutospacing="1" w:line="240" w:lineRule="auto"/>
        <w:ind w:left="567" w:hanging="567"/>
        <w:rPr>
          <w:rFonts w:eastAsia="Times New Roman"/>
          <w:lang w:val="en-US"/>
        </w:rPr>
      </w:pPr>
      <w:r w:rsidRPr="00CE360F">
        <w:rPr>
          <w:rFonts w:eastAsia="Times New Roman"/>
          <w:lang w:val="en-US"/>
        </w:rPr>
        <w:t xml:space="preserve">Johnson, Robert L., and R. M. Krinard. “Hardwood Regeneration After Seed Tree Cutting.” U.S. Forest Service. USDA, January 1, 1976. https://www.fs.usda.gov/treesearch/pubs/43018. </w:t>
      </w:r>
    </w:p>
    <w:p w14:paraId="11F342E1" w14:textId="43754297" w:rsidR="00DE0529" w:rsidRPr="00CE360F" w:rsidRDefault="00DE0529" w:rsidP="00DE0529">
      <w:pPr>
        <w:spacing w:before="100" w:beforeAutospacing="1" w:after="100" w:afterAutospacing="1" w:line="240" w:lineRule="auto"/>
        <w:ind w:left="567" w:hanging="567"/>
        <w:rPr>
          <w:rFonts w:eastAsia="Times New Roman"/>
          <w:lang w:val="en-US"/>
        </w:rPr>
      </w:pPr>
      <w:r w:rsidRPr="00DE0529">
        <w:rPr>
          <w:rFonts w:eastAsia="Times New Roman"/>
          <w:lang w:val="en-US"/>
        </w:rPr>
        <w:t xml:space="preserve">Kakoyannis, Christina, Bruce Shindler, and George Stankey. “Understanding the Social Acceptability of Natural Resource Decisionmaking Processes by Using a Knowledge Base Modeling Approach.” U.S. Forest Service. USDA, October 2001. https://www.fs.usda.gov/treesearch/pubs/2883. </w:t>
      </w:r>
    </w:p>
    <w:p w14:paraId="4FFF70D0" w14:textId="4C9BC101" w:rsidR="00EE7A37" w:rsidRDefault="00EE7A37" w:rsidP="00EE7A37">
      <w:pPr>
        <w:spacing w:before="100" w:beforeAutospacing="1" w:after="100" w:afterAutospacing="1" w:line="240" w:lineRule="auto"/>
        <w:ind w:left="567" w:hanging="567"/>
        <w:rPr>
          <w:rFonts w:eastAsia="Times New Roman"/>
          <w:lang w:val="en-US"/>
        </w:rPr>
      </w:pPr>
      <w:r w:rsidRPr="00EE7A37">
        <w:rPr>
          <w:rFonts w:eastAsia="Times New Roman"/>
          <w:lang w:val="en-US"/>
        </w:rPr>
        <w:t xml:space="preserve">Keyser, Patrick D., Todd Fearer, and Craig A. Harper. </w:t>
      </w:r>
      <w:r w:rsidRPr="00EE7A37">
        <w:rPr>
          <w:rFonts w:eastAsia="Times New Roman"/>
          <w:i/>
          <w:iCs/>
          <w:lang w:val="en-US"/>
        </w:rPr>
        <w:t>Managing Oak Forests in the Eastern United States</w:t>
      </w:r>
      <w:r w:rsidRPr="00EE7A37">
        <w:rPr>
          <w:rFonts w:eastAsia="Times New Roman"/>
          <w:lang w:val="en-US"/>
        </w:rPr>
        <w:t xml:space="preserve">. Boca Raton, FL: CRC Press, 2016. </w:t>
      </w:r>
    </w:p>
    <w:p w14:paraId="0E48154D" w14:textId="5014DFE9" w:rsidR="00CB56FC" w:rsidRPr="00EE7A37" w:rsidRDefault="00CB56FC" w:rsidP="00CB56FC">
      <w:pPr>
        <w:pStyle w:val="NormalWeb"/>
        <w:ind w:left="567" w:hanging="567"/>
      </w:pPr>
      <w:r>
        <w:t xml:space="preserve">LeDoux, Chris B. “An Integrated Approach for Determining the Size of Hardwood Group-Selection Openings.” </w:t>
      </w:r>
      <w:r>
        <w:rPr>
          <w:i/>
          <w:iCs/>
        </w:rPr>
        <w:t>Forest Products Journal</w:t>
      </w:r>
      <w:r>
        <w:t xml:space="preserve"> 49, no. 3 (March 1999): 34–37. </w:t>
      </w:r>
    </w:p>
    <w:p w14:paraId="61B27BCB" w14:textId="6A9397B5" w:rsidR="00D95784" w:rsidRDefault="00D95784" w:rsidP="00D95784">
      <w:pPr>
        <w:pStyle w:val="NormalWeb"/>
        <w:ind w:left="567" w:hanging="567"/>
      </w:pPr>
      <w:r>
        <w:lastRenderedPageBreak/>
        <w:t xml:space="preserve">McGee, Charles E. “The Regeneration Clearcut: Good, Bad, or Just Ugly?” </w:t>
      </w:r>
      <w:r>
        <w:rPr>
          <w:i/>
          <w:iCs/>
        </w:rPr>
        <w:t>Forest Farmer</w:t>
      </w:r>
      <w:r>
        <w:t xml:space="preserve"> 52, no. 1 (October 1992): 6–9. </w:t>
      </w:r>
    </w:p>
    <w:p w14:paraId="3B2FDC3C" w14:textId="6D06A396" w:rsidR="00DB438B" w:rsidRDefault="00DB438B" w:rsidP="00DB438B">
      <w:pPr>
        <w:pStyle w:val="NormalWeb"/>
        <w:ind w:left="567" w:hanging="567"/>
      </w:pPr>
      <w:r>
        <w:t>McNab, W</w:t>
      </w:r>
      <w:r w:rsidR="008E5664">
        <w:t>.</w:t>
      </w:r>
      <w:r>
        <w:t xml:space="preserve"> Henry, and Theodore M</w:t>
      </w:r>
      <w:r w:rsidR="008E5664">
        <w:t>.</w:t>
      </w:r>
      <w:r>
        <w:t xml:space="preserve"> Oprean. “Composition and Structure of Reproduction in Group Selection Openings after 20 Years in a Southern Appalachian Mixed-Hardwood Forest.” </w:t>
      </w:r>
      <w:r>
        <w:rPr>
          <w:i/>
          <w:iCs/>
        </w:rPr>
        <w:t>Forest Science</w:t>
      </w:r>
      <w:r>
        <w:t xml:space="preserve">, February 22, 2021. https://doi.org/10.1093/forsci/fxab001. </w:t>
      </w:r>
    </w:p>
    <w:p w14:paraId="57B63E03" w14:textId="020B8A91" w:rsidR="00053EB8" w:rsidRDefault="00053EB8" w:rsidP="00053EB8">
      <w:pPr>
        <w:pStyle w:val="NormalWeb"/>
        <w:ind w:left="567" w:hanging="567"/>
      </w:pPr>
      <w:r>
        <w:t xml:space="preserve">McPherson, Alan. </w:t>
      </w:r>
      <w:r>
        <w:rPr>
          <w:i/>
          <w:iCs/>
        </w:rPr>
        <w:t>State Botanical Symbols</w:t>
      </w:r>
      <w:r>
        <w:t xml:space="preserve">. Bloomington, IN: AuthorHouse, 2013. </w:t>
      </w:r>
    </w:p>
    <w:p w14:paraId="0FCF83DE" w14:textId="489B013D" w:rsidR="004C2524" w:rsidRDefault="004C2524" w:rsidP="004C2524">
      <w:pPr>
        <w:pStyle w:val="NormalWeb"/>
        <w:ind w:left="567" w:hanging="567"/>
      </w:pPr>
      <w:r>
        <w:t xml:space="preserve">Meadows, James S., and John A. Stanturf. “Silvicultural Systems for Southern Bottomland Hardwood Forests.” </w:t>
      </w:r>
      <w:r>
        <w:rPr>
          <w:i/>
          <w:iCs/>
        </w:rPr>
        <w:t>Forest Ecology and Management</w:t>
      </w:r>
      <w:r>
        <w:t xml:space="preserve"> 90, no. 2-3 (1997): 127–40. https://doi.org/10.1016/s0378-1127(96)03898-4. </w:t>
      </w:r>
    </w:p>
    <w:p w14:paraId="69447E35" w14:textId="568AF32B" w:rsidR="005807B2" w:rsidRDefault="005807B2" w:rsidP="005807B2">
      <w:pPr>
        <w:pStyle w:val="NormalWeb"/>
        <w:ind w:left="567" w:hanging="567"/>
      </w:pPr>
      <w:r>
        <w:t xml:space="preserve">Nyland, Ralph D. </w:t>
      </w:r>
      <w:r>
        <w:rPr>
          <w:i/>
          <w:iCs/>
        </w:rPr>
        <w:t>Silviculture: Concepts and Applications</w:t>
      </w:r>
      <w:r>
        <w:t xml:space="preserve">. 2nd ed. Long Grove, IL: Waveland Press, 2007. </w:t>
      </w:r>
    </w:p>
    <w:p w14:paraId="2B9FADE3" w14:textId="5615A82F" w:rsidR="00B44984" w:rsidRPr="00B44984" w:rsidRDefault="00B44984" w:rsidP="00B44984">
      <w:pPr>
        <w:spacing w:before="100" w:beforeAutospacing="1" w:after="100" w:afterAutospacing="1" w:line="240" w:lineRule="auto"/>
        <w:ind w:left="567" w:hanging="567"/>
        <w:rPr>
          <w:rFonts w:eastAsia="Times New Roman"/>
          <w:lang w:val="en-US"/>
        </w:rPr>
      </w:pPr>
      <w:r w:rsidRPr="00B44984">
        <w:rPr>
          <w:rFonts w:eastAsia="Times New Roman"/>
          <w:lang w:val="en-US"/>
        </w:rPr>
        <w:t xml:space="preserve">Oswalt, Christopher M, Sonja N Oswalt, Tony G Johnson, Consuelo Brandeis, KaDonna C Randolph, and Christopher R King. “Tennessee's Forests, 2009.” U.S. Forest Service. USDA, 2012. https://doi.org/10.2737/SRS-RB-189. </w:t>
      </w:r>
    </w:p>
    <w:p w14:paraId="3C879446" w14:textId="115380A7" w:rsidR="000E7E77" w:rsidRDefault="000E7E77" w:rsidP="000E7E77">
      <w:pPr>
        <w:pStyle w:val="NormalWeb"/>
        <w:ind w:left="567" w:hanging="567"/>
      </w:pPr>
      <w:r>
        <w:t>Patric, James H, and Kerry F</w:t>
      </w:r>
      <w:r w:rsidR="008E5664">
        <w:t>.</w:t>
      </w:r>
      <w:r>
        <w:t xml:space="preserve"> Schell. </w:t>
      </w:r>
      <w:r>
        <w:rPr>
          <w:i/>
          <w:iCs/>
        </w:rPr>
        <w:t>Why Does the Clearcutting Controversy Persist</w:t>
      </w:r>
      <w:r>
        <w:t xml:space="preserve">. Washington, D.C.: American Pulpwood Association Inc., 1990. </w:t>
      </w:r>
    </w:p>
    <w:p w14:paraId="267CB399" w14:textId="5A69C890" w:rsidR="00EA0905" w:rsidRPr="00EA0905" w:rsidRDefault="00EA0905" w:rsidP="00EA0905">
      <w:pPr>
        <w:spacing w:before="100" w:beforeAutospacing="1" w:after="100" w:afterAutospacing="1" w:line="240" w:lineRule="auto"/>
        <w:ind w:left="567" w:hanging="567"/>
        <w:rPr>
          <w:rFonts w:eastAsia="Times New Roman"/>
          <w:lang w:val="en-US"/>
        </w:rPr>
      </w:pPr>
      <w:r w:rsidRPr="00EA0905">
        <w:rPr>
          <w:rFonts w:eastAsia="Times New Roman"/>
          <w:lang w:val="en-US"/>
        </w:rPr>
        <w:t xml:space="preserve">Poudyal, Neelam C., Gary T. Green, Donald G. Hodges, and J. M. Bowker. “Modeling the Impact of Changes in Land Use and Socio-Cultural Patterns from Urbanization on Recreational Fishing.” Essay. In </w:t>
      </w:r>
      <w:r w:rsidRPr="00EA0905">
        <w:rPr>
          <w:rFonts w:eastAsia="Times New Roman"/>
          <w:i/>
          <w:iCs/>
          <w:lang w:val="en-US"/>
        </w:rPr>
        <w:t>Urbanization and the Global Environment</w:t>
      </w:r>
      <w:r w:rsidRPr="00EA0905">
        <w:rPr>
          <w:rFonts w:eastAsia="Times New Roman"/>
          <w:lang w:val="en-US"/>
        </w:rPr>
        <w:t xml:space="preserve">, 163–80. Hauppauge, NY: Nova Science, 2012. </w:t>
      </w:r>
    </w:p>
    <w:p w14:paraId="6DBEAF73" w14:textId="3F54D79C" w:rsidR="00DA0E13" w:rsidRDefault="00DA0E13" w:rsidP="00DA0E13">
      <w:pPr>
        <w:spacing w:before="100" w:beforeAutospacing="1" w:after="100" w:afterAutospacing="1" w:line="240" w:lineRule="auto"/>
        <w:ind w:left="567" w:hanging="567"/>
        <w:rPr>
          <w:rFonts w:eastAsia="Times New Roman"/>
          <w:lang w:val="en-US"/>
        </w:rPr>
      </w:pPr>
      <w:r w:rsidRPr="00DA0E13">
        <w:rPr>
          <w:rFonts w:eastAsia="Times New Roman"/>
          <w:lang w:val="en-US"/>
        </w:rPr>
        <w:t xml:space="preserve">Schweitzer, Callie Jo, Greg Janzen, and Dan Dey. “Regenerating Oak Stands the ‘Natural’ Way.” Essay. In </w:t>
      </w:r>
      <w:r w:rsidRPr="00DA0E13">
        <w:rPr>
          <w:rFonts w:eastAsia="Times New Roman"/>
          <w:i/>
          <w:iCs/>
          <w:lang w:val="en-US"/>
        </w:rPr>
        <w:t>Managing Oak Forests in the Eastern United States</w:t>
      </w:r>
      <w:r w:rsidRPr="00DA0E13">
        <w:rPr>
          <w:rFonts w:eastAsia="Times New Roman"/>
          <w:lang w:val="en-US"/>
        </w:rPr>
        <w:t xml:space="preserve">, 75–84. Boca Raton, FL: CRC Press, 2016. </w:t>
      </w:r>
    </w:p>
    <w:p w14:paraId="34E05344" w14:textId="6895FF02" w:rsidR="004D440A" w:rsidRDefault="004D440A" w:rsidP="004D440A">
      <w:pPr>
        <w:pStyle w:val="NormalWeb"/>
        <w:ind w:left="567" w:hanging="567"/>
      </w:pPr>
      <w:r>
        <w:t xml:space="preserve">Society of American Foresters. “Clearcutting as a Silvicultural Practice.”  April 2019. https://www.eforester.org/Main/Issues_and_Advocacy/Statements/Clearcutting.aspx. </w:t>
      </w:r>
    </w:p>
    <w:p w14:paraId="2E3151F2" w14:textId="13BA3B7B" w:rsidR="004D440A" w:rsidRDefault="004D440A" w:rsidP="004D440A">
      <w:pPr>
        <w:pStyle w:val="NormalWeb"/>
        <w:ind w:left="567" w:hanging="567"/>
      </w:pPr>
      <w:r>
        <w:t>Tennessee Division of Forestry, TN Department of Agriculture. “Natchez Trace State Forest.”</w:t>
      </w:r>
      <w:r w:rsidR="006E534D">
        <w:t xml:space="preserve"> </w:t>
      </w:r>
      <w:r>
        <w:t xml:space="preserve"> January 14, 2021. https://www.tn.gov/agriculture/forests/state-forests/natchez-trace.html. </w:t>
      </w:r>
    </w:p>
    <w:p w14:paraId="70566649" w14:textId="7118630B" w:rsidR="007337A9" w:rsidRDefault="007337A9" w:rsidP="007337A9">
      <w:pPr>
        <w:spacing w:before="100" w:beforeAutospacing="1" w:after="100" w:afterAutospacing="1" w:line="240" w:lineRule="auto"/>
        <w:ind w:left="567" w:hanging="567"/>
        <w:rPr>
          <w:rFonts w:eastAsia="Times New Roman"/>
          <w:lang w:val="en-US"/>
        </w:rPr>
      </w:pPr>
      <w:r w:rsidRPr="002122EA">
        <w:rPr>
          <w:rFonts w:eastAsia="Times New Roman"/>
          <w:lang w:val="en-US"/>
        </w:rPr>
        <w:t>Tennessee Division of Forestry</w:t>
      </w:r>
      <w:r>
        <w:rPr>
          <w:rFonts w:eastAsia="Times New Roman"/>
          <w:lang w:val="en-US"/>
        </w:rPr>
        <w:t>,</w:t>
      </w:r>
      <w:r w:rsidRPr="002122EA">
        <w:rPr>
          <w:rFonts w:eastAsia="Times New Roman"/>
          <w:lang w:val="en-US"/>
        </w:rPr>
        <w:t xml:space="preserve"> Tennessee Department of Agriculture</w:t>
      </w:r>
      <w:r>
        <w:rPr>
          <w:rFonts w:eastAsia="Times New Roman"/>
          <w:lang w:val="en-US"/>
        </w:rPr>
        <w:t xml:space="preserve">. </w:t>
      </w:r>
      <w:r w:rsidRPr="002122EA">
        <w:rPr>
          <w:rFonts w:eastAsia="Times New Roman"/>
          <w:lang w:val="en-US"/>
        </w:rPr>
        <w:t>“Plan 2020: Harvest Plan for Sustainable State Forests.” November 2011. https://www.tn.gov/content/dam/tn/agriculture/documents/forestry/AgForSF2020_Plan.pdf</w:t>
      </w:r>
    </w:p>
    <w:p w14:paraId="597DF369" w14:textId="4F9C9F5F" w:rsidR="007337A9" w:rsidRPr="008E5664" w:rsidRDefault="007337A9" w:rsidP="007337A9">
      <w:pPr>
        <w:spacing w:before="100" w:beforeAutospacing="1" w:after="100" w:afterAutospacing="1" w:line="240" w:lineRule="auto"/>
        <w:ind w:left="567" w:hanging="567"/>
        <w:rPr>
          <w:rFonts w:eastAsia="Times New Roman"/>
          <w:lang w:val="en-US"/>
        </w:rPr>
      </w:pPr>
      <w:r w:rsidRPr="009B07D1">
        <w:rPr>
          <w:rFonts w:eastAsia="Times New Roman"/>
          <w:lang w:val="en-US"/>
        </w:rPr>
        <w:t>Tennessee Department of Agriculture</w:t>
      </w:r>
      <w:r>
        <w:rPr>
          <w:rFonts w:eastAsia="Times New Roman"/>
          <w:lang w:val="en-US"/>
        </w:rPr>
        <w:t>,</w:t>
      </w:r>
      <w:r w:rsidRPr="009B07D1">
        <w:rPr>
          <w:rFonts w:eastAsia="Times New Roman"/>
          <w:lang w:val="en-US"/>
        </w:rPr>
        <w:t xml:space="preserve"> Tennessee Division of Forestry</w:t>
      </w:r>
      <w:r>
        <w:rPr>
          <w:rFonts w:eastAsia="Times New Roman"/>
          <w:lang w:val="en-US"/>
        </w:rPr>
        <w:t>.</w:t>
      </w:r>
      <w:r w:rsidRPr="009B07D1">
        <w:rPr>
          <w:rFonts w:eastAsia="Times New Roman"/>
          <w:lang w:val="en-US"/>
        </w:rPr>
        <w:t xml:space="preserve"> “Guide to Forestry Best Management Practices in Tennessee.”</w:t>
      </w:r>
      <w:r>
        <w:rPr>
          <w:rFonts w:eastAsia="Times New Roman"/>
          <w:lang w:val="en-US"/>
        </w:rPr>
        <w:t xml:space="preserve"> </w:t>
      </w:r>
      <w:r w:rsidRPr="009B07D1">
        <w:rPr>
          <w:rFonts w:eastAsia="Times New Roman"/>
          <w:lang w:val="en-US"/>
        </w:rPr>
        <w:t xml:space="preserve">2003. https://www.tn.gov/content/dam/tn/agriculture/documents/forestry/AgForBMPs.pdf. </w:t>
      </w:r>
    </w:p>
    <w:p w14:paraId="0CADBBCA" w14:textId="1D5512C7" w:rsidR="00CE360F" w:rsidRDefault="00CE360F" w:rsidP="00CE360F">
      <w:pPr>
        <w:spacing w:before="100" w:beforeAutospacing="1" w:after="100" w:afterAutospacing="1" w:line="240" w:lineRule="auto"/>
        <w:ind w:left="567" w:hanging="567"/>
        <w:rPr>
          <w:rFonts w:eastAsia="Times New Roman"/>
          <w:lang w:val="en-US"/>
        </w:rPr>
      </w:pPr>
      <w:r w:rsidRPr="00CE360F">
        <w:rPr>
          <w:rFonts w:eastAsia="Times New Roman"/>
          <w:lang w:val="en-US"/>
        </w:rPr>
        <w:lastRenderedPageBreak/>
        <w:t xml:space="preserve">Yamasaki, Mariko, Christine A Costello, and William B Leak. “Effects of Clearcutting, Patch Cutting, and Low-Density Shelterwoods on Breeding Birds and Tree Regeneration in New Hampshire Northern Hardwoods.” U.S. Forest Service. USDA, August 2014. https://www.fs.fed.us/nrs/pubs/rp/rp_nrs26.pdf. </w:t>
      </w:r>
    </w:p>
    <w:p w14:paraId="1421264B" w14:textId="77777777" w:rsidR="0089551A" w:rsidRPr="0089551A" w:rsidRDefault="0089551A" w:rsidP="0089551A">
      <w:pPr>
        <w:spacing w:before="100" w:beforeAutospacing="1" w:after="100" w:afterAutospacing="1" w:line="240" w:lineRule="auto"/>
        <w:ind w:left="567" w:hanging="567"/>
        <w:rPr>
          <w:rFonts w:eastAsia="Times New Roman"/>
          <w:lang w:val="en-US"/>
        </w:rPr>
      </w:pPr>
      <w:r w:rsidRPr="0089551A">
        <w:rPr>
          <w:rFonts w:eastAsia="Times New Roman"/>
          <w:lang w:val="en-US"/>
        </w:rPr>
        <w:t xml:space="preserve">Youn, So-Jung, William W. Taylor, Jim Martin, and John Robertson. “Interactions Between Politics and Natural Resource Organizations.” American Fisheries Society, September 18, 2017. https://fisheries.org/2017/09/interactions-between-politics-and-natural-resource-organizations/. </w:t>
      </w:r>
    </w:p>
    <w:p w14:paraId="62DDC650" w14:textId="2CF9E56F" w:rsidR="00DE65F6" w:rsidRPr="00A07701" w:rsidRDefault="00DE65F6" w:rsidP="00A07701">
      <w:pPr>
        <w:rPr>
          <w:rFonts w:eastAsia="Times New Roman"/>
          <w:b/>
        </w:rPr>
      </w:pPr>
    </w:p>
    <w:p w14:paraId="76F53473" w14:textId="37EA1BDC" w:rsidR="00DB5627" w:rsidRDefault="000B7229">
      <w:pPr>
        <w:rPr>
          <w:rFonts w:eastAsia="Times New Roman"/>
          <w:b/>
        </w:rPr>
      </w:pPr>
      <w:r>
        <w:rPr>
          <w:rFonts w:eastAsia="Times New Roman"/>
          <w:b/>
        </w:rPr>
        <w:br w:type="page"/>
      </w:r>
    </w:p>
    <w:p w14:paraId="46F4E4E7" w14:textId="47B0D88B" w:rsidR="00240D1A" w:rsidRDefault="00240D1A" w:rsidP="00240D1A">
      <w:pPr>
        <w:spacing w:line="480" w:lineRule="auto"/>
        <w:rPr>
          <w:rFonts w:eastAsia="Times New Roman"/>
          <w:b/>
        </w:rPr>
      </w:pPr>
      <w:r>
        <w:rPr>
          <w:rFonts w:eastAsia="Times New Roman"/>
          <w:b/>
        </w:rPr>
        <w:lastRenderedPageBreak/>
        <w:t>Appendix</w:t>
      </w:r>
    </w:p>
    <w:p w14:paraId="66703492" w14:textId="5DC67F09" w:rsidR="00681604" w:rsidRPr="00681604" w:rsidRDefault="00681604" w:rsidP="00240D1A">
      <w:pPr>
        <w:spacing w:line="480" w:lineRule="auto"/>
        <w:rPr>
          <w:rFonts w:eastAsia="Times New Roman"/>
          <w:bCs/>
        </w:rPr>
      </w:pPr>
      <w:r>
        <w:rPr>
          <w:rFonts w:eastAsia="Times New Roman"/>
          <w:bCs/>
        </w:rPr>
        <w:t>The following pages are the maps that were provided by TDF and used to determine sampling locations. For the maps showing patch cuts, the patches numbered in red are the patches that were sampled for this study.</w:t>
      </w:r>
    </w:p>
    <w:p w14:paraId="49791A88" w14:textId="77777777" w:rsidR="00273378" w:rsidRDefault="00240D1A" w:rsidP="00273378">
      <w:pPr>
        <w:keepNext/>
        <w:spacing w:line="480" w:lineRule="auto"/>
        <w:jc w:val="center"/>
      </w:pPr>
      <w:r>
        <w:rPr>
          <w:rFonts w:eastAsia="Times New Roman"/>
          <w:b/>
          <w:noProof/>
        </w:rPr>
        <w:lastRenderedPageBreak/>
        <w:drawing>
          <wp:inline distT="0" distB="0" distL="0" distR="0" wp14:anchorId="2FBD8B60" wp14:editId="061D7916">
            <wp:extent cx="5878897" cy="7788910"/>
            <wp:effectExtent l="0" t="0" r="7620" b="2540"/>
            <wp:docPr id="15" name="Picture 1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Map&#10;&#10;Description automatically generated"/>
                    <pic:cNvPicPr/>
                  </pic:nvPicPr>
                  <pic:blipFill>
                    <a:blip r:embed="rId24" cstate="screen">
                      <a:extLst>
                        <a:ext uri="{28A0092B-C50C-407E-A947-70E740481C1C}">
                          <a14:useLocalDpi xmlns:a14="http://schemas.microsoft.com/office/drawing/2010/main"/>
                        </a:ext>
                      </a:extLst>
                    </a:blip>
                    <a:stretch>
                      <a:fillRect/>
                    </a:stretch>
                  </pic:blipFill>
                  <pic:spPr>
                    <a:xfrm>
                      <a:off x="0" y="0"/>
                      <a:ext cx="5903666" cy="7821727"/>
                    </a:xfrm>
                    <a:prstGeom prst="rect">
                      <a:avLst/>
                    </a:prstGeom>
                  </pic:spPr>
                </pic:pic>
              </a:graphicData>
            </a:graphic>
          </wp:inline>
        </w:drawing>
      </w:r>
    </w:p>
    <w:p w14:paraId="06D4BE9C" w14:textId="423D053C" w:rsidR="00240D1A" w:rsidRPr="00273378" w:rsidRDefault="00273378" w:rsidP="00273378">
      <w:pPr>
        <w:pStyle w:val="Caption"/>
        <w:jc w:val="center"/>
        <w:rPr>
          <w:rFonts w:eastAsia="Times New Roman"/>
          <w:b/>
          <w:i w:val="0"/>
          <w:iCs w:val="0"/>
          <w:color w:val="auto"/>
          <w:sz w:val="24"/>
          <w:szCs w:val="24"/>
        </w:rPr>
      </w:pPr>
      <w:r w:rsidRPr="00273378">
        <w:rPr>
          <w:i w:val="0"/>
          <w:iCs w:val="0"/>
          <w:color w:val="auto"/>
          <w:sz w:val="24"/>
          <w:szCs w:val="24"/>
        </w:rPr>
        <w:t xml:space="preserve">Figure </w:t>
      </w:r>
      <w:r>
        <w:rPr>
          <w:i w:val="0"/>
          <w:iCs w:val="0"/>
          <w:color w:val="auto"/>
          <w:sz w:val="24"/>
          <w:szCs w:val="24"/>
        </w:rPr>
        <w:t>15: Patch cut harvest unit 1</w:t>
      </w:r>
    </w:p>
    <w:p w14:paraId="41EEAAF3" w14:textId="77777777" w:rsidR="00273378" w:rsidRDefault="00240D1A" w:rsidP="00273378">
      <w:pPr>
        <w:keepNext/>
        <w:spacing w:line="480" w:lineRule="auto"/>
      </w:pPr>
      <w:r>
        <w:rPr>
          <w:rFonts w:eastAsia="Times New Roman"/>
          <w:b/>
        </w:rPr>
        <w:br w:type="page"/>
      </w:r>
      <w:r>
        <w:rPr>
          <w:rFonts w:eastAsia="Times New Roman"/>
          <w:b/>
          <w:noProof/>
        </w:rPr>
        <w:lastRenderedPageBreak/>
        <w:drawing>
          <wp:inline distT="0" distB="0" distL="0" distR="0" wp14:anchorId="365BC909" wp14:editId="097B0355">
            <wp:extent cx="5943600" cy="7814310"/>
            <wp:effectExtent l="0" t="0" r="0" b="0"/>
            <wp:docPr id="16" name="Picture 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Map&#10;&#10;Description automatically generated"/>
                    <pic:cNvPicPr/>
                  </pic:nvPicPr>
                  <pic:blipFill>
                    <a:blip r:embed="rId25" cstate="screen">
                      <a:extLst>
                        <a:ext uri="{28A0092B-C50C-407E-A947-70E740481C1C}">
                          <a14:useLocalDpi xmlns:a14="http://schemas.microsoft.com/office/drawing/2010/main"/>
                        </a:ext>
                      </a:extLst>
                    </a:blip>
                    <a:stretch>
                      <a:fillRect/>
                    </a:stretch>
                  </pic:blipFill>
                  <pic:spPr>
                    <a:xfrm>
                      <a:off x="0" y="0"/>
                      <a:ext cx="5943600" cy="7814310"/>
                    </a:xfrm>
                    <a:prstGeom prst="rect">
                      <a:avLst/>
                    </a:prstGeom>
                  </pic:spPr>
                </pic:pic>
              </a:graphicData>
            </a:graphic>
          </wp:inline>
        </w:drawing>
      </w:r>
    </w:p>
    <w:p w14:paraId="08E05198" w14:textId="067C913D" w:rsidR="00240D1A" w:rsidRPr="00273378" w:rsidRDefault="00273378" w:rsidP="00273378">
      <w:pPr>
        <w:pStyle w:val="Caption"/>
        <w:jc w:val="center"/>
        <w:rPr>
          <w:rFonts w:eastAsia="Times New Roman"/>
          <w:b/>
          <w:i w:val="0"/>
          <w:iCs w:val="0"/>
          <w:color w:val="auto"/>
          <w:sz w:val="24"/>
          <w:szCs w:val="24"/>
        </w:rPr>
      </w:pPr>
      <w:r w:rsidRPr="00273378">
        <w:rPr>
          <w:i w:val="0"/>
          <w:iCs w:val="0"/>
          <w:color w:val="auto"/>
          <w:sz w:val="24"/>
          <w:szCs w:val="24"/>
        </w:rPr>
        <w:t xml:space="preserve">Figure </w:t>
      </w:r>
      <w:r>
        <w:rPr>
          <w:i w:val="0"/>
          <w:iCs w:val="0"/>
          <w:color w:val="auto"/>
          <w:sz w:val="24"/>
          <w:szCs w:val="24"/>
        </w:rPr>
        <w:t>16: Patch cut harvest unit 2 and clearcut 1</w:t>
      </w:r>
    </w:p>
    <w:p w14:paraId="46933EA9" w14:textId="77777777" w:rsidR="00273378" w:rsidRDefault="00240D1A" w:rsidP="00273378">
      <w:pPr>
        <w:keepNext/>
      </w:pPr>
      <w:r>
        <w:rPr>
          <w:rFonts w:eastAsia="Times New Roman"/>
          <w:b/>
        </w:rPr>
        <w:br w:type="page"/>
      </w:r>
      <w:r>
        <w:rPr>
          <w:rFonts w:eastAsia="Times New Roman"/>
          <w:b/>
          <w:noProof/>
        </w:rPr>
        <w:lastRenderedPageBreak/>
        <w:drawing>
          <wp:inline distT="0" distB="0" distL="0" distR="0" wp14:anchorId="015E2D65" wp14:editId="4F3B9A76">
            <wp:extent cx="5943600" cy="7840980"/>
            <wp:effectExtent l="0" t="0" r="0" b="7620"/>
            <wp:docPr id="17" name="Picture 1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ap&#10;&#10;Description automatically generated"/>
                    <pic:cNvPicPr/>
                  </pic:nvPicPr>
                  <pic:blipFill>
                    <a:blip r:embed="rId26" cstate="screen">
                      <a:extLst>
                        <a:ext uri="{28A0092B-C50C-407E-A947-70E740481C1C}">
                          <a14:useLocalDpi xmlns:a14="http://schemas.microsoft.com/office/drawing/2010/main"/>
                        </a:ext>
                      </a:extLst>
                    </a:blip>
                    <a:stretch>
                      <a:fillRect/>
                    </a:stretch>
                  </pic:blipFill>
                  <pic:spPr>
                    <a:xfrm>
                      <a:off x="0" y="0"/>
                      <a:ext cx="5943600" cy="7840980"/>
                    </a:xfrm>
                    <a:prstGeom prst="rect">
                      <a:avLst/>
                    </a:prstGeom>
                  </pic:spPr>
                </pic:pic>
              </a:graphicData>
            </a:graphic>
          </wp:inline>
        </w:drawing>
      </w:r>
    </w:p>
    <w:p w14:paraId="703D57E8" w14:textId="6F492255" w:rsidR="00240D1A" w:rsidRPr="00273378" w:rsidRDefault="00273378" w:rsidP="00273378">
      <w:pPr>
        <w:pStyle w:val="Caption"/>
        <w:jc w:val="center"/>
        <w:rPr>
          <w:rFonts w:eastAsia="Times New Roman"/>
          <w:b/>
          <w:i w:val="0"/>
          <w:iCs w:val="0"/>
          <w:color w:val="auto"/>
          <w:sz w:val="24"/>
          <w:szCs w:val="24"/>
        </w:rPr>
      </w:pPr>
      <w:r w:rsidRPr="00273378">
        <w:rPr>
          <w:i w:val="0"/>
          <w:iCs w:val="0"/>
          <w:color w:val="auto"/>
          <w:sz w:val="24"/>
          <w:szCs w:val="24"/>
        </w:rPr>
        <w:t xml:space="preserve">Figure </w:t>
      </w:r>
      <w:r>
        <w:rPr>
          <w:i w:val="0"/>
          <w:iCs w:val="0"/>
          <w:color w:val="auto"/>
          <w:sz w:val="24"/>
          <w:szCs w:val="24"/>
        </w:rPr>
        <w:t>17: Patch cut harvest unit 3</w:t>
      </w:r>
    </w:p>
    <w:p w14:paraId="0661B1ED" w14:textId="13AB92B8" w:rsidR="00240D1A" w:rsidRPr="00240D1A" w:rsidRDefault="00240D1A" w:rsidP="00240D1A">
      <w:pPr>
        <w:rPr>
          <w:rFonts w:eastAsia="Times New Roman"/>
          <w:b/>
        </w:rPr>
        <w:sectPr w:rsidR="00240D1A" w:rsidRPr="00240D1A" w:rsidSect="008B2C96">
          <w:pgSz w:w="12240" w:h="15840"/>
          <w:pgMar w:top="1440" w:right="1440" w:bottom="1440" w:left="1440" w:header="720" w:footer="720" w:gutter="0"/>
          <w:cols w:space="720"/>
          <w:titlePg/>
          <w:docGrid w:linePitch="299"/>
        </w:sectPr>
      </w:pPr>
    </w:p>
    <w:p w14:paraId="4F4CBEDD" w14:textId="77777777" w:rsidR="00111D7C" w:rsidRDefault="00240D1A" w:rsidP="00111D7C">
      <w:pPr>
        <w:keepNext/>
      </w:pPr>
      <w:r>
        <w:rPr>
          <w:rFonts w:eastAsia="Times New Roman"/>
          <w:b/>
          <w:noProof/>
        </w:rPr>
        <w:lastRenderedPageBreak/>
        <w:drawing>
          <wp:inline distT="0" distB="0" distL="0" distR="0" wp14:anchorId="5DBDCCF6" wp14:editId="3CA17EC1">
            <wp:extent cx="7200900" cy="5676863"/>
            <wp:effectExtent l="0" t="0" r="0" b="635"/>
            <wp:docPr id="19" name="Picture 19"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background pattern&#10;&#10;Description automatically generated"/>
                    <pic:cNvPicPr/>
                  </pic:nvPicPr>
                  <pic:blipFill>
                    <a:blip r:embed="rId27" cstate="screen">
                      <a:extLst>
                        <a:ext uri="{28A0092B-C50C-407E-A947-70E740481C1C}">
                          <a14:useLocalDpi xmlns:a14="http://schemas.microsoft.com/office/drawing/2010/main"/>
                        </a:ext>
                      </a:extLst>
                    </a:blip>
                    <a:stretch>
                      <a:fillRect/>
                    </a:stretch>
                  </pic:blipFill>
                  <pic:spPr>
                    <a:xfrm>
                      <a:off x="0" y="0"/>
                      <a:ext cx="7220468" cy="5692290"/>
                    </a:xfrm>
                    <a:prstGeom prst="rect">
                      <a:avLst/>
                    </a:prstGeom>
                  </pic:spPr>
                </pic:pic>
              </a:graphicData>
            </a:graphic>
          </wp:inline>
        </w:drawing>
      </w:r>
    </w:p>
    <w:p w14:paraId="6A86D46F" w14:textId="44418F16" w:rsidR="00240D1A" w:rsidRPr="00111D7C" w:rsidRDefault="00111D7C" w:rsidP="00111D7C">
      <w:pPr>
        <w:pStyle w:val="Caption"/>
        <w:jc w:val="center"/>
        <w:rPr>
          <w:i w:val="0"/>
          <w:iCs w:val="0"/>
          <w:color w:val="auto"/>
          <w:sz w:val="24"/>
          <w:szCs w:val="24"/>
        </w:rPr>
      </w:pPr>
      <w:r w:rsidRPr="00111D7C">
        <w:rPr>
          <w:i w:val="0"/>
          <w:iCs w:val="0"/>
          <w:color w:val="auto"/>
          <w:sz w:val="24"/>
          <w:szCs w:val="24"/>
        </w:rPr>
        <w:t xml:space="preserve">Figure </w:t>
      </w:r>
      <w:r>
        <w:rPr>
          <w:i w:val="0"/>
          <w:iCs w:val="0"/>
          <w:color w:val="auto"/>
          <w:sz w:val="24"/>
          <w:szCs w:val="24"/>
        </w:rPr>
        <w:t>18: Patch cut harvest unit 4</w:t>
      </w:r>
    </w:p>
    <w:p w14:paraId="5403FAA7" w14:textId="1557640D" w:rsidR="00240D1A" w:rsidRPr="00240D1A" w:rsidRDefault="00240D1A" w:rsidP="00240D1A">
      <w:pPr>
        <w:pStyle w:val="Caption"/>
        <w:jc w:val="center"/>
        <w:sectPr w:rsidR="00240D1A" w:rsidRPr="00240D1A" w:rsidSect="00240D1A">
          <w:pgSz w:w="15840" w:h="12240" w:orient="landscape" w:code="1"/>
          <w:pgMar w:top="1440" w:right="1440" w:bottom="1440" w:left="1440" w:header="720" w:footer="720" w:gutter="0"/>
          <w:cols w:space="720"/>
          <w:titlePg/>
          <w:docGrid w:linePitch="299"/>
        </w:sectPr>
      </w:pPr>
    </w:p>
    <w:p w14:paraId="2BC370A3" w14:textId="77777777" w:rsidR="00240D1A" w:rsidRDefault="00240D1A">
      <w:pPr>
        <w:rPr>
          <w:rFonts w:eastAsia="Times New Roman"/>
          <w:b/>
        </w:rPr>
      </w:pPr>
    </w:p>
    <w:p w14:paraId="6AB9E3DA" w14:textId="77777777" w:rsidR="00111D7C" w:rsidRDefault="00681604" w:rsidP="00111D7C">
      <w:pPr>
        <w:keepNext/>
        <w:jc w:val="center"/>
      </w:pPr>
      <w:r>
        <w:rPr>
          <w:rFonts w:eastAsia="Times New Roman"/>
          <w:b/>
          <w:noProof/>
        </w:rPr>
        <w:drawing>
          <wp:inline distT="0" distB="0" distL="0" distR="0" wp14:anchorId="5FDF224F" wp14:editId="1A887C72">
            <wp:extent cx="5895975" cy="7778281"/>
            <wp:effectExtent l="0" t="0" r="0" b="0"/>
            <wp:docPr id="20" name="Picture 2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Map&#10;&#10;Description automatically generated"/>
                    <pic:cNvPicPr/>
                  </pic:nvPicPr>
                  <pic:blipFill>
                    <a:blip r:embed="rId28" cstate="screen">
                      <a:extLst>
                        <a:ext uri="{28A0092B-C50C-407E-A947-70E740481C1C}">
                          <a14:useLocalDpi xmlns:a14="http://schemas.microsoft.com/office/drawing/2010/main"/>
                        </a:ext>
                      </a:extLst>
                    </a:blip>
                    <a:stretch>
                      <a:fillRect/>
                    </a:stretch>
                  </pic:blipFill>
                  <pic:spPr>
                    <a:xfrm>
                      <a:off x="0" y="0"/>
                      <a:ext cx="5907258" cy="7793166"/>
                    </a:xfrm>
                    <a:prstGeom prst="rect">
                      <a:avLst/>
                    </a:prstGeom>
                  </pic:spPr>
                </pic:pic>
              </a:graphicData>
            </a:graphic>
          </wp:inline>
        </w:drawing>
      </w:r>
    </w:p>
    <w:p w14:paraId="728CFE4F" w14:textId="70F366AC" w:rsidR="00681604" w:rsidRPr="00111D7C" w:rsidRDefault="00111D7C" w:rsidP="00111D7C">
      <w:pPr>
        <w:pStyle w:val="Caption"/>
        <w:jc w:val="center"/>
        <w:rPr>
          <w:rFonts w:eastAsia="Times New Roman"/>
          <w:b/>
          <w:i w:val="0"/>
          <w:iCs w:val="0"/>
          <w:color w:val="auto"/>
          <w:sz w:val="24"/>
          <w:szCs w:val="24"/>
        </w:rPr>
      </w:pPr>
      <w:r w:rsidRPr="00111D7C">
        <w:rPr>
          <w:i w:val="0"/>
          <w:iCs w:val="0"/>
          <w:color w:val="auto"/>
          <w:sz w:val="24"/>
          <w:szCs w:val="24"/>
        </w:rPr>
        <w:t xml:space="preserve">Figure </w:t>
      </w:r>
      <w:r>
        <w:rPr>
          <w:i w:val="0"/>
          <w:iCs w:val="0"/>
          <w:color w:val="auto"/>
          <w:sz w:val="24"/>
          <w:szCs w:val="24"/>
        </w:rPr>
        <w:t>19: Clearcut 2</w:t>
      </w:r>
    </w:p>
    <w:p w14:paraId="3DA3E4EC" w14:textId="77777777" w:rsidR="00111D7C" w:rsidRDefault="00681604" w:rsidP="00111D7C">
      <w:pPr>
        <w:keepNext/>
        <w:jc w:val="center"/>
      </w:pPr>
      <w:r>
        <w:rPr>
          <w:rFonts w:eastAsia="Times New Roman"/>
          <w:b/>
          <w:noProof/>
        </w:rPr>
        <w:lastRenderedPageBreak/>
        <w:drawing>
          <wp:inline distT="0" distB="0" distL="0" distR="0" wp14:anchorId="60A10AEB" wp14:editId="33F104FC">
            <wp:extent cx="6085891" cy="8001000"/>
            <wp:effectExtent l="0" t="0" r="0" b="0"/>
            <wp:docPr id="21" name="Picture 2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Map&#10;&#10;Description automatically generated"/>
                    <pic:cNvPicPr/>
                  </pic:nvPicPr>
                  <pic:blipFill>
                    <a:blip r:embed="rId29" cstate="screen">
                      <a:extLst>
                        <a:ext uri="{28A0092B-C50C-407E-A947-70E740481C1C}">
                          <a14:useLocalDpi xmlns:a14="http://schemas.microsoft.com/office/drawing/2010/main"/>
                        </a:ext>
                      </a:extLst>
                    </a:blip>
                    <a:stretch>
                      <a:fillRect/>
                    </a:stretch>
                  </pic:blipFill>
                  <pic:spPr>
                    <a:xfrm>
                      <a:off x="0" y="0"/>
                      <a:ext cx="6098709" cy="8017852"/>
                    </a:xfrm>
                    <a:prstGeom prst="rect">
                      <a:avLst/>
                    </a:prstGeom>
                  </pic:spPr>
                </pic:pic>
              </a:graphicData>
            </a:graphic>
          </wp:inline>
        </w:drawing>
      </w:r>
    </w:p>
    <w:p w14:paraId="7F3A7C82" w14:textId="77777777" w:rsidR="00B432ED" w:rsidRDefault="00111D7C" w:rsidP="000C09A2">
      <w:pPr>
        <w:pStyle w:val="Caption"/>
        <w:jc w:val="center"/>
        <w:rPr>
          <w:i w:val="0"/>
          <w:iCs w:val="0"/>
          <w:color w:val="auto"/>
          <w:sz w:val="24"/>
          <w:szCs w:val="24"/>
        </w:rPr>
      </w:pPr>
      <w:r w:rsidRPr="00111D7C">
        <w:rPr>
          <w:i w:val="0"/>
          <w:iCs w:val="0"/>
          <w:color w:val="auto"/>
          <w:sz w:val="24"/>
          <w:szCs w:val="24"/>
        </w:rPr>
        <w:t xml:space="preserve">Figure </w:t>
      </w:r>
      <w:r>
        <w:rPr>
          <w:i w:val="0"/>
          <w:iCs w:val="0"/>
          <w:color w:val="auto"/>
          <w:sz w:val="24"/>
          <w:szCs w:val="24"/>
        </w:rPr>
        <w:t>20: Clearcut 3</w:t>
      </w:r>
    </w:p>
    <w:p w14:paraId="691AF0DC" w14:textId="77777777" w:rsidR="00B432ED" w:rsidRDefault="00B432ED" w:rsidP="00B432ED">
      <w:pPr>
        <w:pStyle w:val="Caption"/>
        <w:keepNext/>
        <w:jc w:val="center"/>
      </w:pPr>
      <w:r>
        <w:rPr>
          <w:rFonts w:eastAsia="Times New Roman"/>
          <w:b/>
          <w:noProof/>
        </w:rPr>
        <w:lastRenderedPageBreak/>
        <w:drawing>
          <wp:inline distT="0" distB="0" distL="0" distR="0" wp14:anchorId="47F1395A" wp14:editId="3226C235">
            <wp:extent cx="6192152" cy="7791450"/>
            <wp:effectExtent l="0" t="0" r="0" b="0"/>
            <wp:docPr id="5" name="Picture 5"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6216609" cy="7822224"/>
                    </a:xfrm>
                    <a:prstGeom prst="rect">
                      <a:avLst/>
                    </a:prstGeom>
                  </pic:spPr>
                </pic:pic>
              </a:graphicData>
            </a:graphic>
          </wp:inline>
        </w:drawing>
      </w:r>
    </w:p>
    <w:p w14:paraId="3F8ED844" w14:textId="06F50EAF" w:rsidR="00240D1A" w:rsidRPr="000C09A2" w:rsidRDefault="00B432ED" w:rsidP="00B432ED">
      <w:pPr>
        <w:pStyle w:val="Caption"/>
        <w:jc w:val="center"/>
        <w:rPr>
          <w:i w:val="0"/>
          <w:iCs w:val="0"/>
          <w:color w:val="auto"/>
          <w:sz w:val="24"/>
          <w:szCs w:val="24"/>
        </w:rPr>
      </w:pPr>
      <w:r w:rsidRPr="00B432ED">
        <w:rPr>
          <w:i w:val="0"/>
          <w:iCs w:val="0"/>
          <w:color w:val="auto"/>
          <w:sz w:val="24"/>
          <w:szCs w:val="24"/>
        </w:rPr>
        <w:t xml:space="preserve">Figure </w:t>
      </w:r>
      <w:r>
        <w:rPr>
          <w:i w:val="0"/>
          <w:iCs w:val="0"/>
          <w:color w:val="auto"/>
          <w:sz w:val="24"/>
          <w:szCs w:val="24"/>
        </w:rPr>
        <w:t>21: Example of how plots were arranged in a clearcut</w:t>
      </w:r>
    </w:p>
    <w:p w14:paraId="42B605CE" w14:textId="2A1F7CBB" w:rsidR="000B7229" w:rsidRDefault="000B7229" w:rsidP="000B7229">
      <w:pPr>
        <w:spacing w:line="480" w:lineRule="auto"/>
        <w:rPr>
          <w:rFonts w:eastAsia="Times New Roman"/>
          <w:b/>
        </w:rPr>
      </w:pPr>
      <w:r w:rsidRPr="000B7229">
        <w:rPr>
          <w:rFonts w:eastAsia="Times New Roman"/>
          <w:b/>
        </w:rPr>
        <w:lastRenderedPageBreak/>
        <w:t>Additional Re</w:t>
      </w:r>
      <w:r>
        <w:rPr>
          <w:rFonts w:eastAsia="Times New Roman"/>
          <w:b/>
        </w:rPr>
        <w:t>ading</w:t>
      </w:r>
    </w:p>
    <w:p w14:paraId="4FFAD06E" w14:textId="79D739A5" w:rsidR="00712BC6" w:rsidRDefault="00712BC6" w:rsidP="00712BC6">
      <w:pPr>
        <w:spacing w:before="100" w:beforeAutospacing="1" w:after="100" w:afterAutospacing="1" w:line="240" w:lineRule="auto"/>
        <w:ind w:left="567" w:hanging="567"/>
        <w:rPr>
          <w:rFonts w:eastAsia="Times New Roman"/>
          <w:lang w:val="en-US"/>
        </w:rPr>
      </w:pPr>
      <w:r w:rsidRPr="00A77F14">
        <w:rPr>
          <w:rFonts w:eastAsia="Times New Roman"/>
          <w:lang w:val="en-US"/>
        </w:rPr>
        <w:t>Ashton, Mark S</w:t>
      </w:r>
      <w:r>
        <w:rPr>
          <w:rFonts w:eastAsia="Times New Roman"/>
          <w:lang w:val="en-US"/>
        </w:rPr>
        <w:t>.</w:t>
      </w:r>
      <w:r w:rsidRPr="00A77F14">
        <w:rPr>
          <w:rFonts w:eastAsia="Times New Roman"/>
          <w:lang w:val="en-US"/>
        </w:rPr>
        <w:t>, and Matthew J</w:t>
      </w:r>
      <w:r>
        <w:rPr>
          <w:rFonts w:eastAsia="Times New Roman"/>
          <w:lang w:val="en-US"/>
        </w:rPr>
        <w:t>.</w:t>
      </w:r>
      <w:r w:rsidRPr="00A77F14">
        <w:rPr>
          <w:rFonts w:eastAsia="Times New Roman"/>
          <w:lang w:val="en-US"/>
        </w:rPr>
        <w:t xml:space="preserve"> Kelty. </w:t>
      </w:r>
      <w:r w:rsidRPr="00A77F14">
        <w:rPr>
          <w:rFonts w:eastAsia="Times New Roman"/>
          <w:i/>
          <w:iCs/>
          <w:lang w:val="en-US"/>
        </w:rPr>
        <w:t>The Practice of Silviculture: Applied Forest Ecology</w:t>
      </w:r>
      <w:r w:rsidRPr="00A77F14">
        <w:rPr>
          <w:rFonts w:eastAsia="Times New Roman"/>
          <w:lang w:val="en-US"/>
        </w:rPr>
        <w:t xml:space="preserve">. 10th ed. Hoboken, NJ: Wiley, 2018. </w:t>
      </w:r>
    </w:p>
    <w:p w14:paraId="329B84ED" w14:textId="73B52274" w:rsidR="000B7229" w:rsidRDefault="000B7229" w:rsidP="000B7229">
      <w:pPr>
        <w:spacing w:before="100" w:beforeAutospacing="1" w:after="100" w:afterAutospacing="1" w:line="240" w:lineRule="auto"/>
        <w:ind w:left="567" w:hanging="567"/>
        <w:rPr>
          <w:rFonts w:eastAsia="Times New Roman"/>
          <w:lang w:val="en-US"/>
        </w:rPr>
      </w:pPr>
      <w:r w:rsidRPr="00554780">
        <w:rPr>
          <w:rFonts w:eastAsia="Times New Roman"/>
          <w:lang w:val="en-US"/>
        </w:rPr>
        <w:t xml:space="preserve">Clark, F. Bryan, and Richard F. Watt. “Silvicultural Methods for Regenerating Oaks.” U.S. Forest Service. USDA, August 1971. https://www.nrs.fs.fed.us/pubs/4473. </w:t>
      </w:r>
    </w:p>
    <w:p w14:paraId="06F7BFDE" w14:textId="30FF9692" w:rsidR="00712BC6" w:rsidRDefault="00712BC6" w:rsidP="00712BC6">
      <w:pPr>
        <w:spacing w:before="100" w:beforeAutospacing="1" w:after="100" w:afterAutospacing="1" w:line="240" w:lineRule="auto"/>
        <w:ind w:left="567" w:hanging="567"/>
        <w:rPr>
          <w:rFonts w:eastAsia="Times New Roman"/>
          <w:lang w:val="en-US"/>
        </w:rPr>
      </w:pPr>
      <w:r w:rsidRPr="00713A53">
        <w:rPr>
          <w:rFonts w:eastAsia="Times New Roman"/>
          <w:lang w:val="en-US"/>
        </w:rPr>
        <w:t xml:space="preserve">Golden, Michael S. “Reproduction in Group Selection Openings 8 Years After Harvest in a Bottomland Mixed Hardwood Forest.” U.S. Forest Service. USDA, 2002. https://www.srs.fs.usda.gov/pubs/4791. </w:t>
      </w:r>
    </w:p>
    <w:p w14:paraId="39994AA2" w14:textId="12A97146" w:rsidR="00712BC6" w:rsidRPr="000B7229" w:rsidRDefault="00712BC6" w:rsidP="00712BC6">
      <w:pPr>
        <w:spacing w:before="100" w:beforeAutospacing="1" w:after="100" w:afterAutospacing="1" w:line="240" w:lineRule="auto"/>
        <w:ind w:left="567" w:hanging="567"/>
        <w:rPr>
          <w:rFonts w:eastAsia="Times New Roman"/>
          <w:lang w:val="en-US"/>
        </w:rPr>
      </w:pPr>
      <w:r w:rsidRPr="002C7C13">
        <w:rPr>
          <w:rFonts w:eastAsia="Times New Roman"/>
          <w:lang w:val="en-US"/>
        </w:rPr>
        <w:t xml:space="preserve">Grayson, Stephen F., David S. Buckley, Jason G. Henning, Callie J. Schweitzer, Kurt W. Gottschalk, and David L. Loftis. “Understory Light Regimes Following Silvicultural Treatments in Central Hardwood Forests in Kentucky, USA.” </w:t>
      </w:r>
      <w:r w:rsidRPr="002C7C13">
        <w:rPr>
          <w:rFonts w:eastAsia="Times New Roman"/>
          <w:i/>
          <w:iCs/>
          <w:lang w:val="en-US"/>
        </w:rPr>
        <w:t>Forest Ecology and Management</w:t>
      </w:r>
      <w:r w:rsidRPr="002C7C13">
        <w:rPr>
          <w:rFonts w:eastAsia="Times New Roman"/>
          <w:lang w:val="en-US"/>
        </w:rPr>
        <w:t xml:space="preserve"> 279 (September 1, 2012): 66–76. https://doi.org/10.1016/j.foreco.2012.05.017. </w:t>
      </w:r>
    </w:p>
    <w:p w14:paraId="76FB1358" w14:textId="28E9F653" w:rsidR="000B7229" w:rsidRDefault="000B7229" w:rsidP="000B7229">
      <w:pPr>
        <w:pStyle w:val="NormalWeb"/>
        <w:ind w:left="567" w:hanging="567"/>
      </w:pPr>
      <w:r>
        <w:t xml:space="preserve">Kern, Christel C., Rebecca A. Montgomery, Peter B. Reich, and Terry F. Strong. “Harvest-Created Canopy Gaps Increase Species and Functional Trait Diversity of the Forest Ground-Layer Community.” </w:t>
      </w:r>
      <w:r>
        <w:rPr>
          <w:i/>
          <w:iCs/>
        </w:rPr>
        <w:t>Forest Science</w:t>
      </w:r>
      <w:r>
        <w:t xml:space="preserve"> 60, no. 2 (2014): 335–44. https://doi.org/10.5849/forsci.13-015. </w:t>
      </w:r>
    </w:p>
    <w:p w14:paraId="0D90618D" w14:textId="42072DEE" w:rsidR="000B7229" w:rsidRDefault="000B7229" w:rsidP="000B7229">
      <w:pPr>
        <w:pStyle w:val="NormalWeb"/>
        <w:ind w:left="567" w:hanging="567"/>
      </w:pPr>
      <w:r>
        <w:t xml:space="preserve">Kern, Christel C., Julia I. Burton, Patricia Raymond, Anthony W. D'Amato, William S. Keeton, Alejandro A. Royo, Michael B. Walters, Christopher R. Webster, and John L. Willis. “Challenges Facing Gap-Based Silviculture and Possible Solutions for Mesic Northern Forests in North America.” </w:t>
      </w:r>
      <w:r>
        <w:rPr>
          <w:i/>
          <w:iCs/>
        </w:rPr>
        <w:t>Forestry</w:t>
      </w:r>
      <w:r>
        <w:t xml:space="preserve"> 90, no. 1 (2016): 4–17. https://doi.org/10.1093/forestry/cpw024. </w:t>
      </w:r>
    </w:p>
    <w:p w14:paraId="2879DD01" w14:textId="7A3E7FC4" w:rsidR="00712BC6" w:rsidRDefault="00712BC6" w:rsidP="00712BC6">
      <w:pPr>
        <w:spacing w:before="100" w:beforeAutospacing="1" w:after="100" w:afterAutospacing="1" w:line="240" w:lineRule="auto"/>
        <w:ind w:left="567" w:hanging="567"/>
        <w:rPr>
          <w:rFonts w:eastAsia="Times New Roman"/>
          <w:lang w:val="en-US"/>
        </w:rPr>
      </w:pPr>
      <w:r w:rsidRPr="008601F4">
        <w:rPr>
          <w:rFonts w:eastAsia="Times New Roman"/>
          <w:lang w:val="en-US"/>
        </w:rPr>
        <w:t xml:space="preserve">Loftis, David L. “Upland Oak Regeneration and Management.” U.S. Forest Service. USDA, 2004. https://www.fs.usda.gov/treesearch/pubs/6532. </w:t>
      </w:r>
    </w:p>
    <w:p w14:paraId="0902E28F" w14:textId="17936B84" w:rsidR="000B7229" w:rsidRDefault="000B7229" w:rsidP="000B7229">
      <w:pPr>
        <w:spacing w:before="100" w:beforeAutospacing="1" w:after="100" w:afterAutospacing="1" w:line="240" w:lineRule="auto"/>
        <w:ind w:left="567" w:hanging="567"/>
        <w:rPr>
          <w:rFonts w:eastAsia="Times New Roman"/>
          <w:lang w:val="en-US"/>
        </w:rPr>
      </w:pPr>
      <w:r w:rsidRPr="008E5664">
        <w:rPr>
          <w:rFonts w:eastAsia="Times New Roman"/>
          <w:lang w:val="en-US"/>
        </w:rPr>
        <w:t xml:space="preserve">Rauscher, H. Michael, David L. Loftis, Charles E. McGee, and Christopher V. Worth. “Oak Regeneration: A Knowledge Synthesis.” U.S. Forest Service. USDA, January 1, 1997. https://www.srs.fs.usda.gov/pubs/233. </w:t>
      </w:r>
    </w:p>
    <w:p w14:paraId="36AF9123" w14:textId="2ADA051D" w:rsidR="000B7229" w:rsidRPr="00713A53" w:rsidRDefault="000B7229" w:rsidP="000B7229">
      <w:pPr>
        <w:spacing w:before="100" w:beforeAutospacing="1" w:after="100" w:afterAutospacing="1" w:line="240" w:lineRule="auto"/>
        <w:ind w:left="567" w:hanging="567"/>
        <w:rPr>
          <w:rFonts w:eastAsia="Times New Roman"/>
          <w:lang w:val="en-US"/>
        </w:rPr>
      </w:pPr>
      <w:r w:rsidRPr="00713A53">
        <w:rPr>
          <w:rFonts w:eastAsia="Times New Roman"/>
          <w:lang w:val="en-US"/>
        </w:rPr>
        <w:t>Shostak, David, Michael S</w:t>
      </w:r>
      <w:r>
        <w:rPr>
          <w:rFonts w:eastAsia="Times New Roman"/>
          <w:lang w:val="en-US"/>
        </w:rPr>
        <w:t>.</w:t>
      </w:r>
      <w:r w:rsidRPr="00713A53">
        <w:rPr>
          <w:rFonts w:eastAsia="Times New Roman"/>
          <w:lang w:val="en-US"/>
        </w:rPr>
        <w:t xml:space="preserve"> Golden, and Mark R</w:t>
      </w:r>
      <w:r>
        <w:rPr>
          <w:rFonts w:eastAsia="Times New Roman"/>
          <w:lang w:val="en-US"/>
        </w:rPr>
        <w:t>.</w:t>
      </w:r>
      <w:r w:rsidRPr="00713A53">
        <w:rPr>
          <w:rFonts w:eastAsia="Times New Roman"/>
          <w:lang w:val="en-US"/>
        </w:rPr>
        <w:t xml:space="preserve"> Dubois. “Oak Regeneration: Four Years After Three Harvesting Treatments in a North Alabama Upland Hardwood Stand.” U.S. Forest Service. USDA, 2002. https://www.fs.usda.gov/treesearch/pubs/4886. </w:t>
      </w:r>
    </w:p>
    <w:p w14:paraId="6DD2450A" w14:textId="77777777" w:rsidR="000B7229" w:rsidRPr="000B7229" w:rsidRDefault="000B7229" w:rsidP="000B7229">
      <w:pPr>
        <w:spacing w:line="480" w:lineRule="auto"/>
        <w:rPr>
          <w:rFonts w:eastAsia="Times New Roman"/>
          <w:b/>
        </w:rPr>
      </w:pPr>
    </w:p>
    <w:p w14:paraId="63389702" w14:textId="0D061068" w:rsidR="000B7229" w:rsidRDefault="000B7229">
      <w:pPr>
        <w:rPr>
          <w:rFonts w:eastAsia="Times New Roman"/>
          <w:b/>
        </w:rPr>
      </w:pPr>
      <w:r>
        <w:rPr>
          <w:rFonts w:eastAsia="Times New Roman"/>
          <w:b/>
        </w:rPr>
        <w:br w:type="page"/>
      </w:r>
    </w:p>
    <w:p w14:paraId="1D63829D" w14:textId="2C3CD6DB" w:rsidR="009969C6" w:rsidRDefault="00E11E7D">
      <w:pPr>
        <w:spacing w:line="480" w:lineRule="auto"/>
        <w:rPr>
          <w:rFonts w:eastAsia="Times New Roman"/>
          <w:b/>
        </w:rPr>
      </w:pPr>
      <w:r>
        <w:rPr>
          <w:rFonts w:eastAsia="Times New Roman"/>
          <w:b/>
        </w:rPr>
        <w:lastRenderedPageBreak/>
        <w:t>Vita</w:t>
      </w:r>
    </w:p>
    <w:p w14:paraId="0D967E8E" w14:textId="1AA1F1AD" w:rsidR="009969C6" w:rsidRDefault="00E11E7D">
      <w:pPr>
        <w:spacing w:line="480" w:lineRule="auto"/>
        <w:rPr>
          <w:rFonts w:eastAsia="Times New Roman"/>
        </w:rPr>
      </w:pPr>
      <w:r>
        <w:rPr>
          <w:rFonts w:eastAsia="Times New Roman"/>
        </w:rPr>
        <w:tab/>
        <w:t>Joshua Biggerstaff was born and raised in Knoxville, Tennessee. After high school, he attended the University of Tennessee and received a Bachelor of Science degree in forestry. Upon completing his undergraduate degree, he decided to attend graduate school. He chose to stay at the University of Tennessee and pursue a Master of Science degree in forestry. His research interests include harvest method impacts on tree regeneration. He is incredibly thankful for the support of his family</w:t>
      </w:r>
      <w:r w:rsidR="00111D7C">
        <w:rPr>
          <w:rFonts w:eastAsia="Times New Roman"/>
        </w:rPr>
        <w:t>, especially his wife,</w:t>
      </w:r>
      <w:r>
        <w:rPr>
          <w:rFonts w:eastAsia="Times New Roman"/>
        </w:rPr>
        <w:t xml:space="preserve"> as he completed graduate school.</w:t>
      </w:r>
    </w:p>
    <w:p w14:paraId="6B9D8236" w14:textId="579FE5B9" w:rsidR="00EC7057" w:rsidRPr="00EC7057" w:rsidRDefault="00EC7057" w:rsidP="00EC7057">
      <w:pPr>
        <w:rPr>
          <w:rFonts w:eastAsia="Times New Roman"/>
        </w:rPr>
      </w:pPr>
    </w:p>
    <w:sectPr w:rsidR="00EC7057" w:rsidRPr="00EC7057" w:rsidSect="00240D1A">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D1E66" w14:textId="77777777" w:rsidR="00EE6044" w:rsidRDefault="00EE6044">
      <w:pPr>
        <w:spacing w:line="240" w:lineRule="auto"/>
      </w:pPr>
      <w:r>
        <w:separator/>
      </w:r>
    </w:p>
  </w:endnote>
  <w:endnote w:type="continuationSeparator" w:id="0">
    <w:p w14:paraId="2653E370" w14:textId="77777777" w:rsidR="00EE6044" w:rsidRDefault="00EE60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66CA3" w14:textId="77777777" w:rsidR="00EE6044" w:rsidRDefault="00EE6044">
      <w:pPr>
        <w:spacing w:line="240" w:lineRule="auto"/>
      </w:pPr>
      <w:r>
        <w:separator/>
      </w:r>
    </w:p>
  </w:footnote>
  <w:footnote w:type="continuationSeparator" w:id="0">
    <w:p w14:paraId="5D73F92B" w14:textId="77777777" w:rsidR="00EE6044" w:rsidRDefault="00EE60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2846566"/>
      <w:docPartObj>
        <w:docPartGallery w:val="Page Numbers (Top of Page)"/>
        <w:docPartUnique/>
      </w:docPartObj>
    </w:sdtPr>
    <w:sdtEndPr>
      <w:rPr>
        <w:noProof/>
      </w:rPr>
    </w:sdtEndPr>
    <w:sdtContent>
      <w:p w14:paraId="0B52EFE2" w14:textId="523309CF" w:rsidR="007D4B92" w:rsidRDefault="007D4B9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0BD178" w14:textId="4342E005" w:rsidR="007D4B92" w:rsidRDefault="007D4B92">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3DB39" w14:textId="14F92C75" w:rsidR="007D4B92" w:rsidRDefault="007D4B92">
    <w:pPr>
      <w:pStyle w:val="Header"/>
      <w:jc w:val="right"/>
    </w:pPr>
  </w:p>
  <w:p w14:paraId="7848A6C6" w14:textId="77777777" w:rsidR="007D4B92" w:rsidRDefault="007D4B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0251534"/>
      <w:docPartObj>
        <w:docPartGallery w:val="Page Numbers (Top of Page)"/>
        <w:docPartUnique/>
      </w:docPartObj>
    </w:sdtPr>
    <w:sdtEndPr>
      <w:rPr>
        <w:noProof/>
      </w:rPr>
    </w:sdtEndPr>
    <w:sdtContent>
      <w:p w14:paraId="65334FF1" w14:textId="77777777" w:rsidR="007D4B92" w:rsidRDefault="007D4B9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C8ECFC7" w14:textId="77777777" w:rsidR="007D4B92" w:rsidRDefault="007D4B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9C6"/>
    <w:rsid w:val="000002E1"/>
    <w:rsid w:val="00012DBB"/>
    <w:rsid w:val="00052230"/>
    <w:rsid w:val="0005310E"/>
    <w:rsid w:val="00053EB8"/>
    <w:rsid w:val="000576C8"/>
    <w:rsid w:val="000922E8"/>
    <w:rsid w:val="00097927"/>
    <w:rsid w:val="000B4CE9"/>
    <w:rsid w:val="000B62F6"/>
    <w:rsid w:val="000B7229"/>
    <w:rsid w:val="000C09A2"/>
    <w:rsid w:val="000D3F5A"/>
    <w:rsid w:val="000D4E21"/>
    <w:rsid w:val="000D4F40"/>
    <w:rsid w:val="000E0786"/>
    <w:rsid w:val="000E7E77"/>
    <w:rsid w:val="000F322D"/>
    <w:rsid w:val="000F78B4"/>
    <w:rsid w:val="000F7AA0"/>
    <w:rsid w:val="001014F1"/>
    <w:rsid w:val="00110A67"/>
    <w:rsid w:val="00111D7C"/>
    <w:rsid w:val="001145CE"/>
    <w:rsid w:val="00120E0F"/>
    <w:rsid w:val="00142553"/>
    <w:rsid w:val="0017594E"/>
    <w:rsid w:val="001946BD"/>
    <w:rsid w:val="001A0D69"/>
    <w:rsid w:val="001C2CD8"/>
    <w:rsid w:val="001C3FFA"/>
    <w:rsid w:val="001C6679"/>
    <w:rsid w:val="001D09F8"/>
    <w:rsid w:val="001D1EA7"/>
    <w:rsid w:val="001D5227"/>
    <w:rsid w:val="002122EA"/>
    <w:rsid w:val="00215E48"/>
    <w:rsid w:val="002224FF"/>
    <w:rsid w:val="0024093E"/>
    <w:rsid w:val="00240D1A"/>
    <w:rsid w:val="00244BC0"/>
    <w:rsid w:val="00245669"/>
    <w:rsid w:val="00264948"/>
    <w:rsid w:val="00264D74"/>
    <w:rsid w:val="00273378"/>
    <w:rsid w:val="002766DD"/>
    <w:rsid w:val="002C5B25"/>
    <w:rsid w:val="002C7C13"/>
    <w:rsid w:val="002D0D4B"/>
    <w:rsid w:val="002E41A2"/>
    <w:rsid w:val="002E5599"/>
    <w:rsid w:val="002F3B84"/>
    <w:rsid w:val="0030525A"/>
    <w:rsid w:val="003078ED"/>
    <w:rsid w:val="00315565"/>
    <w:rsid w:val="003339B1"/>
    <w:rsid w:val="00337794"/>
    <w:rsid w:val="0034102C"/>
    <w:rsid w:val="003451AB"/>
    <w:rsid w:val="00345303"/>
    <w:rsid w:val="00346446"/>
    <w:rsid w:val="00350FD8"/>
    <w:rsid w:val="00356816"/>
    <w:rsid w:val="003616A3"/>
    <w:rsid w:val="00362B35"/>
    <w:rsid w:val="00366BBD"/>
    <w:rsid w:val="00387C70"/>
    <w:rsid w:val="003950AC"/>
    <w:rsid w:val="003A1068"/>
    <w:rsid w:val="003A44D5"/>
    <w:rsid w:val="003A75E1"/>
    <w:rsid w:val="003B6F38"/>
    <w:rsid w:val="003B76EE"/>
    <w:rsid w:val="003C141D"/>
    <w:rsid w:val="003D7997"/>
    <w:rsid w:val="004038ED"/>
    <w:rsid w:val="00412787"/>
    <w:rsid w:val="00425249"/>
    <w:rsid w:val="004307CF"/>
    <w:rsid w:val="00445511"/>
    <w:rsid w:val="0045366E"/>
    <w:rsid w:val="00456335"/>
    <w:rsid w:val="00487B97"/>
    <w:rsid w:val="004944D7"/>
    <w:rsid w:val="004C2524"/>
    <w:rsid w:val="004C5B5B"/>
    <w:rsid w:val="004C6539"/>
    <w:rsid w:val="004C7B37"/>
    <w:rsid w:val="004D440A"/>
    <w:rsid w:val="004D56FB"/>
    <w:rsid w:val="004E3DDD"/>
    <w:rsid w:val="00500FE4"/>
    <w:rsid w:val="00502470"/>
    <w:rsid w:val="00503565"/>
    <w:rsid w:val="00504D89"/>
    <w:rsid w:val="00521F36"/>
    <w:rsid w:val="005454BF"/>
    <w:rsid w:val="0054570D"/>
    <w:rsid w:val="00545830"/>
    <w:rsid w:val="00554780"/>
    <w:rsid w:val="0055485C"/>
    <w:rsid w:val="00560ABF"/>
    <w:rsid w:val="00565CF2"/>
    <w:rsid w:val="00571315"/>
    <w:rsid w:val="005807B2"/>
    <w:rsid w:val="00582BDE"/>
    <w:rsid w:val="00594253"/>
    <w:rsid w:val="005A274A"/>
    <w:rsid w:val="005A3E0B"/>
    <w:rsid w:val="005C0EA1"/>
    <w:rsid w:val="005C14C4"/>
    <w:rsid w:val="005E08E1"/>
    <w:rsid w:val="005E0EA2"/>
    <w:rsid w:val="005E7EFC"/>
    <w:rsid w:val="005F3346"/>
    <w:rsid w:val="0062360E"/>
    <w:rsid w:val="00640E2C"/>
    <w:rsid w:val="00671C21"/>
    <w:rsid w:val="00681604"/>
    <w:rsid w:val="006920C8"/>
    <w:rsid w:val="006B06F1"/>
    <w:rsid w:val="006C6050"/>
    <w:rsid w:val="006D26DF"/>
    <w:rsid w:val="006E4DB7"/>
    <w:rsid w:val="006E534D"/>
    <w:rsid w:val="006F6373"/>
    <w:rsid w:val="00702090"/>
    <w:rsid w:val="00710625"/>
    <w:rsid w:val="00712BC6"/>
    <w:rsid w:val="00713A53"/>
    <w:rsid w:val="00724FBF"/>
    <w:rsid w:val="007255B9"/>
    <w:rsid w:val="007337A9"/>
    <w:rsid w:val="0074010D"/>
    <w:rsid w:val="00762F51"/>
    <w:rsid w:val="00771B11"/>
    <w:rsid w:val="00772B91"/>
    <w:rsid w:val="00777C3B"/>
    <w:rsid w:val="0079385F"/>
    <w:rsid w:val="007A7F5B"/>
    <w:rsid w:val="007B5AC0"/>
    <w:rsid w:val="007B76D2"/>
    <w:rsid w:val="007C07A7"/>
    <w:rsid w:val="007D493D"/>
    <w:rsid w:val="007D4B92"/>
    <w:rsid w:val="007D5CB2"/>
    <w:rsid w:val="007F5615"/>
    <w:rsid w:val="00802B31"/>
    <w:rsid w:val="008055DF"/>
    <w:rsid w:val="00843048"/>
    <w:rsid w:val="008601F4"/>
    <w:rsid w:val="00881498"/>
    <w:rsid w:val="00893173"/>
    <w:rsid w:val="00894074"/>
    <w:rsid w:val="0089551A"/>
    <w:rsid w:val="008A1B93"/>
    <w:rsid w:val="008A5179"/>
    <w:rsid w:val="008A70D7"/>
    <w:rsid w:val="008B0F12"/>
    <w:rsid w:val="008B2C72"/>
    <w:rsid w:val="008B2C96"/>
    <w:rsid w:val="008B5329"/>
    <w:rsid w:val="008B5EBA"/>
    <w:rsid w:val="008D60BA"/>
    <w:rsid w:val="008E27AA"/>
    <w:rsid w:val="008E5664"/>
    <w:rsid w:val="008F694F"/>
    <w:rsid w:val="009047BC"/>
    <w:rsid w:val="009125D5"/>
    <w:rsid w:val="009159CA"/>
    <w:rsid w:val="00934596"/>
    <w:rsid w:val="00940A09"/>
    <w:rsid w:val="00976B97"/>
    <w:rsid w:val="009969C6"/>
    <w:rsid w:val="009B07D1"/>
    <w:rsid w:val="009B10A6"/>
    <w:rsid w:val="009E2C3A"/>
    <w:rsid w:val="00A014AF"/>
    <w:rsid w:val="00A0674B"/>
    <w:rsid w:val="00A07701"/>
    <w:rsid w:val="00A101FC"/>
    <w:rsid w:val="00A22F08"/>
    <w:rsid w:val="00A42309"/>
    <w:rsid w:val="00A44862"/>
    <w:rsid w:val="00A527BF"/>
    <w:rsid w:val="00A67A63"/>
    <w:rsid w:val="00A72634"/>
    <w:rsid w:val="00A77F14"/>
    <w:rsid w:val="00A82836"/>
    <w:rsid w:val="00A828CA"/>
    <w:rsid w:val="00A83FB0"/>
    <w:rsid w:val="00A87FD3"/>
    <w:rsid w:val="00A94D2E"/>
    <w:rsid w:val="00A95195"/>
    <w:rsid w:val="00AA5688"/>
    <w:rsid w:val="00AB1B82"/>
    <w:rsid w:val="00AB6623"/>
    <w:rsid w:val="00AD00B3"/>
    <w:rsid w:val="00AD1F69"/>
    <w:rsid w:val="00AE095F"/>
    <w:rsid w:val="00AE2761"/>
    <w:rsid w:val="00AF3144"/>
    <w:rsid w:val="00AF69BC"/>
    <w:rsid w:val="00B004D3"/>
    <w:rsid w:val="00B11910"/>
    <w:rsid w:val="00B1272E"/>
    <w:rsid w:val="00B432ED"/>
    <w:rsid w:val="00B44984"/>
    <w:rsid w:val="00B51A9F"/>
    <w:rsid w:val="00B52A4B"/>
    <w:rsid w:val="00B53F7A"/>
    <w:rsid w:val="00B5632A"/>
    <w:rsid w:val="00B574E7"/>
    <w:rsid w:val="00B64664"/>
    <w:rsid w:val="00B65044"/>
    <w:rsid w:val="00B675A7"/>
    <w:rsid w:val="00B72900"/>
    <w:rsid w:val="00B77A55"/>
    <w:rsid w:val="00B934C4"/>
    <w:rsid w:val="00BB653B"/>
    <w:rsid w:val="00BD4080"/>
    <w:rsid w:val="00BD480E"/>
    <w:rsid w:val="00BF042E"/>
    <w:rsid w:val="00BF1DB0"/>
    <w:rsid w:val="00C03C49"/>
    <w:rsid w:val="00C0752B"/>
    <w:rsid w:val="00C109B5"/>
    <w:rsid w:val="00C21A22"/>
    <w:rsid w:val="00C27B2D"/>
    <w:rsid w:val="00C356C0"/>
    <w:rsid w:val="00C55EE3"/>
    <w:rsid w:val="00C6095E"/>
    <w:rsid w:val="00C719DE"/>
    <w:rsid w:val="00C87FBD"/>
    <w:rsid w:val="00C933D2"/>
    <w:rsid w:val="00CA4FC4"/>
    <w:rsid w:val="00CA65A8"/>
    <w:rsid w:val="00CB2FFE"/>
    <w:rsid w:val="00CB3B21"/>
    <w:rsid w:val="00CB46C9"/>
    <w:rsid w:val="00CB51CA"/>
    <w:rsid w:val="00CB56FC"/>
    <w:rsid w:val="00CC551D"/>
    <w:rsid w:val="00CD02FD"/>
    <w:rsid w:val="00CE360F"/>
    <w:rsid w:val="00CE52E9"/>
    <w:rsid w:val="00CF113E"/>
    <w:rsid w:val="00CF5054"/>
    <w:rsid w:val="00CF516A"/>
    <w:rsid w:val="00CF6B27"/>
    <w:rsid w:val="00D12A87"/>
    <w:rsid w:val="00D1358E"/>
    <w:rsid w:val="00D631D8"/>
    <w:rsid w:val="00D72862"/>
    <w:rsid w:val="00D759EE"/>
    <w:rsid w:val="00D81C8A"/>
    <w:rsid w:val="00D90DD3"/>
    <w:rsid w:val="00D95784"/>
    <w:rsid w:val="00D964AF"/>
    <w:rsid w:val="00DA0E13"/>
    <w:rsid w:val="00DA7849"/>
    <w:rsid w:val="00DB438B"/>
    <w:rsid w:val="00DB5627"/>
    <w:rsid w:val="00DB72FB"/>
    <w:rsid w:val="00DB7A3C"/>
    <w:rsid w:val="00DC1013"/>
    <w:rsid w:val="00DC6CE9"/>
    <w:rsid w:val="00DC750B"/>
    <w:rsid w:val="00DD797E"/>
    <w:rsid w:val="00DE0529"/>
    <w:rsid w:val="00DE65F6"/>
    <w:rsid w:val="00DF2006"/>
    <w:rsid w:val="00DF733F"/>
    <w:rsid w:val="00E11E7D"/>
    <w:rsid w:val="00E13C52"/>
    <w:rsid w:val="00E64848"/>
    <w:rsid w:val="00E746C7"/>
    <w:rsid w:val="00E752EE"/>
    <w:rsid w:val="00E81CF3"/>
    <w:rsid w:val="00E86FFE"/>
    <w:rsid w:val="00E95B91"/>
    <w:rsid w:val="00EA01EA"/>
    <w:rsid w:val="00EA0905"/>
    <w:rsid w:val="00EA39B6"/>
    <w:rsid w:val="00EC41D3"/>
    <w:rsid w:val="00EC7057"/>
    <w:rsid w:val="00EC76D1"/>
    <w:rsid w:val="00EE1AD0"/>
    <w:rsid w:val="00EE2A1E"/>
    <w:rsid w:val="00EE6044"/>
    <w:rsid w:val="00EE7A37"/>
    <w:rsid w:val="00F03DE0"/>
    <w:rsid w:val="00F06F16"/>
    <w:rsid w:val="00F10ACC"/>
    <w:rsid w:val="00F26D12"/>
    <w:rsid w:val="00F35743"/>
    <w:rsid w:val="00F4092A"/>
    <w:rsid w:val="00F62907"/>
    <w:rsid w:val="00F67E0B"/>
    <w:rsid w:val="00F95D5F"/>
    <w:rsid w:val="00F972FF"/>
    <w:rsid w:val="00FA152F"/>
    <w:rsid w:val="00FC26DD"/>
    <w:rsid w:val="00FC49AA"/>
    <w:rsid w:val="00FD7C3F"/>
    <w:rsid w:val="00FF3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D9316D"/>
  <w15:docId w15:val="{24CFDD10-B421-4022-B1B5-CDF75565C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w:hAnsi="Times New Roman" w:cs="Times New Roman"/>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B6F38"/>
    <w:pPr>
      <w:tabs>
        <w:tab w:val="center" w:pos="4680"/>
        <w:tab w:val="right" w:pos="9360"/>
      </w:tabs>
      <w:spacing w:line="240" w:lineRule="auto"/>
    </w:pPr>
  </w:style>
  <w:style w:type="character" w:customStyle="1" w:styleId="HeaderChar">
    <w:name w:val="Header Char"/>
    <w:basedOn w:val="DefaultParagraphFont"/>
    <w:link w:val="Header"/>
    <w:uiPriority w:val="99"/>
    <w:rsid w:val="003B6F38"/>
  </w:style>
  <w:style w:type="paragraph" w:styleId="Footer">
    <w:name w:val="footer"/>
    <w:basedOn w:val="Normal"/>
    <w:link w:val="FooterChar"/>
    <w:uiPriority w:val="99"/>
    <w:unhideWhenUsed/>
    <w:rsid w:val="003B6F38"/>
    <w:pPr>
      <w:tabs>
        <w:tab w:val="center" w:pos="4680"/>
        <w:tab w:val="right" w:pos="9360"/>
      </w:tabs>
      <w:spacing w:line="240" w:lineRule="auto"/>
    </w:pPr>
  </w:style>
  <w:style w:type="character" w:customStyle="1" w:styleId="FooterChar">
    <w:name w:val="Footer Char"/>
    <w:basedOn w:val="DefaultParagraphFont"/>
    <w:link w:val="Footer"/>
    <w:uiPriority w:val="99"/>
    <w:rsid w:val="003B6F38"/>
  </w:style>
  <w:style w:type="paragraph" w:styleId="Caption">
    <w:name w:val="caption"/>
    <w:basedOn w:val="Normal"/>
    <w:next w:val="Normal"/>
    <w:uiPriority w:val="35"/>
    <w:unhideWhenUsed/>
    <w:qFormat/>
    <w:rsid w:val="00EC7057"/>
    <w:pPr>
      <w:spacing w:after="200" w:line="240" w:lineRule="auto"/>
    </w:pPr>
    <w:rPr>
      <w:i/>
      <w:iCs/>
      <w:color w:val="1F497D" w:themeColor="text2"/>
      <w:sz w:val="18"/>
      <w:szCs w:val="18"/>
    </w:rPr>
  </w:style>
  <w:style w:type="table" w:styleId="TableGrid">
    <w:name w:val="Table Grid"/>
    <w:basedOn w:val="TableNormal"/>
    <w:uiPriority w:val="39"/>
    <w:rsid w:val="00F10AC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E27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27AA"/>
    <w:rPr>
      <w:rFonts w:ascii="Segoe UI" w:hAnsi="Segoe UI" w:cs="Segoe UI"/>
      <w:sz w:val="18"/>
      <w:szCs w:val="18"/>
    </w:rPr>
  </w:style>
  <w:style w:type="paragraph" w:styleId="NormalWeb">
    <w:name w:val="Normal (Web)"/>
    <w:basedOn w:val="Normal"/>
    <w:uiPriority w:val="99"/>
    <w:unhideWhenUsed/>
    <w:rsid w:val="00D95784"/>
    <w:pPr>
      <w:spacing w:before="100" w:beforeAutospacing="1" w:after="100" w:afterAutospacing="1" w:line="240" w:lineRule="auto"/>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49662">
      <w:bodyDiv w:val="1"/>
      <w:marLeft w:val="0"/>
      <w:marRight w:val="0"/>
      <w:marTop w:val="0"/>
      <w:marBottom w:val="0"/>
      <w:divBdr>
        <w:top w:val="none" w:sz="0" w:space="0" w:color="auto"/>
        <w:left w:val="none" w:sz="0" w:space="0" w:color="auto"/>
        <w:bottom w:val="none" w:sz="0" w:space="0" w:color="auto"/>
        <w:right w:val="none" w:sz="0" w:space="0" w:color="auto"/>
      </w:divBdr>
    </w:div>
    <w:div w:id="52047673">
      <w:bodyDiv w:val="1"/>
      <w:marLeft w:val="0"/>
      <w:marRight w:val="0"/>
      <w:marTop w:val="0"/>
      <w:marBottom w:val="0"/>
      <w:divBdr>
        <w:top w:val="none" w:sz="0" w:space="0" w:color="auto"/>
        <w:left w:val="none" w:sz="0" w:space="0" w:color="auto"/>
        <w:bottom w:val="none" w:sz="0" w:space="0" w:color="auto"/>
        <w:right w:val="none" w:sz="0" w:space="0" w:color="auto"/>
      </w:divBdr>
    </w:div>
    <w:div w:id="98792447">
      <w:bodyDiv w:val="1"/>
      <w:marLeft w:val="0"/>
      <w:marRight w:val="0"/>
      <w:marTop w:val="0"/>
      <w:marBottom w:val="0"/>
      <w:divBdr>
        <w:top w:val="none" w:sz="0" w:space="0" w:color="auto"/>
        <w:left w:val="none" w:sz="0" w:space="0" w:color="auto"/>
        <w:bottom w:val="none" w:sz="0" w:space="0" w:color="auto"/>
        <w:right w:val="none" w:sz="0" w:space="0" w:color="auto"/>
      </w:divBdr>
    </w:div>
    <w:div w:id="376661007">
      <w:bodyDiv w:val="1"/>
      <w:marLeft w:val="0"/>
      <w:marRight w:val="0"/>
      <w:marTop w:val="0"/>
      <w:marBottom w:val="0"/>
      <w:divBdr>
        <w:top w:val="none" w:sz="0" w:space="0" w:color="auto"/>
        <w:left w:val="none" w:sz="0" w:space="0" w:color="auto"/>
        <w:bottom w:val="none" w:sz="0" w:space="0" w:color="auto"/>
        <w:right w:val="none" w:sz="0" w:space="0" w:color="auto"/>
      </w:divBdr>
    </w:div>
    <w:div w:id="475075997">
      <w:bodyDiv w:val="1"/>
      <w:marLeft w:val="0"/>
      <w:marRight w:val="0"/>
      <w:marTop w:val="0"/>
      <w:marBottom w:val="0"/>
      <w:divBdr>
        <w:top w:val="none" w:sz="0" w:space="0" w:color="auto"/>
        <w:left w:val="none" w:sz="0" w:space="0" w:color="auto"/>
        <w:bottom w:val="none" w:sz="0" w:space="0" w:color="auto"/>
        <w:right w:val="none" w:sz="0" w:space="0" w:color="auto"/>
      </w:divBdr>
    </w:div>
    <w:div w:id="486482501">
      <w:bodyDiv w:val="1"/>
      <w:marLeft w:val="0"/>
      <w:marRight w:val="0"/>
      <w:marTop w:val="0"/>
      <w:marBottom w:val="0"/>
      <w:divBdr>
        <w:top w:val="none" w:sz="0" w:space="0" w:color="auto"/>
        <w:left w:val="none" w:sz="0" w:space="0" w:color="auto"/>
        <w:bottom w:val="none" w:sz="0" w:space="0" w:color="auto"/>
        <w:right w:val="none" w:sz="0" w:space="0" w:color="auto"/>
      </w:divBdr>
    </w:div>
    <w:div w:id="548223983">
      <w:bodyDiv w:val="1"/>
      <w:marLeft w:val="0"/>
      <w:marRight w:val="0"/>
      <w:marTop w:val="0"/>
      <w:marBottom w:val="0"/>
      <w:divBdr>
        <w:top w:val="none" w:sz="0" w:space="0" w:color="auto"/>
        <w:left w:val="none" w:sz="0" w:space="0" w:color="auto"/>
        <w:bottom w:val="none" w:sz="0" w:space="0" w:color="auto"/>
        <w:right w:val="none" w:sz="0" w:space="0" w:color="auto"/>
      </w:divBdr>
    </w:div>
    <w:div w:id="660080482">
      <w:bodyDiv w:val="1"/>
      <w:marLeft w:val="0"/>
      <w:marRight w:val="0"/>
      <w:marTop w:val="0"/>
      <w:marBottom w:val="0"/>
      <w:divBdr>
        <w:top w:val="none" w:sz="0" w:space="0" w:color="auto"/>
        <w:left w:val="none" w:sz="0" w:space="0" w:color="auto"/>
        <w:bottom w:val="none" w:sz="0" w:space="0" w:color="auto"/>
        <w:right w:val="none" w:sz="0" w:space="0" w:color="auto"/>
      </w:divBdr>
    </w:div>
    <w:div w:id="678508489">
      <w:bodyDiv w:val="1"/>
      <w:marLeft w:val="0"/>
      <w:marRight w:val="0"/>
      <w:marTop w:val="0"/>
      <w:marBottom w:val="0"/>
      <w:divBdr>
        <w:top w:val="none" w:sz="0" w:space="0" w:color="auto"/>
        <w:left w:val="none" w:sz="0" w:space="0" w:color="auto"/>
        <w:bottom w:val="none" w:sz="0" w:space="0" w:color="auto"/>
        <w:right w:val="none" w:sz="0" w:space="0" w:color="auto"/>
      </w:divBdr>
    </w:div>
    <w:div w:id="723866379">
      <w:bodyDiv w:val="1"/>
      <w:marLeft w:val="0"/>
      <w:marRight w:val="0"/>
      <w:marTop w:val="0"/>
      <w:marBottom w:val="0"/>
      <w:divBdr>
        <w:top w:val="none" w:sz="0" w:space="0" w:color="auto"/>
        <w:left w:val="none" w:sz="0" w:space="0" w:color="auto"/>
        <w:bottom w:val="none" w:sz="0" w:space="0" w:color="auto"/>
        <w:right w:val="none" w:sz="0" w:space="0" w:color="auto"/>
      </w:divBdr>
    </w:div>
    <w:div w:id="730882945">
      <w:bodyDiv w:val="1"/>
      <w:marLeft w:val="0"/>
      <w:marRight w:val="0"/>
      <w:marTop w:val="0"/>
      <w:marBottom w:val="0"/>
      <w:divBdr>
        <w:top w:val="none" w:sz="0" w:space="0" w:color="auto"/>
        <w:left w:val="none" w:sz="0" w:space="0" w:color="auto"/>
        <w:bottom w:val="none" w:sz="0" w:space="0" w:color="auto"/>
        <w:right w:val="none" w:sz="0" w:space="0" w:color="auto"/>
      </w:divBdr>
    </w:div>
    <w:div w:id="752974652">
      <w:bodyDiv w:val="1"/>
      <w:marLeft w:val="0"/>
      <w:marRight w:val="0"/>
      <w:marTop w:val="0"/>
      <w:marBottom w:val="0"/>
      <w:divBdr>
        <w:top w:val="none" w:sz="0" w:space="0" w:color="auto"/>
        <w:left w:val="none" w:sz="0" w:space="0" w:color="auto"/>
        <w:bottom w:val="none" w:sz="0" w:space="0" w:color="auto"/>
        <w:right w:val="none" w:sz="0" w:space="0" w:color="auto"/>
      </w:divBdr>
    </w:div>
    <w:div w:id="767191720">
      <w:bodyDiv w:val="1"/>
      <w:marLeft w:val="0"/>
      <w:marRight w:val="0"/>
      <w:marTop w:val="0"/>
      <w:marBottom w:val="0"/>
      <w:divBdr>
        <w:top w:val="none" w:sz="0" w:space="0" w:color="auto"/>
        <w:left w:val="none" w:sz="0" w:space="0" w:color="auto"/>
        <w:bottom w:val="none" w:sz="0" w:space="0" w:color="auto"/>
        <w:right w:val="none" w:sz="0" w:space="0" w:color="auto"/>
      </w:divBdr>
    </w:div>
    <w:div w:id="789669287">
      <w:bodyDiv w:val="1"/>
      <w:marLeft w:val="0"/>
      <w:marRight w:val="0"/>
      <w:marTop w:val="0"/>
      <w:marBottom w:val="0"/>
      <w:divBdr>
        <w:top w:val="none" w:sz="0" w:space="0" w:color="auto"/>
        <w:left w:val="none" w:sz="0" w:space="0" w:color="auto"/>
        <w:bottom w:val="none" w:sz="0" w:space="0" w:color="auto"/>
        <w:right w:val="none" w:sz="0" w:space="0" w:color="auto"/>
      </w:divBdr>
    </w:div>
    <w:div w:id="864252968">
      <w:bodyDiv w:val="1"/>
      <w:marLeft w:val="0"/>
      <w:marRight w:val="0"/>
      <w:marTop w:val="0"/>
      <w:marBottom w:val="0"/>
      <w:divBdr>
        <w:top w:val="none" w:sz="0" w:space="0" w:color="auto"/>
        <w:left w:val="none" w:sz="0" w:space="0" w:color="auto"/>
        <w:bottom w:val="none" w:sz="0" w:space="0" w:color="auto"/>
        <w:right w:val="none" w:sz="0" w:space="0" w:color="auto"/>
      </w:divBdr>
    </w:div>
    <w:div w:id="923418873">
      <w:bodyDiv w:val="1"/>
      <w:marLeft w:val="0"/>
      <w:marRight w:val="0"/>
      <w:marTop w:val="0"/>
      <w:marBottom w:val="0"/>
      <w:divBdr>
        <w:top w:val="none" w:sz="0" w:space="0" w:color="auto"/>
        <w:left w:val="none" w:sz="0" w:space="0" w:color="auto"/>
        <w:bottom w:val="none" w:sz="0" w:space="0" w:color="auto"/>
        <w:right w:val="none" w:sz="0" w:space="0" w:color="auto"/>
      </w:divBdr>
    </w:div>
    <w:div w:id="963535824">
      <w:bodyDiv w:val="1"/>
      <w:marLeft w:val="0"/>
      <w:marRight w:val="0"/>
      <w:marTop w:val="0"/>
      <w:marBottom w:val="0"/>
      <w:divBdr>
        <w:top w:val="none" w:sz="0" w:space="0" w:color="auto"/>
        <w:left w:val="none" w:sz="0" w:space="0" w:color="auto"/>
        <w:bottom w:val="none" w:sz="0" w:space="0" w:color="auto"/>
        <w:right w:val="none" w:sz="0" w:space="0" w:color="auto"/>
      </w:divBdr>
    </w:div>
    <w:div w:id="1045984713">
      <w:bodyDiv w:val="1"/>
      <w:marLeft w:val="0"/>
      <w:marRight w:val="0"/>
      <w:marTop w:val="0"/>
      <w:marBottom w:val="0"/>
      <w:divBdr>
        <w:top w:val="none" w:sz="0" w:space="0" w:color="auto"/>
        <w:left w:val="none" w:sz="0" w:space="0" w:color="auto"/>
        <w:bottom w:val="none" w:sz="0" w:space="0" w:color="auto"/>
        <w:right w:val="none" w:sz="0" w:space="0" w:color="auto"/>
      </w:divBdr>
    </w:div>
    <w:div w:id="1161196106">
      <w:bodyDiv w:val="1"/>
      <w:marLeft w:val="0"/>
      <w:marRight w:val="0"/>
      <w:marTop w:val="0"/>
      <w:marBottom w:val="0"/>
      <w:divBdr>
        <w:top w:val="none" w:sz="0" w:space="0" w:color="auto"/>
        <w:left w:val="none" w:sz="0" w:space="0" w:color="auto"/>
        <w:bottom w:val="none" w:sz="0" w:space="0" w:color="auto"/>
        <w:right w:val="none" w:sz="0" w:space="0" w:color="auto"/>
      </w:divBdr>
    </w:div>
    <w:div w:id="1266498197">
      <w:bodyDiv w:val="1"/>
      <w:marLeft w:val="0"/>
      <w:marRight w:val="0"/>
      <w:marTop w:val="0"/>
      <w:marBottom w:val="0"/>
      <w:divBdr>
        <w:top w:val="none" w:sz="0" w:space="0" w:color="auto"/>
        <w:left w:val="none" w:sz="0" w:space="0" w:color="auto"/>
        <w:bottom w:val="none" w:sz="0" w:space="0" w:color="auto"/>
        <w:right w:val="none" w:sz="0" w:space="0" w:color="auto"/>
      </w:divBdr>
    </w:div>
    <w:div w:id="1273124898">
      <w:bodyDiv w:val="1"/>
      <w:marLeft w:val="0"/>
      <w:marRight w:val="0"/>
      <w:marTop w:val="0"/>
      <w:marBottom w:val="0"/>
      <w:divBdr>
        <w:top w:val="none" w:sz="0" w:space="0" w:color="auto"/>
        <w:left w:val="none" w:sz="0" w:space="0" w:color="auto"/>
        <w:bottom w:val="none" w:sz="0" w:space="0" w:color="auto"/>
        <w:right w:val="none" w:sz="0" w:space="0" w:color="auto"/>
      </w:divBdr>
    </w:div>
    <w:div w:id="1322545435">
      <w:bodyDiv w:val="1"/>
      <w:marLeft w:val="0"/>
      <w:marRight w:val="0"/>
      <w:marTop w:val="0"/>
      <w:marBottom w:val="0"/>
      <w:divBdr>
        <w:top w:val="none" w:sz="0" w:space="0" w:color="auto"/>
        <w:left w:val="none" w:sz="0" w:space="0" w:color="auto"/>
        <w:bottom w:val="none" w:sz="0" w:space="0" w:color="auto"/>
        <w:right w:val="none" w:sz="0" w:space="0" w:color="auto"/>
      </w:divBdr>
    </w:div>
    <w:div w:id="1345399697">
      <w:bodyDiv w:val="1"/>
      <w:marLeft w:val="0"/>
      <w:marRight w:val="0"/>
      <w:marTop w:val="0"/>
      <w:marBottom w:val="0"/>
      <w:divBdr>
        <w:top w:val="none" w:sz="0" w:space="0" w:color="auto"/>
        <w:left w:val="none" w:sz="0" w:space="0" w:color="auto"/>
        <w:bottom w:val="none" w:sz="0" w:space="0" w:color="auto"/>
        <w:right w:val="none" w:sz="0" w:space="0" w:color="auto"/>
      </w:divBdr>
    </w:div>
    <w:div w:id="1360201021">
      <w:bodyDiv w:val="1"/>
      <w:marLeft w:val="0"/>
      <w:marRight w:val="0"/>
      <w:marTop w:val="0"/>
      <w:marBottom w:val="0"/>
      <w:divBdr>
        <w:top w:val="none" w:sz="0" w:space="0" w:color="auto"/>
        <w:left w:val="none" w:sz="0" w:space="0" w:color="auto"/>
        <w:bottom w:val="none" w:sz="0" w:space="0" w:color="auto"/>
        <w:right w:val="none" w:sz="0" w:space="0" w:color="auto"/>
      </w:divBdr>
    </w:div>
    <w:div w:id="1366440940">
      <w:bodyDiv w:val="1"/>
      <w:marLeft w:val="0"/>
      <w:marRight w:val="0"/>
      <w:marTop w:val="0"/>
      <w:marBottom w:val="0"/>
      <w:divBdr>
        <w:top w:val="none" w:sz="0" w:space="0" w:color="auto"/>
        <w:left w:val="none" w:sz="0" w:space="0" w:color="auto"/>
        <w:bottom w:val="none" w:sz="0" w:space="0" w:color="auto"/>
        <w:right w:val="none" w:sz="0" w:space="0" w:color="auto"/>
      </w:divBdr>
    </w:div>
    <w:div w:id="1407805373">
      <w:bodyDiv w:val="1"/>
      <w:marLeft w:val="0"/>
      <w:marRight w:val="0"/>
      <w:marTop w:val="0"/>
      <w:marBottom w:val="0"/>
      <w:divBdr>
        <w:top w:val="none" w:sz="0" w:space="0" w:color="auto"/>
        <w:left w:val="none" w:sz="0" w:space="0" w:color="auto"/>
        <w:bottom w:val="none" w:sz="0" w:space="0" w:color="auto"/>
        <w:right w:val="none" w:sz="0" w:space="0" w:color="auto"/>
      </w:divBdr>
    </w:div>
    <w:div w:id="1443577504">
      <w:bodyDiv w:val="1"/>
      <w:marLeft w:val="0"/>
      <w:marRight w:val="0"/>
      <w:marTop w:val="0"/>
      <w:marBottom w:val="0"/>
      <w:divBdr>
        <w:top w:val="none" w:sz="0" w:space="0" w:color="auto"/>
        <w:left w:val="none" w:sz="0" w:space="0" w:color="auto"/>
        <w:bottom w:val="none" w:sz="0" w:space="0" w:color="auto"/>
        <w:right w:val="none" w:sz="0" w:space="0" w:color="auto"/>
      </w:divBdr>
    </w:div>
    <w:div w:id="1485589392">
      <w:bodyDiv w:val="1"/>
      <w:marLeft w:val="0"/>
      <w:marRight w:val="0"/>
      <w:marTop w:val="0"/>
      <w:marBottom w:val="0"/>
      <w:divBdr>
        <w:top w:val="none" w:sz="0" w:space="0" w:color="auto"/>
        <w:left w:val="none" w:sz="0" w:space="0" w:color="auto"/>
        <w:bottom w:val="none" w:sz="0" w:space="0" w:color="auto"/>
        <w:right w:val="none" w:sz="0" w:space="0" w:color="auto"/>
      </w:divBdr>
    </w:div>
    <w:div w:id="1536232931">
      <w:bodyDiv w:val="1"/>
      <w:marLeft w:val="0"/>
      <w:marRight w:val="0"/>
      <w:marTop w:val="0"/>
      <w:marBottom w:val="0"/>
      <w:divBdr>
        <w:top w:val="none" w:sz="0" w:space="0" w:color="auto"/>
        <w:left w:val="none" w:sz="0" w:space="0" w:color="auto"/>
        <w:bottom w:val="none" w:sz="0" w:space="0" w:color="auto"/>
        <w:right w:val="none" w:sz="0" w:space="0" w:color="auto"/>
      </w:divBdr>
    </w:div>
    <w:div w:id="1729500972">
      <w:bodyDiv w:val="1"/>
      <w:marLeft w:val="0"/>
      <w:marRight w:val="0"/>
      <w:marTop w:val="0"/>
      <w:marBottom w:val="0"/>
      <w:divBdr>
        <w:top w:val="none" w:sz="0" w:space="0" w:color="auto"/>
        <w:left w:val="none" w:sz="0" w:space="0" w:color="auto"/>
        <w:bottom w:val="none" w:sz="0" w:space="0" w:color="auto"/>
        <w:right w:val="none" w:sz="0" w:space="0" w:color="auto"/>
      </w:divBdr>
    </w:div>
    <w:div w:id="1737319527">
      <w:bodyDiv w:val="1"/>
      <w:marLeft w:val="0"/>
      <w:marRight w:val="0"/>
      <w:marTop w:val="0"/>
      <w:marBottom w:val="0"/>
      <w:divBdr>
        <w:top w:val="none" w:sz="0" w:space="0" w:color="auto"/>
        <w:left w:val="none" w:sz="0" w:space="0" w:color="auto"/>
        <w:bottom w:val="none" w:sz="0" w:space="0" w:color="auto"/>
        <w:right w:val="none" w:sz="0" w:space="0" w:color="auto"/>
      </w:divBdr>
    </w:div>
    <w:div w:id="1805002750">
      <w:bodyDiv w:val="1"/>
      <w:marLeft w:val="0"/>
      <w:marRight w:val="0"/>
      <w:marTop w:val="0"/>
      <w:marBottom w:val="0"/>
      <w:divBdr>
        <w:top w:val="none" w:sz="0" w:space="0" w:color="auto"/>
        <w:left w:val="none" w:sz="0" w:space="0" w:color="auto"/>
        <w:bottom w:val="none" w:sz="0" w:space="0" w:color="auto"/>
        <w:right w:val="none" w:sz="0" w:space="0" w:color="auto"/>
      </w:divBdr>
    </w:div>
    <w:div w:id="1813250371">
      <w:bodyDiv w:val="1"/>
      <w:marLeft w:val="0"/>
      <w:marRight w:val="0"/>
      <w:marTop w:val="0"/>
      <w:marBottom w:val="0"/>
      <w:divBdr>
        <w:top w:val="none" w:sz="0" w:space="0" w:color="auto"/>
        <w:left w:val="none" w:sz="0" w:space="0" w:color="auto"/>
        <w:bottom w:val="none" w:sz="0" w:space="0" w:color="auto"/>
        <w:right w:val="none" w:sz="0" w:space="0" w:color="auto"/>
      </w:divBdr>
    </w:div>
    <w:div w:id="2074430962">
      <w:bodyDiv w:val="1"/>
      <w:marLeft w:val="0"/>
      <w:marRight w:val="0"/>
      <w:marTop w:val="0"/>
      <w:marBottom w:val="0"/>
      <w:divBdr>
        <w:top w:val="none" w:sz="0" w:space="0" w:color="auto"/>
        <w:left w:val="none" w:sz="0" w:space="0" w:color="auto"/>
        <w:bottom w:val="none" w:sz="0" w:space="0" w:color="auto"/>
        <w:right w:val="none" w:sz="0" w:space="0" w:color="auto"/>
      </w:divBdr>
    </w:div>
    <w:div w:id="20960511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6291E-10D8-40D8-B0E5-3CFFC0071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4354</TotalTime>
  <Pages>55</Pages>
  <Words>8905</Words>
  <Characters>50759</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Joshua</dc:creator>
  <cp:lastModifiedBy>Joshua</cp:lastModifiedBy>
  <cp:revision>131</cp:revision>
  <dcterms:created xsi:type="dcterms:W3CDTF">2021-03-01T23:18:00Z</dcterms:created>
  <dcterms:modified xsi:type="dcterms:W3CDTF">2021-04-20T14:12:00Z</dcterms:modified>
</cp:coreProperties>
</file>