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7F7" w:rsidRPr="001C3EF3" w:rsidRDefault="003D07F7" w:rsidP="003D07F7">
      <w:pPr>
        <w:tabs>
          <w:tab w:val="left" w:pos="4320"/>
          <w:tab w:val="left" w:pos="4410"/>
        </w:tabs>
      </w:pPr>
      <w:r w:rsidRPr="001C3EF3">
        <w:rPr>
          <w:lang w:val="en-CA"/>
        </w:rPr>
        <w:t xml:space="preserve"> </w:t>
      </w:r>
      <w:r w:rsidR="00665C7E" w:rsidRPr="001C3EF3">
        <w:rPr>
          <w:lang w:val="en-CA"/>
        </w:rPr>
        <w:fldChar w:fldCharType="begin"/>
      </w:r>
      <w:r w:rsidRPr="001C3EF3">
        <w:rPr>
          <w:lang w:val="en-CA"/>
        </w:rPr>
        <w:instrText xml:space="preserve"> SEQ CHAPTER \h \r 1</w:instrText>
      </w:r>
      <w:r w:rsidR="00665C7E" w:rsidRPr="001C3EF3">
        <w:rPr>
          <w:lang w:val="en-CA"/>
        </w:rPr>
        <w:fldChar w:fldCharType="end"/>
      </w:r>
      <w:r w:rsidRPr="001C3EF3">
        <w:t>To the Graduate Council:</w:t>
      </w:r>
      <w:r w:rsidRPr="001C3EF3">
        <w:tab/>
      </w:r>
    </w:p>
    <w:p w:rsidR="003D07F7" w:rsidRPr="001C3EF3" w:rsidRDefault="003D07F7" w:rsidP="003D07F7"/>
    <w:p w:rsidR="003D07F7" w:rsidRPr="001C3EF3" w:rsidRDefault="003D07F7" w:rsidP="003D07F7">
      <w:r w:rsidRPr="001C3EF3">
        <w:t>I am submitting herewith a</w:t>
      </w:r>
      <w:r w:rsidR="00427833" w:rsidRPr="001C3EF3">
        <w:t xml:space="preserve"> thesis written by </w:t>
      </w:r>
      <w:r w:rsidR="008469C5" w:rsidRPr="001C3EF3">
        <w:t>Rebecca J. Taylor</w:t>
      </w:r>
      <w:r w:rsidR="00427833" w:rsidRPr="001C3EF3">
        <w:t xml:space="preserve"> </w:t>
      </w:r>
      <w:r w:rsidR="008469C5" w:rsidRPr="001C3EF3">
        <w:t xml:space="preserve">entitled </w:t>
      </w:r>
      <w:r w:rsidR="006E67B4" w:rsidRPr="001C3EF3">
        <w:t xml:space="preserve">“Paleodemography of the Larson Site (39WW2) Cemetery:  How Age-at-Death Methods Influence Model Estimation.” </w:t>
      </w:r>
      <w:r w:rsidRPr="001C3EF3">
        <w:t xml:space="preserve"> I have examined the final electronic copy of this thesis for form and content and recommend that it be accepted in partial fulfillment of the requirements for the degree of </w:t>
      </w:r>
      <w:r w:rsidR="006E67B4" w:rsidRPr="001C3EF3">
        <w:t>Doctorate of Philosophy</w:t>
      </w:r>
      <w:r w:rsidRPr="001C3EF3">
        <w:t xml:space="preserve">, with a major in </w:t>
      </w:r>
      <w:r w:rsidR="006E67B4" w:rsidRPr="001C3EF3">
        <w:t>Anthropology</w:t>
      </w:r>
      <w:r w:rsidRPr="001C3EF3">
        <w:t>.</w:t>
      </w:r>
    </w:p>
    <w:p w:rsidR="003D07F7" w:rsidRPr="001C3EF3" w:rsidRDefault="003D07F7" w:rsidP="003D07F7"/>
    <w:p w:rsidR="006E67B4" w:rsidRPr="001C3EF3" w:rsidRDefault="006E67B4" w:rsidP="003D07F7"/>
    <w:p w:rsidR="003D07F7" w:rsidRPr="001C3EF3" w:rsidRDefault="003D07F7" w:rsidP="003D07F7"/>
    <w:p w:rsidR="003D07F7" w:rsidRPr="001C3EF3" w:rsidRDefault="003D07F7" w:rsidP="00826D54">
      <w:pPr>
        <w:tabs>
          <w:tab w:val="left" w:pos="4050"/>
        </w:tabs>
      </w:pPr>
      <w:r w:rsidRPr="001C3EF3">
        <w:tab/>
      </w:r>
      <w:r w:rsidR="006E67B4" w:rsidRPr="001C3EF3">
        <w:t xml:space="preserve">Dr. Lyle </w:t>
      </w:r>
      <w:proofErr w:type="gramStart"/>
      <w:r w:rsidR="006E67B4" w:rsidRPr="001C3EF3">
        <w:t>Konigsberg</w:t>
      </w:r>
      <w:r w:rsidRPr="001C3EF3">
        <w:t xml:space="preserve"> ,</w:t>
      </w:r>
      <w:proofErr w:type="gramEnd"/>
      <w:r w:rsidRPr="001C3EF3">
        <w:t xml:space="preserve"> Major Professor</w:t>
      </w:r>
    </w:p>
    <w:p w:rsidR="003D07F7" w:rsidRPr="001C3EF3" w:rsidRDefault="003D07F7" w:rsidP="003D07F7"/>
    <w:p w:rsidR="003D07F7" w:rsidRPr="001C3EF3" w:rsidRDefault="003D07F7" w:rsidP="003D07F7"/>
    <w:p w:rsidR="003D07F7" w:rsidRPr="001C3EF3" w:rsidRDefault="003D07F7" w:rsidP="003D07F7">
      <w:r w:rsidRPr="001C3EF3">
        <w:t>We have read this dissertation</w:t>
      </w:r>
      <w:r w:rsidR="006E67B4" w:rsidRPr="001C3EF3">
        <w:t xml:space="preserve"> </w:t>
      </w:r>
      <w:r w:rsidRPr="001C3EF3">
        <w:t>and recommend its acceptance:</w:t>
      </w:r>
    </w:p>
    <w:p w:rsidR="006E67B4" w:rsidRPr="001C3EF3" w:rsidRDefault="006E67B4" w:rsidP="003D07F7"/>
    <w:p w:rsidR="003D07F7" w:rsidRPr="001C3EF3" w:rsidRDefault="00C90CC6" w:rsidP="003D07F7">
      <w:r>
        <w:rPr>
          <w:noProof/>
        </w:rPr>
        <mc:AlternateContent>
          <mc:Choice Requires="wps">
            <w:drawing>
              <wp:anchor distT="0" distB="0" distL="114300" distR="114300" simplePos="0" relativeHeight="251656704" behindDoc="0" locked="0" layoutInCell="1" allowOverlap="1">
                <wp:simplePos x="0" y="0"/>
                <wp:positionH relativeFrom="page">
                  <wp:posOffset>1146810</wp:posOffset>
                </wp:positionH>
                <wp:positionV relativeFrom="page">
                  <wp:posOffset>3696335</wp:posOffset>
                </wp:positionV>
                <wp:extent cx="1990090" cy="0"/>
                <wp:effectExtent l="13335" t="10160" r="6350" b="8890"/>
                <wp:wrapNone/>
                <wp:docPr id="3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090" cy="0"/>
                        </a:xfrm>
                        <a:prstGeom prst="line">
                          <a:avLst/>
                        </a:prstGeom>
                        <a:noFill/>
                        <a:ln w="12192">
                          <a:solidFill>
                            <a:srgbClr val="02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0.3pt,291.05pt" to="247pt,29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" strokecolor="#020000" strokeweight=".96pt">
                <w10:wrap anchorx="page" anchory="page"/>
              </v:line>
            </w:pict>
          </mc:Fallback>
        </mc:AlternateContent>
      </w:r>
      <w:r w:rsidR="006E67B4" w:rsidRPr="001C3EF3">
        <w:t>Dr. Lee Meadows Jantz</w:t>
      </w:r>
    </w:p>
    <w:p w:rsidR="003D07F7" w:rsidRPr="001C3EF3" w:rsidRDefault="003D07F7" w:rsidP="003D07F7"/>
    <w:p w:rsidR="003D07F7" w:rsidRPr="001C3EF3" w:rsidRDefault="003D07F7" w:rsidP="003D07F7"/>
    <w:p w:rsidR="003D07F7" w:rsidRPr="001C3EF3" w:rsidRDefault="003D07F7" w:rsidP="003D07F7"/>
    <w:p w:rsidR="003D07F7" w:rsidRPr="001C3EF3" w:rsidRDefault="006E67B4" w:rsidP="003D07F7">
      <w:r w:rsidRPr="001C3EF3">
        <w:t>Dr. Andrew Kramer</w:t>
      </w:r>
    </w:p>
    <w:p w:rsidR="003D07F7" w:rsidRPr="001C3EF3" w:rsidRDefault="00C90CC6" w:rsidP="003D07F7">
      <w:r>
        <w:rPr>
          <w:noProof/>
        </w:rPr>
        <mc:AlternateContent>
          <mc:Choice Requires="wps">
            <w:drawing>
              <wp:anchor distT="0" distB="0" distL="114300" distR="114300" simplePos="0" relativeHeight="251658752" behindDoc="0" locked="0" layoutInCell="1" allowOverlap="1">
                <wp:simplePos x="0" y="0"/>
                <wp:positionH relativeFrom="page">
                  <wp:posOffset>1146810</wp:posOffset>
                </wp:positionH>
                <wp:positionV relativeFrom="page">
                  <wp:posOffset>4417695</wp:posOffset>
                </wp:positionV>
                <wp:extent cx="1925320" cy="0"/>
                <wp:effectExtent l="13335" t="7620" r="13970" b="11430"/>
                <wp:wrapNone/>
                <wp:docPr id="3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5320" cy="0"/>
                        </a:xfrm>
                        <a:prstGeom prst="line">
                          <a:avLst/>
                        </a:prstGeom>
                        <a:noFill/>
                        <a:ln w="12192">
                          <a:solidFill>
                            <a:srgbClr val="02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0.3pt,347.85pt" to="241.9pt,3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" strokecolor="#020000" strokeweight=".96pt">
                <w10:wrap anchorx="page" anchory="page"/>
              </v:line>
            </w:pict>
          </mc:Fallback>
        </mc:AlternateContent>
      </w:r>
    </w:p>
    <w:p w:rsidR="003D07F7" w:rsidRPr="001C3EF3" w:rsidRDefault="003D07F7" w:rsidP="003D07F7"/>
    <w:p w:rsidR="003D07F7" w:rsidRPr="001C3EF3" w:rsidRDefault="003D07F7" w:rsidP="003D07F7"/>
    <w:p w:rsidR="003D07F7" w:rsidRPr="001C3EF3" w:rsidRDefault="00C90CC6" w:rsidP="003D07F7">
      <w:pPr>
        <w:tabs>
          <w:tab w:val="left" w:pos="4320"/>
        </w:tabs>
      </w:pPr>
      <w:r>
        <w:rPr>
          <w:noProof/>
        </w:rPr>
        <mc:AlternateContent>
          <mc:Choice Requires="wps">
            <w:drawing>
              <wp:anchor distT="0" distB="0" distL="114300" distR="114300" simplePos="0" relativeHeight="251655680" behindDoc="0" locked="0" layoutInCell="1" allowOverlap="1">
                <wp:simplePos x="0" y="0"/>
                <wp:positionH relativeFrom="page">
                  <wp:posOffset>1146810</wp:posOffset>
                </wp:positionH>
                <wp:positionV relativeFrom="page">
                  <wp:posOffset>5113020</wp:posOffset>
                </wp:positionV>
                <wp:extent cx="1925320" cy="0"/>
                <wp:effectExtent l="13335" t="7620" r="13970" b="11430"/>
                <wp:wrapNone/>
                <wp:docPr id="3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5320" cy="0"/>
                        </a:xfrm>
                        <a:prstGeom prst="line">
                          <a:avLst/>
                        </a:prstGeom>
                        <a:noFill/>
                        <a:ln w="12192">
                          <a:solidFill>
                            <a:srgbClr val="02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0.3pt,402.6pt" to="241.9pt,40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" strokecolor="#020000" strokeweight=".96pt">
                <w10:wrap anchorx="page" anchory="page"/>
              </v:line>
            </w:pict>
          </mc:Fallback>
        </mc:AlternateContent>
      </w:r>
      <w:r w:rsidR="006E67B4" w:rsidRPr="001C3EF3">
        <w:t>Dr. Darinka Mileusnic-Polchan</w:t>
      </w:r>
      <w:r w:rsidR="003D07F7" w:rsidRPr="001C3EF3">
        <w:t xml:space="preserve"> </w:t>
      </w:r>
    </w:p>
    <w:p w:rsidR="003D07F7" w:rsidRPr="001C3EF3" w:rsidRDefault="003D07F7" w:rsidP="003D07F7"/>
    <w:p w:rsidR="003D07F7" w:rsidRPr="001C3EF3" w:rsidRDefault="003D07F7" w:rsidP="003D07F7">
      <w:pPr>
        <w:tabs>
          <w:tab w:val="left" w:pos="4320"/>
        </w:tabs>
      </w:pPr>
    </w:p>
    <w:p w:rsidR="003D07F7" w:rsidRPr="001C3EF3" w:rsidRDefault="003D07F7" w:rsidP="003D07F7">
      <w:pPr>
        <w:tabs>
          <w:tab w:val="left" w:pos="4320"/>
        </w:tabs>
      </w:pPr>
    </w:p>
    <w:p w:rsidR="00826D54" w:rsidRPr="001C3EF3" w:rsidRDefault="00826D54" w:rsidP="00826D54">
      <w:pPr>
        <w:tabs>
          <w:tab w:val="left" w:pos="4050"/>
          <w:tab w:val="left" w:pos="4320"/>
        </w:tabs>
      </w:pPr>
      <w:r w:rsidRPr="001C3EF3">
        <w:tab/>
      </w:r>
      <w:r w:rsidR="003D07F7" w:rsidRPr="001C3EF3">
        <w:t>Accepted for the Council:</w:t>
      </w:r>
    </w:p>
    <w:p w:rsidR="00826D54" w:rsidRPr="001C3EF3" w:rsidRDefault="00826D54" w:rsidP="00826D54">
      <w:pPr>
        <w:tabs>
          <w:tab w:val="left" w:pos="4050"/>
          <w:tab w:val="left" w:pos="4320"/>
        </w:tabs>
      </w:pPr>
      <w:r w:rsidRPr="001C3EF3">
        <w:tab/>
      </w:r>
    </w:p>
    <w:p w:rsidR="003D07F7" w:rsidRPr="001C3EF3" w:rsidRDefault="00826D54" w:rsidP="00826D54">
      <w:pPr>
        <w:tabs>
          <w:tab w:val="left" w:pos="4050"/>
          <w:tab w:val="left" w:pos="4320"/>
        </w:tabs>
      </w:pPr>
      <w:r w:rsidRPr="001C3EF3">
        <w:tab/>
        <w:t>Carolyn R. Hodges</w:t>
      </w:r>
    </w:p>
    <w:p w:rsidR="003D07F7" w:rsidRPr="001C3EF3" w:rsidRDefault="00C90CC6" w:rsidP="00826D54">
      <w:pPr>
        <w:tabs>
          <w:tab w:val="left" w:pos="4050"/>
          <w:tab w:val="left" w:pos="4320"/>
        </w:tabs>
        <w:ind w:left="90" w:firstLine="2880"/>
      </w:pPr>
      <w:r>
        <w:rPr>
          <w:noProof/>
          <w:sz w:val="16"/>
          <w:szCs w:val="16"/>
        </w:rPr>
        <mc:AlternateContent>
          <mc:Choice Requires="wps">
            <w:drawing>
              <wp:anchor distT="0" distB="0" distL="114300" distR="114300" simplePos="0" relativeHeight="251657728" behindDoc="0" locked="0" layoutInCell="1" allowOverlap="1">
                <wp:simplePos x="0" y="0"/>
                <wp:positionH relativeFrom="page">
                  <wp:posOffset>3706495</wp:posOffset>
                </wp:positionH>
                <wp:positionV relativeFrom="page">
                  <wp:posOffset>6156325</wp:posOffset>
                </wp:positionV>
                <wp:extent cx="2199640" cy="0"/>
                <wp:effectExtent l="10795" t="12700" r="8890" b="6350"/>
                <wp:wrapNone/>
                <wp:docPr id="3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9640" cy="0"/>
                        </a:xfrm>
                        <a:prstGeom prst="line">
                          <a:avLst/>
                        </a:prstGeom>
                        <a:noFill/>
                        <a:ln w="12192">
                          <a:solidFill>
                            <a:srgbClr val="02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1.85pt,484.75pt" to="465.05pt,4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" strokecolor="#020000" strokeweight=".96pt">
                <w10:wrap anchorx="page" anchory="page"/>
              </v:line>
            </w:pict>
          </mc:Fallback>
        </mc:AlternateContent>
      </w:r>
      <w:r w:rsidR="003D07F7" w:rsidRPr="001C3EF3">
        <w:tab/>
        <w:t>Vice Provost and Dean of the Graduate School</w:t>
      </w:r>
    </w:p>
    <w:p w:rsidR="003D07F7" w:rsidRPr="001C3EF3" w:rsidRDefault="003D07F7" w:rsidP="003D07F7">
      <w:pPr>
        <w:tabs>
          <w:tab w:val="left" w:pos="180"/>
          <w:tab w:val="left" w:pos="360"/>
        </w:tabs>
        <w:ind w:left="90" w:firstLine="1080"/>
        <w:jc w:val="center"/>
      </w:pPr>
    </w:p>
    <w:p w:rsidR="003D07F7" w:rsidRPr="001C3EF3" w:rsidRDefault="003D07F7" w:rsidP="003D07F7">
      <w:pPr>
        <w:tabs>
          <w:tab w:val="left" w:pos="180"/>
          <w:tab w:val="left" w:pos="360"/>
        </w:tabs>
        <w:ind w:left="90" w:firstLine="1080"/>
        <w:jc w:val="center"/>
      </w:pPr>
    </w:p>
    <w:p w:rsidR="003D07F7" w:rsidRPr="001C3EF3" w:rsidRDefault="003D07F7" w:rsidP="003D07F7">
      <w:pPr>
        <w:tabs>
          <w:tab w:val="left" w:pos="180"/>
          <w:tab w:val="left" w:pos="360"/>
        </w:tabs>
        <w:ind w:left="90" w:firstLine="1080"/>
        <w:jc w:val="center"/>
      </w:pPr>
    </w:p>
    <w:p w:rsidR="003D07F7" w:rsidRPr="001C3EF3" w:rsidRDefault="003D07F7" w:rsidP="003D07F7">
      <w:pPr>
        <w:tabs>
          <w:tab w:val="left" w:pos="180"/>
          <w:tab w:val="left" w:pos="360"/>
        </w:tabs>
        <w:ind w:left="90" w:firstLine="1080"/>
        <w:jc w:val="center"/>
      </w:pPr>
    </w:p>
    <w:p w:rsidR="003D07F7" w:rsidRPr="001C3EF3" w:rsidRDefault="003D07F7" w:rsidP="003D07F7">
      <w:pPr>
        <w:tabs>
          <w:tab w:val="left" w:pos="180"/>
          <w:tab w:val="left" w:pos="360"/>
        </w:tabs>
        <w:ind w:left="90" w:firstLine="8450"/>
        <w:jc w:val="center"/>
      </w:pPr>
    </w:p>
    <w:p w:rsidR="003D07F7" w:rsidRPr="001C3EF3" w:rsidRDefault="003D07F7" w:rsidP="003D07F7">
      <w:pPr>
        <w:tabs>
          <w:tab w:val="left" w:pos="180"/>
          <w:tab w:val="left" w:pos="360"/>
        </w:tabs>
        <w:ind w:left="90" w:firstLine="8450"/>
        <w:jc w:val="center"/>
      </w:pPr>
    </w:p>
    <w:p w:rsidR="003D07F7" w:rsidRPr="001C3EF3" w:rsidRDefault="003D07F7" w:rsidP="003D07F7">
      <w:pPr>
        <w:tabs>
          <w:tab w:val="left" w:pos="180"/>
          <w:tab w:val="left" w:pos="360"/>
        </w:tabs>
        <w:ind w:left="90" w:firstLine="8450"/>
        <w:jc w:val="center"/>
      </w:pPr>
    </w:p>
    <w:p w:rsidR="003D07F7" w:rsidRPr="001C3EF3" w:rsidRDefault="003D07F7" w:rsidP="003D07F7">
      <w:pPr>
        <w:tabs>
          <w:tab w:val="left" w:pos="180"/>
          <w:tab w:val="left" w:pos="360"/>
        </w:tabs>
        <w:ind w:left="90" w:firstLine="8450"/>
        <w:jc w:val="center"/>
      </w:pPr>
    </w:p>
    <w:p w:rsidR="003D07F7" w:rsidRPr="001C3EF3" w:rsidRDefault="003D07F7" w:rsidP="003D07F7">
      <w:pPr>
        <w:tabs>
          <w:tab w:val="left" w:pos="180"/>
          <w:tab w:val="left" w:pos="360"/>
        </w:tabs>
        <w:ind w:left="90" w:firstLine="8450"/>
        <w:jc w:val="center"/>
      </w:pPr>
    </w:p>
    <w:p w:rsidR="003D07F7" w:rsidRPr="001C3EF3" w:rsidRDefault="003D07F7" w:rsidP="003D07F7">
      <w:pPr>
        <w:tabs>
          <w:tab w:val="left" w:pos="180"/>
          <w:tab w:val="left" w:pos="360"/>
        </w:tabs>
        <w:ind w:left="90" w:firstLine="8450"/>
        <w:jc w:val="center"/>
      </w:pPr>
    </w:p>
    <w:p w:rsidR="003D07F7" w:rsidRPr="001C3EF3" w:rsidRDefault="003D07F7" w:rsidP="003D07F7">
      <w:pPr>
        <w:tabs>
          <w:tab w:val="left" w:pos="180"/>
          <w:tab w:val="left" w:pos="360"/>
        </w:tabs>
        <w:ind w:left="90" w:firstLine="8450"/>
        <w:jc w:val="center"/>
      </w:pPr>
    </w:p>
    <w:p w:rsidR="003D07F7" w:rsidRPr="001C3EF3" w:rsidRDefault="003D07F7" w:rsidP="003D07F7">
      <w:pPr>
        <w:tabs>
          <w:tab w:val="left" w:pos="180"/>
          <w:tab w:val="left" w:pos="360"/>
        </w:tabs>
        <w:ind w:left="90" w:firstLine="540"/>
        <w:jc w:val="center"/>
      </w:pPr>
      <w:r w:rsidRPr="001C3EF3">
        <w:t>(Original signatures are on file with official student records.)</w:t>
      </w:r>
    </w:p>
    <w:p w:rsidR="0087349A" w:rsidRPr="001C3EF3" w:rsidRDefault="0087349A" w:rsidP="0087349A"/>
    <w:p w:rsidR="0087349A" w:rsidRPr="001C3EF3" w:rsidRDefault="0087349A">
      <w:pPr>
        <w:jc w:val="center"/>
        <w:rPr>
          <w:b/>
          <w:sz w:val="36"/>
          <w:szCs w:val="36"/>
          <w:lang w:val="en-CA"/>
        </w:rPr>
        <w:sectPr w:rsidR="0087349A" w:rsidRPr="001C3EF3" w:rsidSect="001D4908">
          <w:headerReference w:type="even" r:id="rId9"/>
          <w:headerReference w:type="default" r:id="rId10"/>
          <w:footerReference w:type="default" r:id="rId11"/>
          <w:type w:val="continuous"/>
          <w:pgSz w:w="12240" w:h="15840" w:code="1"/>
          <w:pgMar w:top="1440" w:right="1800" w:bottom="1872" w:left="1800" w:header="720" w:footer="1440" w:gutter="0"/>
          <w:pgNumType w:fmt="lowerRoman" w:start="1"/>
          <w:cols w:space="720"/>
          <w:noEndnote/>
          <w:titlePg/>
        </w:sectPr>
      </w:pPr>
    </w:p>
    <w:p w:rsidR="003D07F7" w:rsidRPr="001C3EF3" w:rsidRDefault="006E67B4">
      <w:pPr>
        <w:jc w:val="center"/>
        <w:rPr>
          <w:b/>
          <w:sz w:val="36"/>
          <w:szCs w:val="36"/>
          <w:lang w:val="en-CA"/>
        </w:rPr>
      </w:pPr>
      <w:r w:rsidRPr="001C3EF3">
        <w:rPr>
          <w:b/>
          <w:sz w:val="36"/>
          <w:szCs w:val="36"/>
          <w:lang w:val="en-CA"/>
        </w:rPr>
        <w:lastRenderedPageBreak/>
        <w:t>PALEODEMOGRAPHY OF THE LARSON SITE (39WW2) CEMETERY:  HOW AGE-AT-DEATH METHODS INFLUENCE MODEL ESTIMATION</w:t>
      </w: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9C755C">
      <w:pPr>
        <w:jc w:val="center"/>
        <w:rPr>
          <w:sz w:val="36"/>
          <w:szCs w:val="36"/>
        </w:rPr>
      </w:pPr>
      <w:r w:rsidRPr="001C3EF3">
        <w:rPr>
          <w:sz w:val="36"/>
          <w:szCs w:val="36"/>
        </w:rPr>
        <w:t>A Thesis Presented for</w:t>
      </w:r>
      <w:r w:rsidR="008865B6" w:rsidRPr="001C3EF3">
        <w:rPr>
          <w:sz w:val="36"/>
          <w:szCs w:val="36"/>
        </w:rPr>
        <w:t xml:space="preserve"> the</w:t>
      </w:r>
    </w:p>
    <w:p w:rsidR="009C755C" w:rsidRPr="001C3EF3" w:rsidRDefault="008469C5">
      <w:pPr>
        <w:jc w:val="center"/>
        <w:rPr>
          <w:sz w:val="36"/>
          <w:szCs w:val="36"/>
        </w:rPr>
      </w:pPr>
      <w:r w:rsidRPr="001C3EF3">
        <w:rPr>
          <w:sz w:val="36"/>
          <w:szCs w:val="36"/>
        </w:rPr>
        <w:t>Doctor of Philosophy</w:t>
      </w:r>
    </w:p>
    <w:p w:rsidR="009C755C" w:rsidRPr="001C3EF3" w:rsidRDefault="009C755C">
      <w:pPr>
        <w:jc w:val="center"/>
        <w:rPr>
          <w:sz w:val="36"/>
          <w:szCs w:val="36"/>
        </w:rPr>
      </w:pPr>
      <w:r w:rsidRPr="001C3EF3">
        <w:rPr>
          <w:sz w:val="36"/>
          <w:szCs w:val="36"/>
        </w:rPr>
        <w:t>Degree</w:t>
      </w:r>
    </w:p>
    <w:p w:rsidR="009C755C" w:rsidRPr="001C3EF3" w:rsidRDefault="009C755C">
      <w:pPr>
        <w:jc w:val="center"/>
        <w:rPr>
          <w:sz w:val="36"/>
          <w:szCs w:val="36"/>
        </w:rPr>
      </w:pPr>
      <w:r w:rsidRPr="001C3EF3">
        <w:rPr>
          <w:sz w:val="36"/>
          <w:szCs w:val="36"/>
        </w:rPr>
        <w:t xml:space="preserve">The </w:t>
      </w:r>
      <w:smartTag w:uri="urn:schemas-microsoft-com:office:smarttags" w:element="PlaceType">
        <w:r w:rsidRPr="001C3EF3">
          <w:rPr>
            <w:sz w:val="36"/>
            <w:szCs w:val="36"/>
          </w:rPr>
          <w:t>University</w:t>
        </w:r>
      </w:smartTag>
      <w:r w:rsidRPr="001C3EF3">
        <w:rPr>
          <w:sz w:val="36"/>
          <w:szCs w:val="36"/>
        </w:rPr>
        <w:t xml:space="preserve"> of </w:t>
      </w:r>
      <w:smartTag w:uri="urn:schemas-microsoft-com:office:smarttags" w:element="PlaceName">
        <w:r w:rsidRPr="001C3EF3">
          <w:rPr>
            <w:sz w:val="36"/>
            <w:szCs w:val="36"/>
          </w:rPr>
          <w:t>Tennessee</w:t>
        </w:r>
      </w:smartTag>
      <w:r w:rsidRPr="001C3EF3">
        <w:rPr>
          <w:sz w:val="36"/>
          <w:szCs w:val="36"/>
        </w:rPr>
        <w:t xml:space="preserve">, </w:t>
      </w:r>
      <w:smartTag w:uri="urn:schemas-microsoft-com:office:smarttags" w:element="country-region">
        <w:smartTag w:uri="urn:schemas-microsoft-com:office:smarttags" w:element="City">
          <w:r w:rsidRPr="001C3EF3">
            <w:rPr>
              <w:sz w:val="36"/>
              <w:szCs w:val="36"/>
            </w:rPr>
            <w:t>Knoxville</w:t>
          </w:r>
        </w:smartTag>
      </w:smartTag>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8469C5">
      <w:pPr>
        <w:jc w:val="center"/>
        <w:rPr>
          <w:sz w:val="36"/>
          <w:szCs w:val="36"/>
        </w:rPr>
      </w:pPr>
      <w:r w:rsidRPr="001C3EF3">
        <w:rPr>
          <w:sz w:val="36"/>
          <w:szCs w:val="36"/>
        </w:rPr>
        <w:t>Rebecca J. Taylor</w:t>
      </w:r>
    </w:p>
    <w:p w:rsidR="009C755C" w:rsidRPr="001C3EF3" w:rsidRDefault="008469C5">
      <w:pPr>
        <w:jc w:val="center"/>
        <w:rPr>
          <w:sz w:val="36"/>
          <w:szCs w:val="36"/>
        </w:rPr>
      </w:pPr>
      <w:r w:rsidRPr="001C3EF3">
        <w:rPr>
          <w:sz w:val="36"/>
          <w:szCs w:val="36"/>
        </w:rPr>
        <w:t>May 2013</w:t>
      </w: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236E6D">
      <w:pPr>
        <w:jc w:val="center"/>
        <w:rPr>
          <w:sz w:val="36"/>
          <w:szCs w:val="36"/>
        </w:rPr>
      </w:pPr>
    </w:p>
    <w:p w:rsidR="00236E6D" w:rsidRPr="001C3EF3" w:rsidRDefault="003D07F7" w:rsidP="00D91C27">
      <w:pPr>
        <w:jc w:val="center"/>
      </w:pPr>
      <w:proofErr w:type="gramStart"/>
      <w:r w:rsidRPr="001C3EF3">
        <w:t>Copyright © 20</w:t>
      </w:r>
      <w:r w:rsidR="008469C5" w:rsidRPr="001C3EF3">
        <w:t>13</w:t>
      </w:r>
      <w:r w:rsidR="00236E6D" w:rsidRPr="001C3EF3">
        <w:t xml:space="preserve"> by </w:t>
      </w:r>
      <w:r w:rsidR="008469C5" w:rsidRPr="001C3EF3">
        <w:t>Rebecca J. Taylor</w:t>
      </w:r>
      <w:r w:rsidR="008865B6" w:rsidRPr="001C3EF3">
        <w:t>.</w:t>
      </w:r>
      <w:proofErr w:type="gramEnd"/>
      <w:r w:rsidR="008865B6" w:rsidRPr="001C3EF3">
        <w:t xml:space="preserve"> </w:t>
      </w:r>
    </w:p>
    <w:p w:rsidR="00236E6D" w:rsidRPr="001C3EF3" w:rsidRDefault="00236E6D">
      <w:pPr>
        <w:jc w:val="center"/>
      </w:pPr>
      <w:r w:rsidRPr="001C3EF3">
        <w:t>All rights reserved.</w:t>
      </w: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236E6D" w:rsidRPr="001C3EF3" w:rsidRDefault="00236E6D">
      <w:pPr>
        <w:jc w:val="center"/>
      </w:pPr>
    </w:p>
    <w:p w:rsidR="00CD73A9" w:rsidRPr="001C3EF3" w:rsidRDefault="00236E6D" w:rsidP="009C755C">
      <w:pPr>
        <w:jc w:val="center"/>
        <w:rPr>
          <w:b/>
          <w:sz w:val="28"/>
          <w:szCs w:val="28"/>
        </w:rPr>
      </w:pPr>
      <w:r w:rsidRPr="001C3EF3">
        <w:rPr>
          <w:sz w:val="36"/>
          <w:szCs w:val="36"/>
        </w:rPr>
        <w:br w:type="page"/>
      </w:r>
      <w:r w:rsidR="00CD73A9" w:rsidRPr="001C3EF3">
        <w:rPr>
          <w:b/>
          <w:sz w:val="28"/>
          <w:szCs w:val="28"/>
        </w:rPr>
        <w:lastRenderedPageBreak/>
        <w:t>ACKNOWLEDGEMENTS</w:t>
      </w:r>
    </w:p>
    <w:p w:rsidR="00CD73A9" w:rsidRPr="001C3EF3" w:rsidRDefault="00CD73A9">
      <w:pPr>
        <w:jc w:val="center"/>
      </w:pPr>
    </w:p>
    <w:p w:rsidR="00236E6D" w:rsidRPr="001C3EF3" w:rsidRDefault="00CD73A9" w:rsidP="00A26AAF">
      <w:pPr>
        <w:ind w:firstLine="720"/>
        <w:jc w:val="center"/>
      </w:pPr>
      <w:r w:rsidRPr="001C3EF3">
        <w:rPr>
          <w:sz w:val="36"/>
          <w:szCs w:val="36"/>
        </w:rPr>
        <w:br w:type="page"/>
      </w:r>
      <w:r w:rsidR="00236E6D" w:rsidRPr="001C3EF3">
        <w:rPr>
          <w:b/>
          <w:bCs/>
          <w:sz w:val="28"/>
          <w:szCs w:val="28"/>
        </w:rPr>
        <w:lastRenderedPageBreak/>
        <w:t>ABSTRACT</w:t>
      </w:r>
    </w:p>
    <w:p w:rsidR="00236E6D" w:rsidRPr="001C3EF3" w:rsidRDefault="00236E6D"/>
    <w:p w:rsidR="0099439E" w:rsidRDefault="0099439E" w:rsidP="0099439E">
      <w:pPr>
        <w:spacing w:line="480" w:lineRule="auto"/>
        <w:ind w:firstLine="720"/>
      </w:pPr>
      <w:r>
        <w:t xml:space="preserve">The Arikara are one of the last known Native American populations to have direct, long-lasting contact with Europeans. </w:t>
      </w:r>
      <w:r w:rsidR="002426F8">
        <w:t xml:space="preserve"> </w:t>
      </w:r>
      <w:r>
        <w:t>Prior to westward expansion of European settlers, the Arikara served as middlemen in a complex trade network that brought European goods to the Upper Plains in exchange for fur and food items.  In the 18</w:t>
      </w:r>
      <w:r w:rsidRPr="00B3340D">
        <w:rPr>
          <w:vertAlign w:val="superscript"/>
        </w:rPr>
        <w:t>th</w:t>
      </w:r>
      <w:r>
        <w:t xml:space="preserve"> century with a growing European presence in the region, the Arikara experienced drastic </w:t>
      </w:r>
      <w:r w:rsidR="002426F8">
        <w:t>bio-cultural and socio-political destabilization leading to population decline</w:t>
      </w:r>
      <w:r>
        <w:t>.  The extent and speed of these transitions is unclear, because of limited written records prior to the early 19</w:t>
      </w:r>
      <w:r w:rsidRPr="00B3340D">
        <w:rPr>
          <w:vertAlign w:val="superscript"/>
        </w:rPr>
        <w:t>th</w:t>
      </w:r>
      <w:r>
        <w:t xml:space="preserve"> century.  However, several hypotheses have been proposed to account for the near extinction of </w:t>
      </w:r>
      <w:r w:rsidR="002426F8">
        <w:t xml:space="preserve">the </w:t>
      </w:r>
      <w:r>
        <w:t xml:space="preserve">Arikara tribe including warfare, inter- and intra-tribal conflict, disease, and resource stress. </w:t>
      </w:r>
    </w:p>
    <w:p w:rsidR="0099439E" w:rsidRDefault="0099439E" w:rsidP="0099439E">
      <w:pPr>
        <w:spacing w:line="480" w:lineRule="auto"/>
        <w:ind w:firstLine="720"/>
      </w:pPr>
      <w:r>
        <w:t>This research sought to better understand the population dynamics of the Larson Site cemetery. The Larson site (39WW2), a relatively unbiased and well-preserved skeletal assem</w:t>
      </w:r>
      <w:r w:rsidR="002426F8">
        <w:t xml:space="preserve">blage (N=643), was re-analyzed </w:t>
      </w:r>
      <w:r>
        <w:t xml:space="preserve">to evaluate the demographic variability associated with increased European presence.  The main focus of this research demonstrates how age-at-death estimation methods impact the mortality profiles and demographic measures derived from them.  Several methods serve as the basis for age-at-death estimates, including traditional phase-base approaches, skeletal development, Transition Analysis, Multifactorial approaches for both juvenile and adult individuals, and Calibrated Expert Inference. </w:t>
      </w:r>
      <w:r w:rsidR="002426F8">
        <w:t xml:space="preserve"> </w:t>
      </w:r>
      <w:r>
        <w:t xml:space="preserve">The age-at-death estimates provided the data for parametric hazards model fitting.  The Siler model was used to understand the overall pattern of mortality, while the Gompertz and Gompertz-Makeham were used to explore adult-specific mortality patterns.  The results indicate that the mortality pattern does not </w:t>
      </w:r>
      <w:r>
        <w:lastRenderedPageBreak/>
        <w:t xml:space="preserve">differ from expected pre-industrial populations. However, the high number of juveniles and the relatively low survivorship of adults </w:t>
      </w:r>
      <w:proofErr w:type="gramStart"/>
      <w:r>
        <w:t>implies</w:t>
      </w:r>
      <w:proofErr w:type="gramEnd"/>
      <w:r>
        <w:t xml:space="preserve"> that the population may have been experiencing a mortality event, like an epidemic or have a significant growth and death rate that must be incorporated into future models.  </w:t>
      </w:r>
      <w:proofErr w:type="gramStart"/>
      <w:r>
        <w:t>Also ,</w:t>
      </w:r>
      <w:proofErr w:type="gramEnd"/>
      <w:r>
        <w:t xml:space="preserve"> a sex-specific pattern of adult mortality is not apparent statistically as has been previously hypothesized.  This research is the beginning of a larger project to explore the utility of multistate models of morbidity and mortality to better explain the population dynamics within the Larson site and between the Larson and other Arikara villages.</w:t>
      </w:r>
    </w:p>
    <w:p w:rsidR="00236E6D" w:rsidRPr="001C3EF3" w:rsidRDefault="00236E6D" w:rsidP="003C573E">
      <w:pPr>
        <w:jc w:val="center"/>
      </w:pPr>
      <w:r w:rsidRPr="001C3EF3">
        <w:br w:type="page"/>
      </w:r>
      <w:r w:rsidRPr="001C3EF3">
        <w:rPr>
          <w:b/>
          <w:bCs/>
          <w:sz w:val="28"/>
          <w:szCs w:val="28"/>
        </w:rPr>
        <w:lastRenderedPageBreak/>
        <w:t>TABLE OF CONTENTS</w:t>
      </w:r>
    </w:p>
    <w:p w:rsidR="00236E6D" w:rsidRPr="001C3EF3" w:rsidRDefault="00236E6D">
      <w:pPr>
        <w:numPr>
          <w:ilvl w:val="12"/>
          <w:numId w:val="0"/>
        </w:numPr>
        <w:jc w:val="center"/>
      </w:pPr>
    </w:p>
    <w:p w:rsidR="00EC3318" w:rsidRDefault="00665C7E">
      <w:pPr>
        <w:pStyle w:val="TOC2"/>
        <w:tabs>
          <w:tab w:val="right" w:leader="dot" w:pos="8630"/>
        </w:tabs>
        <w:rPr>
          <w:rFonts w:asciiTheme="minorHAnsi" w:eastAsiaTheme="minorEastAsia" w:hAnsiTheme="minorHAnsi" w:cstheme="minorBidi"/>
          <w:noProof/>
          <w:sz w:val="22"/>
          <w:szCs w:val="22"/>
        </w:rPr>
      </w:pPr>
      <w:r w:rsidRPr="001C3EF3">
        <w:fldChar w:fldCharType="begin"/>
      </w:r>
      <w:r w:rsidR="00236E6D" w:rsidRPr="001C3EF3">
        <w:instrText xml:space="preserve"> TOC \o "1-3" \h \z </w:instrText>
      </w:r>
      <w:r w:rsidRPr="001C3EF3">
        <w:fldChar w:fldCharType="separate"/>
      </w:r>
      <w:hyperlink w:anchor="_Toc349858113" w:history="1">
        <w:r w:rsidR="00EC3318" w:rsidRPr="00597FD3">
          <w:rPr>
            <w:rStyle w:val="Hyperlink"/>
            <w:noProof/>
          </w:rPr>
          <w:t>CHAPTER 1</w:t>
        </w:r>
        <w:r w:rsidR="00EC3318">
          <w:rPr>
            <w:noProof/>
            <w:webHidden/>
          </w:rPr>
          <w:tab/>
        </w:r>
        <w:r w:rsidR="00EC3318">
          <w:rPr>
            <w:noProof/>
            <w:webHidden/>
          </w:rPr>
          <w:fldChar w:fldCharType="begin"/>
        </w:r>
        <w:r w:rsidR="00EC3318">
          <w:rPr>
            <w:noProof/>
            <w:webHidden/>
          </w:rPr>
          <w:instrText xml:space="preserve"> PAGEREF _Toc349858113 \h </w:instrText>
        </w:r>
        <w:r w:rsidR="00EC3318">
          <w:rPr>
            <w:noProof/>
            <w:webHidden/>
          </w:rPr>
        </w:r>
        <w:r w:rsidR="00EC3318">
          <w:rPr>
            <w:noProof/>
            <w:webHidden/>
          </w:rPr>
          <w:fldChar w:fldCharType="separate"/>
        </w:r>
        <w:r w:rsidR="004218AA">
          <w:rPr>
            <w:noProof/>
            <w:webHidden/>
          </w:rPr>
          <w:t>1</w:t>
        </w:r>
        <w:r w:rsidR="00EC3318">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14" w:history="1">
        <w:r w:rsidRPr="00597FD3">
          <w:rPr>
            <w:rStyle w:val="Hyperlink"/>
            <w:noProof/>
          </w:rPr>
          <w:t>Introduction</w:t>
        </w:r>
        <w:r>
          <w:rPr>
            <w:noProof/>
            <w:webHidden/>
          </w:rPr>
          <w:tab/>
        </w:r>
        <w:r>
          <w:rPr>
            <w:noProof/>
            <w:webHidden/>
          </w:rPr>
          <w:fldChar w:fldCharType="begin"/>
        </w:r>
        <w:r>
          <w:rPr>
            <w:noProof/>
            <w:webHidden/>
          </w:rPr>
          <w:instrText xml:space="preserve"> PAGEREF _Toc349858114 \h </w:instrText>
        </w:r>
        <w:r>
          <w:rPr>
            <w:noProof/>
            <w:webHidden/>
          </w:rPr>
        </w:r>
        <w:r>
          <w:rPr>
            <w:noProof/>
            <w:webHidden/>
          </w:rPr>
          <w:fldChar w:fldCharType="separate"/>
        </w:r>
        <w:r w:rsidR="004218AA">
          <w:rPr>
            <w:noProof/>
            <w:webHidden/>
          </w:rPr>
          <w:t>1</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15" w:history="1">
        <w:r w:rsidRPr="00597FD3">
          <w:rPr>
            <w:rStyle w:val="Hyperlink"/>
            <w:rFonts w:eastAsia="Calibri"/>
            <w:noProof/>
          </w:rPr>
          <w:t>Hypotheses</w:t>
        </w:r>
        <w:r>
          <w:rPr>
            <w:noProof/>
            <w:webHidden/>
          </w:rPr>
          <w:tab/>
        </w:r>
        <w:r>
          <w:rPr>
            <w:noProof/>
            <w:webHidden/>
          </w:rPr>
          <w:fldChar w:fldCharType="begin"/>
        </w:r>
        <w:r>
          <w:rPr>
            <w:noProof/>
            <w:webHidden/>
          </w:rPr>
          <w:instrText xml:space="preserve"> PAGEREF _Toc349858115 \h </w:instrText>
        </w:r>
        <w:r>
          <w:rPr>
            <w:noProof/>
            <w:webHidden/>
          </w:rPr>
        </w:r>
        <w:r>
          <w:rPr>
            <w:noProof/>
            <w:webHidden/>
          </w:rPr>
          <w:fldChar w:fldCharType="separate"/>
        </w:r>
        <w:r w:rsidR="004218AA">
          <w:rPr>
            <w:noProof/>
            <w:webHidden/>
          </w:rPr>
          <w:t>4</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16" w:history="1">
        <w:r w:rsidRPr="00597FD3">
          <w:rPr>
            <w:rStyle w:val="Hyperlink"/>
            <w:noProof/>
          </w:rPr>
          <w:t>CHAPTER 2</w:t>
        </w:r>
        <w:r>
          <w:rPr>
            <w:noProof/>
            <w:webHidden/>
          </w:rPr>
          <w:tab/>
        </w:r>
        <w:r>
          <w:rPr>
            <w:noProof/>
            <w:webHidden/>
          </w:rPr>
          <w:fldChar w:fldCharType="begin"/>
        </w:r>
        <w:r>
          <w:rPr>
            <w:noProof/>
            <w:webHidden/>
          </w:rPr>
          <w:instrText xml:space="preserve"> PAGEREF _Toc349858116 \h </w:instrText>
        </w:r>
        <w:r>
          <w:rPr>
            <w:noProof/>
            <w:webHidden/>
          </w:rPr>
        </w:r>
        <w:r>
          <w:rPr>
            <w:noProof/>
            <w:webHidden/>
          </w:rPr>
          <w:fldChar w:fldCharType="separate"/>
        </w:r>
        <w:r w:rsidR="004218AA">
          <w:rPr>
            <w:noProof/>
            <w:webHidden/>
          </w:rPr>
          <w:t>10</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17" w:history="1">
        <w:r w:rsidRPr="00597FD3">
          <w:rPr>
            <w:rStyle w:val="Hyperlink"/>
            <w:noProof/>
          </w:rPr>
          <w:t>Archaeology and Cultural Affiliation of Larson Site (39WW2)</w:t>
        </w:r>
        <w:r>
          <w:rPr>
            <w:noProof/>
            <w:webHidden/>
          </w:rPr>
          <w:tab/>
        </w:r>
        <w:r>
          <w:rPr>
            <w:noProof/>
            <w:webHidden/>
          </w:rPr>
          <w:fldChar w:fldCharType="begin"/>
        </w:r>
        <w:r>
          <w:rPr>
            <w:noProof/>
            <w:webHidden/>
          </w:rPr>
          <w:instrText xml:space="preserve"> PAGEREF _Toc349858117 \h </w:instrText>
        </w:r>
        <w:r>
          <w:rPr>
            <w:noProof/>
            <w:webHidden/>
          </w:rPr>
        </w:r>
        <w:r>
          <w:rPr>
            <w:noProof/>
            <w:webHidden/>
          </w:rPr>
          <w:fldChar w:fldCharType="separate"/>
        </w:r>
        <w:r w:rsidR="004218AA">
          <w:rPr>
            <w:noProof/>
            <w:webHidden/>
          </w:rPr>
          <w:t>10</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18" w:history="1">
        <w:r w:rsidRPr="00597FD3">
          <w:rPr>
            <w:rStyle w:val="Hyperlink"/>
            <w:noProof/>
          </w:rPr>
          <w:t>Background</w:t>
        </w:r>
        <w:r>
          <w:rPr>
            <w:noProof/>
            <w:webHidden/>
          </w:rPr>
          <w:tab/>
        </w:r>
        <w:r>
          <w:rPr>
            <w:noProof/>
            <w:webHidden/>
          </w:rPr>
          <w:fldChar w:fldCharType="begin"/>
        </w:r>
        <w:r>
          <w:rPr>
            <w:noProof/>
            <w:webHidden/>
          </w:rPr>
          <w:instrText xml:space="preserve"> PAGEREF _Toc349858118 \h </w:instrText>
        </w:r>
        <w:r>
          <w:rPr>
            <w:noProof/>
            <w:webHidden/>
          </w:rPr>
        </w:r>
        <w:r>
          <w:rPr>
            <w:noProof/>
            <w:webHidden/>
          </w:rPr>
          <w:fldChar w:fldCharType="separate"/>
        </w:r>
        <w:r w:rsidR="004218AA">
          <w:rPr>
            <w:noProof/>
            <w:webHidden/>
          </w:rPr>
          <w:t>10</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19" w:history="1">
        <w:r w:rsidRPr="00597FD3">
          <w:rPr>
            <w:rStyle w:val="Hyperlink"/>
            <w:noProof/>
          </w:rPr>
          <w:t>Cultural Affiliation</w:t>
        </w:r>
        <w:r>
          <w:rPr>
            <w:noProof/>
            <w:webHidden/>
          </w:rPr>
          <w:tab/>
        </w:r>
        <w:r>
          <w:rPr>
            <w:noProof/>
            <w:webHidden/>
          </w:rPr>
          <w:fldChar w:fldCharType="begin"/>
        </w:r>
        <w:r>
          <w:rPr>
            <w:noProof/>
            <w:webHidden/>
          </w:rPr>
          <w:instrText xml:space="preserve"> PAGEREF _Toc349858119 \h </w:instrText>
        </w:r>
        <w:r>
          <w:rPr>
            <w:noProof/>
            <w:webHidden/>
          </w:rPr>
        </w:r>
        <w:r>
          <w:rPr>
            <w:noProof/>
            <w:webHidden/>
          </w:rPr>
          <w:fldChar w:fldCharType="separate"/>
        </w:r>
        <w:r w:rsidR="004218AA">
          <w:rPr>
            <w:noProof/>
            <w:webHidden/>
          </w:rPr>
          <w:t>11</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0" w:history="1">
        <w:r w:rsidRPr="00597FD3">
          <w:rPr>
            <w:rStyle w:val="Hyperlink"/>
            <w:noProof/>
          </w:rPr>
          <w:t>The Archaeological Context</w:t>
        </w:r>
        <w:r>
          <w:rPr>
            <w:noProof/>
            <w:webHidden/>
          </w:rPr>
          <w:tab/>
        </w:r>
        <w:r>
          <w:rPr>
            <w:noProof/>
            <w:webHidden/>
          </w:rPr>
          <w:fldChar w:fldCharType="begin"/>
        </w:r>
        <w:r>
          <w:rPr>
            <w:noProof/>
            <w:webHidden/>
          </w:rPr>
          <w:instrText xml:space="preserve"> PAGEREF _Toc349858120 \h </w:instrText>
        </w:r>
        <w:r>
          <w:rPr>
            <w:noProof/>
            <w:webHidden/>
          </w:rPr>
        </w:r>
        <w:r>
          <w:rPr>
            <w:noProof/>
            <w:webHidden/>
          </w:rPr>
          <w:fldChar w:fldCharType="separate"/>
        </w:r>
        <w:r w:rsidR="004218AA">
          <w:rPr>
            <w:noProof/>
            <w:webHidden/>
          </w:rPr>
          <w:t>13</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1" w:history="1">
        <w:r w:rsidRPr="00597FD3">
          <w:rPr>
            <w:rStyle w:val="Hyperlink"/>
            <w:noProof/>
          </w:rPr>
          <w:t>The Arikara</w:t>
        </w:r>
        <w:r>
          <w:rPr>
            <w:noProof/>
            <w:webHidden/>
          </w:rPr>
          <w:tab/>
        </w:r>
        <w:r>
          <w:rPr>
            <w:noProof/>
            <w:webHidden/>
          </w:rPr>
          <w:fldChar w:fldCharType="begin"/>
        </w:r>
        <w:r>
          <w:rPr>
            <w:noProof/>
            <w:webHidden/>
          </w:rPr>
          <w:instrText xml:space="preserve"> PAGEREF _Toc349858121 \h </w:instrText>
        </w:r>
        <w:r>
          <w:rPr>
            <w:noProof/>
            <w:webHidden/>
          </w:rPr>
        </w:r>
        <w:r>
          <w:rPr>
            <w:noProof/>
            <w:webHidden/>
          </w:rPr>
          <w:fldChar w:fldCharType="separate"/>
        </w:r>
        <w:r w:rsidR="004218AA">
          <w:rPr>
            <w:noProof/>
            <w:webHidden/>
          </w:rPr>
          <w:t>17</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2" w:history="1">
        <w:r w:rsidRPr="00597FD3">
          <w:rPr>
            <w:rStyle w:val="Hyperlink"/>
            <w:noProof/>
          </w:rPr>
          <w:t>Pre-Historic Mortality</w:t>
        </w:r>
        <w:r>
          <w:rPr>
            <w:noProof/>
            <w:webHidden/>
          </w:rPr>
          <w:tab/>
        </w:r>
        <w:r>
          <w:rPr>
            <w:noProof/>
            <w:webHidden/>
          </w:rPr>
          <w:fldChar w:fldCharType="begin"/>
        </w:r>
        <w:r>
          <w:rPr>
            <w:noProof/>
            <w:webHidden/>
          </w:rPr>
          <w:instrText xml:space="preserve"> PAGEREF _Toc349858122 \h </w:instrText>
        </w:r>
        <w:r>
          <w:rPr>
            <w:noProof/>
            <w:webHidden/>
          </w:rPr>
        </w:r>
        <w:r>
          <w:rPr>
            <w:noProof/>
            <w:webHidden/>
          </w:rPr>
          <w:fldChar w:fldCharType="separate"/>
        </w:r>
        <w:r w:rsidR="004218AA">
          <w:rPr>
            <w:noProof/>
            <w:webHidden/>
          </w:rPr>
          <w:t>20</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3" w:history="1">
        <w:r w:rsidRPr="00597FD3">
          <w:rPr>
            <w:rStyle w:val="Hyperlink"/>
            <w:noProof/>
          </w:rPr>
          <w:t>Summary</w:t>
        </w:r>
        <w:r>
          <w:rPr>
            <w:noProof/>
            <w:webHidden/>
          </w:rPr>
          <w:tab/>
        </w:r>
        <w:r>
          <w:rPr>
            <w:noProof/>
            <w:webHidden/>
          </w:rPr>
          <w:fldChar w:fldCharType="begin"/>
        </w:r>
        <w:r>
          <w:rPr>
            <w:noProof/>
            <w:webHidden/>
          </w:rPr>
          <w:instrText xml:space="preserve"> PAGEREF _Toc349858123 \h </w:instrText>
        </w:r>
        <w:r>
          <w:rPr>
            <w:noProof/>
            <w:webHidden/>
          </w:rPr>
        </w:r>
        <w:r>
          <w:rPr>
            <w:noProof/>
            <w:webHidden/>
          </w:rPr>
          <w:fldChar w:fldCharType="separate"/>
        </w:r>
        <w:r w:rsidR="004218AA">
          <w:rPr>
            <w:noProof/>
            <w:webHidden/>
          </w:rPr>
          <w:t>24</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24" w:history="1">
        <w:r w:rsidRPr="00597FD3">
          <w:rPr>
            <w:rStyle w:val="Hyperlink"/>
            <w:noProof/>
          </w:rPr>
          <w:t>Chapter 3</w:t>
        </w:r>
        <w:r>
          <w:rPr>
            <w:noProof/>
            <w:webHidden/>
          </w:rPr>
          <w:tab/>
        </w:r>
        <w:r>
          <w:rPr>
            <w:noProof/>
            <w:webHidden/>
          </w:rPr>
          <w:fldChar w:fldCharType="begin"/>
        </w:r>
        <w:r>
          <w:rPr>
            <w:noProof/>
            <w:webHidden/>
          </w:rPr>
          <w:instrText xml:space="preserve"> PAGEREF _Toc349858124 \h </w:instrText>
        </w:r>
        <w:r>
          <w:rPr>
            <w:noProof/>
            <w:webHidden/>
          </w:rPr>
        </w:r>
        <w:r>
          <w:rPr>
            <w:noProof/>
            <w:webHidden/>
          </w:rPr>
          <w:fldChar w:fldCharType="separate"/>
        </w:r>
        <w:r w:rsidR="004218AA">
          <w:rPr>
            <w:noProof/>
            <w:webHidden/>
          </w:rPr>
          <w:t>24</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25" w:history="1">
        <w:r w:rsidRPr="00597FD3">
          <w:rPr>
            <w:rStyle w:val="Hyperlink"/>
            <w:noProof/>
          </w:rPr>
          <w:t>Paleodemography</w:t>
        </w:r>
        <w:r>
          <w:rPr>
            <w:noProof/>
            <w:webHidden/>
          </w:rPr>
          <w:tab/>
        </w:r>
        <w:r>
          <w:rPr>
            <w:noProof/>
            <w:webHidden/>
          </w:rPr>
          <w:fldChar w:fldCharType="begin"/>
        </w:r>
        <w:r>
          <w:rPr>
            <w:noProof/>
            <w:webHidden/>
          </w:rPr>
          <w:instrText xml:space="preserve"> PAGEREF _Toc349858125 \h </w:instrText>
        </w:r>
        <w:r>
          <w:rPr>
            <w:noProof/>
            <w:webHidden/>
          </w:rPr>
        </w:r>
        <w:r>
          <w:rPr>
            <w:noProof/>
            <w:webHidden/>
          </w:rPr>
          <w:fldChar w:fldCharType="separate"/>
        </w:r>
        <w:r w:rsidR="004218AA">
          <w:rPr>
            <w:noProof/>
            <w:webHidden/>
          </w:rPr>
          <w:t>24</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6" w:history="1">
        <w:r w:rsidRPr="00597FD3">
          <w:rPr>
            <w:rStyle w:val="Hyperlink"/>
            <w:noProof/>
          </w:rPr>
          <w:t>A Brief History</w:t>
        </w:r>
        <w:r>
          <w:rPr>
            <w:noProof/>
            <w:webHidden/>
          </w:rPr>
          <w:tab/>
        </w:r>
        <w:r>
          <w:rPr>
            <w:noProof/>
            <w:webHidden/>
          </w:rPr>
          <w:fldChar w:fldCharType="begin"/>
        </w:r>
        <w:r>
          <w:rPr>
            <w:noProof/>
            <w:webHidden/>
          </w:rPr>
          <w:instrText xml:space="preserve"> PAGEREF _Toc349858126 \h </w:instrText>
        </w:r>
        <w:r>
          <w:rPr>
            <w:noProof/>
            <w:webHidden/>
          </w:rPr>
        </w:r>
        <w:r>
          <w:rPr>
            <w:noProof/>
            <w:webHidden/>
          </w:rPr>
          <w:fldChar w:fldCharType="separate"/>
        </w:r>
        <w:r w:rsidR="004218AA">
          <w:rPr>
            <w:noProof/>
            <w:webHidden/>
          </w:rPr>
          <w:t>26</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7" w:history="1">
        <w:r w:rsidRPr="00597FD3">
          <w:rPr>
            <w:rStyle w:val="Hyperlink"/>
            <w:noProof/>
          </w:rPr>
          <w:t>Sample Bias</w:t>
        </w:r>
        <w:r>
          <w:rPr>
            <w:noProof/>
            <w:webHidden/>
          </w:rPr>
          <w:tab/>
        </w:r>
        <w:r>
          <w:rPr>
            <w:noProof/>
            <w:webHidden/>
          </w:rPr>
          <w:fldChar w:fldCharType="begin"/>
        </w:r>
        <w:r>
          <w:rPr>
            <w:noProof/>
            <w:webHidden/>
          </w:rPr>
          <w:instrText xml:space="preserve"> PAGEREF _Toc349858127 \h </w:instrText>
        </w:r>
        <w:r>
          <w:rPr>
            <w:noProof/>
            <w:webHidden/>
          </w:rPr>
        </w:r>
        <w:r>
          <w:rPr>
            <w:noProof/>
            <w:webHidden/>
          </w:rPr>
          <w:fldChar w:fldCharType="separate"/>
        </w:r>
        <w:r w:rsidR="004218AA">
          <w:rPr>
            <w:noProof/>
            <w:webHidden/>
          </w:rPr>
          <w:t>28</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8" w:history="1">
        <w:r w:rsidRPr="00597FD3">
          <w:rPr>
            <w:rStyle w:val="Hyperlink"/>
            <w:noProof/>
          </w:rPr>
          <w:t>Selective Mortality</w:t>
        </w:r>
        <w:r>
          <w:rPr>
            <w:noProof/>
            <w:webHidden/>
          </w:rPr>
          <w:tab/>
        </w:r>
        <w:r>
          <w:rPr>
            <w:noProof/>
            <w:webHidden/>
          </w:rPr>
          <w:fldChar w:fldCharType="begin"/>
        </w:r>
        <w:r>
          <w:rPr>
            <w:noProof/>
            <w:webHidden/>
          </w:rPr>
          <w:instrText xml:space="preserve"> PAGEREF _Toc349858128 \h </w:instrText>
        </w:r>
        <w:r>
          <w:rPr>
            <w:noProof/>
            <w:webHidden/>
          </w:rPr>
        </w:r>
        <w:r>
          <w:rPr>
            <w:noProof/>
            <w:webHidden/>
          </w:rPr>
          <w:fldChar w:fldCharType="separate"/>
        </w:r>
        <w:r w:rsidR="004218AA">
          <w:rPr>
            <w:noProof/>
            <w:webHidden/>
          </w:rPr>
          <w:t>32</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29" w:history="1">
        <w:r w:rsidRPr="00597FD3">
          <w:rPr>
            <w:rStyle w:val="Hyperlink"/>
            <w:noProof/>
          </w:rPr>
          <w:t>Non-stationarity</w:t>
        </w:r>
        <w:r>
          <w:rPr>
            <w:noProof/>
            <w:webHidden/>
          </w:rPr>
          <w:tab/>
        </w:r>
        <w:r>
          <w:rPr>
            <w:noProof/>
            <w:webHidden/>
          </w:rPr>
          <w:fldChar w:fldCharType="begin"/>
        </w:r>
        <w:r>
          <w:rPr>
            <w:noProof/>
            <w:webHidden/>
          </w:rPr>
          <w:instrText xml:space="preserve"> PAGEREF _Toc349858129 \h </w:instrText>
        </w:r>
        <w:r>
          <w:rPr>
            <w:noProof/>
            <w:webHidden/>
          </w:rPr>
        </w:r>
        <w:r>
          <w:rPr>
            <w:noProof/>
            <w:webHidden/>
          </w:rPr>
          <w:fldChar w:fldCharType="separate"/>
        </w:r>
        <w:r w:rsidR="004218AA">
          <w:rPr>
            <w:noProof/>
            <w:webHidden/>
          </w:rPr>
          <w:t>33</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0" w:history="1">
        <w:r w:rsidRPr="00597FD3">
          <w:rPr>
            <w:rStyle w:val="Hyperlink"/>
            <w:noProof/>
          </w:rPr>
          <w:t>Uniformitarianism</w:t>
        </w:r>
        <w:r>
          <w:rPr>
            <w:noProof/>
            <w:webHidden/>
          </w:rPr>
          <w:tab/>
        </w:r>
        <w:r>
          <w:rPr>
            <w:noProof/>
            <w:webHidden/>
          </w:rPr>
          <w:fldChar w:fldCharType="begin"/>
        </w:r>
        <w:r>
          <w:rPr>
            <w:noProof/>
            <w:webHidden/>
          </w:rPr>
          <w:instrText xml:space="preserve"> PAGEREF _Toc349858130 \h </w:instrText>
        </w:r>
        <w:r>
          <w:rPr>
            <w:noProof/>
            <w:webHidden/>
          </w:rPr>
        </w:r>
        <w:r>
          <w:rPr>
            <w:noProof/>
            <w:webHidden/>
          </w:rPr>
          <w:fldChar w:fldCharType="separate"/>
        </w:r>
        <w:r w:rsidR="004218AA">
          <w:rPr>
            <w:noProof/>
            <w:webHidden/>
          </w:rPr>
          <w:t>34</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1" w:history="1">
        <w:r w:rsidRPr="00597FD3">
          <w:rPr>
            <w:rStyle w:val="Hyperlink"/>
            <w:noProof/>
          </w:rPr>
          <w:t>Modeling</w:t>
        </w:r>
        <w:r>
          <w:rPr>
            <w:noProof/>
            <w:webHidden/>
          </w:rPr>
          <w:tab/>
        </w:r>
        <w:r>
          <w:rPr>
            <w:noProof/>
            <w:webHidden/>
          </w:rPr>
          <w:fldChar w:fldCharType="begin"/>
        </w:r>
        <w:r>
          <w:rPr>
            <w:noProof/>
            <w:webHidden/>
          </w:rPr>
          <w:instrText xml:space="preserve"> PAGEREF _Toc349858131 \h </w:instrText>
        </w:r>
        <w:r>
          <w:rPr>
            <w:noProof/>
            <w:webHidden/>
          </w:rPr>
        </w:r>
        <w:r>
          <w:rPr>
            <w:noProof/>
            <w:webHidden/>
          </w:rPr>
          <w:fldChar w:fldCharType="separate"/>
        </w:r>
        <w:r w:rsidR="004218AA">
          <w:rPr>
            <w:noProof/>
            <w:webHidden/>
          </w:rPr>
          <w:t>35</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2" w:history="1">
        <w:r w:rsidRPr="00597FD3">
          <w:rPr>
            <w:rStyle w:val="Hyperlink"/>
            <w:noProof/>
          </w:rPr>
          <w:t>Summary</w:t>
        </w:r>
        <w:r>
          <w:rPr>
            <w:noProof/>
            <w:webHidden/>
          </w:rPr>
          <w:tab/>
        </w:r>
        <w:r>
          <w:rPr>
            <w:noProof/>
            <w:webHidden/>
          </w:rPr>
          <w:fldChar w:fldCharType="begin"/>
        </w:r>
        <w:r>
          <w:rPr>
            <w:noProof/>
            <w:webHidden/>
          </w:rPr>
          <w:instrText xml:space="preserve"> PAGEREF _Toc349858132 \h </w:instrText>
        </w:r>
        <w:r>
          <w:rPr>
            <w:noProof/>
            <w:webHidden/>
          </w:rPr>
        </w:r>
        <w:r>
          <w:rPr>
            <w:noProof/>
            <w:webHidden/>
          </w:rPr>
          <w:fldChar w:fldCharType="separate"/>
        </w:r>
        <w:r w:rsidR="004218AA">
          <w:rPr>
            <w:noProof/>
            <w:webHidden/>
          </w:rPr>
          <w:t>44</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33" w:history="1">
        <w:r w:rsidRPr="00597FD3">
          <w:rPr>
            <w:rStyle w:val="Hyperlink"/>
            <w:noProof/>
          </w:rPr>
          <w:t>Chapter 4</w:t>
        </w:r>
        <w:r>
          <w:rPr>
            <w:noProof/>
            <w:webHidden/>
          </w:rPr>
          <w:tab/>
        </w:r>
        <w:r>
          <w:rPr>
            <w:noProof/>
            <w:webHidden/>
          </w:rPr>
          <w:fldChar w:fldCharType="begin"/>
        </w:r>
        <w:r>
          <w:rPr>
            <w:noProof/>
            <w:webHidden/>
          </w:rPr>
          <w:instrText xml:space="preserve"> PAGEREF _Toc349858133 \h </w:instrText>
        </w:r>
        <w:r>
          <w:rPr>
            <w:noProof/>
            <w:webHidden/>
          </w:rPr>
        </w:r>
        <w:r>
          <w:rPr>
            <w:noProof/>
            <w:webHidden/>
          </w:rPr>
          <w:fldChar w:fldCharType="separate"/>
        </w:r>
        <w:r w:rsidR="004218AA">
          <w:rPr>
            <w:noProof/>
            <w:webHidden/>
          </w:rPr>
          <w:t>46</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34" w:history="1">
        <w:r w:rsidRPr="00597FD3">
          <w:rPr>
            <w:rStyle w:val="Hyperlink"/>
            <w:noProof/>
          </w:rPr>
          <w:t>Age-at-death Estimation</w:t>
        </w:r>
        <w:r>
          <w:rPr>
            <w:noProof/>
            <w:webHidden/>
          </w:rPr>
          <w:tab/>
        </w:r>
        <w:r>
          <w:rPr>
            <w:noProof/>
            <w:webHidden/>
          </w:rPr>
          <w:fldChar w:fldCharType="begin"/>
        </w:r>
        <w:r>
          <w:rPr>
            <w:noProof/>
            <w:webHidden/>
          </w:rPr>
          <w:instrText xml:space="preserve"> PAGEREF _Toc349858134 \h </w:instrText>
        </w:r>
        <w:r>
          <w:rPr>
            <w:noProof/>
            <w:webHidden/>
          </w:rPr>
        </w:r>
        <w:r>
          <w:rPr>
            <w:noProof/>
            <w:webHidden/>
          </w:rPr>
          <w:fldChar w:fldCharType="separate"/>
        </w:r>
        <w:r w:rsidR="004218AA">
          <w:rPr>
            <w:noProof/>
            <w:webHidden/>
          </w:rPr>
          <w:t>46</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5" w:history="1">
        <w:r w:rsidRPr="00597FD3">
          <w:rPr>
            <w:rStyle w:val="Hyperlink"/>
            <w:noProof/>
          </w:rPr>
          <w:t>Theoretical and Methodological Considerations</w:t>
        </w:r>
        <w:r>
          <w:rPr>
            <w:noProof/>
            <w:webHidden/>
          </w:rPr>
          <w:tab/>
        </w:r>
        <w:r>
          <w:rPr>
            <w:noProof/>
            <w:webHidden/>
          </w:rPr>
          <w:fldChar w:fldCharType="begin"/>
        </w:r>
        <w:r>
          <w:rPr>
            <w:noProof/>
            <w:webHidden/>
          </w:rPr>
          <w:instrText xml:space="preserve"> PAGEREF _Toc349858135 \h </w:instrText>
        </w:r>
        <w:r>
          <w:rPr>
            <w:noProof/>
            <w:webHidden/>
          </w:rPr>
        </w:r>
        <w:r>
          <w:rPr>
            <w:noProof/>
            <w:webHidden/>
          </w:rPr>
          <w:fldChar w:fldCharType="separate"/>
        </w:r>
        <w:r w:rsidR="004218AA">
          <w:rPr>
            <w:noProof/>
            <w:webHidden/>
          </w:rPr>
          <w:t>47</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6" w:history="1">
        <w:r w:rsidRPr="00597FD3">
          <w:rPr>
            <w:rStyle w:val="Hyperlink"/>
            <w:noProof/>
          </w:rPr>
          <w:t>Sub-adult Age Estimation</w:t>
        </w:r>
        <w:r>
          <w:rPr>
            <w:noProof/>
            <w:webHidden/>
          </w:rPr>
          <w:tab/>
        </w:r>
        <w:r>
          <w:rPr>
            <w:noProof/>
            <w:webHidden/>
          </w:rPr>
          <w:fldChar w:fldCharType="begin"/>
        </w:r>
        <w:r>
          <w:rPr>
            <w:noProof/>
            <w:webHidden/>
          </w:rPr>
          <w:instrText xml:space="preserve"> PAGEREF _Toc349858136 \h </w:instrText>
        </w:r>
        <w:r>
          <w:rPr>
            <w:noProof/>
            <w:webHidden/>
          </w:rPr>
        </w:r>
        <w:r>
          <w:rPr>
            <w:noProof/>
            <w:webHidden/>
          </w:rPr>
          <w:fldChar w:fldCharType="separate"/>
        </w:r>
        <w:r w:rsidR="004218AA">
          <w:rPr>
            <w:noProof/>
            <w:webHidden/>
          </w:rPr>
          <w:t>50</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7" w:history="1">
        <w:r w:rsidRPr="00597FD3">
          <w:rPr>
            <w:rStyle w:val="Hyperlink"/>
            <w:noProof/>
          </w:rPr>
          <w:t>Dental Development and Eruption</w:t>
        </w:r>
        <w:r>
          <w:rPr>
            <w:noProof/>
            <w:webHidden/>
          </w:rPr>
          <w:tab/>
        </w:r>
        <w:r>
          <w:rPr>
            <w:noProof/>
            <w:webHidden/>
          </w:rPr>
          <w:fldChar w:fldCharType="begin"/>
        </w:r>
        <w:r>
          <w:rPr>
            <w:noProof/>
            <w:webHidden/>
          </w:rPr>
          <w:instrText xml:space="preserve"> PAGEREF _Toc349858137 \h </w:instrText>
        </w:r>
        <w:r>
          <w:rPr>
            <w:noProof/>
            <w:webHidden/>
          </w:rPr>
        </w:r>
        <w:r>
          <w:rPr>
            <w:noProof/>
            <w:webHidden/>
          </w:rPr>
          <w:fldChar w:fldCharType="separate"/>
        </w:r>
        <w:r w:rsidR="004218AA">
          <w:rPr>
            <w:noProof/>
            <w:webHidden/>
          </w:rPr>
          <w:t>51</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8" w:history="1">
        <w:r w:rsidRPr="00597FD3">
          <w:rPr>
            <w:rStyle w:val="Hyperlink"/>
            <w:noProof/>
          </w:rPr>
          <w:t>Skeletal Development</w:t>
        </w:r>
        <w:r>
          <w:rPr>
            <w:noProof/>
            <w:webHidden/>
          </w:rPr>
          <w:tab/>
        </w:r>
        <w:r>
          <w:rPr>
            <w:noProof/>
            <w:webHidden/>
          </w:rPr>
          <w:fldChar w:fldCharType="begin"/>
        </w:r>
        <w:r>
          <w:rPr>
            <w:noProof/>
            <w:webHidden/>
          </w:rPr>
          <w:instrText xml:space="preserve"> PAGEREF _Toc349858138 \h </w:instrText>
        </w:r>
        <w:r>
          <w:rPr>
            <w:noProof/>
            <w:webHidden/>
          </w:rPr>
        </w:r>
        <w:r>
          <w:rPr>
            <w:noProof/>
            <w:webHidden/>
          </w:rPr>
          <w:fldChar w:fldCharType="separate"/>
        </w:r>
        <w:r w:rsidR="004218AA">
          <w:rPr>
            <w:noProof/>
            <w:webHidden/>
          </w:rPr>
          <w:t>54</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39" w:history="1">
        <w:r w:rsidRPr="00597FD3">
          <w:rPr>
            <w:rStyle w:val="Hyperlink"/>
            <w:noProof/>
          </w:rPr>
          <w:t>Adult Age Estimation</w:t>
        </w:r>
        <w:r>
          <w:rPr>
            <w:noProof/>
            <w:webHidden/>
          </w:rPr>
          <w:tab/>
        </w:r>
        <w:r>
          <w:rPr>
            <w:noProof/>
            <w:webHidden/>
          </w:rPr>
          <w:fldChar w:fldCharType="begin"/>
        </w:r>
        <w:r>
          <w:rPr>
            <w:noProof/>
            <w:webHidden/>
          </w:rPr>
          <w:instrText xml:space="preserve"> PAGEREF _Toc349858139 \h </w:instrText>
        </w:r>
        <w:r>
          <w:rPr>
            <w:noProof/>
            <w:webHidden/>
          </w:rPr>
        </w:r>
        <w:r>
          <w:rPr>
            <w:noProof/>
            <w:webHidden/>
          </w:rPr>
          <w:fldChar w:fldCharType="separate"/>
        </w:r>
        <w:r w:rsidR="004218AA">
          <w:rPr>
            <w:noProof/>
            <w:webHidden/>
          </w:rPr>
          <w:t>56</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0" w:history="1">
        <w:r w:rsidRPr="00597FD3">
          <w:rPr>
            <w:rStyle w:val="Hyperlink"/>
            <w:noProof/>
          </w:rPr>
          <w:t>Traditional Trait-based Methods</w:t>
        </w:r>
        <w:r>
          <w:rPr>
            <w:noProof/>
            <w:webHidden/>
          </w:rPr>
          <w:tab/>
        </w:r>
        <w:r>
          <w:rPr>
            <w:noProof/>
            <w:webHidden/>
          </w:rPr>
          <w:fldChar w:fldCharType="begin"/>
        </w:r>
        <w:r>
          <w:rPr>
            <w:noProof/>
            <w:webHidden/>
          </w:rPr>
          <w:instrText xml:space="preserve"> PAGEREF _Toc349858140 \h </w:instrText>
        </w:r>
        <w:r>
          <w:rPr>
            <w:noProof/>
            <w:webHidden/>
          </w:rPr>
        </w:r>
        <w:r>
          <w:rPr>
            <w:noProof/>
            <w:webHidden/>
          </w:rPr>
          <w:fldChar w:fldCharType="separate"/>
        </w:r>
        <w:r w:rsidR="004218AA">
          <w:rPr>
            <w:noProof/>
            <w:webHidden/>
          </w:rPr>
          <w:t>57</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1" w:history="1">
        <w:r w:rsidRPr="00597FD3">
          <w:rPr>
            <w:rStyle w:val="Hyperlink"/>
            <w:noProof/>
          </w:rPr>
          <w:t>Multifactorial Methods</w:t>
        </w:r>
        <w:r>
          <w:rPr>
            <w:noProof/>
            <w:webHidden/>
          </w:rPr>
          <w:tab/>
        </w:r>
        <w:r>
          <w:rPr>
            <w:noProof/>
            <w:webHidden/>
          </w:rPr>
          <w:fldChar w:fldCharType="begin"/>
        </w:r>
        <w:r>
          <w:rPr>
            <w:noProof/>
            <w:webHidden/>
          </w:rPr>
          <w:instrText xml:space="preserve"> PAGEREF _Toc349858141 \h </w:instrText>
        </w:r>
        <w:r>
          <w:rPr>
            <w:noProof/>
            <w:webHidden/>
          </w:rPr>
        </w:r>
        <w:r>
          <w:rPr>
            <w:noProof/>
            <w:webHidden/>
          </w:rPr>
          <w:fldChar w:fldCharType="separate"/>
        </w:r>
        <w:r w:rsidR="004218AA">
          <w:rPr>
            <w:noProof/>
            <w:webHidden/>
          </w:rPr>
          <w:t>62</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2" w:history="1">
        <w:r w:rsidRPr="00597FD3">
          <w:rPr>
            <w:rStyle w:val="Hyperlink"/>
            <w:noProof/>
          </w:rPr>
          <w:t>Regression Approach</w:t>
        </w:r>
        <w:r>
          <w:rPr>
            <w:noProof/>
            <w:webHidden/>
          </w:rPr>
          <w:tab/>
        </w:r>
        <w:r>
          <w:rPr>
            <w:noProof/>
            <w:webHidden/>
          </w:rPr>
          <w:fldChar w:fldCharType="begin"/>
        </w:r>
        <w:r>
          <w:rPr>
            <w:noProof/>
            <w:webHidden/>
          </w:rPr>
          <w:instrText xml:space="preserve"> PAGEREF _Toc349858142 \h </w:instrText>
        </w:r>
        <w:r>
          <w:rPr>
            <w:noProof/>
            <w:webHidden/>
          </w:rPr>
        </w:r>
        <w:r>
          <w:rPr>
            <w:noProof/>
            <w:webHidden/>
          </w:rPr>
          <w:fldChar w:fldCharType="separate"/>
        </w:r>
        <w:r w:rsidR="004218AA">
          <w:rPr>
            <w:noProof/>
            <w:webHidden/>
          </w:rPr>
          <w:t>63</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3" w:history="1">
        <w:r w:rsidRPr="00597FD3">
          <w:rPr>
            <w:rStyle w:val="Hyperlink"/>
            <w:noProof/>
          </w:rPr>
          <w:t>Multifactorial Summary Age Method</w:t>
        </w:r>
        <w:r>
          <w:rPr>
            <w:noProof/>
            <w:webHidden/>
          </w:rPr>
          <w:tab/>
        </w:r>
        <w:r>
          <w:rPr>
            <w:noProof/>
            <w:webHidden/>
          </w:rPr>
          <w:fldChar w:fldCharType="begin"/>
        </w:r>
        <w:r>
          <w:rPr>
            <w:noProof/>
            <w:webHidden/>
          </w:rPr>
          <w:instrText xml:space="preserve"> PAGEREF _Toc349858143 \h </w:instrText>
        </w:r>
        <w:r>
          <w:rPr>
            <w:noProof/>
            <w:webHidden/>
          </w:rPr>
        </w:r>
        <w:r>
          <w:rPr>
            <w:noProof/>
            <w:webHidden/>
          </w:rPr>
          <w:fldChar w:fldCharType="separate"/>
        </w:r>
        <w:r w:rsidR="004218AA">
          <w:rPr>
            <w:noProof/>
            <w:webHidden/>
          </w:rPr>
          <w:t>64</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4" w:history="1">
        <w:r w:rsidRPr="00597FD3">
          <w:rPr>
            <w:rStyle w:val="Hyperlink"/>
            <w:noProof/>
          </w:rPr>
          <w:t>Transition Analysis</w:t>
        </w:r>
        <w:r>
          <w:rPr>
            <w:noProof/>
            <w:webHidden/>
          </w:rPr>
          <w:tab/>
        </w:r>
        <w:r>
          <w:rPr>
            <w:noProof/>
            <w:webHidden/>
          </w:rPr>
          <w:fldChar w:fldCharType="begin"/>
        </w:r>
        <w:r>
          <w:rPr>
            <w:noProof/>
            <w:webHidden/>
          </w:rPr>
          <w:instrText xml:space="preserve"> PAGEREF _Toc349858144 \h </w:instrText>
        </w:r>
        <w:r>
          <w:rPr>
            <w:noProof/>
            <w:webHidden/>
          </w:rPr>
        </w:r>
        <w:r>
          <w:rPr>
            <w:noProof/>
            <w:webHidden/>
          </w:rPr>
          <w:fldChar w:fldCharType="separate"/>
        </w:r>
        <w:r w:rsidR="004218AA">
          <w:rPr>
            <w:noProof/>
            <w:webHidden/>
          </w:rPr>
          <w:t>65</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5" w:history="1">
        <w:r w:rsidRPr="00597FD3">
          <w:rPr>
            <w:rStyle w:val="Hyperlink"/>
            <w:noProof/>
          </w:rPr>
          <w:t>Summary</w:t>
        </w:r>
        <w:r>
          <w:rPr>
            <w:noProof/>
            <w:webHidden/>
          </w:rPr>
          <w:tab/>
        </w:r>
        <w:r>
          <w:rPr>
            <w:noProof/>
            <w:webHidden/>
          </w:rPr>
          <w:fldChar w:fldCharType="begin"/>
        </w:r>
        <w:r>
          <w:rPr>
            <w:noProof/>
            <w:webHidden/>
          </w:rPr>
          <w:instrText xml:space="preserve"> PAGEREF _Toc349858145 \h </w:instrText>
        </w:r>
        <w:r>
          <w:rPr>
            <w:noProof/>
            <w:webHidden/>
          </w:rPr>
        </w:r>
        <w:r>
          <w:rPr>
            <w:noProof/>
            <w:webHidden/>
          </w:rPr>
          <w:fldChar w:fldCharType="separate"/>
        </w:r>
        <w:r w:rsidR="004218AA">
          <w:rPr>
            <w:noProof/>
            <w:webHidden/>
          </w:rPr>
          <w:t>68</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46" w:history="1">
        <w:r w:rsidRPr="00597FD3">
          <w:rPr>
            <w:rStyle w:val="Hyperlink"/>
            <w:noProof/>
          </w:rPr>
          <w:t>CHAPTER 5</w:t>
        </w:r>
        <w:r>
          <w:rPr>
            <w:noProof/>
            <w:webHidden/>
          </w:rPr>
          <w:tab/>
        </w:r>
        <w:r>
          <w:rPr>
            <w:noProof/>
            <w:webHidden/>
          </w:rPr>
          <w:fldChar w:fldCharType="begin"/>
        </w:r>
        <w:r>
          <w:rPr>
            <w:noProof/>
            <w:webHidden/>
          </w:rPr>
          <w:instrText xml:space="preserve"> PAGEREF _Toc349858146 \h </w:instrText>
        </w:r>
        <w:r>
          <w:rPr>
            <w:noProof/>
            <w:webHidden/>
          </w:rPr>
        </w:r>
        <w:r>
          <w:rPr>
            <w:noProof/>
            <w:webHidden/>
          </w:rPr>
          <w:fldChar w:fldCharType="separate"/>
        </w:r>
        <w:r w:rsidR="004218AA">
          <w:rPr>
            <w:noProof/>
            <w:webHidden/>
          </w:rPr>
          <w:t>70</w:t>
        </w:r>
        <w:r>
          <w:rPr>
            <w:noProof/>
            <w:webHidden/>
          </w:rPr>
          <w:fldChar w:fldCharType="end"/>
        </w:r>
      </w:hyperlink>
    </w:p>
    <w:p w:rsidR="00EC3318" w:rsidRDefault="00EC3318">
      <w:pPr>
        <w:pStyle w:val="TOC2"/>
        <w:tabs>
          <w:tab w:val="right" w:leader="dot" w:pos="8630"/>
        </w:tabs>
        <w:rPr>
          <w:rFonts w:asciiTheme="minorHAnsi" w:eastAsiaTheme="minorEastAsia" w:hAnsiTheme="minorHAnsi" w:cstheme="minorBidi"/>
          <w:noProof/>
          <w:sz w:val="22"/>
          <w:szCs w:val="22"/>
        </w:rPr>
      </w:pPr>
      <w:hyperlink w:anchor="_Toc349858147" w:history="1">
        <w:r w:rsidRPr="00597FD3">
          <w:rPr>
            <w:rStyle w:val="Hyperlink"/>
            <w:noProof/>
          </w:rPr>
          <w:t>Materials and Methods</w:t>
        </w:r>
        <w:r>
          <w:rPr>
            <w:noProof/>
            <w:webHidden/>
          </w:rPr>
          <w:tab/>
        </w:r>
        <w:r>
          <w:rPr>
            <w:noProof/>
            <w:webHidden/>
          </w:rPr>
          <w:fldChar w:fldCharType="begin"/>
        </w:r>
        <w:r>
          <w:rPr>
            <w:noProof/>
            <w:webHidden/>
          </w:rPr>
          <w:instrText xml:space="preserve"> PAGEREF _Toc349858147 \h </w:instrText>
        </w:r>
        <w:r>
          <w:rPr>
            <w:noProof/>
            <w:webHidden/>
          </w:rPr>
        </w:r>
        <w:r>
          <w:rPr>
            <w:noProof/>
            <w:webHidden/>
          </w:rPr>
          <w:fldChar w:fldCharType="separate"/>
        </w:r>
        <w:r w:rsidR="004218AA">
          <w:rPr>
            <w:noProof/>
            <w:webHidden/>
          </w:rPr>
          <w:t>70</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8" w:history="1">
        <w:r w:rsidRPr="00597FD3">
          <w:rPr>
            <w:rStyle w:val="Hyperlink"/>
            <w:noProof/>
          </w:rPr>
          <w:t>Materials</w:t>
        </w:r>
        <w:r>
          <w:rPr>
            <w:noProof/>
            <w:webHidden/>
          </w:rPr>
          <w:tab/>
        </w:r>
        <w:r>
          <w:rPr>
            <w:noProof/>
            <w:webHidden/>
          </w:rPr>
          <w:fldChar w:fldCharType="begin"/>
        </w:r>
        <w:r>
          <w:rPr>
            <w:noProof/>
            <w:webHidden/>
          </w:rPr>
          <w:instrText xml:space="preserve"> PAGEREF _Toc349858148 \h </w:instrText>
        </w:r>
        <w:r>
          <w:rPr>
            <w:noProof/>
            <w:webHidden/>
          </w:rPr>
        </w:r>
        <w:r>
          <w:rPr>
            <w:noProof/>
            <w:webHidden/>
          </w:rPr>
          <w:fldChar w:fldCharType="separate"/>
        </w:r>
        <w:r w:rsidR="004218AA">
          <w:rPr>
            <w:noProof/>
            <w:webHidden/>
          </w:rPr>
          <w:t>70</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49" w:history="1">
        <w:r w:rsidRPr="00597FD3">
          <w:rPr>
            <w:rStyle w:val="Hyperlink"/>
            <w:noProof/>
          </w:rPr>
          <w:t>Methods</w:t>
        </w:r>
        <w:r>
          <w:rPr>
            <w:noProof/>
            <w:webHidden/>
          </w:rPr>
          <w:tab/>
        </w:r>
        <w:r>
          <w:rPr>
            <w:noProof/>
            <w:webHidden/>
          </w:rPr>
          <w:fldChar w:fldCharType="begin"/>
        </w:r>
        <w:r>
          <w:rPr>
            <w:noProof/>
            <w:webHidden/>
          </w:rPr>
          <w:instrText xml:space="preserve"> PAGEREF _Toc349858149 \h </w:instrText>
        </w:r>
        <w:r>
          <w:rPr>
            <w:noProof/>
            <w:webHidden/>
          </w:rPr>
        </w:r>
        <w:r>
          <w:rPr>
            <w:noProof/>
            <w:webHidden/>
          </w:rPr>
          <w:fldChar w:fldCharType="separate"/>
        </w:r>
        <w:r w:rsidR="004218AA">
          <w:rPr>
            <w:noProof/>
            <w:webHidden/>
          </w:rPr>
          <w:t>73</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50" w:history="1">
        <w:r w:rsidRPr="00597FD3">
          <w:rPr>
            <w:rStyle w:val="Hyperlink"/>
            <w:noProof/>
          </w:rPr>
          <w:t>Chapter 6</w:t>
        </w:r>
        <w:r>
          <w:rPr>
            <w:noProof/>
            <w:webHidden/>
          </w:rPr>
          <w:tab/>
        </w:r>
        <w:r>
          <w:rPr>
            <w:noProof/>
            <w:webHidden/>
          </w:rPr>
          <w:fldChar w:fldCharType="begin"/>
        </w:r>
        <w:r>
          <w:rPr>
            <w:noProof/>
            <w:webHidden/>
          </w:rPr>
          <w:instrText xml:space="preserve"> PAGEREF _Toc349858150 \h </w:instrText>
        </w:r>
        <w:r>
          <w:rPr>
            <w:noProof/>
            <w:webHidden/>
          </w:rPr>
        </w:r>
        <w:r>
          <w:rPr>
            <w:noProof/>
            <w:webHidden/>
          </w:rPr>
          <w:fldChar w:fldCharType="separate"/>
        </w:r>
        <w:r w:rsidR="004218AA">
          <w:rPr>
            <w:noProof/>
            <w:webHidden/>
          </w:rPr>
          <w:t>88</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51" w:history="1">
        <w:r w:rsidRPr="00597FD3">
          <w:rPr>
            <w:rStyle w:val="Hyperlink"/>
            <w:noProof/>
          </w:rPr>
          <w:t>Results</w:t>
        </w:r>
        <w:r>
          <w:rPr>
            <w:noProof/>
            <w:webHidden/>
          </w:rPr>
          <w:tab/>
        </w:r>
        <w:r>
          <w:rPr>
            <w:noProof/>
            <w:webHidden/>
          </w:rPr>
          <w:fldChar w:fldCharType="begin"/>
        </w:r>
        <w:r>
          <w:rPr>
            <w:noProof/>
            <w:webHidden/>
          </w:rPr>
          <w:instrText xml:space="preserve"> PAGEREF _Toc349858151 \h </w:instrText>
        </w:r>
        <w:r>
          <w:rPr>
            <w:noProof/>
            <w:webHidden/>
          </w:rPr>
        </w:r>
        <w:r>
          <w:rPr>
            <w:noProof/>
            <w:webHidden/>
          </w:rPr>
          <w:fldChar w:fldCharType="separate"/>
        </w:r>
        <w:r w:rsidR="004218AA">
          <w:rPr>
            <w:noProof/>
            <w:webHidden/>
          </w:rPr>
          <w:t>88</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52" w:history="1">
        <w:r w:rsidRPr="00597FD3">
          <w:rPr>
            <w:rStyle w:val="Hyperlink"/>
            <w:noProof/>
          </w:rPr>
          <w:t>Growth and Fertility</w:t>
        </w:r>
        <w:r>
          <w:rPr>
            <w:noProof/>
            <w:webHidden/>
          </w:rPr>
          <w:tab/>
        </w:r>
        <w:r>
          <w:rPr>
            <w:noProof/>
            <w:webHidden/>
          </w:rPr>
          <w:fldChar w:fldCharType="begin"/>
        </w:r>
        <w:r>
          <w:rPr>
            <w:noProof/>
            <w:webHidden/>
          </w:rPr>
          <w:instrText xml:space="preserve"> PAGEREF _Toc349858152 \h </w:instrText>
        </w:r>
        <w:r>
          <w:rPr>
            <w:noProof/>
            <w:webHidden/>
          </w:rPr>
        </w:r>
        <w:r>
          <w:rPr>
            <w:noProof/>
            <w:webHidden/>
          </w:rPr>
          <w:fldChar w:fldCharType="separate"/>
        </w:r>
        <w:r w:rsidR="004218AA">
          <w:rPr>
            <w:noProof/>
            <w:webHidden/>
          </w:rPr>
          <w:t>88</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53" w:history="1">
        <w:r w:rsidRPr="00597FD3">
          <w:rPr>
            <w:rStyle w:val="Hyperlink"/>
            <w:noProof/>
          </w:rPr>
          <w:t>Age-at-death methods and modeling mortality</w:t>
        </w:r>
        <w:r>
          <w:rPr>
            <w:noProof/>
            <w:webHidden/>
          </w:rPr>
          <w:tab/>
        </w:r>
        <w:r>
          <w:rPr>
            <w:noProof/>
            <w:webHidden/>
          </w:rPr>
          <w:fldChar w:fldCharType="begin"/>
        </w:r>
        <w:r>
          <w:rPr>
            <w:noProof/>
            <w:webHidden/>
          </w:rPr>
          <w:instrText xml:space="preserve"> PAGEREF _Toc349858153 \h </w:instrText>
        </w:r>
        <w:r>
          <w:rPr>
            <w:noProof/>
            <w:webHidden/>
          </w:rPr>
        </w:r>
        <w:r>
          <w:rPr>
            <w:noProof/>
            <w:webHidden/>
          </w:rPr>
          <w:fldChar w:fldCharType="separate"/>
        </w:r>
        <w:r w:rsidR="004218AA">
          <w:rPr>
            <w:noProof/>
            <w:webHidden/>
          </w:rPr>
          <w:t>94</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54" w:history="1">
        <w:r w:rsidRPr="00597FD3">
          <w:rPr>
            <w:rStyle w:val="Hyperlink"/>
            <w:noProof/>
          </w:rPr>
          <w:t>Demographic Measures</w:t>
        </w:r>
        <w:r>
          <w:rPr>
            <w:noProof/>
            <w:webHidden/>
          </w:rPr>
          <w:tab/>
        </w:r>
        <w:r>
          <w:rPr>
            <w:noProof/>
            <w:webHidden/>
          </w:rPr>
          <w:fldChar w:fldCharType="begin"/>
        </w:r>
        <w:r>
          <w:rPr>
            <w:noProof/>
            <w:webHidden/>
          </w:rPr>
          <w:instrText xml:space="preserve"> PAGEREF _Toc349858154 \h </w:instrText>
        </w:r>
        <w:r>
          <w:rPr>
            <w:noProof/>
            <w:webHidden/>
          </w:rPr>
        </w:r>
        <w:r>
          <w:rPr>
            <w:noProof/>
            <w:webHidden/>
          </w:rPr>
          <w:fldChar w:fldCharType="separate"/>
        </w:r>
        <w:r w:rsidR="004218AA">
          <w:rPr>
            <w:noProof/>
            <w:webHidden/>
          </w:rPr>
          <w:t>121</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55" w:history="1">
        <w:r w:rsidRPr="00597FD3">
          <w:rPr>
            <w:rStyle w:val="Hyperlink"/>
            <w:noProof/>
          </w:rPr>
          <w:t>Sex-Specific Mortality in the Larson site.</w:t>
        </w:r>
        <w:r>
          <w:rPr>
            <w:noProof/>
            <w:webHidden/>
          </w:rPr>
          <w:tab/>
        </w:r>
        <w:r>
          <w:rPr>
            <w:noProof/>
            <w:webHidden/>
          </w:rPr>
          <w:fldChar w:fldCharType="begin"/>
        </w:r>
        <w:r>
          <w:rPr>
            <w:noProof/>
            <w:webHidden/>
          </w:rPr>
          <w:instrText xml:space="preserve"> PAGEREF _Toc349858155 \h </w:instrText>
        </w:r>
        <w:r>
          <w:rPr>
            <w:noProof/>
            <w:webHidden/>
          </w:rPr>
        </w:r>
        <w:r>
          <w:rPr>
            <w:noProof/>
            <w:webHidden/>
          </w:rPr>
          <w:fldChar w:fldCharType="separate"/>
        </w:r>
        <w:r w:rsidR="004218AA">
          <w:rPr>
            <w:noProof/>
            <w:webHidden/>
          </w:rPr>
          <w:t>123</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56" w:history="1">
        <w:r w:rsidRPr="00597FD3">
          <w:rPr>
            <w:rStyle w:val="Hyperlink"/>
            <w:noProof/>
          </w:rPr>
          <w:t>Chapter 7</w:t>
        </w:r>
        <w:r>
          <w:rPr>
            <w:noProof/>
            <w:webHidden/>
          </w:rPr>
          <w:tab/>
        </w:r>
        <w:r>
          <w:rPr>
            <w:noProof/>
            <w:webHidden/>
          </w:rPr>
          <w:fldChar w:fldCharType="begin"/>
        </w:r>
        <w:r>
          <w:rPr>
            <w:noProof/>
            <w:webHidden/>
          </w:rPr>
          <w:instrText xml:space="preserve"> PAGEREF _Toc349858156 \h </w:instrText>
        </w:r>
        <w:r>
          <w:rPr>
            <w:noProof/>
            <w:webHidden/>
          </w:rPr>
        </w:r>
        <w:r>
          <w:rPr>
            <w:noProof/>
            <w:webHidden/>
          </w:rPr>
          <w:fldChar w:fldCharType="separate"/>
        </w:r>
        <w:r w:rsidR="004218AA">
          <w:rPr>
            <w:noProof/>
            <w:webHidden/>
          </w:rPr>
          <w:t>132</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57" w:history="1">
        <w:r w:rsidRPr="00597FD3">
          <w:rPr>
            <w:rStyle w:val="Hyperlink"/>
            <w:noProof/>
          </w:rPr>
          <w:t>Discussion</w:t>
        </w:r>
        <w:r>
          <w:rPr>
            <w:noProof/>
            <w:webHidden/>
          </w:rPr>
          <w:tab/>
        </w:r>
        <w:r>
          <w:rPr>
            <w:noProof/>
            <w:webHidden/>
          </w:rPr>
          <w:fldChar w:fldCharType="begin"/>
        </w:r>
        <w:r>
          <w:rPr>
            <w:noProof/>
            <w:webHidden/>
          </w:rPr>
          <w:instrText xml:space="preserve"> PAGEREF _Toc349858157 \h </w:instrText>
        </w:r>
        <w:r>
          <w:rPr>
            <w:noProof/>
            <w:webHidden/>
          </w:rPr>
        </w:r>
        <w:r>
          <w:rPr>
            <w:noProof/>
            <w:webHidden/>
          </w:rPr>
          <w:fldChar w:fldCharType="separate"/>
        </w:r>
        <w:r w:rsidR="004218AA">
          <w:rPr>
            <w:noProof/>
            <w:webHidden/>
          </w:rPr>
          <w:t>132</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58" w:history="1">
        <w:r w:rsidRPr="00597FD3">
          <w:rPr>
            <w:rStyle w:val="Hyperlink"/>
            <w:noProof/>
          </w:rPr>
          <w:t>Age-at-death distributions</w:t>
        </w:r>
        <w:r>
          <w:rPr>
            <w:noProof/>
            <w:webHidden/>
          </w:rPr>
          <w:tab/>
        </w:r>
        <w:r>
          <w:rPr>
            <w:noProof/>
            <w:webHidden/>
          </w:rPr>
          <w:fldChar w:fldCharType="begin"/>
        </w:r>
        <w:r>
          <w:rPr>
            <w:noProof/>
            <w:webHidden/>
          </w:rPr>
          <w:instrText xml:space="preserve"> PAGEREF _Toc349858158 \h </w:instrText>
        </w:r>
        <w:r>
          <w:rPr>
            <w:noProof/>
            <w:webHidden/>
          </w:rPr>
        </w:r>
        <w:r>
          <w:rPr>
            <w:noProof/>
            <w:webHidden/>
          </w:rPr>
          <w:fldChar w:fldCharType="separate"/>
        </w:r>
        <w:r w:rsidR="004218AA">
          <w:rPr>
            <w:noProof/>
            <w:webHidden/>
          </w:rPr>
          <w:t>132</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59" w:history="1">
        <w:r w:rsidRPr="00597FD3">
          <w:rPr>
            <w:rStyle w:val="Hyperlink"/>
            <w:noProof/>
          </w:rPr>
          <w:t>Mortality in the Larson site</w:t>
        </w:r>
        <w:r>
          <w:rPr>
            <w:noProof/>
            <w:webHidden/>
          </w:rPr>
          <w:tab/>
        </w:r>
        <w:r>
          <w:rPr>
            <w:noProof/>
            <w:webHidden/>
          </w:rPr>
          <w:fldChar w:fldCharType="begin"/>
        </w:r>
        <w:r>
          <w:rPr>
            <w:noProof/>
            <w:webHidden/>
          </w:rPr>
          <w:instrText xml:space="preserve"> PAGEREF _Toc349858159 \h </w:instrText>
        </w:r>
        <w:r>
          <w:rPr>
            <w:noProof/>
            <w:webHidden/>
          </w:rPr>
        </w:r>
        <w:r>
          <w:rPr>
            <w:noProof/>
            <w:webHidden/>
          </w:rPr>
          <w:fldChar w:fldCharType="separate"/>
        </w:r>
        <w:r w:rsidR="004218AA">
          <w:rPr>
            <w:noProof/>
            <w:webHidden/>
          </w:rPr>
          <w:t>135</w:t>
        </w:r>
        <w:r>
          <w:rPr>
            <w:noProof/>
            <w:webHidden/>
          </w:rPr>
          <w:fldChar w:fldCharType="end"/>
        </w:r>
      </w:hyperlink>
    </w:p>
    <w:p w:rsidR="00EC3318" w:rsidRDefault="00EC3318">
      <w:pPr>
        <w:pStyle w:val="TOC3"/>
        <w:tabs>
          <w:tab w:val="right" w:leader="dot" w:pos="8630"/>
        </w:tabs>
        <w:rPr>
          <w:rFonts w:asciiTheme="minorHAnsi" w:eastAsiaTheme="minorEastAsia" w:hAnsiTheme="minorHAnsi" w:cstheme="minorBidi"/>
          <w:noProof/>
          <w:sz w:val="22"/>
          <w:szCs w:val="22"/>
        </w:rPr>
      </w:pPr>
      <w:hyperlink w:anchor="_Toc349858160" w:history="1">
        <w:r w:rsidRPr="00597FD3">
          <w:rPr>
            <w:rStyle w:val="Hyperlink"/>
            <w:noProof/>
          </w:rPr>
          <w:t>Sex specific mortality</w:t>
        </w:r>
        <w:r>
          <w:rPr>
            <w:noProof/>
            <w:webHidden/>
          </w:rPr>
          <w:tab/>
        </w:r>
        <w:r>
          <w:rPr>
            <w:noProof/>
            <w:webHidden/>
          </w:rPr>
          <w:fldChar w:fldCharType="begin"/>
        </w:r>
        <w:r>
          <w:rPr>
            <w:noProof/>
            <w:webHidden/>
          </w:rPr>
          <w:instrText xml:space="preserve"> PAGEREF _Toc349858160 \h </w:instrText>
        </w:r>
        <w:r>
          <w:rPr>
            <w:noProof/>
            <w:webHidden/>
          </w:rPr>
        </w:r>
        <w:r>
          <w:rPr>
            <w:noProof/>
            <w:webHidden/>
          </w:rPr>
          <w:fldChar w:fldCharType="separate"/>
        </w:r>
        <w:r w:rsidR="004218AA">
          <w:rPr>
            <w:noProof/>
            <w:webHidden/>
          </w:rPr>
          <w:t>141</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61" w:history="1">
        <w:r w:rsidRPr="00597FD3">
          <w:rPr>
            <w:rStyle w:val="Hyperlink"/>
            <w:noProof/>
          </w:rPr>
          <w:t>Chapter 8</w:t>
        </w:r>
        <w:r>
          <w:rPr>
            <w:noProof/>
            <w:webHidden/>
          </w:rPr>
          <w:tab/>
        </w:r>
        <w:r>
          <w:rPr>
            <w:noProof/>
            <w:webHidden/>
          </w:rPr>
          <w:fldChar w:fldCharType="begin"/>
        </w:r>
        <w:r>
          <w:rPr>
            <w:noProof/>
            <w:webHidden/>
          </w:rPr>
          <w:instrText xml:space="preserve"> PAGEREF _Toc349858161 \h </w:instrText>
        </w:r>
        <w:r>
          <w:rPr>
            <w:noProof/>
            <w:webHidden/>
          </w:rPr>
        </w:r>
        <w:r>
          <w:rPr>
            <w:noProof/>
            <w:webHidden/>
          </w:rPr>
          <w:fldChar w:fldCharType="separate"/>
        </w:r>
        <w:r w:rsidR="004218AA">
          <w:rPr>
            <w:noProof/>
            <w:webHidden/>
          </w:rPr>
          <w:t>143</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62" w:history="1">
        <w:r w:rsidRPr="00597FD3">
          <w:rPr>
            <w:rStyle w:val="Hyperlink"/>
            <w:noProof/>
          </w:rPr>
          <w:t>Conclusions and Future Considerations</w:t>
        </w:r>
        <w:r>
          <w:rPr>
            <w:noProof/>
            <w:webHidden/>
          </w:rPr>
          <w:tab/>
        </w:r>
        <w:r>
          <w:rPr>
            <w:noProof/>
            <w:webHidden/>
          </w:rPr>
          <w:fldChar w:fldCharType="begin"/>
        </w:r>
        <w:r>
          <w:rPr>
            <w:noProof/>
            <w:webHidden/>
          </w:rPr>
          <w:instrText xml:space="preserve"> PAGEREF _Toc349858162 \h </w:instrText>
        </w:r>
        <w:r>
          <w:rPr>
            <w:noProof/>
            <w:webHidden/>
          </w:rPr>
        </w:r>
        <w:r>
          <w:rPr>
            <w:noProof/>
            <w:webHidden/>
          </w:rPr>
          <w:fldChar w:fldCharType="separate"/>
        </w:r>
        <w:r w:rsidR="004218AA">
          <w:rPr>
            <w:noProof/>
            <w:webHidden/>
          </w:rPr>
          <w:t>143</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63" w:history="1">
        <w:r w:rsidRPr="00597FD3">
          <w:rPr>
            <w:rStyle w:val="Hyperlink"/>
            <w:noProof/>
          </w:rPr>
          <w:t>LIST OF REFERENCES</w:t>
        </w:r>
        <w:r>
          <w:rPr>
            <w:noProof/>
            <w:webHidden/>
          </w:rPr>
          <w:tab/>
        </w:r>
        <w:r>
          <w:rPr>
            <w:noProof/>
            <w:webHidden/>
          </w:rPr>
          <w:fldChar w:fldCharType="begin"/>
        </w:r>
        <w:r>
          <w:rPr>
            <w:noProof/>
            <w:webHidden/>
          </w:rPr>
          <w:instrText xml:space="preserve"> PAGEREF _Toc349858163 \h </w:instrText>
        </w:r>
        <w:r>
          <w:rPr>
            <w:noProof/>
            <w:webHidden/>
          </w:rPr>
        </w:r>
        <w:r>
          <w:rPr>
            <w:noProof/>
            <w:webHidden/>
          </w:rPr>
          <w:fldChar w:fldCharType="separate"/>
        </w:r>
        <w:r w:rsidR="004218AA">
          <w:rPr>
            <w:noProof/>
            <w:webHidden/>
          </w:rPr>
          <w:t>145</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64" w:history="1">
        <w:r w:rsidRPr="00597FD3">
          <w:rPr>
            <w:rStyle w:val="Hyperlink"/>
            <w:noProof/>
          </w:rPr>
          <w:t>APPENDIX</w:t>
        </w:r>
        <w:r>
          <w:rPr>
            <w:noProof/>
            <w:webHidden/>
          </w:rPr>
          <w:tab/>
        </w:r>
        <w:r>
          <w:rPr>
            <w:noProof/>
            <w:webHidden/>
          </w:rPr>
          <w:fldChar w:fldCharType="begin"/>
        </w:r>
        <w:r>
          <w:rPr>
            <w:noProof/>
            <w:webHidden/>
          </w:rPr>
          <w:instrText xml:space="preserve"> PAGEREF _Toc349858164 \h </w:instrText>
        </w:r>
        <w:r>
          <w:rPr>
            <w:noProof/>
            <w:webHidden/>
          </w:rPr>
        </w:r>
        <w:r>
          <w:rPr>
            <w:noProof/>
            <w:webHidden/>
          </w:rPr>
          <w:fldChar w:fldCharType="separate"/>
        </w:r>
        <w:r w:rsidR="004218AA">
          <w:rPr>
            <w:noProof/>
            <w:webHidden/>
          </w:rPr>
          <w:t>167</w:t>
        </w:r>
        <w:r>
          <w:rPr>
            <w:noProof/>
            <w:webHidden/>
          </w:rPr>
          <w:fldChar w:fldCharType="end"/>
        </w:r>
      </w:hyperlink>
    </w:p>
    <w:p w:rsidR="00EC3318" w:rsidRDefault="00EC3318">
      <w:pPr>
        <w:pStyle w:val="TOC1"/>
        <w:tabs>
          <w:tab w:val="right" w:leader="dot" w:pos="8630"/>
        </w:tabs>
        <w:rPr>
          <w:rFonts w:asciiTheme="minorHAnsi" w:eastAsiaTheme="minorEastAsia" w:hAnsiTheme="minorHAnsi" w:cstheme="minorBidi"/>
          <w:noProof/>
          <w:sz w:val="22"/>
          <w:szCs w:val="22"/>
        </w:rPr>
      </w:pPr>
      <w:hyperlink w:anchor="_Toc349858165" w:history="1">
        <w:r w:rsidRPr="00597FD3">
          <w:rPr>
            <w:rStyle w:val="Hyperlink"/>
            <w:noProof/>
          </w:rPr>
          <w:t>Vita</w:t>
        </w:r>
        <w:r>
          <w:rPr>
            <w:noProof/>
            <w:webHidden/>
          </w:rPr>
          <w:tab/>
        </w:r>
        <w:r>
          <w:rPr>
            <w:noProof/>
            <w:webHidden/>
          </w:rPr>
          <w:fldChar w:fldCharType="begin"/>
        </w:r>
        <w:r>
          <w:rPr>
            <w:noProof/>
            <w:webHidden/>
          </w:rPr>
          <w:instrText xml:space="preserve"> PAGEREF _Toc349858165 \h </w:instrText>
        </w:r>
        <w:r>
          <w:rPr>
            <w:noProof/>
            <w:webHidden/>
          </w:rPr>
        </w:r>
        <w:r>
          <w:rPr>
            <w:noProof/>
            <w:webHidden/>
          </w:rPr>
          <w:fldChar w:fldCharType="separate"/>
        </w:r>
        <w:r w:rsidR="004218AA">
          <w:rPr>
            <w:noProof/>
            <w:webHidden/>
          </w:rPr>
          <w:t>169</w:t>
        </w:r>
        <w:r>
          <w:rPr>
            <w:noProof/>
            <w:webHidden/>
          </w:rPr>
          <w:fldChar w:fldCharType="end"/>
        </w:r>
      </w:hyperlink>
    </w:p>
    <w:p w:rsidR="00236E6D" w:rsidRPr="001C3EF3" w:rsidRDefault="00665C7E">
      <w:pPr>
        <w:numPr>
          <w:ilvl w:val="12"/>
          <w:numId w:val="0"/>
        </w:numPr>
        <w:jc w:val="center"/>
        <w:rPr>
          <w:b/>
          <w:bCs/>
          <w:sz w:val="28"/>
          <w:szCs w:val="28"/>
        </w:rPr>
      </w:pPr>
      <w:r w:rsidRPr="001C3EF3">
        <w:fldChar w:fldCharType="end"/>
      </w:r>
    </w:p>
    <w:p w:rsidR="00236E6D" w:rsidRPr="001C3EF3" w:rsidRDefault="009C755C">
      <w:pPr>
        <w:numPr>
          <w:ilvl w:val="12"/>
          <w:numId w:val="0"/>
        </w:numPr>
        <w:jc w:val="center"/>
      </w:pPr>
      <w:r w:rsidRPr="001C3EF3">
        <w:rPr>
          <w:b/>
          <w:bCs/>
          <w:sz w:val="28"/>
          <w:szCs w:val="28"/>
        </w:rPr>
        <w:br w:type="page"/>
      </w:r>
      <w:r w:rsidR="00236E6D" w:rsidRPr="001C3EF3">
        <w:rPr>
          <w:b/>
          <w:bCs/>
          <w:sz w:val="28"/>
          <w:szCs w:val="28"/>
        </w:rPr>
        <w:lastRenderedPageBreak/>
        <w:t>LIST OF TABLES</w:t>
      </w:r>
    </w:p>
    <w:p w:rsidR="00236E6D" w:rsidRPr="001C3EF3" w:rsidRDefault="00236E6D">
      <w:pPr>
        <w:numPr>
          <w:ilvl w:val="12"/>
          <w:numId w:val="0"/>
        </w:numPr>
        <w:jc w:val="center"/>
      </w:pPr>
    </w:p>
    <w:p w:rsidR="00236E6D" w:rsidRPr="001C3EF3"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rsidR="008F60C3" w:rsidRPr="001C3EF3" w:rsidRDefault="00665C7E" w:rsidP="00121487">
      <w:r w:rsidRPr="001C3EF3">
        <w:fldChar w:fldCharType="begin"/>
      </w:r>
      <w:r w:rsidR="00236E6D" w:rsidRPr="001C3EF3">
        <w:instrText xml:space="preserve"> TOC \h \z \c "Table" </w:instrText>
      </w:r>
      <w:r w:rsidRPr="001C3EF3">
        <w:fldChar w:fldCharType="separate"/>
      </w:r>
      <w:hyperlink w:anchor="_Toc140573588" w:history="1">
        <w:r w:rsidR="00382581">
          <w:t xml:space="preserve">Table 6.1. </w:t>
        </w:r>
        <w:r w:rsidR="009D3271">
          <w:t xml:space="preserve"> </w:t>
        </w:r>
        <w:r w:rsidR="00382581">
          <w:t>The j</w:t>
        </w:r>
        <w:r w:rsidR="00121487">
          <w:t>uvenile proportion (15p5)</w:t>
        </w:r>
        <w:r w:rsidR="00382581">
          <w:t xml:space="preserve"> for each dataset </w:t>
        </w:r>
        <w:r w:rsidR="00382581">
          <w:t>i</w:t>
        </w:r>
        <w:r w:rsidR="00382581">
          <w:t>n</w:t>
        </w:r>
        <w:r w:rsidR="00121487">
          <w:t xml:space="preserve"> the Larson site.</w:t>
        </w:r>
        <w:r w:rsidR="008F60C3" w:rsidRPr="001C3EF3">
          <w:rPr>
            <w:rStyle w:val="Hyperlink"/>
            <w:noProof/>
          </w:rPr>
          <w:t>.</w:t>
        </w:r>
      </w:hyperlink>
      <w:r w:rsidR="004218AA">
        <w:t>...............</w:t>
      </w:r>
      <w:r w:rsidR="00152625">
        <w:t>89</w:t>
      </w:r>
    </w:p>
    <w:p w:rsidR="00121487" w:rsidRPr="0014009B" w:rsidRDefault="00665C7E" w:rsidP="00121487">
      <w:r w:rsidRPr="001C3EF3">
        <w:fldChar w:fldCharType="end"/>
      </w:r>
      <w:proofErr w:type="gramStart"/>
      <w:r w:rsidR="00121487">
        <w:t>Table 6.2.</w:t>
      </w:r>
      <w:proofErr w:type="gramEnd"/>
      <w:r w:rsidR="00121487">
        <w:t xml:space="preserve"> </w:t>
      </w:r>
      <w:r w:rsidR="009D3271">
        <w:t xml:space="preserve"> </w:t>
      </w:r>
      <w:r w:rsidR="00121487">
        <w:t>D30+/D5+ p</w:t>
      </w:r>
      <w:r w:rsidR="00382581">
        <w:t>roportions for each dataset in</w:t>
      </w:r>
      <w:r w:rsidR="00121487">
        <w:t xml:space="preserve"> the Larson site</w:t>
      </w:r>
      <w:r w:rsidR="004218AA">
        <w:t>…………………</w:t>
      </w:r>
      <w:r w:rsidR="00152625">
        <w:t>..92</w:t>
      </w:r>
    </w:p>
    <w:p w:rsidR="00121487" w:rsidRPr="0014009B" w:rsidRDefault="00121487" w:rsidP="00121487">
      <w:proofErr w:type="gramStart"/>
      <w:r>
        <w:t>Table 6.3.</w:t>
      </w:r>
      <w:proofErr w:type="gramEnd"/>
      <w:r>
        <w:t xml:space="preserve"> </w:t>
      </w:r>
      <w:r w:rsidR="009D3271">
        <w:t xml:space="preserve"> </w:t>
      </w:r>
      <w:proofErr w:type="gramStart"/>
      <w:r>
        <w:t>Juvenile survivorship</w:t>
      </w:r>
      <w:r w:rsidR="00382581">
        <w:t xml:space="preserve"> (D1-5/D1-10) for each dataset</w:t>
      </w:r>
      <w:r>
        <w:t xml:space="preserve"> in the Larson site.</w:t>
      </w:r>
      <w:proofErr w:type="gramEnd"/>
      <w:r w:rsidRPr="0014009B">
        <w:t xml:space="preserve">  </w:t>
      </w:r>
      <w:r w:rsidR="00152625">
        <w:t>......94</w:t>
      </w:r>
    </w:p>
    <w:p w:rsidR="007D3E8C" w:rsidRDefault="007D3E8C" w:rsidP="007D3E8C">
      <w:proofErr w:type="gramStart"/>
      <w:r w:rsidRPr="0014009B">
        <w:t>Table</w:t>
      </w:r>
      <w:r>
        <w:t xml:space="preserve"> 6.4</w:t>
      </w:r>
      <w:r w:rsidRPr="0014009B">
        <w:t>.</w:t>
      </w:r>
      <w:proofErr w:type="gramEnd"/>
      <w:r w:rsidRPr="0014009B">
        <w:t xml:space="preserve"> </w:t>
      </w:r>
      <w:r w:rsidR="009D3271">
        <w:t xml:space="preserve"> </w:t>
      </w:r>
      <w:r w:rsidRPr="0014009B">
        <w:t>Larson site transition-skeletal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r w:rsidR="005B7495">
        <w:t>………………………</w:t>
      </w:r>
      <w:r w:rsidR="00152625">
        <w:t>…96</w:t>
      </w:r>
    </w:p>
    <w:p w:rsidR="009D3271" w:rsidRPr="0014009B" w:rsidRDefault="009D3271" w:rsidP="007D3E8C">
      <w:proofErr w:type="gramStart"/>
      <w:r w:rsidRPr="0014009B">
        <w:t>Table</w:t>
      </w:r>
      <w:r>
        <w:t xml:space="preserve"> 6.5</w:t>
      </w:r>
      <w:r w:rsidRPr="0014009B">
        <w:t>.</w:t>
      </w:r>
      <w:proofErr w:type="gramEnd"/>
      <w:r>
        <w:t xml:space="preserve"> </w:t>
      </w:r>
      <w:r w:rsidRPr="0014009B">
        <w:t xml:space="preserve"> Larson site transition-dental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r w:rsidR="005B7495">
        <w:t>……………………………………</w:t>
      </w:r>
      <w:r w:rsidR="00152625">
        <w:t>102</w:t>
      </w:r>
    </w:p>
    <w:p w:rsidR="00152625" w:rsidRDefault="009D3271" w:rsidP="00624614">
      <w:proofErr w:type="gramStart"/>
      <w:r w:rsidRPr="0014009B">
        <w:t>Table</w:t>
      </w:r>
      <w:r>
        <w:t xml:space="preserve"> 6.6.</w:t>
      </w:r>
      <w:proofErr w:type="gramEnd"/>
      <w:r>
        <w:t xml:space="preserve"> </w:t>
      </w:r>
      <w:r w:rsidRPr="0014009B">
        <w:t xml:space="preserve"> Larson site multifactorial-skeletal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r w:rsidR="005B7495">
        <w:t>………………………</w:t>
      </w:r>
      <w:r w:rsidR="00152625">
        <w:t>..107</w:t>
      </w:r>
    </w:p>
    <w:p w:rsidR="00152625" w:rsidRDefault="00624614" w:rsidP="005B44E3">
      <w:proofErr w:type="gramStart"/>
      <w:r w:rsidRPr="0014009B">
        <w:t>Table</w:t>
      </w:r>
      <w:r>
        <w:t xml:space="preserve"> 6.7</w:t>
      </w:r>
      <w:r w:rsidRPr="0014009B">
        <w:t>.</w:t>
      </w:r>
      <w:proofErr w:type="gramEnd"/>
      <w:r>
        <w:t xml:space="preserve"> </w:t>
      </w:r>
      <w:r w:rsidRPr="0014009B">
        <w:t xml:space="preserve"> Larson site multifactorial-dental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r w:rsidR="005B7495">
        <w:t>………………………</w:t>
      </w:r>
      <w:r w:rsidR="00152625">
        <w:t>..112</w:t>
      </w:r>
    </w:p>
    <w:p w:rsidR="005B44E3" w:rsidRPr="0014009B" w:rsidRDefault="005B44E3" w:rsidP="005B44E3">
      <w:proofErr w:type="gramStart"/>
      <w:r w:rsidRPr="0014009B">
        <w:t>Table</w:t>
      </w:r>
      <w:r>
        <w:t xml:space="preserve"> 6.8</w:t>
      </w:r>
      <w:r w:rsidRPr="0014009B">
        <w:t>.</w:t>
      </w:r>
      <w:proofErr w:type="gramEnd"/>
      <w:r>
        <w:t xml:space="preserve"> </w:t>
      </w:r>
      <w:r w:rsidRPr="0014009B">
        <w:t xml:space="preserve"> Larson site Owsley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r w:rsidR="00152625">
        <w:t>………………………………………...117</w:t>
      </w:r>
    </w:p>
    <w:p w:rsidR="005B44E3" w:rsidRPr="0014009B" w:rsidRDefault="005B44E3" w:rsidP="005B44E3">
      <w:proofErr w:type="gramStart"/>
      <w:r w:rsidRPr="0014009B">
        <w:t xml:space="preserve">Table </w:t>
      </w:r>
      <w:r>
        <w:t>6.9</w:t>
      </w:r>
      <w:r w:rsidRPr="0014009B">
        <w:t>.</w:t>
      </w:r>
      <w:proofErr w:type="gramEnd"/>
      <w:r w:rsidRPr="0014009B">
        <w:t xml:space="preserve"> Summary demographic measures based on the Siler model for each Larson dataset</w:t>
      </w:r>
      <w:r w:rsidR="00152625">
        <w:t>…………………………………………………………………………………..122</w:t>
      </w:r>
    </w:p>
    <w:p w:rsidR="001349DD" w:rsidRPr="0014009B" w:rsidRDefault="001349DD" w:rsidP="001349DD">
      <w:proofErr w:type="gramStart"/>
      <w:r w:rsidRPr="0014009B">
        <w:t xml:space="preserve">Table </w:t>
      </w:r>
      <w:r>
        <w:t>6.10.</w:t>
      </w:r>
      <w:proofErr w:type="gramEnd"/>
      <w:r>
        <w:t xml:space="preserve"> </w:t>
      </w:r>
      <w:r w:rsidRPr="0014009B">
        <w:t xml:space="preserve"> Larson site sex-specific Gompterz and Gompertz-Makeham hazard model parameters for adults from the Transition, Multifactorial, and Owsley datasets</w:t>
      </w:r>
      <w:r w:rsidR="00152625">
        <w:t>………125</w:t>
      </w:r>
    </w:p>
    <w:p w:rsidR="00236E6D" w:rsidRPr="001C3EF3"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rsidR="00236E6D" w:rsidRPr="001C3EF3" w:rsidRDefault="00236E6D">
      <w:pPr>
        <w:spacing w:line="2" w:lineRule="exact"/>
      </w:pPr>
    </w:p>
    <w:p w:rsidR="00236E6D" w:rsidRPr="001C3EF3" w:rsidRDefault="00236E6D">
      <w:pPr>
        <w:spacing w:line="2" w:lineRule="exact"/>
      </w:pPr>
    </w:p>
    <w:p w:rsidR="00236E6D" w:rsidRPr="001C3EF3" w:rsidRDefault="00236E6D">
      <w:pPr>
        <w:pStyle w:val="Level1"/>
        <w:tabs>
          <w:tab w:val="right" w:leader="dot" w:pos="8228"/>
        </w:tabs>
        <w:ind w:left="0"/>
        <w:rPr>
          <w:b/>
          <w:bCs/>
          <w:sz w:val="28"/>
          <w:szCs w:val="28"/>
        </w:rPr>
      </w:pPr>
    </w:p>
    <w:p w:rsidR="00236E6D" w:rsidRPr="001C3EF3" w:rsidRDefault="00236E6D">
      <w:pPr>
        <w:numPr>
          <w:ilvl w:val="12"/>
          <w:numId w:val="0"/>
        </w:numPr>
        <w:jc w:val="center"/>
      </w:pPr>
      <w:r w:rsidRPr="001C3EF3">
        <w:rPr>
          <w:sz w:val="28"/>
          <w:szCs w:val="28"/>
        </w:rPr>
        <w:br w:type="page"/>
      </w:r>
      <w:r w:rsidRPr="001C3EF3">
        <w:rPr>
          <w:b/>
          <w:bCs/>
          <w:sz w:val="28"/>
          <w:szCs w:val="28"/>
        </w:rPr>
        <w:lastRenderedPageBreak/>
        <w:t>LIST OF FIGURES</w:t>
      </w:r>
    </w:p>
    <w:p w:rsidR="00236E6D" w:rsidRPr="001C3EF3" w:rsidRDefault="00236E6D">
      <w:pPr>
        <w:numPr>
          <w:ilvl w:val="12"/>
          <w:numId w:val="0"/>
        </w:numPr>
      </w:pPr>
    </w:p>
    <w:p w:rsidR="00236E6D" w:rsidRPr="001C3EF3"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p>
    <w:p w:rsidR="00DD7FDA" w:rsidRDefault="00DF05C2" w:rsidP="00DF05C2">
      <w:proofErr w:type="gramStart"/>
      <w:r>
        <w:t>Figure 2.1.</w:t>
      </w:r>
      <w:proofErr w:type="gramEnd"/>
      <w:r>
        <w:t xml:space="preserve">  Geographical location of the Larson site (39WW2), indicated by the red star.  Larson is located just southeast of the town of Mobridge, South Dakota………………….</w:t>
      </w:r>
    </w:p>
    <w:p w:rsidR="00316010" w:rsidRDefault="00DD7FDA" w:rsidP="00DF05C2">
      <w:proofErr w:type="gramStart"/>
      <w:r>
        <w:t>Figure 5.1.</w:t>
      </w:r>
      <w:proofErr w:type="gramEnd"/>
      <w:r>
        <w:t xml:space="preserve">  Plan map of the excavated burials from the Larson Site (39WW2)</w:t>
      </w:r>
    </w:p>
    <w:p w:rsidR="007D3E8C" w:rsidRPr="0014009B" w:rsidRDefault="007D3E8C" w:rsidP="007D3E8C">
      <w:proofErr w:type="gramStart"/>
      <w:r w:rsidRPr="0014009B">
        <w:t xml:space="preserve">Figure </w:t>
      </w:r>
      <w:r>
        <w:t>6.1</w:t>
      </w:r>
      <w:r w:rsidRPr="0014009B">
        <w:t>.</w:t>
      </w:r>
      <w:proofErr w:type="gramEnd"/>
      <w:r>
        <w:t xml:space="preserve"> </w:t>
      </w:r>
      <w:r w:rsidRPr="0014009B">
        <w:t xml:space="preserve"> </w:t>
      </w:r>
      <w:proofErr w:type="gramStart"/>
      <w:r w:rsidRPr="0014009B">
        <w:t>Kaplan-Meier survival curve for mortality of the Larson site using the Transition-skeletal dataset.</w:t>
      </w:r>
      <w:proofErr w:type="gramEnd"/>
    </w:p>
    <w:p w:rsidR="007D3E8C" w:rsidRPr="0014009B" w:rsidRDefault="007D3E8C" w:rsidP="007D3E8C">
      <w:proofErr w:type="gramStart"/>
      <w:r>
        <w:t>Figure 6.2</w:t>
      </w:r>
      <w:r w:rsidRPr="0014009B">
        <w:t>.</w:t>
      </w:r>
      <w:proofErr w:type="gramEnd"/>
      <w:r w:rsidRPr="0014009B">
        <w:t xml:space="preserve">  </w:t>
      </w:r>
      <w:proofErr w:type="gramStart"/>
      <w:r w:rsidRPr="0014009B">
        <w:t>The Larson four-parameter Siler survival curve with Kaplan-Meier plot for mortality based on the Transition-skeletal dataset.</w:t>
      </w:r>
      <w:proofErr w:type="gramEnd"/>
      <w:r w:rsidRPr="0014009B">
        <w:t xml:space="preserve">  Red is Kaplan-Meier, Blue is fitted survivor curve.</w:t>
      </w:r>
    </w:p>
    <w:p w:rsidR="007D3E8C" w:rsidRPr="0014009B" w:rsidRDefault="007D3E8C" w:rsidP="007D3E8C">
      <w:proofErr w:type="gramStart"/>
      <w:r w:rsidRPr="0014009B">
        <w:t xml:space="preserve">Figure </w:t>
      </w:r>
      <w:r>
        <w:t>6.3</w:t>
      </w:r>
      <w:r w:rsidRPr="0014009B">
        <w:t>.</w:t>
      </w:r>
      <w:proofErr w:type="gramEnd"/>
      <w:r w:rsidRPr="0014009B">
        <w:t xml:space="preserve">  </w:t>
      </w:r>
      <w:proofErr w:type="gramStart"/>
      <w:r w:rsidRPr="0014009B">
        <w:t>The risk of death, hazard curve for the Larson site based on the Transition-skeletal dataset.</w:t>
      </w:r>
      <w:proofErr w:type="gramEnd"/>
    </w:p>
    <w:p w:rsidR="007D3E8C" w:rsidRPr="0014009B" w:rsidRDefault="007D3E8C" w:rsidP="007D3E8C">
      <w:proofErr w:type="gramStart"/>
      <w:r w:rsidRPr="0014009B">
        <w:t xml:space="preserve">Figure </w:t>
      </w:r>
      <w:r>
        <w:t>6.4</w:t>
      </w:r>
      <w:r w:rsidRPr="0014009B">
        <w:t>.</w:t>
      </w:r>
      <w:proofErr w:type="gramEnd"/>
      <w:r>
        <w:t xml:space="preserve"> </w:t>
      </w:r>
      <w:r w:rsidRPr="0014009B">
        <w:t xml:space="preserve"> Probability Density Function (PDF) for the Larson site based on the Transition-skeletal dataset.</w:t>
      </w:r>
    </w:p>
    <w:p w:rsidR="009D3271" w:rsidRPr="0014009B" w:rsidRDefault="009D3271" w:rsidP="009D3271">
      <w:proofErr w:type="gramStart"/>
      <w:r w:rsidRPr="0014009B">
        <w:t xml:space="preserve">Figure </w:t>
      </w:r>
      <w:r>
        <w:t>6.5</w:t>
      </w:r>
      <w:r w:rsidRPr="0014009B">
        <w:t>.</w:t>
      </w:r>
      <w:proofErr w:type="gramEnd"/>
      <w:r w:rsidRPr="0014009B">
        <w:t xml:space="preserve">  </w:t>
      </w:r>
      <w:proofErr w:type="gramStart"/>
      <w:r w:rsidRPr="0014009B">
        <w:t>Kaplan-Meier survival curve for mortality of the Larson site using the Transition-dental dataset.</w:t>
      </w:r>
      <w:proofErr w:type="gramEnd"/>
    </w:p>
    <w:p w:rsidR="009D3271" w:rsidRPr="0014009B" w:rsidRDefault="009D3271" w:rsidP="009D3271">
      <w:proofErr w:type="gramStart"/>
      <w:r w:rsidRPr="0014009B">
        <w:t xml:space="preserve">Figure </w:t>
      </w:r>
      <w:r>
        <w:t>6.6</w:t>
      </w:r>
      <w:r w:rsidRPr="0014009B">
        <w:t>.</w:t>
      </w:r>
      <w:proofErr w:type="gramEnd"/>
      <w:r w:rsidRPr="0014009B">
        <w:t xml:space="preserve">  </w:t>
      </w:r>
      <w:proofErr w:type="gramStart"/>
      <w:r w:rsidRPr="0014009B">
        <w:t>The Larson Siler survival curve with Kaplan-Meier plot for mortality based on the Transition-dental dataset.</w:t>
      </w:r>
      <w:proofErr w:type="gramEnd"/>
      <w:r w:rsidRPr="0014009B">
        <w:t xml:space="preserve">  Red is Kaplan-Meier, Blue is fitted survivor curve.</w:t>
      </w:r>
    </w:p>
    <w:p w:rsidR="009D3271" w:rsidRPr="0014009B" w:rsidRDefault="009D3271" w:rsidP="009D3271">
      <w:proofErr w:type="gramStart"/>
      <w:r w:rsidRPr="0014009B">
        <w:t xml:space="preserve">Figure </w:t>
      </w:r>
      <w:r>
        <w:t>6.7</w:t>
      </w:r>
      <w:r w:rsidRPr="0014009B">
        <w:t>.</w:t>
      </w:r>
      <w:proofErr w:type="gramEnd"/>
      <w:r w:rsidRPr="0014009B">
        <w:t xml:space="preserve">  </w:t>
      </w:r>
      <w:proofErr w:type="gramStart"/>
      <w:r w:rsidRPr="0014009B">
        <w:t>The risk of death, hazard curve for the Larson site based on the Transition-dental dataset.</w:t>
      </w:r>
      <w:proofErr w:type="gramEnd"/>
    </w:p>
    <w:p w:rsidR="009D3271" w:rsidRPr="0014009B" w:rsidRDefault="009D3271" w:rsidP="009D3271">
      <w:proofErr w:type="gramStart"/>
      <w:r w:rsidRPr="0014009B">
        <w:t xml:space="preserve">Figure </w:t>
      </w:r>
      <w:r>
        <w:t>6.8</w:t>
      </w:r>
      <w:r w:rsidRPr="0014009B">
        <w:t>.</w:t>
      </w:r>
      <w:proofErr w:type="gramEnd"/>
      <w:r>
        <w:t xml:space="preserve"> </w:t>
      </w:r>
      <w:r w:rsidRPr="0014009B">
        <w:t xml:space="preserve"> Probability Density Function (PDF) for the Larson site based on the Transition-dental dataset.</w:t>
      </w:r>
    </w:p>
    <w:p w:rsidR="009D3271" w:rsidRPr="0014009B" w:rsidRDefault="009D3271" w:rsidP="009D3271">
      <w:proofErr w:type="gramStart"/>
      <w:r w:rsidRPr="0014009B">
        <w:t xml:space="preserve">Figure </w:t>
      </w:r>
      <w:r>
        <w:t>6.9.</w:t>
      </w:r>
      <w:proofErr w:type="gramEnd"/>
      <w:r>
        <w:t xml:space="preserve"> </w:t>
      </w:r>
      <w:r w:rsidRPr="0014009B">
        <w:t xml:space="preserve"> </w:t>
      </w:r>
      <w:proofErr w:type="gramStart"/>
      <w:r w:rsidRPr="0014009B">
        <w:t>Kaplan-Meier survival curve for mortality of the Larson site using the Multifactorial-skeletal dataset.</w:t>
      </w:r>
      <w:proofErr w:type="gramEnd"/>
    </w:p>
    <w:p w:rsidR="009D3271" w:rsidRPr="0014009B" w:rsidRDefault="009D3271" w:rsidP="009D3271">
      <w:proofErr w:type="gramStart"/>
      <w:r w:rsidRPr="0014009B">
        <w:t xml:space="preserve">Figure </w:t>
      </w:r>
      <w:r>
        <w:t>6.10</w:t>
      </w:r>
      <w:r w:rsidRPr="0014009B">
        <w:t>.</w:t>
      </w:r>
      <w:proofErr w:type="gramEnd"/>
      <w:r>
        <w:t xml:space="preserve"> </w:t>
      </w:r>
      <w:r w:rsidRPr="0014009B">
        <w:t xml:space="preserve"> </w:t>
      </w:r>
      <w:proofErr w:type="gramStart"/>
      <w:r w:rsidRPr="0014009B">
        <w:t>The Larson Siler survival curve with Kaplan-Meier plot for mortality based on the Multifactorial-skeletal dataset.</w:t>
      </w:r>
      <w:proofErr w:type="gramEnd"/>
      <w:r w:rsidRPr="0014009B">
        <w:t xml:space="preserve">  Red is Kaplan-Meier, Blue is fitted survivor curve.</w:t>
      </w:r>
    </w:p>
    <w:p w:rsidR="009D3271" w:rsidRPr="0014009B" w:rsidRDefault="009D3271" w:rsidP="009D3271">
      <w:proofErr w:type="gramStart"/>
      <w:r w:rsidRPr="0014009B">
        <w:t xml:space="preserve">Figure </w:t>
      </w:r>
      <w:r>
        <w:t>6.11</w:t>
      </w:r>
      <w:r w:rsidRPr="0014009B">
        <w:t>.</w:t>
      </w:r>
      <w:proofErr w:type="gramEnd"/>
      <w:r w:rsidRPr="0014009B">
        <w:t xml:space="preserve">  </w:t>
      </w:r>
      <w:proofErr w:type="gramStart"/>
      <w:r w:rsidRPr="0014009B">
        <w:t>The risk of death, hazard curve for the Larson site based on the Multifactorial-skeletal dataset.</w:t>
      </w:r>
      <w:proofErr w:type="gramEnd"/>
    </w:p>
    <w:p w:rsidR="009D3271" w:rsidRPr="0014009B" w:rsidRDefault="009D3271" w:rsidP="009D3271">
      <w:proofErr w:type="gramStart"/>
      <w:r w:rsidRPr="0014009B">
        <w:t xml:space="preserve">Figure </w:t>
      </w:r>
      <w:r>
        <w:t>6.12</w:t>
      </w:r>
      <w:r w:rsidRPr="0014009B">
        <w:t>.</w:t>
      </w:r>
      <w:proofErr w:type="gramEnd"/>
      <w:r>
        <w:t xml:space="preserve"> </w:t>
      </w:r>
      <w:r w:rsidRPr="0014009B">
        <w:t xml:space="preserve"> Probability Density Function (PDF) for the Larson site based on the Multifactorial-skeletal dataset.</w:t>
      </w:r>
    </w:p>
    <w:p w:rsidR="00624614" w:rsidRPr="0014009B" w:rsidRDefault="00624614" w:rsidP="00624614">
      <w:proofErr w:type="gramStart"/>
      <w:r w:rsidRPr="0014009B">
        <w:t xml:space="preserve">Figure </w:t>
      </w:r>
      <w:r>
        <w:t>6.13</w:t>
      </w:r>
      <w:r w:rsidRPr="0014009B">
        <w:t>.</w:t>
      </w:r>
      <w:proofErr w:type="gramEnd"/>
      <w:r w:rsidRPr="0014009B">
        <w:t xml:space="preserve">  </w:t>
      </w:r>
      <w:proofErr w:type="gramStart"/>
      <w:r w:rsidRPr="0014009B">
        <w:t>Kaplan-Meier survival curve for mortality of the Larson site using the Multifactorial-dental dataset.</w:t>
      </w:r>
      <w:proofErr w:type="gramEnd"/>
    </w:p>
    <w:p w:rsidR="00624614" w:rsidRPr="0014009B" w:rsidRDefault="00624614" w:rsidP="00624614">
      <w:proofErr w:type="gramStart"/>
      <w:r w:rsidRPr="0014009B">
        <w:t xml:space="preserve">Figure </w:t>
      </w:r>
      <w:r>
        <w:t>6.14</w:t>
      </w:r>
      <w:r w:rsidRPr="0014009B">
        <w:t>.</w:t>
      </w:r>
      <w:proofErr w:type="gramEnd"/>
      <w:r w:rsidRPr="0014009B">
        <w:t xml:space="preserve">  </w:t>
      </w:r>
      <w:proofErr w:type="gramStart"/>
      <w:r w:rsidRPr="0014009B">
        <w:t>The Larson Siler survival curve with Kaplan-Meier plot for mortality based on the Multifactorial-dental dataset.</w:t>
      </w:r>
      <w:proofErr w:type="gramEnd"/>
      <w:r w:rsidRPr="0014009B">
        <w:t xml:space="preserve">  Red is Kaplan-Meier, Blue is fitted survivor curve.</w:t>
      </w:r>
    </w:p>
    <w:p w:rsidR="00624614" w:rsidRPr="0014009B" w:rsidRDefault="00624614" w:rsidP="00624614">
      <w:proofErr w:type="gramStart"/>
      <w:r w:rsidRPr="0014009B">
        <w:t xml:space="preserve">Figure </w:t>
      </w:r>
      <w:r>
        <w:t>6.15</w:t>
      </w:r>
      <w:r w:rsidRPr="0014009B">
        <w:t>.</w:t>
      </w:r>
      <w:proofErr w:type="gramEnd"/>
      <w:r w:rsidRPr="0014009B">
        <w:t xml:space="preserve">  </w:t>
      </w:r>
      <w:proofErr w:type="gramStart"/>
      <w:r w:rsidRPr="0014009B">
        <w:t>The risk of death, hazard curve for the Larson site based on the Multifactorial-dental dataset.</w:t>
      </w:r>
      <w:proofErr w:type="gramEnd"/>
    </w:p>
    <w:p w:rsidR="00624614" w:rsidRPr="0014009B" w:rsidRDefault="00624614" w:rsidP="00624614">
      <w:proofErr w:type="gramStart"/>
      <w:r w:rsidRPr="0014009B">
        <w:t xml:space="preserve">Figure </w:t>
      </w:r>
      <w:r>
        <w:t>6.16</w:t>
      </w:r>
      <w:r w:rsidRPr="0014009B">
        <w:t>.</w:t>
      </w:r>
      <w:proofErr w:type="gramEnd"/>
      <w:r>
        <w:t xml:space="preserve"> </w:t>
      </w:r>
      <w:r w:rsidRPr="0014009B">
        <w:t xml:space="preserve"> Probability Density Function (PDF) for the Larson site based on the Multifactorial-dental dataset.</w:t>
      </w:r>
    </w:p>
    <w:p w:rsidR="005B44E3" w:rsidRPr="0014009B" w:rsidRDefault="005B44E3" w:rsidP="005B44E3">
      <w:proofErr w:type="gramStart"/>
      <w:r w:rsidRPr="0014009B">
        <w:t xml:space="preserve">Figure </w:t>
      </w:r>
      <w:r>
        <w:t>6.17.</w:t>
      </w:r>
      <w:proofErr w:type="gramEnd"/>
      <w:r>
        <w:t xml:space="preserve"> </w:t>
      </w:r>
      <w:r w:rsidRPr="0014009B">
        <w:t xml:space="preserve"> </w:t>
      </w:r>
      <w:proofErr w:type="gramStart"/>
      <w:r w:rsidRPr="0014009B">
        <w:t>Kaplan-Meier survival curve for mortality of the Larson site using the Owsley dataset.</w:t>
      </w:r>
      <w:proofErr w:type="gramEnd"/>
    </w:p>
    <w:p w:rsidR="005B44E3" w:rsidRPr="0014009B" w:rsidRDefault="005B44E3" w:rsidP="005B44E3">
      <w:proofErr w:type="gramStart"/>
      <w:r w:rsidRPr="0014009B">
        <w:t xml:space="preserve">Figure </w:t>
      </w:r>
      <w:r>
        <w:t>6.18</w:t>
      </w:r>
      <w:r w:rsidRPr="0014009B">
        <w:t>.</w:t>
      </w:r>
      <w:proofErr w:type="gramEnd"/>
      <w:r w:rsidRPr="0014009B">
        <w:t xml:space="preserve">  </w:t>
      </w:r>
      <w:proofErr w:type="gramStart"/>
      <w:r w:rsidRPr="0014009B">
        <w:t>The Larson Siler survival curve with Kaplan-Meier plot for mortality based on the Owsley dataset.</w:t>
      </w:r>
      <w:proofErr w:type="gramEnd"/>
      <w:r w:rsidRPr="0014009B">
        <w:t xml:space="preserve">  Red is Kaplan-Meier, Blue is fitted survivor curve.</w:t>
      </w:r>
    </w:p>
    <w:p w:rsidR="005B44E3" w:rsidRPr="0014009B" w:rsidRDefault="005B44E3" w:rsidP="005B44E3">
      <w:proofErr w:type="gramStart"/>
      <w:r w:rsidRPr="0014009B">
        <w:t xml:space="preserve">Figure </w:t>
      </w:r>
      <w:r>
        <w:t>6.19</w:t>
      </w:r>
      <w:r w:rsidRPr="0014009B">
        <w:t>.</w:t>
      </w:r>
      <w:proofErr w:type="gramEnd"/>
      <w:r w:rsidRPr="0014009B">
        <w:t xml:space="preserve">  </w:t>
      </w:r>
      <w:proofErr w:type="gramStart"/>
      <w:r w:rsidRPr="0014009B">
        <w:t>The risk of death, hazard curve for the Larson site based on the Owsley dataset.</w:t>
      </w:r>
      <w:proofErr w:type="gramEnd"/>
    </w:p>
    <w:p w:rsidR="005B44E3" w:rsidRPr="0014009B" w:rsidRDefault="005B44E3" w:rsidP="005B44E3">
      <w:proofErr w:type="gramStart"/>
      <w:r w:rsidRPr="0014009B">
        <w:lastRenderedPageBreak/>
        <w:t xml:space="preserve">Figure </w:t>
      </w:r>
      <w:r>
        <w:t>6.20</w:t>
      </w:r>
      <w:r w:rsidRPr="0014009B">
        <w:t>.</w:t>
      </w:r>
      <w:proofErr w:type="gramEnd"/>
      <w:r>
        <w:t xml:space="preserve"> </w:t>
      </w:r>
      <w:r w:rsidRPr="0014009B">
        <w:t xml:space="preserve"> Probability Density Function (PDF) for the Larson site based on the Owsley dataset.</w:t>
      </w:r>
    </w:p>
    <w:p w:rsidR="001349DD" w:rsidRPr="0014009B" w:rsidRDefault="001349DD" w:rsidP="001349DD">
      <w:proofErr w:type="gramStart"/>
      <w:r w:rsidRPr="0014009B">
        <w:t xml:space="preserve">Figure </w:t>
      </w:r>
      <w:r>
        <w:t>6.21</w:t>
      </w:r>
      <w:r w:rsidRPr="0014009B">
        <w:t>.</w:t>
      </w:r>
      <w:proofErr w:type="gramEnd"/>
      <w:r>
        <w:t xml:space="preserve"> </w:t>
      </w:r>
      <w:r w:rsidRPr="0014009B">
        <w:t xml:space="preserve"> </w:t>
      </w:r>
      <w:proofErr w:type="gramStart"/>
      <w:r w:rsidRPr="0014009B">
        <w:t>Combined, adult Kaplan-Meier survival curve for the Larson site</w:t>
      </w:r>
      <w:r>
        <w:t xml:space="preserve"> based on the Transition Analysis dataset.</w:t>
      </w:r>
      <w:proofErr w:type="gramEnd"/>
    </w:p>
    <w:p w:rsidR="001349DD" w:rsidRPr="0014009B" w:rsidRDefault="001349DD" w:rsidP="001349DD">
      <w:proofErr w:type="gramStart"/>
      <w:r w:rsidRPr="0014009B">
        <w:t xml:space="preserve">Figure </w:t>
      </w:r>
      <w:r>
        <w:t>6.22.</w:t>
      </w:r>
      <w:proofErr w:type="gramEnd"/>
      <w:r>
        <w:t xml:space="preserve">  </w:t>
      </w:r>
      <w:r w:rsidRPr="0014009B">
        <w:t>Sex specific Kaplan-Meier survival curve for the Larson site.</w:t>
      </w:r>
    </w:p>
    <w:p w:rsidR="00F307BD" w:rsidRPr="0014009B" w:rsidRDefault="00F307BD" w:rsidP="00F307BD">
      <w:proofErr w:type="gramStart"/>
      <w:r w:rsidRPr="0014009B">
        <w:t xml:space="preserve">Figure </w:t>
      </w:r>
      <w:r>
        <w:t>6.23</w:t>
      </w:r>
      <w:r w:rsidRPr="0014009B">
        <w:t>.</w:t>
      </w:r>
      <w:proofErr w:type="gramEnd"/>
      <w:r>
        <w:t xml:space="preserve"> </w:t>
      </w:r>
      <w:r w:rsidRPr="0014009B">
        <w:t xml:space="preserve"> </w:t>
      </w:r>
      <w:proofErr w:type="gramStart"/>
      <w:r w:rsidRPr="0014009B">
        <w:t>Gompertz survival curve for adult males from the Larson site using the Transition dataset.</w:t>
      </w:r>
      <w:proofErr w:type="gramEnd"/>
    </w:p>
    <w:p w:rsidR="00F307BD" w:rsidRPr="0014009B" w:rsidRDefault="00F307BD" w:rsidP="00F307BD">
      <w:proofErr w:type="gramStart"/>
      <w:r w:rsidRPr="0014009B">
        <w:t xml:space="preserve">Figure </w:t>
      </w:r>
      <w:r>
        <w:t>6.24</w:t>
      </w:r>
      <w:r w:rsidRPr="0014009B">
        <w:t>.</w:t>
      </w:r>
      <w:proofErr w:type="gramEnd"/>
      <w:r>
        <w:t xml:space="preserve"> </w:t>
      </w:r>
      <w:r w:rsidRPr="0014009B">
        <w:t xml:space="preserve"> </w:t>
      </w:r>
      <w:proofErr w:type="gramStart"/>
      <w:r w:rsidRPr="0014009B">
        <w:t>Gompertz survival curve for adult females from the Larson site using the Transition dataset.</w:t>
      </w:r>
      <w:proofErr w:type="gramEnd"/>
    </w:p>
    <w:p w:rsidR="000F1BC0" w:rsidRDefault="000F1BC0" w:rsidP="000F1BC0">
      <w:proofErr w:type="gramStart"/>
      <w:r w:rsidRPr="0014009B">
        <w:t xml:space="preserve">Figure </w:t>
      </w:r>
      <w:r>
        <w:t>3.25</w:t>
      </w:r>
      <w:r w:rsidRPr="0014009B">
        <w:t>.</w:t>
      </w:r>
      <w:proofErr w:type="gramEnd"/>
      <w:r>
        <w:t xml:space="preserve"> </w:t>
      </w:r>
      <w:r w:rsidRPr="0014009B">
        <w:t xml:space="preserve"> Sex specific Kaplan-Meier survival curve for the Larson site using the Multifactorial dataset.</w:t>
      </w:r>
    </w:p>
    <w:p w:rsidR="000F1BC0" w:rsidRPr="0014009B" w:rsidRDefault="000F1BC0" w:rsidP="000F1BC0">
      <w:proofErr w:type="gramStart"/>
      <w:r w:rsidRPr="0014009B">
        <w:t xml:space="preserve">Figure </w:t>
      </w:r>
      <w:r>
        <w:t>6.26</w:t>
      </w:r>
      <w:r w:rsidRPr="0014009B">
        <w:t>.</w:t>
      </w:r>
      <w:proofErr w:type="gramEnd"/>
      <w:r>
        <w:t xml:space="preserve"> </w:t>
      </w:r>
      <w:r w:rsidRPr="0014009B">
        <w:t xml:space="preserve"> Sex specific Kaplan-Meier survival curve for the Larson site using the Owsley dataset.</w:t>
      </w:r>
    </w:p>
    <w:p w:rsidR="00DF05C2" w:rsidRPr="001C3EF3" w:rsidRDefault="00316010" w:rsidP="00DF05C2">
      <w:r>
        <w:t xml:space="preserve">Figure A.1. </w:t>
      </w:r>
      <w:proofErr w:type="gramStart"/>
      <w:r>
        <w:t>Age-at-death distributions for the Owsley, Multifactorial-dental (MD), the Multifactorial-skeletal (MB), the Transition Analysis- skeletal (TB), and the Transition Analysis-dental (TD) datasets.</w:t>
      </w:r>
      <w:proofErr w:type="gramEnd"/>
      <w:r w:rsidR="00DF05C2" w:rsidRPr="001C3EF3">
        <w:t xml:space="preserve"> </w:t>
      </w:r>
    </w:p>
    <w:p w:rsidR="003C1575" w:rsidRPr="001C3EF3" w:rsidRDefault="003C1575">
      <w:pPr>
        <w:numPr>
          <w:ilvl w:val="12"/>
          <w:numId w:val="0"/>
        </w:numPr>
        <w:sectPr w:rsidR="003C1575" w:rsidRPr="001C3EF3" w:rsidSect="001D4908">
          <w:pgSz w:w="12240" w:h="15840" w:code="1"/>
          <w:pgMar w:top="1440" w:right="1800" w:bottom="1872" w:left="1800" w:header="720" w:footer="1440" w:gutter="0"/>
          <w:pgNumType w:fmt="lowerRoman" w:start="1"/>
          <w:cols w:space="720"/>
          <w:noEndnote/>
          <w:titlePg/>
        </w:sectPr>
      </w:pPr>
    </w:p>
    <w:p w:rsidR="00236E6D" w:rsidRPr="008126A6" w:rsidRDefault="00236E6D" w:rsidP="008126A6">
      <w:pPr>
        <w:pStyle w:val="Heading2"/>
        <w:rPr>
          <w:rFonts w:ascii="Times New Roman" w:hAnsi="Times New Roman" w:cs="Times New Roman"/>
        </w:rPr>
      </w:pPr>
      <w:bookmarkStart w:id="0" w:name="_Toc349858113"/>
      <w:r w:rsidRPr="008126A6">
        <w:rPr>
          <w:rFonts w:ascii="Times New Roman" w:hAnsi="Times New Roman" w:cs="Times New Roman"/>
        </w:rPr>
        <w:lastRenderedPageBreak/>
        <w:t xml:space="preserve">CHAPTER </w:t>
      </w:r>
      <w:r w:rsidR="008126A6" w:rsidRPr="008126A6">
        <w:rPr>
          <w:rFonts w:ascii="Times New Roman" w:hAnsi="Times New Roman" w:cs="Times New Roman"/>
        </w:rPr>
        <w:t>1</w:t>
      </w:r>
      <w:bookmarkEnd w:id="0"/>
    </w:p>
    <w:p w:rsidR="00236E6D" w:rsidRPr="008126A6" w:rsidRDefault="00EE334C" w:rsidP="008126A6">
      <w:pPr>
        <w:pStyle w:val="Heading2"/>
        <w:rPr>
          <w:rFonts w:ascii="Times New Roman" w:hAnsi="Times New Roman" w:cs="Times New Roman"/>
        </w:rPr>
      </w:pPr>
      <w:bookmarkStart w:id="1" w:name="_Toc349858114"/>
      <w:r w:rsidRPr="008126A6">
        <w:rPr>
          <w:rFonts w:ascii="Times New Roman" w:hAnsi="Times New Roman" w:cs="Times New Roman"/>
        </w:rPr>
        <w:t>Introduction</w:t>
      </w:r>
      <w:bookmarkEnd w:id="1"/>
      <w:r w:rsidRPr="008126A6">
        <w:rPr>
          <w:rFonts w:ascii="Times New Roman" w:hAnsi="Times New Roman" w:cs="Times New Roman"/>
        </w:rPr>
        <w:t xml:space="preserve"> </w:t>
      </w:r>
    </w:p>
    <w:p w:rsidR="00236E6D" w:rsidRPr="001C3EF3" w:rsidRDefault="00236E6D">
      <w:pPr>
        <w:numPr>
          <w:ilvl w:val="12"/>
          <w:numId w:val="0"/>
        </w:numPr>
        <w:jc w:val="center"/>
      </w:pPr>
    </w:p>
    <w:p w:rsidR="00236E6D" w:rsidRPr="001C3EF3" w:rsidRDefault="00236E6D">
      <w:pPr>
        <w:numPr>
          <w:ilvl w:val="12"/>
          <w:numId w:val="0"/>
        </w:numPr>
        <w:jc w:val="center"/>
      </w:pPr>
    </w:p>
    <w:p w:rsidR="00236E6D" w:rsidRPr="001C3EF3" w:rsidRDefault="00236E6D">
      <w:pPr>
        <w:pStyle w:val="Footer"/>
        <w:numPr>
          <w:ilvl w:val="12"/>
          <w:numId w:val="0"/>
        </w:numPr>
        <w:tabs>
          <w:tab w:val="clear" w:pos="4320"/>
          <w:tab w:val="clear" w:pos="8640"/>
        </w:tabs>
      </w:pPr>
    </w:p>
    <w:p w:rsidR="005B11A2" w:rsidRPr="001C3EF3" w:rsidRDefault="005B11A2" w:rsidP="00C0293C">
      <w:pPr>
        <w:spacing w:line="480" w:lineRule="auto"/>
        <w:ind w:firstLine="720"/>
      </w:pPr>
      <w:r w:rsidRPr="001C3EF3">
        <w:rPr>
          <w:rFonts w:eastAsia="Calibri"/>
        </w:rPr>
        <w:t>Information that can inform us on the morbidity and mortality experience of past peoples allows us to understand how humans have evolved in response to their environment.  Paleodemography provides an avenue for understanding both morbidity and mortality in response to changes in the environment, the socioeconomic conditions, subsistence strategies, and organizational structure of prehistoric populations.  This research focuses on the demographic</w:t>
      </w:r>
      <w:r w:rsidRPr="001C3EF3">
        <w:t xml:space="preserve"> transition associated with European contact in the Upper Plains.  </w:t>
      </w:r>
    </w:p>
    <w:p w:rsidR="005B11A2" w:rsidRPr="001C3EF3" w:rsidRDefault="005B11A2" w:rsidP="00C0293C">
      <w:pPr>
        <w:spacing w:line="480" w:lineRule="auto"/>
        <w:ind w:firstLine="720"/>
      </w:pPr>
      <w:r w:rsidRPr="001C3EF3">
        <w:t xml:space="preserve">Since bioarchaeology has become its own field of study, data are now available on the diet, migration, biomechanics, </w:t>
      </w:r>
      <w:proofErr w:type="gramStart"/>
      <w:r w:rsidRPr="001C3EF3">
        <w:t>biological</w:t>
      </w:r>
      <w:proofErr w:type="gramEnd"/>
      <w:r w:rsidRPr="001C3EF3">
        <w:t xml:space="preserve"> distance, microevolutionary change through the use of analytical techniques such as stable isotopes, geophysical spatial analyses, cross-sectional geometry, geometric morphometrics, and aDNA studies (Lars</w:t>
      </w:r>
      <w:r w:rsidR="00715402">
        <w:t>e</w:t>
      </w:r>
      <w:r w:rsidRPr="001C3EF3">
        <w:t>n</w:t>
      </w:r>
      <w:r w:rsidR="006C7A60">
        <w:t>, 1997;</w:t>
      </w:r>
      <w:r w:rsidRPr="001C3EF3">
        <w:t xml:space="preserve"> Buikstra and Beck</w:t>
      </w:r>
      <w:r w:rsidR="006C7A60">
        <w:t>,</w:t>
      </w:r>
      <w:r w:rsidRPr="001C3EF3">
        <w:t xml:space="preserve"> 2006</w:t>
      </w:r>
      <w:r w:rsidR="006C7A60">
        <w:t>; Katzenbe</w:t>
      </w:r>
      <w:r w:rsidRPr="001C3EF3">
        <w:t>rg and Saunders</w:t>
      </w:r>
      <w:r w:rsidR="006C7A60">
        <w:t>,</w:t>
      </w:r>
      <w:r w:rsidRPr="001C3EF3">
        <w:t xml:space="preserve"> 2008).  The basis for most of these data is having a firm understanding of the demographic profile for the population sample being studied.  </w:t>
      </w:r>
      <w:r w:rsidRPr="001C3EF3">
        <w:rPr>
          <w:rFonts w:eastAsia="Calibri"/>
        </w:rPr>
        <w:t>This</w:t>
      </w:r>
      <w:r w:rsidRPr="001C3EF3">
        <w:t xml:space="preserve"> research hopes to renew the interest in the biology of the Arikara in relation to increasing presence of Europeans and European trade items, changes to the pre-existing trade networks, the migration of other tribes into the Missouri river valley, and several other independent factors affecting the health, demography, nutrition, and sociocultural structure of the Plains people in the protohistoric time period.</w:t>
      </w:r>
      <w:r w:rsidR="006C7A60">
        <w:t xml:space="preserve"> </w:t>
      </w:r>
      <w:r w:rsidRPr="001C3EF3">
        <w:t xml:space="preserve"> The diversity of the people and the outside pressures experienced by the Arikara provide an excellent basis for comparative research on the health and mortality changes caused by contact with Euro-Americans. </w:t>
      </w:r>
      <w:r w:rsidR="006C7A60">
        <w:t xml:space="preserve"> </w:t>
      </w:r>
      <w:r w:rsidRPr="001C3EF3">
        <w:t xml:space="preserve">The incorporation of statistical models that can integrate both </w:t>
      </w:r>
      <w:r w:rsidRPr="001C3EF3">
        <w:lastRenderedPageBreak/>
        <w:t xml:space="preserve">health indicators and demographic parameters </w:t>
      </w:r>
      <w:proofErr w:type="gramStart"/>
      <w:r w:rsidRPr="001C3EF3">
        <w:t>have</w:t>
      </w:r>
      <w:proofErr w:type="gramEnd"/>
      <w:r w:rsidRPr="001C3EF3">
        <w:t xml:space="preserve"> the potential to create new, independent tests of the archaeological and historically derived hypotheses.  However, prior to understanding the changes in health of the population, a thorough understanding of its demography is necessary.</w:t>
      </w:r>
    </w:p>
    <w:p w:rsidR="006C7A60" w:rsidRDefault="006C7A60" w:rsidP="00C0293C">
      <w:pPr>
        <w:spacing w:line="480" w:lineRule="auto"/>
        <w:ind w:firstLine="720"/>
      </w:pPr>
    </w:p>
    <w:p w:rsidR="005B11A2" w:rsidRPr="001C3EF3" w:rsidRDefault="005B11A2" w:rsidP="00C0293C">
      <w:pPr>
        <w:spacing w:line="480" w:lineRule="auto"/>
        <w:ind w:firstLine="720"/>
        <w:rPr>
          <w:rFonts w:eastAsia="Calibri"/>
        </w:rPr>
      </w:pPr>
      <w:r w:rsidRPr="001C3EF3">
        <w:t xml:space="preserve">Native Americans of the Great Plains experienced a micro-evolutionary shift socio-culturally and biologically with European contact, which translates into demographic changes.  Williams (1994) provides a very good review on the demography and paleopathology of Archaic and Woodland skeletons from the Northern Plains, but similar overviews are limited for the Protohistoric and historic Indians of the Northern Plains.  Owsley </w:t>
      </w:r>
      <w:r w:rsidR="00C0293C" w:rsidRPr="00C0293C">
        <w:rPr>
          <w:i/>
        </w:rPr>
        <w:t>et al</w:t>
      </w:r>
      <w:r w:rsidRPr="001C3EF3">
        <w:t xml:space="preserve">. (1977) and Owsley and Bass (1979) provided a description of the Larson site (39WW2) village and cemetery.  Palkovich (1981) has provided a similar overview of the Arikara from the Mobridge site (39WW1) as did Bass </w:t>
      </w:r>
      <w:r w:rsidR="00C0293C" w:rsidRPr="00C0293C">
        <w:rPr>
          <w:i/>
        </w:rPr>
        <w:t>et al</w:t>
      </w:r>
      <w:r w:rsidRPr="001C3EF3">
        <w:t xml:space="preserve">. (1971) for the historic Leavenworth site </w:t>
      </w:r>
      <w:r w:rsidRPr="008126A6">
        <w:t>(39CO</w:t>
      </w:r>
      <w:r w:rsidR="008126A6" w:rsidRPr="008126A6">
        <w:t>9</w:t>
      </w:r>
      <w:r w:rsidRPr="008126A6">
        <w:t>)</w:t>
      </w:r>
      <w:r w:rsidRPr="001C3EF3">
        <w:rPr>
          <w:color w:val="FF0000"/>
        </w:rPr>
        <w:t xml:space="preserve">.  </w:t>
      </w:r>
      <w:r w:rsidRPr="00C0293C">
        <w:t>Otherwise, most of the literature has focuses on description and prevalence rates of specific diseases discovered during analysis of the skeletal material from these sites (</w:t>
      </w:r>
      <w:r w:rsidRPr="001C3EF3">
        <w:t>Owsley and Bradtmiller</w:t>
      </w:r>
      <w:r w:rsidR="006C7A60">
        <w:t>,</w:t>
      </w:r>
      <w:r w:rsidRPr="001C3EF3">
        <w:t xml:space="preserve"> 1983</w:t>
      </w:r>
      <w:r w:rsidR="006C7A60">
        <w:t>;</w:t>
      </w:r>
      <w:r w:rsidRPr="001C3EF3">
        <w:t xml:space="preserve"> Kelley </w:t>
      </w:r>
      <w:r w:rsidR="00C0293C" w:rsidRPr="00C0293C">
        <w:rPr>
          <w:i/>
        </w:rPr>
        <w:t>et al</w:t>
      </w:r>
      <w:r w:rsidRPr="001C3EF3">
        <w:t>.</w:t>
      </w:r>
      <w:r w:rsidR="006C7A60">
        <w:t>,</w:t>
      </w:r>
      <w:r w:rsidRPr="001C3EF3">
        <w:t xml:space="preserve"> 1994</w:t>
      </w:r>
      <w:r w:rsidR="006C7A60">
        <w:t>;</w:t>
      </w:r>
      <w:r w:rsidRPr="001C3EF3">
        <w:t xml:space="preserve"> Mann </w:t>
      </w:r>
      <w:r w:rsidR="00C0293C" w:rsidRPr="00C0293C">
        <w:rPr>
          <w:i/>
        </w:rPr>
        <w:t>et al</w:t>
      </w:r>
      <w:r w:rsidRPr="001C3EF3">
        <w:t>.</w:t>
      </w:r>
      <w:r w:rsidR="006C7A60">
        <w:t>,</w:t>
      </w:r>
      <w:r w:rsidRPr="001C3EF3">
        <w:t xml:space="preserve"> 1994).  The Larson site </w:t>
      </w:r>
      <w:r w:rsidRPr="001C3EF3">
        <w:rPr>
          <w:rFonts w:eastAsia="Calibri"/>
        </w:rPr>
        <w:t xml:space="preserve">is an ideal site to study not only the population structure, but how it changed in response to different stresses associated with the increasing European presence in the region as well as test the utility of new methods in paleodemogaphy.  </w:t>
      </w:r>
    </w:p>
    <w:p w:rsidR="005B11A2" w:rsidRPr="001C3EF3" w:rsidRDefault="005B11A2" w:rsidP="00C0293C">
      <w:pPr>
        <w:spacing w:line="480" w:lineRule="auto"/>
        <w:ind w:firstLine="720"/>
        <w:rPr>
          <w:rFonts w:eastAsia="Calibri"/>
        </w:rPr>
      </w:pPr>
      <w:r w:rsidRPr="001C3EF3">
        <w:t>Several demographic and epidemiological transitions have been noted in the literature and provide the basis for examining the demographic patterns in the Larson Site (39WW2), Walworth County, South Dakota.  Bocquet-Appel (2008) defines a demographic transition as “a quantitative leap in the self-regulated flow of population inputs and outputs that is determined by qualitative change in the causal mechanisms underlying the regulation” (p 657).</w:t>
      </w:r>
      <w:r w:rsidR="00C0293C">
        <w:t xml:space="preserve"> </w:t>
      </w:r>
      <w:r w:rsidRPr="001C3EF3">
        <w:t xml:space="preserve"> The question </w:t>
      </w:r>
      <w:r w:rsidRPr="001C3EF3">
        <w:lastRenderedPageBreak/>
        <w:t xml:space="preserve">that should be raised is if major transitions like the transition to agriculture and industrialization are apparent demographically, can we observe smaller, more localized transitions.  Recent work on the Black Death has demonstrated the possibility of understanding demographic processes associated </w:t>
      </w:r>
      <w:r w:rsidR="001C3EF3">
        <w:t xml:space="preserve">with </w:t>
      </w:r>
      <w:r w:rsidRPr="001C3EF3">
        <w:t>smaller scale event</w:t>
      </w:r>
      <w:r w:rsidR="001C3EF3">
        <w:t>s</w:t>
      </w:r>
      <w:r w:rsidRPr="001C3EF3">
        <w:t xml:space="preserve"> (Margerison and Knusel</w:t>
      </w:r>
      <w:r w:rsidR="0020456D">
        <w:t>, 2002;</w:t>
      </w:r>
      <w:r w:rsidRPr="001C3EF3">
        <w:t xml:space="preserve"> DeWitte and Wood</w:t>
      </w:r>
      <w:r w:rsidR="0020456D">
        <w:t>,</w:t>
      </w:r>
      <w:r w:rsidRPr="001C3EF3">
        <w:t xml:space="preserve"> 2008</w:t>
      </w:r>
      <w:r w:rsidR="0020456D">
        <w:t>;</w:t>
      </w:r>
      <w:r w:rsidRPr="001C3EF3">
        <w:t xml:space="preserve"> DeWitte</w:t>
      </w:r>
      <w:r w:rsidR="0020456D">
        <w:t>,</w:t>
      </w:r>
      <w:r w:rsidRPr="001C3EF3">
        <w:t xml:space="preserve"> 2009</w:t>
      </w:r>
      <w:r w:rsidR="0020456D">
        <w:t>;</w:t>
      </w:r>
      <w:r w:rsidRPr="001C3EF3">
        <w:t xml:space="preserve"> Redfern and DeWitte</w:t>
      </w:r>
      <w:r w:rsidR="0020456D">
        <w:t>,</w:t>
      </w:r>
      <w:r w:rsidRPr="001C3EF3">
        <w:t xml:space="preserve"> 2011)</w:t>
      </w:r>
      <w:r w:rsidR="001C3EF3">
        <w:t>, even though it has long been beli</w:t>
      </w:r>
      <w:r w:rsidR="00715402">
        <w:t>e</w:t>
      </w:r>
      <w:r w:rsidR="001C3EF3">
        <w:t>ved that once an epidemic is over the former levels of mortality will be regained within a s</w:t>
      </w:r>
      <w:r w:rsidR="00715402">
        <w:t>hort period of time (Weiss, 1973</w:t>
      </w:r>
      <w:r w:rsidR="001C3EF3">
        <w:t>)</w:t>
      </w:r>
      <w:r w:rsidRPr="001C3EF3">
        <w:t>.</w:t>
      </w:r>
    </w:p>
    <w:p w:rsidR="005B11A2" w:rsidRPr="001C3EF3" w:rsidRDefault="005B11A2" w:rsidP="00C0293C">
      <w:pPr>
        <w:spacing w:line="480" w:lineRule="auto"/>
        <w:ind w:firstLine="720"/>
      </w:pPr>
      <w:r w:rsidRPr="001C3EF3">
        <w:t>This research is the first step in a larger research agenda to better understand the health of the Arikara in the Middle Missouri region and focuses on the demography of the Larson cemetery population.  It is nearly impossible to separate health and demography, because individuals analyzed from a cemetery are a biased reflection of the once living as outlined</w:t>
      </w:r>
      <w:r w:rsidR="0020456D">
        <w:t xml:space="preserve"> in the “osteological p</w:t>
      </w:r>
      <w:r w:rsidRPr="001C3EF3">
        <w:t xml:space="preserve">aradox” (Wood </w:t>
      </w:r>
      <w:r w:rsidR="00C0293C" w:rsidRPr="00C0293C">
        <w:rPr>
          <w:i/>
        </w:rPr>
        <w:t>et al</w:t>
      </w:r>
      <w:r w:rsidRPr="001C3EF3">
        <w:t>.</w:t>
      </w:r>
      <w:r w:rsidR="0020456D">
        <w:t>,</w:t>
      </w:r>
      <w:r w:rsidRPr="001C3EF3">
        <w:t xml:space="preserve"> 1992</w:t>
      </w:r>
      <w:r w:rsidR="0020456D">
        <w:t>a</w:t>
      </w:r>
      <w:r w:rsidRPr="001C3EF3">
        <w:t xml:space="preserve">); but one cannot ascertain health without creating a complete demographic profile of the population.  Recent advances in age-at-death estimations and paleodemography model building permit more informative demographic reconstructions and can lead to addressing  more in depth questions as to the “well being” of a population as it is defined by Wood (1998) and Usher (2000). </w:t>
      </w:r>
      <w:r w:rsidR="0020456D">
        <w:t xml:space="preserve"> </w:t>
      </w:r>
      <w:r w:rsidRPr="001C3EF3">
        <w:t>However, it is not until an accurate age-at-death profile is formed that one can create models that truly illustrate the factors influencing cemetery sample formation (Boldsen</w:t>
      </w:r>
      <w:r w:rsidR="0020456D">
        <w:t>,</w:t>
      </w:r>
      <w:r w:rsidRPr="001C3EF3">
        <w:t xml:space="preserve"> 2007).</w:t>
      </w:r>
      <w:r w:rsidR="0020456D">
        <w:t xml:space="preserve"> </w:t>
      </w:r>
      <w:r w:rsidRPr="001C3EF3">
        <w:t xml:space="preserve"> Poor choices produce inaccurate age estimates and thus misleading age-at-death distributions.</w:t>
      </w:r>
    </w:p>
    <w:p w:rsidR="005B11A2" w:rsidRPr="001C3EF3" w:rsidRDefault="005B11A2" w:rsidP="00C0293C">
      <w:pPr>
        <w:spacing w:line="480" w:lineRule="auto"/>
        <w:ind w:firstLine="720"/>
        <w:rPr>
          <w:rFonts w:eastAsia="Calibri"/>
        </w:rPr>
      </w:pPr>
      <w:r w:rsidRPr="001C3EF3">
        <w:t xml:space="preserve">Ubelaker states that “accurate evaluations…have become increasingly essential to the interpretation of population-environmental relations” (1989, p1). </w:t>
      </w:r>
      <w:r w:rsidR="00C0293C">
        <w:t xml:space="preserve"> </w:t>
      </w:r>
      <w:r w:rsidRPr="001C3EF3">
        <w:t xml:space="preserve">However, paleodemography is still relatively under-utilized to interpret population structure from a skeletal sample. </w:t>
      </w:r>
      <w:r w:rsidR="0020456D">
        <w:t xml:space="preserve"> </w:t>
      </w:r>
      <w:r w:rsidRPr="001C3EF3">
        <w:rPr>
          <w:rFonts w:eastAsia="Calibri"/>
        </w:rPr>
        <w:lastRenderedPageBreak/>
        <w:t>Exploratory archaeology of the late 19</w:t>
      </w:r>
      <w:r w:rsidRPr="001C3EF3">
        <w:rPr>
          <w:rFonts w:eastAsia="Calibri"/>
          <w:vertAlign w:val="superscript"/>
        </w:rPr>
        <w:t>th</w:t>
      </w:r>
      <w:r w:rsidRPr="001C3EF3">
        <w:rPr>
          <w:rFonts w:eastAsia="Calibri"/>
        </w:rPr>
        <w:t xml:space="preserve"> and early 20</w:t>
      </w:r>
      <w:r w:rsidRPr="001C3EF3">
        <w:rPr>
          <w:rFonts w:eastAsia="Calibri"/>
          <w:vertAlign w:val="superscript"/>
        </w:rPr>
        <w:t>th</w:t>
      </w:r>
      <w:r w:rsidRPr="001C3EF3">
        <w:rPr>
          <w:rFonts w:eastAsia="Calibri"/>
        </w:rPr>
        <w:t xml:space="preserve"> century led to federally mandated salvage projects that preceded the damming of portions of the Missouri River in South Dakota.</w:t>
      </w:r>
      <w:r w:rsidR="0020456D">
        <w:rPr>
          <w:rFonts w:eastAsia="Calibri"/>
        </w:rPr>
        <w:t xml:space="preserve"> </w:t>
      </w:r>
      <w:r w:rsidRPr="001C3EF3">
        <w:rPr>
          <w:rFonts w:eastAsia="Calibri"/>
        </w:rPr>
        <w:t xml:space="preserve"> As a by-product of these projects, large collections of skeletal and cultural materials from the Plains Indians were amassed.</w:t>
      </w:r>
      <w:r w:rsidR="0020456D">
        <w:rPr>
          <w:rFonts w:eastAsia="Calibri"/>
        </w:rPr>
        <w:t xml:space="preserve"> </w:t>
      </w:r>
      <w:r w:rsidRPr="001C3EF3">
        <w:rPr>
          <w:rFonts w:eastAsia="Calibri"/>
        </w:rPr>
        <w:t xml:space="preserve"> Since the advent of the Native American Grave and Repatriation Act in 1992 and several subsequent federal and state laws (Ousley </w:t>
      </w:r>
      <w:r w:rsidR="00C0293C" w:rsidRPr="00C0293C">
        <w:rPr>
          <w:rFonts w:eastAsia="Calibri"/>
          <w:i/>
        </w:rPr>
        <w:t>et al</w:t>
      </w:r>
      <w:r w:rsidRPr="001C3EF3">
        <w:rPr>
          <w:rFonts w:eastAsia="Calibri"/>
        </w:rPr>
        <w:t>.</w:t>
      </w:r>
      <w:r w:rsidR="0020456D">
        <w:rPr>
          <w:rFonts w:eastAsia="Calibri"/>
        </w:rPr>
        <w:t>,</w:t>
      </w:r>
      <w:r w:rsidRPr="001C3EF3">
        <w:rPr>
          <w:rFonts w:eastAsia="Calibri"/>
        </w:rPr>
        <w:t xml:space="preserve"> 2005; Buisktra</w:t>
      </w:r>
      <w:r w:rsidR="0020456D">
        <w:rPr>
          <w:rFonts w:eastAsia="Calibri"/>
        </w:rPr>
        <w:t>,</w:t>
      </w:r>
      <w:r w:rsidRPr="001C3EF3">
        <w:rPr>
          <w:rFonts w:eastAsia="Calibri"/>
        </w:rPr>
        <w:t xml:space="preserve"> 2006), the availability of large skeletal samples, like that from the Larson Village (39WW2), are dwindling.  </w:t>
      </w:r>
      <w:r w:rsidRPr="001C3EF3">
        <w:t xml:space="preserve">Larson cemetery (39WW2) in Walworth County, South Dakota, represents one of the largest single pre-industrial sites in the Northern Plains and has been heavily researched since its excavation making it ideal to investigate the utility of newer paleodemographic methodologies.  The advent of new methodologies and the diminishing access to Native American skeletal materials </w:t>
      </w:r>
      <w:r w:rsidRPr="001C3EF3">
        <w:rPr>
          <w:rFonts w:eastAsia="Calibri"/>
        </w:rPr>
        <w:t xml:space="preserve">necessitates a re-evaluation of materials still available and the implementation of statistical methods, which may be able to express differences in mortality and morbidity over that which was previously available.  Questions of the skeletal age-at-death estimation method on the mortality profile, the utility of hazard models versus life tables for model building, and the differences in male and female mortality patterns will be addressed in this research.  </w:t>
      </w:r>
    </w:p>
    <w:p w:rsidR="0020456D" w:rsidRDefault="0020456D" w:rsidP="00C0293C">
      <w:pPr>
        <w:spacing w:line="480" w:lineRule="auto"/>
        <w:rPr>
          <w:rFonts w:eastAsia="Calibri"/>
        </w:rPr>
      </w:pPr>
    </w:p>
    <w:p w:rsidR="005B11A2" w:rsidRPr="00C90CC6" w:rsidRDefault="00C90CC6" w:rsidP="00C90CC6">
      <w:pPr>
        <w:pStyle w:val="Heading3"/>
        <w:rPr>
          <w:rFonts w:ascii="Times New Roman" w:eastAsia="Calibri" w:hAnsi="Times New Roman" w:cs="Times New Roman"/>
        </w:rPr>
      </w:pPr>
      <w:bookmarkStart w:id="2" w:name="_Toc349858115"/>
      <w:r w:rsidRPr="00C90CC6">
        <w:rPr>
          <w:rFonts w:ascii="Times New Roman" w:eastAsia="Calibri" w:hAnsi="Times New Roman" w:cs="Times New Roman"/>
        </w:rPr>
        <w:t>Hypotheses</w:t>
      </w:r>
      <w:bookmarkEnd w:id="2"/>
    </w:p>
    <w:p w:rsidR="005B11A2" w:rsidRPr="001C3EF3" w:rsidRDefault="005B11A2" w:rsidP="00C0293C">
      <w:pPr>
        <w:spacing w:line="480" w:lineRule="auto"/>
      </w:pPr>
      <w:r w:rsidRPr="001C3EF3">
        <w:t xml:space="preserve">H1: The use of newer age-at-death estimation methods, which are better able to encapsulate the very young and very old, will provide more accurate estimations for each individual skeleton in the Larson site. </w:t>
      </w:r>
    </w:p>
    <w:p w:rsidR="005B11A2" w:rsidRPr="001C3EF3" w:rsidRDefault="005B11A2" w:rsidP="00C0293C">
      <w:pPr>
        <w:pStyle w:val="ListParagraph"/>
        <w:numPr>
          <w:ilvl w:val="0"/>
          <w:numId w:val="43"/>
        </w:numPr>
        <w:spacing w:line="480" w:lineRule="auto"/>
        <w:rPr>
          <w:rFonts w:ascii="Times New Roman" w:hAnsi="Times New Roman"/>
        </w:rPr>
      </w:pPr>
      <w:r w:rsidRPr="001C3EF3">
        <w:rPr>
          <w:rFonts w:ascii="Times New Roman" w:hAnsi="Times New Roman"/>
        </w:rPr>
        <w:t xml:space="preserve">Will the use of Transition Analysis (Boldsen </w:t>
      </w:r>
      <w:r w:rsidR="00C0293C" w:rsidRPr="00C0293C">
        <w:rPr>
          <w:rFonts w:ascii="Times New Roman" w:hAnsi="Times New Roman"/>
          <w:i/>
        </w:rPr>
        <w:t>et al</w:t>
      </w:r>
      <w:r w:rsidRPr="001C3EF3">
        <w:rPr>
          <w:rFonts w:ascii="Times New Roman" w:hAnsi="Times New Roman"/>
        </w:rPr>
        <w:t>.</w:t>
      </w:r>
      <w:r w:rsidR="0020456D">
        <w:rPr>
          <w:rFonts w:ascii="Times New Roman" w:hAnsi="Times New Roman"/>
        </w:rPr>
        <w:t>,</w:t>
      </w:r>
      <w:r w:rsidRPr="001C3EF3">
        <w:rPr>
          <w:rFonts w:ascii="Times New Roman" w:hAnsi="Times New Roman"/>
        </w:rPr>
        <w:t xml:space="preserve"> 2002), change the age-specific mortality curves for the paleodemographic life table?</w:t>
      </w:r>
    </w:p>
    <w:p w:rsidR="005B11A2" w:rsidRPr="001C3EF3" w:rsidRDefault="005B11A2" w:rsidP="00C0293C">
      <w:pPr>
        <w:pStyle w:val="ListParagraph"/>
        <w:spacing w:line="480" w:lineRule="auto"/>
        <w:ind w:firstLine="720"/>
        <w:rPr>
          <w:rFonts w:ascii="Times New Roman" w:hAnsi="Times New Roman"/>
        </w:rPr>
      </w:pPr>
      <w:r w:rsidRPr="001C3EF3">
        <w:rPr>
          <w:rFonts w:ascii="Times New Roman" w:hAnsi="Times New Roman"/>
        </w:rPr>
        <w:lastRenderedPageBreak/>
        <w:t xml:space="preserve"> Traditional age-at-death estimation methods, utilized in the initial analysis of the Larson site, provided constricted age ranges with most of the older adults having open-ended terminal phases with ages of 50+ or 60+.  The very old were not accounted for, because of methodological limitations of the aging </w:t>
      </w:r>
      <w:r w:rsidRPr="00715402">
        <w:rPr>
          <w:rFonts w:ascii="Times New Roman" w:hAnsi="Times New Roman"/>
        </w:rPr>
        <w:t xml:space="preserve">method.  Buikstra </w:t>
      </w:r>
      <w:r w:rsidR="00C0293C" w:rsidRPr="00715402">
        <w:rPr>
          <w:rFonts w:ascii="Times New Roman" w:hAnsi="Times New Roman"/>
          <w:i/>
        </w:rPr>
        <w:t>et al</w:t>
      </w:r>
      <w:r w:rsidRPr="00715402">
        <w:rPr>
          <w:rFonts w:ascii="Times New Roman" w:hAnsi="Times New Roman"/>
        </w:rPr>
        <w:t>. (2006) p</w:t>
      </w:r>
      <w:r w:rsidRPr="001C3EF3">
        <w:rPr>
          <w:rFonts w:ascii="Times New Roman" w:hAnsi="Times New Roman"/>
        </w:rPr>
        <w:t>rovide evidence for the utility of transition analysis in capturing the very old within a population and Milner and Boldsen (2012 a</w:t>
      </w:r>
      <w:proofErr w:type="gramStart"/>
      <w:r w:rsidRPr="001C3EF3">
        <w:rPr>
          <w:rFonts w:ascii="Times New Roman" w:hAnsi="Times New Roman"/>
        </w:rPr>
        <w:t>,b</w:t>
      </w:r>
      <w:proofErr w:type="gramEnd"/>
      <w:r w:rsidRPr="001C3EF3">
        <w:rPr>
          <w:rFonts w:ascii="Times New Roman" w:hAnsi="Times New Roman"/>
        </w:rPr>
        <w:t xml:space="preserve">) note that the prediction interval for older individuals is narrower than middle-aged individuals.   </w:t>
      </w:r>
    </w:p>
    <w:p w:rsidR="005B11A2" w:rsidRPr="001C3EF3" w:rsidRDefault="005B11A2" w:rsidP="00C0293C">
      <w:pPr>
        <w:pStyle w:val="ListParagraph"/>
        <w:spacing w:line="480" w:lineRule="auto"/>
        <w:ind w:firstLine="720"/>
        <w:rPr>
          <w:rFonts w:ascii="Times New Roman" w:hAnsi="Times New Roman"/>
        </w:rPr>
      </w:pPr>
      <w:r w:rsidRPr="001C3EF3">
        <w:rPr>
          <w:rFonts w:ascii="Times New Roman" w:hAnsi="Times New Roman"/>
        </w:rPr>
        <w:t xml:space="preserve">Estimation of juvenile skeletal material is often plagued by the biases of the researcher. </w:t>
      </w:r>
      <w:r w:rsidR="0020456D">
        <w:rPr>
          <w:rFonts w:ascii="Times New Roman" w:hAnsi="Times New Roman"/>
        </w:rPr>
        <w:t xml:space="preserve"> </w:t>
      </w:r>
      <w:r w:rsidRPr="001C3EF3">
        <w:rPr>
          <w:rFonts w:ascii="Times New Roman" w:hAnsi="Times New Roman"/>
        </w:rPr>
        <w:t>The age-at-death estimates for juveniles tend to be an average or weight of several traits rather than being derived from the statistical computation of scores from specific morphological features within the skeleton.</w:t>
      </w:r>
      <w:r w:rsidR="00C0293C">
        <w:rPr>
          <w:rFonts w:ascii="Times New Roman" w:hAnsi="Times New Roman"/>
        </w:rPr>
        <w:t xml:space="preserve"> </w:t>
      </w:r>
      <w:r w:rsidRPr="001C3EF3">
        <w:rPr>
          <w:rFonts w:ascii="Times New Roman" w:hAnsi="Times New Roman"/>
        </w:rPr>
        <w:t xml:space="preserve"> Owsley (1975) used Moorees </w:t>
      </w:r>
      <w:r w:rsidR="00C0293C" w:rsidRPr="00C0293C">
        <w:rPr>
          <w:rFonts w:ascii="Times New Roman" w:hAnsi="Times New Roman"/>
          <w:i/>
        </w:rPr>
        <w:t>et al</w:t>
      </w:r>
      <w:r w:rsidRPr="001C3EF3">
        <w:rPr>
          <w:rFonts w:ascii="Times New Roman" w:hAnsi="Times New Roman"/>
        </w:rPr>
        <w:t xml:space="preserve"> (1963 a</w:t>
      </w:r>
      <w:proofErr w:type="gramStart"/>
      <w:r w:rsidRPr="001C3EF3">
        <w:rPr>
          <w:rFonts w:ascii="Times New Roman" w:hAnsi="Times New Roman"/>
        </w:rPr>
        <w:t>,b</w:t>
      </w:r>
      <w:proofErr w:type="gramEnd"/>
      <w:r w:rsidRPr="001C3EF3">
        <w:rPr>
          <w:rFonts w:ascii="Times New Roman" w:hAnsi="Times New Roman"/>
        </w:rPr>
        <w:t>) as the basis for ages.</w:t>
      </w:r>
      <w:r w:rsidR="0020456D">
        <w:rPr>
          <w:rFonts w:ascii="Times New Roman" w:hAnsi="Times New Roman"/>
        </w:rPr>
        <w:t xml:space="preserve"> </w:t>
      </w:r>
      <w:r w:rsidRPr="001C3EF3">
        <w:rPr>
          <w:rFonts w:ascii="Times New Roman" w:hAnsi="Times New Roman"/>
        </w:rPr>
        <w:t xml:space="preserve"> However, several of the juvenile individuals do not have associated teeth or do not have the teeth used as standards within these works. </w:t>
      </w:r>
      <w:r w:rsidR="00C0293C">
        <w:rPr>
          <w:rFonts w:ascii="Times New Roman" w:hAnsi="Times New Roman"/>
        </w:rPr>
        <w:t xml:space="preserve"> </w:t>
      </w:r>
      <w:r w:rsidRPr="001C3EF3">
        <w:rPr>
          <w:rFonts w:ascii="Times New Roman" w:hAnsi="Times New Roman"/>
        </w:rPr>
        <w:t xml:space="preserve">Furthermore, Owsley (1975) states that the scores for the premolars were used as the basis for many of the age estimates over that of the other available tooth scores.  A multifactorial, maximum likelihood estimation method that is able to combine the scores from multiple teeth (Shackelford </w:t>
      </w:r>
      <w:r w:rsidR="00C0293C" w:rsidRPr="00C0293C">
        <w:rPr>
          <w:rFonts w:ascii="Times New Roman" w:hAnsi="Times New Roman"/>
          <w:i/>
        </w:rPr>
        <w:t>et al</w:t>
      </w:r>
      <w:r w:rsidRPr="001C3EF3">
        <w:rPr>
          <w:rFonts w:ascii="Times New Roman" w:hAnsi="Times New Roman"/>
        </w:rPr>
        <w:t>.</w:t>
      </w:r>
      <w:r w:rsidR="00C0293C">
        <w:rPr>
          <w:rFonts w:ascii="Times New Roman" w:hAnsi="Times New Roman"/>
        </w:rPr>
        <w:t>,</w:t>
      </w:r>
      <w:r w:rsidRPr="001C3EF3">
        <w:rPr>
          <w:rFonts w:ascii="Times New Roman" w:hAnsi="Times New Roman"/>
        </w:rPr>
        <w:t xml:space="preserve"> 2012) may produce significantly different estimates over that which was originally determined by Owsley and </w:t>
      </w:r>
      <w:r w:rsidR="0020456D">
        <w:rPr>
          <w:rFonts w:ascii="Times New Roman" w:hAnsi="Times New Roman"/>
        </w:rPr>
        <w:t>Bass (1979</w:t>
      </w:r>
      <w:r w:rsidRPr="001C3EF3">
        <w:rPr>
          <w:rFonts w:ascii="Times New Roman" w:hAnsi="Times New Roman"/>
        </w:rPr>
        <w:t>).  Also, dentition-based methods were not available for very young infant or fetal remains during the initial analysis of the Larson site materials in the 1970s.</w:t>
      </w:r>
    </w:p>
    <w:p w:rsidR="005B11A2" w:rsidRPr="001C3EF3" w:rsidRDefault="005B11A2" w:rsidP="00C0293C">
      <w:pPr>
        <w:pStyle w:val="ListParagraph"/>
        <w:spacing w:line="480" w:lineRule="auto"/>
        <w:ind w:firstLine="720"/>
        <w:rPr>
          <w:rFonts w:ascii="Times New Roman" w:hAnsi="Times New Roman"/>
        </w:rPr>
      </w:pPr>
      <w:r w:rsidRPr="001C3EF3">
        <w:rPr>
          <w:rFonts w:ascii="Times New Roman" w:hAnsi="Times New Roman"/>
        </w:rPr>
        <w:t xml:space="preserve">   </w:t>
      </w:r>
    </w:p>
    <w:p w:rsidR="005B11A2" w:rsidRPr="001C3EF3" w:rsidRDefault="005B11A2" w:rsidP="00C0293C">
      <w:pPr>
        <w:pStyle w:val="ListParagraph"/>
        <w:numPr>
          <w:ilvl w:val="0"/>
          <w:numId w:val="43"/>
        </w:numPr>
        <w:spacing w:line="480" w:lineRule="auto"/>
        <w:rPr>
          <w:rFonts w:ascii="Times New Roman" w:hAnsi="Times New Roman"/>
        </w:rPr>
      </w:pPr>
      <w:r w:rsidRPr="001C3EF3">
        <w:rPr>
          <w:rFonts w:ascii="Times New Roman" w:hAnsi="Times New Roman"/>
        </w:rPr>
        <w:t xml:space="preserve">Will a Bayesian Multifactorial adult age estimation method that incorporates data from traditional age-at-death methods (pubic symphysis, auricular surface, and sternal rib end) change the age-specific mortality curve? </w:t>
      </w:r>
    </w:p>
    <w:p w:rsidR="005B11A2" w:rsidRPr="001C3EF3" w:rsidRDefault="005B11A2" w:rsidP="00C0293C">
      <w:pPr>
        <w:pStyle w:val="ListParagraph"/>
        <w:spacing w:line="480" w:lineRule="auto"/>
        <w:ind w:firstLine="720"/>
        <w:rPr>
          <w:rFonts w:ascii="Times New Roman" w:hAnsi="Times New Roman"/>
        </w:rPr>
      </w:pPr>
      <w:r w:rsidRPr="001C3EF3">
        <w:rPr>
          <w:rFonts w:ascii="Times New Roman" w:hAnsi="Times New Roman"/>
        </w:rPr>
        <w:t xml:space="preserve">It is important to determine if age estimation data, available from previously examined sites or sites that have been repatriated, can be adapted to provide new information useful for </w:t>
      </w:r>
      <w:r w:rsidRPr="001C3EF3">
        <w:rPr>
          <w:rFonts w:ascii="Times New Roman" w:hAnsi="Times New Roman"/>
        </w:rPr>
        <w:lastRenderedPageBreak/>
        <w:t>model construction over that which was available previously.</w:t>
      </w:r>
      <w:r w:rsidR="00C0293C">
        <w:rPr>
          <w:rFonts w:ascii="Times New Roman" w:hAnsi="Times New Roman"/>
        </w:rPr>
        <w:t xml:space="preserve"> </w:t>
      </w:r>
      <w:r w:rsidRPr="001C3EF3">
        <w:rPr>
          <w:rFonts w:ascii="Times New Roman" w:hAnsi="Times New Roman"/>
        </w:rPr>
        <w:t xml:space="preserve"> For example, Owsley (1975) utilized Todd (1920) phase approach to estimate the age in adult individuals.  As a result, no individuals were assigned an age above 59 years. </w:t>
      </w:r>
    </w:p>
    <w:p w:rsidR="005B11A2" w:rsidRPr="001C3EF3" w:rsidRDefault="005B11A2" w:rsidP="00C0293C">
      <w:pPr>
        <w:spacing w:line="480" w:lineRule="auto"/>
      </w:pPr>
      <w:r w:rsidRPr="001C3EF3">
        <w:t>H2: The patterns of survivorship are significantly different from the abridged life tables published for the Larson</w:t>
      </w:r>
      <w:r w:rsidR="00C0293C">
        <w:t xml:space="preserve"> </w:t>
      </w:r>
      <w:r w:rsidRPr="001C3EF3">
        <w:t>Site (39WW2) in Owsley and Bass (1979).</w:t>
      </w:r>
    </w:p>
    <w:p w:rsidR="00C0293C" w:rsidRDefault="00C0293C" w:rsidP="00C0293C">
      <w:pPr>
        <w:pStyle w:val="ListParagraph"/>
        <w:spacing w:line="480" w:lineRule="auto"/>
        <w:rPr>
          <w:rFonts w:ascii="Times New Roman" w:hAnsi="Times New Roman"/>
        </w:rPr>
      </w:pPr>
    </w:p>
    <w:p w:rsidR="005B11A2" w:rsidRPr="001C3EF3" w:rsidRDefault="005B11A2" w:rsidP="00C0293C">
      <w:pPr>
        <w:pStyle w:val="ListParagraph"/>
        <w:spacing w:line="480" w:lineRule="auto"/>
        <w:rPr>
          <w:rFonts w:ascii="Times New Roman" w:hAnsi="Times New Roman"/>
        </w:rPr>
      </w:pPr>
      <w:r w:rsidRPr="001C3EF3">
        <w:rPr>
          <w:rFonts w:ascii="Times New Roman" w:hAnsi="Times New Roman"/>
        </w:rPr>
        <w:t xml:space="preserve">Applying hazard models using the Transition Analysis and Multifactorial age- at-death estimates for individuals within the cemetery, following Boldsen </w:t>
      </w:r>
      <w:r w:rsidR="00C0293C" w:rsidRPr="00C0293C">
        <w:rPr>
          <w:rFonts w:ascii="Times New Roman" w:hAnsi="Times New Roman"/>
          <w:i/>
        </w:rPr>
        <w:t>et al</w:t>
      </w:r>
      <w:r w:rsidRPr="001C3EF3">
        <w:rPr>
          <w:rFonts w:ascii="Times New Roman" w:hAnsi="Times New Roman"/>
        </w:rPr>
        <w:t xml:space="preserve">. (2002) and Uhl (2013) should produce demographic parameters that differ from the mortality profile originally produced in Owsley and Bass (1979). </w:t>
      </w:r>
    </w:p>
    <w:p w:rsidR="005B11A2" w:rsidRPr="001C3EF3" w:rsidRDefault="005B11A2" w:rsidP="00C0293C">
      <w:pPr>
        <w:spacing w:line="480" w:lineRule="auto"/>
        <w:ind w:left="720"/>
      </w:pPr>
      <w:r w:rsidRPr="001C3EF3">
        <w:t>Owsley applied model life table methods for the original demographic analysis of the Larson Cemetery.</w:t>
      </w:r>
      <w:r w:rsidR="00C0293C">
        <w:t xml:space="preserve"> </w:t>
      </w:r>
      <w:r w:rsidRPr="001C3EF3">
        <w:t xml:space="preserve"> </w:t>
      </w:r>
      <w:r w:rsidR="00715402">
        <w:t>These methods are outlined by A</w:t>
      </w:r>
      <w:r w:rsidRPr="001C3EF3">
        <w:t>c</w:t>
      </w:r>
      <w:r w:rsidR="00715402">
        <w:t>s</w:t>
      </w:r>
      <w:r w:rsidRPr="001C3EF3">
        <w:t xml:space="preserve">adi and Nemeskeri (1970) and are one of the predominant tools used in early paleodemographic research. </w:t>
      </w:r>
      <w:r w:rsidR="0020456D">
        <w:t xml:space="preserve"> </w:t>
      </w:r>
      <w:r w:rsidRPr="001C3EF3">
        <w:t>The life table approach has two assumptions: 1) the population must be stationary in which there is equal birth and death rates with fixed age-specific mortality rates 2) the population is closed so there is no in or out migration of individuals.</w:t>
      </w:r>
      <w:r w:rsidR="0020456D">
        <w:t xml:space="preserve"> </w:t>
      </w:r>
      <w:r w:rsidRPr="001C3EF3">
        <w:t xml:space="preserve"> Owsley justified the use of this method because of the short time segment of the cemetery, as indicated by the archaeological record, so any vital statistical changes would not be reflected in a cemetery that only represented a few generations.</w:t>
      </w:r>
    </w:p>
    <w:p w:rsidR="00C0293C" w:rsidRDefault="00C0293C" w:rsidP="00C0293C">
      <w:pPr>
        <w:spacing w:line="480" w:lineRule="auto"/>
        <w:ind w:left="720"/>
      </w:pPr>
    </w:p>
    <w:p w:rsidR="005B11A2" w:rsidRPr="001C3EF3" w:rsidRDefault="005B11A2" w:rsidP="00C0293C">
      <w:pPr>
        <w:spacing w:line="480" w:lineRule="auto"/>
        <w:ind w:left="720"/>
      </w:pPr>
      <w:r w:rsidRPr="001C3EF3">
        <w:t xml:space="preserve">Gage (1989, 2000) suggests that new age techniques may result in life tables that resemble those of historic populations.  The mortality curves for prehistoric populations </w:t>
      </w:r>
      <w:r w:rsidRPr="001C3EF3">
        <w:lastRenderedPageBreak/>
        <w:t>often are truncated suggesting lower life expectancies, which was the result of traditional age-at-death estimation methods.</w:t>
      </w:r>
      <w:r w:rsidR="0020456D">
        <w:t xml:space="preserve"> </w:t>
      </w:r>
      <w:r w:rsidRPr="001C3EF3">
        <w:t xml:space="preserve"> A method that is able to capture older individuals may improve the parameter estimates. </w:t>
      </w:r>
      <w:r w:rsidR="0020456D">
        <w:t xml:space="preserve"> </w:t>
      </w:r>
      <w:r w:rsidRPr="001C3EF3">
        <w:t xml:space="preserve">However, many of the published distributions indicate a high number of deaths in early adulthood with few individuals surviving (Aykroyd </w:t>
      </w:r>
      <w:r w:rsidR="00C0293C" w:rsidRPr="00C0293C">
        <w:rPr>
          <w:i/>
        </w:rPr>
        <w:t>et al</w:t>
      </w:r>
      <w:r w:rsidRPr="001C3EF3">
        <w:t>.</w:t>
      </w:r>
      <w:r w:rsidR="0020456D">
        <w:t>,</w:t>
      </w:r>
      <w:r w:rsidRPr="001C3EF3">
        <w:t xml:space="preserve"> 199</w:t>
      </w:r>
      <w:r w:rsidR="0020456D">
        <w:t>9;</w:t>
      </w:r>
      <w:r w:rsidRPr="001C3EF3">
        <w:t xml:space="preserve"> Howell</w:t>
      </w:r>
      <w:r w:rsidR="0020456D">
        <w:t>,</w:t>
      </w:r>
      <w:r w:rsidRPr="001C3EF3">
        <w:t xml:space="preserve"> 1982</w:t>
      </w:r>
      <w:r w:rsidR="0020456D">
        <w:t>;</w:t>
      </w:r>
      <w:r w:rsidRPr="001C3EF3">
        <w:t xml:space="preserve"> Milner </w:t>
      </w:r>
      <w:r w:rsidR="00C0293C" w:rsidRPr="00C0293C">
        <w:rPr>
          <w:i/>
        </w:rPr>
        <w:t>et al</w:t>
      </w:r>
      <w:r w:rsidRPr="001C3EF3">
        <w:t>.</w:t>
      </w:r>
      <w:r w:rsidR="00715402">
        <w:t>, 2000</w:t>
      </w:r>
      <w:r w:rsidR="0020456D">
        <w:t>;</w:t>
      </w:r>
      <w:r w:rsidRPr="001C3EF3">
        <w:t xml:space="preserve"> Paine</w:t>
      </w:r>
      <w:r w:rsidR="0020456D">
        <w:t>,</w:t>
      </w:r>
      <w:r w:rsidRPr="001C3EF3">
        <w:t xml:space="preserve"> 1989</w:t>
      </w:r>
      <w:r w:rsidR="0020456D">
        <w:t>;</w:t>
      </w:r>
      <w:r w:rsidRPr="001C3EF3">
        <w:t xml:space="preserve"> Wilson</w:t>
      </w:r>
      <w:r w:rsidR="0020456D">
        <w:t>,</w:t>
      </w:r>
      <w:r w:rsidRPr="001C3EF3">
        <w:t xml:space="preserve"> 2010).</w:t>
      </w:r>
    </w:p>
    <w:p w:rsidR="005B11A2" w:rsidRPr="001C3EF3" w:rsidRDefault="005B11A2" w:rsidP="00C0293C">
      <w:pPr>
        <w:spacing w:line="480" w:lineRule="auto"/>
        <w:ind w:left="720"/>
      </w:pPr>
      <w:r w:rsidRPr="001C3EF3">
        <w:t xml:space="preserve">Owsley and Bass (1979) presented data on the mortality, survivorship, age-specific probability, life expectancy, and crude mortality rate. </w:t>
      </w:r>
      <w:r w:rsidR="0020456D">
        <w:t xml:space="preserve"> </w:t>
      </w:r>
      <w:r w:rsidRPr="001C3EF3">
        <w:t>These data can be directly compared to hazards’ derived data to determine congruency in estimates and support the application of hazard models in paleodemography.</w:t>
      </w:r>
      <w:r w:rsidR="0020456D">
        <w:t xml:space="preserve"> </w:t>
      </w:r>
      <w:r w:rsidRPr="001C3EF3">
        <w:t xml:space="preserve"> Furthermore, hazard models establish the foundation to address “health” from a paleoepidemiological perspective by incorporating indicators of “health” to demonstrate how these indicators affect the mortality of the population </w:t>
      </w:r>
    </w:p>
    <w:p w:rsidR="0020456D" w:rsidRDefault="0020456D" w:rsidP="00C0293C">
      <w:pPr>
        <w:pStyle w:val="ListParagraph"/>
        <w:numPr>
          <w:ilvl w:val="0"/>
          <w:numId w:val="43"/>
        </w:numPr>
        <w:spacing w:line="480" w:lineRule="auto"/>
        <w:rPr>
          <w:rFonts w:ascii="Times New Roman" w:hAnsi="Times New Roman"/>
        </w:rPr>
      </w:pPr>
    </w:p>
    <w:p w:rsidR="005B11A2" w:rsidRPr="001C3EF3" w:rsidRDefault="005B11A2" w:rsidP="00C0293C">
      <w:pPr>
        <w:pStyle w:val="ListParagraph"/>
        <w:numPr>
          <w:ilvl w:val="0"/>
          <w:numId w:val="43"/>
        </w:numPr>
        <w:spacing w:line="480" w:lineRule="auto"/>
        <w:rPr>
          <w:rFonts w:ascii="Times New Roman" w:hAnsi="Times New Roman"/>
        </w:rPr>
      </w:pPr>
      <w:r w:rsidRPr="001C3EF3">
        <w:rPr>
          <w:rFonts w:ascii="Times New Roman" w:hAnsi="Times New Roman"/>
        </w:rPr>
        <w:t>The life expectancies will increase for the paleodemographic life tables.</w:t>
      </w:r>
    </w:p>
    <w:p w:rsidR="005B11A2" w:rsidRPr="001C3EF3" w:rsidRDefault="005B11A2" w:rsidP="00C0293C">
      <w:pPr>
        <w:pStyle w:val="ListParagraph"/>
        <w:spacing w:line="480" w:lineRule="auto"/>
        <w:rPr>
          <w:rFonts w:ascii="Times New Roman" w:hAnsi="Times New Roman"/>
        </w:rPr>
      </w:pPr>
    </w:p>
    <w:p w:rsidR="005B11A2" w:rsidRPr="001C3EF3" w:rsidRDefault="005B11A2" w:rsidP="00C0293C">
      <w:pPr>
        <w:pStyle w:val="ListParagraph"/>
        <w:spacing w:line="480" w:lineRule="auto"/>
        <w:rPr>
          <w:rFonts w:ascii="Times New Roman" w:hAnsi="Times New Roman"/>
        </w:rPr>
      </w:pPr>
      <w:r w:rsidRPr="001C3EF3">
        <w:rPr>
          <w:rFonts w:ascii="Times New Roman" w:hAnsi="Times New Roman"/>
        </w:rPr>
        <w:t xml:space="preserve">The representativeness of the skeletal sample to a once living population is fundamental to the construction of mortality profiles. </w:t>
      </w:r>
      <w:r w:rsidR="0020456D">
        <w:rPr>
          <w:rFonts w:ascii="Times New Roman" w:hAnsi="Times New Roman"/>
        </w:rPr>
        <w:t xml:space="preserve"> </w:t>
      </w:r>
      <w:r w:rsidRPr="001C3EF3">
        <w:rPr>
          <w:rFonts w:ascii="Times New Roman" w:hAnsi="Times New Roman"/>
        </w:rPr>
        <w:t xml:space="preserve">Gage (1988, 2000) indicates that there are major limitations to the expectation-of-life calculations because of the undernummeration of infants. </w:t>
      </w:r>
      <w:r w:rsidR="0020456D">
        <w:rPr>
          <w:rFonts w:ascii="Times New Roman" w:hAnsi="Times New Roman"/>
        </w:rPr>
        <w:t xml:space="preserve"> </w:t>
      </w:r>
      <w:r w:rsidRPr="001C3EF3">
        <w:rPr>
          <w:rFonts w:ascii="Times New Roman" w:hAnsi="Times New Roman"/>
        </w:rPr>
        <w:t xml:space="preserve">Gage (2005) provides further information to support this opinion.  It is the combination of lack of infants and children in the skeletal sample and the under-aging of adults that creates life table atypical of historic populations.  The Larson cemetery skeletal population is unlike most sites available for research because the population is largely composed of juveniles in a good state of preservation.  Even though Gage (2005) suggests that undernummeration and truncation of the old may actually </w:t>
      </w:r>
      <w:r w:rsidRPr="001C3EF3">
        <w:rPr>
          <w:rFonts w:ascii="Times New Roman" w:hAnsi="Times New Roman"/>
        </w:rPr>
        <w:lastRenderedPageBreak/>
        <w:t xml:space="preserve">cancel each other, so the life tables once presumed to be flawed may not be as erroneous as first thought, it </w:t>
      </w:r>
      <w:r w:rsidR="0020456D">
        <w:rPr>
          <w:rFonts w:ascii="Times New Roman" w:hAnsi="Times New Roman"/>
        </w:rPr>
        <w:t>i</w:t>
      </w:r>
      <w:r w:rsidRPr="001C3EF3">
        <w:rPr>
          <w:rFonts w:ascii="Times New Roman" w:hAnsi="Times New Roman"/>
        </w:rPr>
        <w:t xml:space="preserve">s important to evaluate if this is in fact the case. </w:t>
      </w:r>
    </w:p>
    <w:p w:rsidR="005B11A2" w:rsidRPr="001C3EF3" w:rsidRDefault="005B11A2" w:rsidP="00C0293C">
      <w:pPr>
        <w:spacing w:line="480" w:lineRule="auto"/>
        <w:ind w:left="720" w:firstLine="360"/>
      </w:pPr>
    </w:p>
    <w:p w:rsidR="005B11A2" w:rsidRPr="001C3EF3" w:rsidRDefault="005B11A2" w:rsidP="00C0293C">
      <w:pPr>
        <w:spacing w:line="480" w:lineRule="auto"/>
      </w:pPr>
      <w:r w:rsidRPr="001C3EF3">
        <w:t>H3: There is a significant difference between male and female adult mortality profiles.</w:t>
      </w:r>
    </w:p>
    <w:p w:rsidR="0020456D" w:rsidRDefault="0020456D" w:rsidP="00C0293C">
      <w:pPr>
        <w:pStyle w:val="ListParagraph"/>
        <w:numPr>
          <w:ilvl w:val="0"/>
          <w:numId w:val="43"/>
        </w:numPr>
        <w:spacing w:line="480" w:lineRule="auto"/>
        <w:rPr>
          <w:rFonts w:ascii="Times New Roman" w:hAnsi="Times New Roman"/>
        </w:rPr>
      </w:pPr>
    </w:p>
    <w:p w:rsidR="005B11A2" w:rsidRDefault="005B11A2" w:rsidP="00C0293C">
      <w:pPr>
        <w:pStyle w:val="ListParagraph"/>
        <w:numPr>
          <w:ilvl w:val="0"/>
          <w:numId w:val="43"/>
        </w:numPr>
        <w:spacing w:line="480" w:lineRule="auto"/>
        <w:rPr>
          <w:rFonts w:ascii="Times New Roman" w:hAnsi="Times New Roman"/>
        </w:rPr>
      </w:pPr>
      <w:r w:rsidRPr="001C3EF3">
        <w:rPr>
          <w:rFonts w:ascii="Times New Roman" w:hAnsi="Times New Roman"/>
        </w:rPr>
        <w:t>Typically, it is assumed that all skeletons within a population have the same risks for morbidity and mortality, but this is not the case because individuals differ in their risks of disease, fertility and mortality (Weiss</w:t>
      </w:r>
      <w:r w:rsidR="0020456D">
        <w:rPr>
          <w:rFonts w:ascii="Times New Roman" w:hAnsi="Times New Roman"/>
        </w:rPr>
        <w:t>,</w:t>
      </w:r>
      <w:r w:rsidRPr="001C3EF3">
        <w:rPr>
          <w:rFonts w:ascii="Times New Roman" w:hAnsi="Times New Roman"/>
        </w:rPr>
        <w:t xml:space="preserve"> 1990</w:t>
      </w:r>
      <w:r w:rsidR="0020456D">
        <w:rPr>
          <w:rFonts w:ascii="Times New Roman" w:hAnsi="Times New Roman"/>
        </w:rPr>
        <w:t>;</w:t>
      </w:r>
      <w:r w:rsidRPr="001C3EF3">
        <w:rPr>
          <w:rFonts w:ascii="Times New Roman" w:hAnsi="Times New Roman"/>
        </w:rPr>
        <w:t xml:space="preserve"> Wood </w:t>
      </w:r>
      <w:r w:rsidR="00C0293C" w:rsidRPr="00C0293C">
        <w:rPr>
          <w:rFonts w:ascii="Times New Roman" w:hAnsi="Times New Roman"/>
          <w:i/>
        </w:rPr>
        <w:t>et al</w:t>
      </w:r>
      <w:r w:rsidRPr="001C3EF3">
        <w:rPr>
          <w:rFonts w:ascii="Times New Roman" w:hAnsi="Times New Roman"/>
        </w:rPr>
        <w:t>.</w:t>
      </w:r>
      <w:r w:rsidR="0020456D">
        <w:rPr>
          <w:rFonts w:ascii="Times New Roman" w:hAnsi="Times New Roman"/>
        </w:rPr>
        <w:t>,</w:t>
      </w:r>
      <w:r w:rsidRPr="001C3EF3">
        <w:rPr>
          <w:rFonts w:ascii="Times New Roman" w:hAnsi="Times New Roman"/>
        </w:rPr>
        <w:t xml:space="preserve"> 1992a).  Owsley and colleagues (Owsley and Bass</w:t>
      </w:r>
      <w:r w:rsidR="0020456D">
        <w:rPr>
          <w:rFonts w:ascii="Times New Roman" w:hAnsi="Times New Roman"/>
        </w:rPr>
        <w:t>,</w:t>
      </w:r>
      <w:r w:rsidRPr="001C3EF3">
        <w:rPr>
          <w:rFonts w:ascii="Times New Roman" w:hAnsi="Times New Roman"/>
        </w:rPr>
        <w:t xml:space="preserve"> 1979; Owsley and Bradtmiller, 1983) have suggested a higher number of young adult females within the proto-historic Larson cemetery and contributed this to the higher risk of death associated with childbearing. </w:t>
      </w:r>
      <w:r w:rsidR="0020456D">
        <w:rPr>
          <w:rFonts w:ascii="Times New Roman" w:hAnsi="Times New Roman"/>
        </w:rPr>
        <w:t xml:space="preserve"> </w:t>
      </w:r>
      <w:r w:rsidRPr="001C3EF3">
        <w:rPr>
          <w:rFonts w:ascii="Times New Roman" w:hAnsi="Times New Roman"/>
        </w:rPr>
        <w:t>Likewise, research has demonstrated a high risk of death for younger females in the Middle Mississipian (Wilson and Steadman</w:t>
      </w:r>
      <w:r w:rsidR="0020456D">
        <w:rPr>
          <w:rFonts w:ascii="Times New Roman" w:hAnsi="Times New Roman"/>
        </w:rPr>
        <w:t>,</w:t>
      </w:r>
      <w:r w:rsidRPr="001C3EF3">
        <w:rPr>
          <w:rFonts w:ascii="Times New Roman" w:hAnsi="Times New Roman"/>
        </w:rPr>
        <w:t xml:space="preserve"> 2008</w:t>
      </w:r>
      <w:r w:rsidR="0020456D">
        <w:rPr>
          <w:rFonts w:ascii="Times New Roman" w:hAnsi="Times New Roman"/>
        </w:rPr>
        <w:t>;</w:t>
      </w:r>
      <w:r w:rsidRPr="001C3EF3">
        <w:rPr>
          <w:rFonts w:ascii="Times New Roman" w:hAnsi="Times New Roman"/>
        </w:rPr>
        <w:t xml:space="preserve"> Wilson</w:t>
      </w:r>
      <w:r w:rsidR="0020456D">
        <w:rPr>
          <w:rFonts w:ascii="Times New Roman" w:hAnsi="Times New Roman"/>
        </w:rPr>
        <w:t>,</w:t>
      </w:r>
      <w:r w:rsidRPr="001C3EF3">
        <w:rPr>
          <w:rFonts w:ascii="Times New Roman" w:hAnsi="Times New Roman"/>
        </w:rPr>
        <w:t xml:space="preserve"> 2010).  Specific segments of the population have a higher risk of death, like the very young and very old, but not all variation can be easily measured because of hidden heterogeneity and individual frailty.  If hidden heterogeneity is suspected on a sub-section of the population, the mortality profile of a combined dataset would compromise interpretations of the demographic processes within the living population (Vaupel and Yashin</w:t>
      </w:r>
      <w:r w:rsidR="0020456D">
        <w:rPr>
          <w:rFonts w:ascii="Times New Roman" w:hAnsi="Times New Roman"/>
        </w:rPr>
        <w:t>,</w:t>
      </w:r>
      <w:r w:rsidRPr="001C3EF3">
        <w:rPr>
          <w:rFonts w:ascii="Times New Roman" w:hAnsi="Times New Roman"/>
        </w:rPr>
        <w:t xml:space="preserve"> 1985; Wood </w:t>
      </w:r>
      <w:r w:rsidR="00C0293C" w:rsidRPr="00C0293C">
        <w:rPr>
          <w:rFonts w:ascii="Times New Roman" w:hAnsi="Times New Roman"/>
          <w:i/>
        </w:rPr>
        <w:t>et al</w:t>
      </w:r>
      <w:r w:rsidRPr="001C3EF3">
        <w:rPr>
          <w:rFonts w:ascii="Times New Roman" w:hAnsi="Times New Roman"/>
        </w:rPr>
        <w:t>.</w:t>
      </w:r>
      <w:r w:rsidR="0020456D">
        <w:rPr>
          <w:rFonts w:ascii="Times New Roman" w:hAnsi="Times New Roman"/>
        </w:rPr>
        <w:t>,</w:t>
      </w:r>
      <w:r w:rsidRPr="001C3EF3">
        <w:rPr>
          <w:rFonts w:ascii="Times New Roman" w:hAnsi="Times New Roman"/>
        </w:rPr>
        <w:t xml:space="preserve"> 1992</w:t>
      </w:r>
      <w:r w:rsidR="0020456D">
        <w:rPr>
          <w:rFonts w:ascii="Times New Roman" w:hAnsi="Times New Roman"/>
        </w:rPr>
        <w:t>b</w:t>
      </w:r>
      <w:r w:rsidRPr="001C3EF3">
        <w:rPr>
          <w:rFonts w:ascii="Times New Roman" w:hAnsi="Times New Roman"/>
        </w:rPr>
        <w:t>).</w:t>
      </w:r>
    </w:p>
    <w:p w:rsidR="0020456D" w:rsidRPr="001C3EF3" w:rsidRDefault="0020456D" w:rsidP="00C0293C">
      <w:pPr>
        <w:pStyle w:val="ListParagraph"/>
        <w:numPr>
          <w:ilvl w:val="0"/>
          <w:numId w:val="43"/>
        </w:numPr>
        <w:spacing w:line="480" w:lineRule="auto"/>
        <w:rPr>
          <w:rFonts w:ascii="Times New Roman" w:hAnsi="Times New Roman"/>
        </w:rPr>
      </w:pPr>
    </w:p>
    <w:p w:rsidR="005B11A2" w:rsidRDefault="005B11A2" w:rsidP="00C0293C">
      <w:pPr>
        <w:pStyle w:val="ListParagraph"/>
        <w:numPr>
          <w:ilvl w:val="0"/>
          <w:numId w:val="43"/>
        </w:numPr>
        <w:spacing w:line="480" w:lineRule="auto"/>
        <w:rPr>
          <w:rFonts w:ascii="Times New Roman" w:hAnsi="Times New Roman"/>
        </w:rPr>
      </w:pPr>
      <w:r w:rsidRPr="001C3EF3">
        <w:rPr>
          <w:rFonts w:ascii="Times New Roman" w:hAnsi="Times New Roman"/>
        </w:rPr>
        <w:t xml:space="preserve">The difference in age-at-death distributions between males and females may be a result of biases inherent in the age estimation method’s reference population.  Reference samples can cause significant biases and lead to misleading interpretations if not adequately handled (Milner </w:t>
      </w:r>
      <w:r w:rsidR="00C0293C" w:rsidRPr="00C0293C">
        <w:rPr>
          <w:rFonts w:ascii="Times New Roman" w:hAnsi="Times New Roman"/>
          <w:i/>
        </w:rPr>
        <w:t>et al</w:t>
      </w:r>
      <w:r w:rsidRPr="001C3EF3">
        <w:rPr>
          <w:rFonts w:ascii="Times New Roman" w:hAnsi="Times New Roman"/>
        </w:rPr>
        <w:t>.</w:t>
      </w:r>
      <w:r w:rsidR="0020456D">
        <w:rPr>
          <w:rFonts w:ascii="Times New Roman" w:hAnsi="Times New Roman"/>
        </w:rPr>
        <w:t>,</w:t>
      </w:r>
      <w:r w:rsidRPr="001C3EF3">
        <w:rPr>
          <w:rFonts w:ascii="Times New Roman" w:hAnsi="Times New Roman"/>
        </w:rPr>
        <w:t xml:space="preserve"> 2000).</w:t>
      </w:r>
    </w:p>
    <w:p w:rsidR="0020456D" w:rsidRPr="001C3EF3" w:rsidRDefault="0020456D" w:rsidP="00C0293C">
      <w:pPr>
        <w:pStyle w:val="ListParagraph"/>
        <w:numPr>
          <w:ilvl w:val="0"/>
          <w:numId w:val="43"/>
        </w:numPr>
        <w:spacing w:line="480" w:lineRule="auto"/>
        <w:rPr>
          <w:rFonts w:ascii="Times New Roman" w:hAnsi="Times New Roman"/>
        </w:rPr>
      </w:pPr>
    </w:p>
    <w:p w:rsidR="005B11A2" w:rsidRPr="001C3EF3" w:rsidRDefault="005B11A2" w:rsidP="00C0293C">
      <w:pPr>
        <w:pStyle w:val="ListParagraph"/>
        <w:numPr>
          <w:ilvl w:val="0"/>
          <w:numId w:val="43"/>
        </w:numPr>
        <w:spacing w:line="480" w:lineRule="auto"/>
        <w:rPr>
          <w:rFonts w:ascii="Times New Roman" w:hAnsi="Times New Roman"/>
        </w:rPr>
      </w:pPr>
      <w:r w:rsidRPr="001C3EF3">
        <w:rPr>
          <w:rFonts w:ascii="Times New Roman" w:hAnsi="Times New Roman"/>
        </w:rPr>
        <w:lastRenderedPageBreak/>
        <w:t>The application of Gompertz and Gompertz-Makeham</w:t>
      </w:r>
      <w:r w:rsidR="0020456D">
        <w:rPr>
          <w:rFonts w:ascii="Times New Roman" w:hAnsi="Times New Roman"/>
        </w:rPr>
        <w:t xml:space="preserve"> hazard models</w:t>
      </w:r>
      <w:r w:rsidRPr="001C3EF3">
        <w:rPr>
          <w:rFonts w:ascii="Times New Roman" w:hAnsi="Times New Roman"/>
        </w:rPr>
        <w:t xml:space="preserve"> will highlight the differences between the adult males and females aged 15 years and older. </w:t>
      </w:r>
    </w:p>
    <w:p w:rsidR="005B11A2" w:rsidRPr="001C3EF3" w:rsidRDefault="005B11A2" w:rsidP="00C0293C">
      <w:pPr>
        <w:pStyle w:val="ListParagraph"/>
        <w:spacing w:line="480" w:lineRule="auto"/>
        <w:rPr>
          <w:rFonts w:ascii="Times New Roman" w:hAnsi="Times New Roman"/>
        </w:rPr>
      </w:pPr>
      <w:r w:rsidRPr="001C3EF3">
        <w:rPr>
          <w:rFonts w:ascii="Times New Roman" w:hAnsi="Times New Roman"/>
        </w:rPr>
        <w:t xml:space="preserve"> </w:t>
      </w:r>
    </w:p>
    <w:p w:rsidR="005B11A2" w:rsidRPr="001C3EF3" w:rsidRDefault="005B11A2" w:rsidP="00C0293C">
      <w:pPr>
        <w:spacing w:line="480" w:lineRule="auto"/>
        <w:ind w:firstLine="360"/>
      </w:pPr>
      <w:r w:rsidRPr="001C3EF3">
        <w:t>In order to adequately reconstruct past population dynamics, appropriate mathem</w:t>
      </w:r>
      <w:r w:rsidR="00C0293C">
        <w:t xml:space="preserve">atical models must be applied. </w:t>
      </w:r>
      <w:r w:rsidRPr="001C3EF3">
        <w:t xml:space="preserve"> Models that integrate demographic and epidemiological data need to be applied to determine the best fit of population parameters to fully understand the age structure of a skeletal population and heterogeneity and frailty within a population.  This research focuses on the former, because it is fundamental to and the first step towards understanding well-being and selective mortality.  </w:t>
      </w:r>
    </w:p>
    <w:p w:rsidR="00236E6D" w:rsidRPr="001C3EF3" w:rsidRDefault="00236E6D">
      <w:pPr>
        <w:numPr>
          <w:ilvl w:val="12"/>
          <w:numId w:val="0"/>
        </w:numPr>
      </w:pPr>
    </w:p>
    <w:p w:rsidR="003D07F7" w:rsidRPr="001C3EF3" w:rsidRDefault="003D07F7" w:rsidP="003D07F7">
      <w:pPr>
        <w:numPr>
          <w:ilvl w:val="12"/>
          <w:numId w:val="0"/>
        </w:numPr>
      </w:pPr>
    </w:p>
    <w:p w:rsidR="003D07F7" w:rsidRPr="001C3EF3" w:rsidRDefault="003D07F7" w:rsidP="003D07F7">
      <w:pPr>
        <w:numPr>
          <w:ilvl w:val="12"/>
          <w:numId w:val="0"/>
        </w:numPr>
      </w:pPr>
    </w:p>
    <w:p w:rsidR="003D07F7" w:rsidRPr="001C3EF3" w:rsidRDefault="003D07F7" w:rsidP="003D07F7">
      <w:pPr>
        <w:numPr>
          <w:ilvl w:val="12"/>
          <w:numId w:val="0"/>
        </w:numPr>
      </w:pPr>
    </w:p>
    <w:p w:rsidR="003D07F7" w:rsidRPr="001C3EF3" w:rsidRDefault="003D07F7" w:rsidP="003D07F7">
      <w:pPr>
        <w:numPr>
          <w:ilvl w:val="12"/>
          <w:numId w:val="0"/>
        </w:numPr>
      </w:pPr>
    </w:p>
    <w:p w:rsidR="003D07F7" w:rsidRPr="001C3EF3" w:rsidRDefault="003D07F7" w:rsidP="003D07F7">
      <w:pPr>
        <w:numPr>
          <w:ilvl w:val="12"/>
          <w:numId w:val="0"/>
        </w:numPr>
      </w:pPr>
    </w:p>
    <w:p w:rsidR="003D07F7" w:rsidRPr="001C3EF3" w:rsidRDefault="003D07F7" w:rsidP="003D07F7">
      <w:pPr>
        <w:numPr>
          <w:ilvl w:val="12"/>
          <w:numId w:val="0"/>
        </w:numPr>
      </w:pPr>
    </w:p>
    <w:p w:rsidR="003D07F7" w:rsidRPr="001C3EF3" w:rsidRDefault="003D07F7" w:rsidP="003D07F7">
      <w:pPr>
        <w:numPr>
          <w:ilvl w:val="12"/>
          <w:numId w:val="0"/>
        </w:numPr>
      </w:pPr>
    </w:p>
    <w:p w:rsidR="003D07F7" w:rsidRDefault="003D07F7" w:rsidP="003D07F7">
      <w:pPr>
        <w:numPr>
          <w:ilvl w:val="12"/>
          <w:numId w:val="0"/>
        </w:numPr>
      </w:pPr>
    </w:p>
    <w:p w:rsidR="0020456D" w:rsidRDefault="0020456D" w:rsidP="003D07F7">
      <w:pPr>
        <w:numPr>
          <w:ilvl w:val="12"/>
          <w:numId w:val="0"/>
        </w:numPr>
      </w:pPr>
    </w:p>
    <w:p w:rsidR="00236E6D" w:rsidRPr="008126A6" w:rsidRDefault="00C0293C" w:rsidP="008126A6">
      <w:pPr>
        <w:pStyle w:val="Heading2"/>
        <w:rPr>
          <w:rFonts w:ascii="Times New Roman" w:hAnsi="Times New Roman" w:cs="Times New Roman"/>
        </w:rPr>
      </w:pPr>
      <w:r>
        <w:br w:type="page"/>
      </w:r>
      <w:bookmarkStart w:id="3" w:name="_Toc349858116"/>
      <w:r w:rsidR="00236E6D" w:rsidRPr="008126A6">
        <w:rPr>
          <w:rFonts w:ascii="Times New Roman" w:hAnsi="Times New Roman" w:cs="Times New Roman"/>
        </w:rPr>
        <w:lastRenderedPageBreak/>
        <w:t xml:space="preserve">CHAPTER </w:t>
      </w:r>
      <w:r w:rsidR="001C3EF3" w:rsidRPr="008126A6">
        <w:rPr>
          <w:rFonts w:ascii="Times New Roman" w:hAnsi="Times New Roman" w:cs="Times New Roman"/>
        </w:rPr>
        <w:t>2</w:t>
      </w:r>
      <w:bookmarkEnd w:id="3"/>
    </w:p>
    <w:p w:rsidR="00236E6D" w:rsidRPr="008126A6" w:rsidRDefault="001C3EF3" w:rsidP="008126A6">
      <w:pPr>
        <w:pStyle w:val="Heading2"/>
        <w:rPr>
          <w:rFonts w:ascii="Times New Roman" w:hAnsi="Times New Roman" w:cs="Times New Roman"/>
        </w:rPr>
      </w:pPr>
      <w:bookmarkStart w:id="4" w:name="_Toc349858117"/>
      <w:r w:rsidRPr="008126A6">
        <w:rPr>
          <w:rFonts w:ascii="Times New Roman" w:hAnsi="Times New Roman" w:cs="Times New Roman"/>
        </w:rPr>
        <w:t>Archaeology and Cultural Affiliation of Larson Site (39WW2)</w:t>
      </w:r>
      <w:bookmarkEnd w:id="4"/>
    </w:p>
    <w:p w:rsidR="00C0293C" w:rsidRPr="008126A6" w:rsidRDefault="00236E6D" w:rsidP="008126A6">
      <w:pPr>
        <w:pStyle w:val="Heading2"/>
        <w:rPr>
          <w:rFonts w:ascii="Times New Roman" w:hAnsi="Times New Roman" w:cs="Times New Roman"/>
        </w:rPr>
      </w:pPr>
      <w:r w:rsidRPr="008126A6">
        <w:rPr>
          <w:rFonts w:ascii="Times New Roman" w:hAnsi="Times New Roman" w:cs="Times New Roman"/>
        </w:rPr>
        <w:tab/>
      </w:r>
    </w:p>
    <w:p w:rsidR="00C0293C" w:rsidRDefault="00C0293C">
      <w:pPr>
        <w:numPr>
          <w:ilvl w:val="12"/>
          <w:numId w:val="0"/>
        </w:numPr>
        <w:rPr>
          <w:rFonts w:ascii="Arial" w:hAnsi="Arial" w:cs="Arial"/>
        </w:rPr>
      </w:pPr>
    </w:p>
    <w:p w:rsidR="00C0293C" w:rsidRPr="008126A6" w:rsidRDefault="00C0293C" w:rsidP="008126A6">
      <w:pPr>
        <w:pStyle w:val="Heading3"/>
        <w:rPr>
          <w:rFonts w:ascii="Times New Roman" w:hAnsi="Times New Roman" w:cs="Times New Roman"/>
        </w:rPr>
      </w:pPr>
      <w:bookmarkStart w:id="5" w:name="_Toc349858118"/>
      <w:r w:rsidRPr="008126A6">
        <w:rPr>
          <w:rFonts w:ascii="Times New Roman" w:hAnsi="Times New Roman" w:cs="Times New Roman"/>
        </w:rPr>
        <w:t>Background</w:t>
      </w:r>
      <w:bookmarkEnd w:id="5"/>
    </w:p>
    <w:p w:rsidR="00C0293C" w:rsidRDefault="00C0293C" w:rsidP="00C0293C">
      <w:pPr>
        <w:spacing w:line="480" w:lineRule="auto"/>
        <w:ind w:firstLine="720"/>
      </w:pPr>
      <w:r>
        <w:t>The Larson Village Site (39WW2),</w:t>
      </w:r>
      <w:r w:rsidRPr="00AA3029">
        <w:t xml:space="preserve"> </w:t>
      </w:r>
      <w:r>
        <w:t>one of the largest Plains Indian cemeteries to be excavated in South Dakota, was among a number of archaeological sites excavated and investigated as a result of the Missouri Basin Project</w:t>
      </w:r>
      <w:r w:rsidRPr="00AB67F2">
        <w:t xml:space="preserve"> </w:t>
      </w:r>
      <w:r>
        <w:t>between 1946 and 1969, under the direction of the Smithsonian Institution, National Park Service, and several universities (Lehmer</w:t>
      </w:r>
      <w:r w:rsidR="006F0F25">
        <w:t xml:space="preserve"> and Jones</w:t>
      </w:r>
      <w:r>
        <w:t>, 1968; Lehmer, 1971; Bass, 1981).  The Missouri Basin project was created after World War II in response to the construction of four large reservoirs that were being built along the Missouri river in North and South Dakota (Lehmer, 1971).  Prior to the 1960s, little data existed on the skeletal biology of the individuals that once inhabited the great plains with the exception of M.W. Stirling and W.H. Over, who were responsible for the documentation of more than 200 archaeological sites in the Northern Plains (Bass</w:t>
      </w:r>
      <w:r w:rsidRPr="00EE3FD2">
        <w:t>, 1981</w:t>
      </w:r>
      <w:r>
        <w:t>; Sigstad and Sigstad, 1973)</w:t>
      </w:r>
      <w:proofErr w:type="gramStart"/>
      <w:r>
        <w:t>.</w:t>
      </w:r>
      <w:proofErr w:type="gramEnd"/>
      <w:r>
        <w:t xml:space="preserve">  As a result of the Missouri Basin project resulted in approximately 10% of the known archaeological sites being investigated.  The skeletal material excavated represented a heterogeneous mixture of the various populations that inhabited the region over several temporal periods (Bass, 1981).  </w:t>
      </w:r>
    </w:p>
    <w:p w:rsidR="00C0293C" w:rsidRDefault="00C0293C" w:rsidP="00C0293C">
      <w:pPr>
        <w:spacing w:line="480" w:lineRule="auto"/>
        <w:ind w:firstLine="720"/>
      </w:pPr>
      <w:r>
        <w:t xml:space="preserve">Several South Dakota, Native American villages, including Leavenworth (39CO9), Larson (39WW2), Sully (39SL4), Mobridge (39WW1), and Rygh (39CA4) Sites, were excavated and established a long temporal occupation of the area (Hurt, 1957; Bass </w:t>
      </w:r>
      <w:r w:rsidRPr="00EF678F">
        <w:rPr>
          <w:i/>
        </w:rPr>
        <w:t>et al</w:t>
      </w:r>
      <w:r>
        <w:t>., 1971; Jantz, 1972; Krause, 1972).  These sites are believed to be associated with the Arikara tribe; although several other tribes also inhabited the area, including the Mandan and Hidatsa tribes.</w:t>
      </w:r>
      <w:r w:rsidRPr="007C0003">
        <w:t xml:space="preserve"> </w:t>
      </w:r>
      <w:r>
        <w:t xml:space="preserve"> </w:t>
      </w:r>
      <w:r>
        <w:lastRenderedPageBreak/>
        <w:t xml:space="preserve">The Arikara of the late prehistoric, protohistoric, and historic periods were Caddoan speaking semi-sedentary horticulturalists that occupied villages along the banks of the Missouri River in South Dakota.  The river drainage system and the alluvial bottoms associated with it provided an ideal location for prehistoric populations and served as a means for communication, trade, and resource exploitation.  </w:t>
      </w:r>
    </w:p>
    <w:p w:rsidR="00C0293C" w:rsidRDefault="00C0293C" w:rsidP="00C0293C">
      <w:pPr>
        <w:spacing w:line="480" w:lineRule="auto"/>
        <w:ind w:firstLine="720"/>
      </w:pPr>
      <w:r>
        <w:t>Excavations at the Sully Site (39SL4) confirmed that the Arikara buried their dead in defined areas, near the village and served to guide later excavations associated with Arikara villages (Bass, 1964).  Ethnohistoric data from the Leavenworth village provides much of the cultural history known about the Arikara.  This village was well documented in the early and middle 19</w:t>
      </w:r>
      <w:r w:rsidRPr="00195851">
        <w:rPr>
          <w:vertAlign w:val="superscript"/>
        </w:rPr>
        <w:t>th</w:t>
      </w:r>
      <w:r>
        <w:t xml:space="preserve"> century by several Europeans, including Lewis and Clark in 1804.  </w:t>
      </w:r>
    </w:p>
    <w:p w:rsidR="00C0293C" w:rsidRDefault="00C0293C" w:rsidP="00C0293C">
      <w:pPr>
        <w:spacing w:line="480" w:lineRule="auto"/>
        <w:ind w:firstLine="720"/>
      </w:pPr>
    </w:p>
    <w:p w:rsidR="00C0293C" w:rsidRPr="008126A6" w:rsidRDefault="00C0293C" w:rsidP="008126A6">
      <w:pPr>
        <w:pStyle w:val="Heading3"/>
        <w:rPr>
          <w:rFonts w:ascii="Times New Roman" w:hAnsi="Times New Roman" w:cs="Times New Roman"/>
        </w:rPr>
      </w:pPr>
      <w:bookmarkStart w:id="6" w:name="_Toc349858119"/>
      <w:r w:rsidRPr="008126A6">
        <w:rPr>
          <w:rFonts w:ascii="Times New Roman" w:hAnsi="Times New Roman" w:cs="Times New Roman"/>
        </w:rPr>
        <w:t>Cultural Affiliation</w:t>
      </w:r>
      <w:bookmarkEnd w:id="6"/>
    </w:p>
    <w:p w:rsidR="00C0293C" w:rsidRDefault="00C0293C" w:rsidP="00C0293C">
      <w:pPr>
        <w:spacing w:line="480" w:lineRule="auto"/>
        <w:ind w:firstLine="720"/>
      </w:pPr>
      <w:r>
        <w:t>Early literature suggested a Mandan relationship for the Larson Village Site (39WW2) based on tribal distributions and burial patterns (Bowers, 1967).  However, Lin (1973) demonstrated that multivariate analysis can clearly distinguish Arikara from Mandan crania, which was supported by a discriminant function analysis by Jantz (1973).</w:t>
      </w:r>
      <w:r w:rsidRPr="000343E1">
        <w:t xml:space="preserve"> </w:t>
      </w:r>
      <w:r>
        <w:t xml:space="preserve"> Thus, craniometric analyses of the Larson Village skeletal material indicate a clear similarity to Arikara with only minor differences, which can be explained by secular change, to the exclusion of Mandan (Jantz, 1973; Jantz 1974; Owsley and Jantz, 1978).  Furthermore, Owsley and colleagues (Jantz </w:t>
      </w:r>
      <w:r w:rsidRPr="00EF678F">
        <w:rPr>
          <w:i/>
        </w:rPr>
        <w:t>et al</w:t>
      </w:r>
      <w:r>
        <w:t>., 1978;</w:t>
      </w:r>
      <w:r w:rsidR="006F0F25">
        <w:t xml:space="preserve"> Owsley and Jantz, 1978; Owsley </w:t>
      </w:r>
      <w:r w:rsidR="006F0F25" w:rsidRPr="006F0F25">
        <w:rPr>
          <w:i/>
        </w:rPr>
        <w:t>et al</w:t>
      </w:r>
      <w:r w:rsidR="006F0F25">
        <w:rPr>
          <w:i/>
        </w:rPr>
        <w:t>.</w:t>
      </w:r>
      <w:r w:rsidR="006F0F25">
        <w:t>,</w:t>
      </w:r>
      <w:r>
        <w:t xml:space="preserve"> 1982; Owsley </w:t>
      </w:r>
      <w:r w:rsidRPr="00EF678F">
        <w:rPr>
          <w:i/>
        </w:rPr>
        <w:t>et al</w:t>
      </w:r>
      <w:r>
        <w:t xml:space="preserve">., 1981; Bryd and Jantz, 1994) have demonstrated an Arikara affiliation for the Larson site and demonstrate through craniometric analyses of several Upper Missouri tribes that the individuals in the Larson Site are </w:t>
      </w:r>
      <w:r>
        <w:lastRenderedPageBreak/>
        <w:t>associated to the Leavenworth Site, which is historically known to be Arikara.  The Leavenworth Site, represents the most recent of the Arikara sites temporally, has the most secure dates, and historic information to associate it with the Arikara tribe (Bass</w:t>
      </w:r>
      <w:proofErr w:type="gramStart"/>
      <w:r>
        <w:t>,1966</w:t>
      </w:r>
      <w:proofErr w:type="gramEnd"/>
      <w:r>
        <w:t xml:space="preserve">; Bass </w:t>
      </w:r>
      <w:r w:rsidRPr="00EF678F">
        <w:rPr>
          <w:i/>
        </w:rPr>
        <w:t>et al</w:t>
      </w:r>
      <w:r>
        <w:t xml:space="preserve">., 1971).  However, Byrd and Jantz (1994) have found significant variability in the crania in the Leavenworth site.  This has been interpreted as reflecting variation within the Arikara tribe, because Arikara villages were known to have been separate socio-political complexes, which could have translated into limited genetic flow between villages.  However, during the post-contact period, village organization structure was disrupted causing the coalescence of several villages spanning the entire Arikara territory.  Thus the variation found in the Leavenworth site could represent differences within or multi-components among the Arikara to the exclusion of the other tribes in the Middle Missouri region.  </w:t>
      </w:r>
    </w:p>
    <w:p w:rsidR="00C0293C" w:rsidRDefault="00C0293C" w:rsidP="00C0293C">
      <w:pPr>
        <w:spacing w:line="480" w:lineRule="auto"/>
        <w:ind w:firstLine="720"/>
      </w:pPr>
      <w:r>
        <w:t xml:space="preserve">Besides craniometric analyses, the Larson site burial customs are similar to what has been seen in other Arikara cemeteries where the burials are primary interments with wood covering the grave (Snortland, 1994).  Ethnographic data indicate the Arikara had formal burial areas in proximity to their village with burials being in a flexed or semi-flexed position and oriented facing the village (Orser, 1980).  Scaffolding was no longer a primary custom in the Protohistoric, but was used during winter months when burial was not an option.  This explains the presence of fly pupae during excavations of the graves and supports seasonality in burying (Gilbert and Bass, 1967) and/or secondary burial practices (Ubelaker and Willey, 1978), neither of which was thought to be an Arikara custom.  </w:t>
      </w:r>
    </w:p>
    <w:p w:rsidR="00C0293C" w:rsidRDefault="00C0293C" w:rsidP="00C0293C">
      <w:pPr>
        <w:spacing w:line="480" w:lineRule="auto"/>
      </w:pPr>
    </w:p>
    <w:p w:rsidR="00C0293C" w:rsidRDefault="00C0293C" w:rsidP="00C0293C">
      <w:pPr>
        <w:spacing w:line="480" w:lineRule="auto"/>
      </w:pPr>
    </w:p>
    <w:p w:rsidR="00C0293C" w:rsidRDefault="00C0293C" w:rsidP="00C0293C">
      <w:pPr>
        <w:spacing w:line="480" w:lineRule="auto"/>
      </w:pPr>
    </w:p>
    <w:p w:rsidR="00C0293C" w:rsidRPr="008126A6" w:rsidRDefault="00C0293C" w:rsidP="008126A6">
      <w:pPr>
        <w:pStyle w:val="Heading3"/>
        <w:rPr>
          <w:rFonts w:ascii="Times New Roman" w:hAnsi="Times New Roman" w:cs="Times New Roman"/>
        </w:rPr>
      </w:pPr>
      <w:bookmarkStart w:id="7" w:name="_Toc349858120"/>
      <w:r w:rsidRPr="008126A6">
        <w:rPr>
          <w:rFonts w:ascii="Times New Roman" w:hAnsi="Times New Roman" w:cs="Times New Roman"/>
        </w:rPr>
        <w:t>The Archaeological Context</w:t>
      </w:r>
      <w:bookmarkEnd w:id="7"/>
    </w:p>
    <w:p w:rsidR="00C0293C" w:rsidRDefault="00C0293C" w:rsidP="00C0293C">
      <w:pPr>
        <w:spacing w:line="480" w:lineRule="auto"/>
        <w:ind w:firstLine="720"/>
      </w:pPr>
      <w:r>
        <w:t xml:space="preserve">Temporal patterning of artifacts, traditionally used to associate skeletal material, has proved to be less informative due to complex inter-tribal trading networks in the Northern Plains.  Blakeslee (1975) suggests that the extensive trade network throughout the upper Missouri promoted cultural change and gene flow.  The later sites and more peripheral areas provide craniometric evidence for gene flow, so there is not clear congruence between the archaeology and biology (Blakeslee, 1994).  In the post-contact, Northern Plains, there is sufficient archaeological evidence to suggest ongoing conflicts and continuous political re-organization of tribes.  Also, the continual interactions between tribes through the inter-tribal trade network, complicates tribal identification through grave goods and other materials associated with skeletal material.  Nevertheless, the Larson Village Site (39WW2), along with the other sites around Mobridge, South Dakota, with the exception of the Sully Site, represent the northernmost extend of the Arikara prior to the reservation period. </w:t>
      </w:r>
    </w:p>
    <w:p w:rsidR="00C0293C" w:rsidRDefault="00C0293C" w:rsidP="00C0293C">
      <w:pPr>
        <w:spacing w:line="480" w:lineRule="auto"/>
        <w:ind w:firstLine="720"/>
      </w:pPr>
      <w:r>
        <w:t>Archaeological evidence indicates a long human occupation of the North and Central Plains.  The Larson Cemetery (39WW2) is located near the town of Mobridge, South Dakota, in the Middle Missouri region of the Northern plains (Figure 2.1).  This region is demarcated by the Nebraska-South Dakota border to the North Dakota-Montana border (Blakeslee, 1994).  Three subdivisions within the Northern Plains are the Middle Missouri (Missouri River from the Nebraska-South Dakota border to the North-Dakota-Montana border), Northwest Plains (west of the Middle Missouri to the Rocky Mountains and northward to Canada), and the Northeastern Periphery (eastern North and South Dakota and western Minnesota).</w:t>
      </w:r>
    </w:p>
    <w:p w:rsidR="00C0293C" w:rsidRPr="007E539F" w:rsidRDefault="00C0293C" w:rsidP="00C0293C">
      <w:pPr>
        <w:spacing w:line="480" w:lineRule="auto"/>
        <w:ind w:firstLine="720"/>
        <w:rPr>
          <w:highlight w:val="yellow"/>
        </w:rPr>
      </w:pPr>
      <w:r>
        <w:lastRenderedPageBreak/>
        <w:t>The culture history of the region is generally divided into five broad periods:  Paleo-Indian, Archaic, Woodland, Plains Village, and Historic (</w:t>
      </w:r>
      <w:proofErr w:type="gramStart"/>
      <w:r>
        <w:t>Wood ,</w:t>
      </w:r>
      <w:proofErr w:type="gramEnd"/>
      <w:r>
        <w:t>1998; Zimmerman, 1985; Blakeslee, 1994).  Differences in technology, subsistence strategies, settlement patterns, and socio-political organization define each of these periods.  The periods roughly equate to temporal sequences defined by radiocarbon dating; however protohistoric and historic periods are not as well defined as earlier periods, because the exact timing of contact, written documentation, and the variability in the appearance of trade goods across the Great Plains, especially in the Northern Plains.</w:t>
      </w:r>
    </w:p>
    <w:p w:rsidR="00C0293C" w:rsidRDefault="00C0293C" w:rsidP="00C0293C">
      <w:pPr>
        <w:spacing w:line="480" w:lineRule="auto"/>
      </w:pPr>
      <w:r>
        <w:tab/>
        <w:t xml:space="preserve">The Paleo-indian period is represented by mobile bands of hunters and gatherers that followed big game herds.  The Archaic period is characterized by nomadic foragers with a smaller range and an increasing adaption of local resources.  The Woodland populations are marked by the development of horticulture and less nomadic lifeways.  The river bottomlands contrasted the rest of the Plains ecology in flora and fauna, which led to the creation of two major groups:  nomadic- hunting groups and river-based groups (Holder, 1970).  The riverine groups, like the Arikara, Mandan, and Hidatsa tribes, lived in semi-permanent villages along the river course and practiced horticulture.  This reliance on horticulture defines the Plains Village period.  There is clear evidence for an increased importance of cultigens, such as maize, squash, sunflowers, </w:t>
      </w:r>
      <w:proofErr w:type="gramStart"/>
      <w:r>
        <w:t>beans</w:t>
      </w:r>
      <w:proofErr w:type="gramEnd"/>
      <w:r>
        <w:t xml:space="preserve"> in the Plains Village period over that which is seen in the Woodland periods. </w:t>
      </w:r>
    </w:p>
    <w:p w:rsidR="00C0293C" w:rsidRDefault="00C0293C" w:rsidP="00C0293C">
      <w:pPr>
        <w:spacing w:line="480" w:lineRule="auto"/>
      </w:pPr>
      <w:r>
        <w:br w:type="page"/>
      </w:r>
    </w:p>
    <w:p w:rsidR="00C0293C" w:rsidRDefault="00C90CC6" w:rsidP="00C0293C">
      <w:pPr>
        <w:spacing w:line="480" w:lineRule="auto"/>
        <w:jc w:val="both"/>
      </w:pPr>
      <w:r>
        <w:rPr>
          <w:noProof/>
        </w:rPr>
        <w:lastRenderedPageBreak/>
        <mc:AlternateContent>
          <mc:Choice Requires="wps">
            <w:drawing>
              <wp:anchor distT="0" distB="0" distL="114300" distR="114300" simplePos="0" relativeHeight="251659776" behindDoc="0" locked="0" layoutInCell="1" allowOverlap="1">
                <wp:simplePos x="0" y="0"/>
                <wp:positionH relativeFrom="column">
                  <wp:posOffset>3476625</wp:posOffset>
                </wp:positionH>
                <wp:positionV relativeFrom="paragraph">
                  <wp:posOffset>2402840</wp:posOffset>
                </wp:positionV>
                <wp:extent cx="104775" cy="104775"/>
                <wp:effectExtent l="19050" t="29210" r="19050" b="18415"/>
                <wp:wrapNone/>
                <wp:docPr id="29"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104775"/>
                        </a:xfrm>
                        <a:prstGeom prst="star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26" style="position:absolute;margin-left:273.75pt;margin-top:189.2pt;width:8.25pt;height:8.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10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" path="m,40020r40021,1l52388,,64754,40021r40021,-1l72397,64754r12368,40021l52388,80040,20010,104775,32378,64754,,40020xe" fillcolor="red">
                <v:stroke joinstyle="miter"/>
                <v:path o:connecttype="custom" o:connectlocs="0,40020;40021,40021;52388,0;64754,40021;104775,40020;72397,64754;84765,104775;52388,80040;20010,104775;32378,64754;0,40020" o:connectangles="0,0,0,0,0,0,0,0,0,0,0"/>
              </v:shape>
            </w:pict>
          </mc:Fallback>
        </mc:AlternateContent>
      </w:r>
      <w:r>
        <w:rPr>
          <w:noProof/>
        </w:rPr>
        <w:drawing>
          <wp:inline distT="0" distB="0" distL="0" distR="0">
            <wp:extent cx="5943600" cy="4724400"/>
            <wp:effectExtent l="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724400"/>
                    </a:xfrm>
                    <a:prstGeom prst="rect">
                      <a:avLst/>
                    </a:prstGeom>
                    <a:noFill/>
                    <a:ln>
                      <a:noFill/>
                    </a:ln>
                  </pic:spPr>
                </pic:pic>
              </a:graphicData>
            </a:graphic>
          </wp:inline>
        </w:drawing>
      </w:r>
    </w:p>
    <w:p w:rsidR="00C0293C" w:rsidRDefault="00C0293C" w:rsidP="00C0293C">
      <w:pPr>
        <w:spacing w:line="480" w:lineRule="auto"/>
      </w:pPr>
      <w:proofErr w:type="gramStart"/>
      <w:r>
        <w:t>Figure 2.1.</w:t>
      </w:r>
      <w:proofErr w:type="gramEnd"/>
      <w:r>
        <w:t xml:space="preserve">  Geographical location of the Larson site (39WW2), indicated by the red star.  Larson is located just southeast of the town of Mobridge, South Dakota.</w:t>
      </w:r>
    </w:p>
    <w:p w:rsidR="00C0293C" w:rsidRDefault="00C0293C" w:rsidP="00C0293C">
      <w:pPr>
        <w:spacing w:line="480" w:lineRule="auto"/>
      </w:pPr>
      <w:r>
        <w:br w:type="page"/>
      </w:r>
    </w:p>
    <w:p w:rsidR="00C0293C" w:rsidRDefault="00C0293C" w:rsidP="00C0293C">
      <w:pPr>
        <w:spacing w:line="480" w:lineRule="auto"/>
        <w:ind w:firstLine="720"/>
      </w:pPr>
      <w:r>
        <w:lastRenderedPageBreak/>
        <w:t xml:space="preserve">In the Plains village and historic periods there are three cultural traditions in the Northern plains:  Oneota, Middle Missouri, and Central Plains/Coalescent traditions.  The Central Plains/ Coalescent tradition appears to have led to the Pawnee and Arikara.  The Central Plains derivation refers to sites south of the Nebraska-South Dakota border and ones that are dated prior to the protohistoric period; whereas the Coalescent tradition refers to all sites north of the border and are protohistoric or later.  This area, where the Larson site is located, is in the Middle Missouri region, which was occupied by the Arikara, Mandan, and Hidatsa tribes.  The Plains Village had a Coalescent Tradition that was divided into three temporal variants:  an Initial, Extended, and Post-contact.  Some research will acknowledge a fourth “disorganized” phase, but this has now been accepted as part of the historic phase prior to the Reservation period (Lehmer, 1971).  The initial coalescent variant (AD 1300-1600) is demarcated with intrusions of the central plains into South Dakota, which have suggestions of increase in warfare, a shift to circular house structure, and additions to the cultural traits.  There is clear documentation, from archaeological patterns (Sigstad and Sigstad, 1973), craniometrics (Ubelaker and Jantz, 1979, Jantz, 1977), and language distribution (Parks, 1979), of a south-north migration by the ancestral Arikara in the Plains Village period (Blakeslee, 1994).  The earliest sites that are suggested to represent the prehistoric antecedents to the Arikara are found in the Big Bend region and are attributed to the Initial Coalescent.  These villages are some of the first evidence in the region of widespread inter-tribal conflict as is indicated at the Crow Creek </w:t>
      </w:r>
      <w:proofErr w:type="gramStart"/>
      <w:r>
        <w:t>site[</w:t>
      </w:r>
      <w:proofErr w:type="gramEnd"/>
      <w:r>
        <w:t xml:space="preserve">(39BF11), (Willey, 1990; Willey and Emerson, 1993)].  The Arikara continued a northward movement causing the displacement of the Middle Missouri people. </w:t>
      </w:r>
    </w:p>
    <w:p w:rsidR="00C0293C" w:rsidRDefault="00C0293C" w:rsidP="00C0293C">
      <w:pPr>
        <w:spacing w:line="480" w:lineRule="auto"/>
        <w:ind w:firstLine="720"/>
      </w:pPr>
      <w:r>
        <w:lastRenderedPageBreak/>
        <w:t xml:space="preserve">The Extended Coalescent variant (AD 1400/1450-1650) dominated much of the Missouri trench in South Dakota, but demonstrates a short occupational history (Lehmer, 1971).  During the Extended Coalescent, the range of prehistoric Arikara extended to the Grand River.  These sites are typically unfortified and widely spaced, but the northernmost settlements have more centralized fortified living area, which suggests a pushing of the Middle Missouri Tradition people northernly. </w:t>
      </w:r>
    </w:p>
    <w:p w:rsidR="00C0293C" w:rsidRDefault="00C0293C" w:rsidP="00C0293C">
      <w:pPr>
        <w:spacing w:line="480" w:lineRule="auto"/>
        <w:ind w:firstLine="720"/>
      </w:pPr>
      <w:r>
        <w:t>The Post-contact variant is indicated by the appearance of Euro-American items, even though direct contact did not occur until the mid 18</w:t>
      </w:r>
      <w:r w:rsidRPr="00CA1873">
        <w:rPr>
          <w:vertAlign w:val="superscript"/>
        </w:rPr>
        <w:t>th</w:t>
      </w:r>
      <w:r>
        <w:t xml:space="preserve"> century.  Currently, nine phases are recognized for the post-contact Coalescent:  Felicia, Talking Crow, Bad River, Le Beau, Knife River, Willows, Minnetaree, Roadmaker, and Four Bears (Johnson, 1998).  The phases attributed to the protohistoric Arikara are the Felcia, Talking Crow, Bad River, and Le Beau, based on house styles, fortifications, settlements patterns, artifact styles, and burial patterns (Johnson, 1998).  The Larson site (39WW2) is considered a protohistoric, postcontact, Le Beau phase (Lehmer, 1971; Lehmer and Caldwell, 1966) based on the presence of several circular earth lodges with associated ceramics, bone tools, shell, glass, and European goods.  The Le Beau phase sites are generally concentrated on the east bank of the Missouri River in the Grand-Moreau region.  </w:t>
      </w:r>
    </w:p>
    <w:p w:rsidR="00C0293C" w:rsidRDefault="00C0293C" w:rsidP="00C0293C">
      <w:pPr>
        <w:spacing w:line="480" w:lineRule="auto"/>
      </w:pPr>
    </w:p>
    <w:p w:rsidR="00C0293C" w:rsidRPr="00D31C86" w:rsidRDefault="00C0293C" w:rsidP="00D31C86">
      <w:pPr>
        <w:pStyle w:val="Heading3"/>
        <w:rPr>
          <w:rFonts w:ascii="Times New Roman" w:hAnsi="Times New Roman" w:cs="Times New Roman"/>
        </w:rPr>
      </w:pPr>
      <w:bookmarkStart w:id="8" w:name="_Toc349858121"/>
      <w:r w:rsidRPr="00D31C86">
        <w:rPr>
          <w:rFonts w:ascii="Times New Roman" w:hAnsi="Times New Roman" w:cs="Times New Roman"/>
        </w:rPr>
        <w:t>The Arikara</w:t>
      </w:r>
      <w:bookmarkEnd w:id="8"/>
    </w:p>
    <w:p w:rsidR="00C0293C" w:rsidRDefault="00C0293C" w:rsidP="00C0293C">
      <w:pPr>
        <w:spacing w:line="480" w:lineRule="auto"/>
        <w:ind w:firstLine="720"/>
      </w:pPr>
      <w:r>
        <w:t xml:space="preserve">During the protohistoric time period, as defined by Holder (1970), there was known to be a long interaction between Europeans and the Indian tribes of the Northern Plains, but little written documentation solidifying the interactions.  This “time in-between” is considered by </w:t>
      </w:r>
      <w:r>
        <w:lastRenderedPageBreak/>
        <w:t>archaeologists as the protohistoric (Holder, 1970), but direct contact between the Arikara and Europeans may have occurred as early as the 1700s (Ewers 1961).  The long standing indirect contact between the Arikara and Europeans may have introduced disease prior to direct contact and could explain the subsequent depopulation epidemics associated with small-pox in the late 18</w:t>
      </w:r>
      <w:r w:rsidRPr="00AB749C">
        <w:rPr>
          <w:vertAlign w:val="superscript"/>
        </w:rPr>
        <w:t>th</w:t>
      </w:r>
      <w:r>
        <w:t xml:space="preserve"> and early 19</w:t>
      </w:r>
      <w:r w:rsidRPr="00AB749C">
        <w:rPr>
          <w:vertAlign w:val="superscript"/>
        </w:rPr>
        <w:t>th</w:t>
      </w:r>
      <w:r>
        <w:t xml:space="preserve"> century. </w:t>
      </w:r>
    </w:p>
    <w:p w:rsidR="00C0293C" w:rsidRDefault="00C0293C" w:rsidP="00C0293C">
      <w:pPr>
        <w:spacing w:line="480" w:lineRule="auto"/>
        <w:ind w:firstLine="720"/>
      </w:pPr>
      <w:r>
        <w:t xml:space="preserve">During the protohistoric time period, the Mandan and the Arikara served as large trading centers between the more nomadic tribes and the Europeans.  Europeans added onto a pre-existing native trade network, which allowed for more extensive trade routes and eventually to direct trade.  Arikara provided a major source for bartering foodstuff, like corn, pumpkins, native tobacco, and beans for material goods and meat.  Arikara village occupation during this time was often short, since the length of the village occupation was related to the amount of arable land and wood available in the river bottoms (Ewers, 1961).  Most villages were abandoned as site resources depleted, usually in a span of 15-30 years (Holder 1970).  The Larson village is in line with this.  The village midden deposits’ size and evidence of several rebuilding periods for the lodges, which are estimated to last seven to ten years based on ethnographic data, suggest a village occupation of approximately 30 years (Bowers, 1967).  Owsley’s (1975) demographic analysis of the Larson site supports the presence of a single generation. </w:t>
      </w:r>
    </w:p>
    <w:p w:rsidR="00C0293C" w:rsidRDefault="00C0293C" w:rsidP="00C0293C">
      <w:pPr>
        <w:spacing w:line="480" w:lineRule="auto"/>
        <w:ind w:firstLine="720"/>
      </w:pPr>
      <w:r>
        <w:t>The traditional native trade system was a direct exchange between the producer and the consumer (Ewers, 1961), involved perishable goods, and lasted well into the mid 1800s.  With increasing European influence, the Arikara became middlemen in a complex trade exchange of agricultural products, horses, guns, and other artifacts of European origin that extended over thousands of miles (Holder, 1970).</w:t>
      </w:r>
      <w:r w:rsidRPr="004752AE">
        <w:t xml:space="preserve"> </w:t>
      </w:r>
      <w:r>
        <w:t xml:space="preserve"> Large villages along the Eastern Missouri River developed </w:t>
      </w:r>
      <w:r>
        <w:lastRenderedPageBreak/>
        <w:t>as is indicated by thick midden deposits.  Each Arikara village was still a politically autonomous unit consisting of endogamous, matrilocal extended households (Holder, 1970).  The development of distinct dialect formation in the pre-19</w:t>
      </w:r>
      <w:r w:rsidRPr="00863D02">
        <w:rPr>
          <w:vertAlign w:val="superscript"/>
        </w:rPr>
        <w:t>th</w:t>
      </w:r>
      <w:r>
        <w:t xml:space="preserve"> century villages provides evidence of inter-village isolation and low migration among Arikara.  Pierre Tabeau recognized at least 10 dialectical divisions within the Arikara existing in 1804, which suggests a great diversity within the Arikara population alone (Ewers, 1961).</w:t>
      </w:r>
    </w:p>
    <w:p w:rsidR="00C0293C" w:rsidRDefault="00C0293C" w:rsidP="00C0293C">
      <w:pPr>
        <w:spacing w:line="480" w:lineRule="auto"/>
        <w:ind w:firstLine="720"/>
      </w:pPr>
      <w:r>
        <w:t xml:space="preserve"> This transitional trade pattern, as is supported by the archaeological record, used European articles and non-perishable goods in the intertribal trade (Ewers, 1961).  The European goods would make their way from the peripheral trading centers that had contact with the Europeans to the remote areas that did not have direct contact with the Europeans.  The articles would consist of horses, riding gear, weapons, metal tools, clothing, and personal adornments.  The Arikara locality placed them in an excellent position, but the surplus of goods afforded to them, also made them targets for raids from other villages (Owsley </w:t>
      </w:r>
      <w:r w:rsidRPr="00EF678F">
        <w:rPr>
          <w:i/>
        </w:rPr>
        <w:t>et al</w:t>
      </w:r>
      <w:r>
        <w:t xml:space="preserve">., 1977).  There is little record of the Arikara maintaining a surplus of European goods, like horses and guns (Ewers, 1961).  Rather, they traded them to other tribes. </w:t>
      </w:r>
    </w:p>
    <w:p w:rsidR="00C0293C" w:rsidRDefault="00C0293C" w:rsidP="00C0293C">
      <w:pPr>
        <w:spacing w:line="480" w:lineRule="auto"/>
        <w:ind w:firstLine="720"/>
      </w:pPr>
      <w:r>
        <w:t xml:space="preserve">As a result of growing competition and need in the fur trade, more European explorers went to the major tribal exchange centers.  The river system provided the transportation means for European explorers to move west from the central valley (Holder, 1970; Rogers, 1990).  This is most prominent in the late 1700s.  The Europeans were met with great resistant as the Indians wanted to maintain the previous trading styles.  This led to increasing intertribal conflicts and European-Indian conflicts with little to show for it in return.  Historical documents provide evidence for external pressure, hositilities, and intermittent warfare between the Arikara and </w:t>
      </w:r>
      <w:r>
        <w:lastRenderedPageBreak/>
        <w:t xml:space="preserve">other groups (Owsley </w:t>
      </w:r>
      <w:r w:rsidRPr="00EF678F">
        <w:rPr>
          <w:i/>
        </w:rPr>
        <w:t>et al</w:t>
      </w:r>
      <w:r>
        <w:t xml:space="preserve">., 1977), because most of the geographically isolated </w:t>
      </w:r>
      <w:proofErr w:type="gramStart"/>
      <w:r>
        <w:t>Arikara,</w:t>
      </w:r>
      <w:proofErr w:type="gramEnd"/>
      <w:r>
        <w:t xml:space="preserve"> did not have the non-perishables that Europeans were wanting.</w:t>
      </w:r>
    </w:p>
    <w:p w:rsidR="00C0293C" w:rsidRDefault="00C0293C" w:rsidP="00C0293C">
      <w:pPr>
        <w:spacing w:line="480" w:lineRule="auto"/>
        <w:ind w:firstLine="720"/>
      </w:pPr>
      <w:r>
        <w:t>By the time Lewis and Clark visited the Arikara in the early 19</w:t>
      </w:r>
      <w:r w:rsidRPr="00922624">
        <w:rPr>
          <w:vertAlign w:val="superscript"/>
        </w:rPr>
        <w:t>th</w:t>
      </w:r>
      <w:r>
        <w:t xml:space="preserve"> century, the Arikara experienced a severe reduction and concentration of the population.  After the smallpox epidemic, 1780-1781, the Arikara traditional village pattern was disrupted (Lehmer and Jones, 1968).  The population seemed to be at varying stages of flux at any given time depending on inter-tribal relationships, local resources, or relationships with European fur traders (Ewers, 1961).  By 1832, the Arikara were all but removed from the Missouri River Valley because of tribal conflicts, European traders and settlers, and structured resettlements.</w:t>
      </w:r>
    </w:p>
    <w:p w:rsidR="00C90CC6" w:rsidRDefault="00C90CC6" w:rsidP="00C0293C">
      <w:pPr>
        <w:spacing w:line="480" w:lineRule="auto"/>
      </w:pPr>
    </w:p>
    <w:p w:rsidR="00C0293C" w:rsidRPr="00C90CC6" w:rsidRDefault="00C0293C" w:rsidP="00C90CC6">
      <w:pPr>
        <w:pStyle w:val="Heading3"/>
        <w:rPr>
          <w:rFonts w:ascii="Times New Roman" w:hAnsi="Times New Roman" w:cs="Times New Roman"/>
        </w:rPr>
      </w:pPr>
      <w:bookmarkStart w:id="9" w:name="_Toc349858122"/>
      <w:r w:rsidRPr="00C90CC6">
        <w:rPr>
          <w:rFonts w:ascii="Times New Roman" w:hAnsi="Times New Roman" w:cs="Times New Roman"/>
        </w:rPr>
        <w:t>Pre-Historic Mortality</w:t>
      </w:r>
      <w:bookmarkEnd w:id="9"/>
    </w:p>
    <w:p w:rsidR="00C0293C" w:rsidRDefault="00C0293C" w:rsidP="00C0293C">
      <w:pPr>
        <w:spacing w:line="480" w:lineRule="auto"/>
        <w:ind w:firstLine="720"/>
      </w:pPr>
      <w:r>
        <w:t>The Larson site represents a time period of increasing European influence on the Arikara.  Prior to European exploration in South Dakota at least seven different Native American groups were known to have inhabited the area; including the Arikara, Hidatsa, and Mandan, who now comprise the Three Affiliated Tribes, lived along the Missouri river.  All were considered horticultural tribes and belonged to an extensive trade network extending across much of the Plains.  Westward expansion of Europeans in the late 17</w:t>
      </w:r>
      <w:r w:rsidRPr="0007749C">
        <w:rPr>
          <w:vertAlign w:val="superscript"/>
        </w:rPr>
        <w:t>th</w:t>
      </w:r>
      <w:r>
        <w:t xml:space="preserve"> and 18</w:t>
      </w:r>
      <w:r w:rsidRPr="0007749C">
        <w:rPr>
          <w:vertAlign w:val="superscript"/>
        </w:rPr>
        <w:t>th</w:t>
      </w:r>
      <w:r>
        <w:t xml:space="preserve"> centuries brought these tribes into ever-increasing contact with Europeans.  Verano and Ubelaker’s (1994) volume, Disease and Demography in the Americas, highlights the devastating effects that  European contact had throughout North and South America, but did not speak on how Native Americans of the Northern Great Plains were affected.  The edited volume, “Skeletal Biology in the Great Plains,” by Owsley and Jantz (1994), provided the knowledge that was lacking in the Verano and </w:t>
      </w:r>
      <w:r>
        <w:lastRenderedPageBreak/>
        <w:t>Ubelaker (1994) volume.  However, this volume did not incorporate the methodological advances in their discussion of paleodemography, especially for the Proto-historic and Historic time periods.  Williams (1994) provides a basic review of some demographic parameters of the Archaic and Woodland populations, but little else is detailed.  Demographic profiles for Mobridge (39WW1) (Palkovich, 1981) and Larson (39WW2) (Owsley and Bass, 1979) are available, but warrant a re-examination to incorporate the theoretical and methodological advancements in paleodemography.  The incorporation of hazard analyses may increase our understanding of how health and mortality were affected by the Westward expansion of Europeans.  We already know that European contact did not cause a rapid demographic collapse as some have theorized; rather the differential in risk of death between Native American tribes and the complex socio-cultural schemes of these tribes buffered the effects of European contact (Milner, 1992; Johansson and Owsley, 2002).  Nonetheless, outbreaks of disease became frequent after the arrival of Europeans in the late 15</w:t>
      </w:r>
      <w:r w:rsidRPr="00B175E0">
        <w:rPr>
          <w:vertAlign w:val="superscript"/>
        </w:rPr>
        <w:t>th</w:t>
      </w:r>
      <w:r>
        <w:t xml:space="preserve"> century.  Consensus exists that contact-induced infectious disease contributed to the decline of Native American populations.  According to Warrick (2003) archaeological settlement data and historic documentation provide clear evidence for the “crisis” mortality seen in Natives in t</w:t>
      </w:r>
      <w:r w:rsidR="00406C25">
        <w:t xml:space="preserve">he Northeastern United States. </w:t>
      </w:r>
      <w:r>
        <w:t xml:space="preserve"> Both Snow (1996) and Warrick (2003) indicate a delay between initial colonization and spread of disease occurred.</w:t>
      </w:r>
    </w:p>
    <w:p w:rsidR="00C0293C" w:rsidRDefault="00C0293C" w:rsidP="00C0293C">
      <w:pPr>
        <w:spacing w:line="480" w:lineRule="auto"/>
        <w:ind w:firstLine="720"/>
      </w:pPr>
      <w:r>
        <w:t xml:space="preserve">Owsley’s examination of the Larson population’s mortality, survivorship, age-specific probability of death, and life expectancy is the only demographic analysis of the proto-historic Arikara thought to have inhabited the Larson Village, ca. 1750-1781 (Owsley and Bass, 1979).  Several researchers have added to his analysis by examining specific disease processes and </w:t>
      </w:r>
      <w:r>
        <w:lastRenderedPageBreak/>
        <w:t xml:space="preserve">suggesting these as the potential cause to the mortality pattern suggested by Owsley and Bass (1979).  They suggested that the Larson Village had a high infant mortality rate that remained high throughout childhood, low adolescent mortality, and maximum mortality between 35 to 39 years of age with a total population between 430 and 560 individuals.  Also, only 1.9% of the population lived past 35 years with a crude death rate of 70 per 1000.  Furthermore, a disproportionate mortality rate between the sexes existed, in which young adult females had a greater risk of death (Owsley and Bradtmiller, 1983).  When compared to model life tables (Weiss 1973), the mortality pattern was not significantly different than expected for pre-industrial populations.  Nevertheless, several reasons were suggested to explain the high mortality rate and youthfulness of the cemetery sample, including famine, increased intertribal warfare, complications from childbirth, and an increase prevalence of communicable diseases.  These were also suggested as the causes for the mortality profile of the Leavenworth site, </w:t>
      </w:r>
      <w:r w:rsidRPr="00EF678F">
        <w:rPr>
          <w:i/>
        </w:rPr>
        <w:t>ca</w:t>
      </w:r>
      <w:r>
        <w:t xml:space="preserve">. 1803-1835, analyzed by Bass </w:t>
      </w:r>
      <w:r w:rsidRPr="00EF678F">
        <w:rPr>
          <w:i/>
        </w:rPr>
        <w:t>et al</w:t>
      </w:r>
      <w:r>
        <w:t xml:space="preserve">., (1971).  Bass </w:t>
      </w:r>
      <w:r w:rsidRPr="00EF678F">
        <w:rPr>
          <w:i/>
        </w:rPr>
        <w:t>et al</w:t>
      </w:r>
      <w:r>
        <w:t xml:space="preserve">. (1971) suggested the historic Arikara population at Leavenworth was in decline from increasing conflicts, disease, and European encroachment.  Whereas the Leavenworth site has clear historical documentation to support a population in decline, the Larson site does not.  In particular, Owsley (1975) suggested the Larson Site supports the small pox epidemic of 1780-1781 as a source for the individuals within the cemetery and provides evidence of tuberculosis in at least 11 juvenile and adult skeletons.  The skeletal involvement associated with tuberculosis can also be the fungal infection, blastomycosis.  Palkovich (1981) examined the two-components of the Mobridge Site and believed that differential mortality was apparent between the components and used several skeletal indicators to explain the mortality profile where Mobridge two exhibits expected </w:t>
      </w:r>
      <w:r>
        <w:lastRenderedPageBreak/>
        <w:t xml:space="preserve">patterns to a stable population and Mobirdge one has several age-related spikes.  Palkovich (1981) and Kelley and Eisenberg (1987) believe that some of the Arikara skeletons from Mobridge have manifestations of blastomycosis instead of or simultaneous with tuberculosis rather than just tuberculosis.  South Dakota is one of the areas that blastomycosis is endemic, but does not have large numbers of cases annually like that which is seen in the Ohio and Mississippi river valleys.  Several skeletons within the Larson site demonstrate a similar pattern as that which is seen in Mobridge, including juveniles.  </w:t>
      </w:r>
    </w:p>
    <w:p w:rsidR="00C0293C" w:rsidRDefault="00C0293C" w:rsidP="00C0293C">
      <w:pPr>
        <w:spacing w:line="480" w:lineRule="auto"/>
        <w:ind w:firstLine="720"/>
      </w:pPr>
      <w:r>
        <w:t xml:space="preserve">The Larson Site is also unique in that skeletons were recovered from a well-defined cemetery as well as on the floor of the earth lodges.  Both areas were incorporated into the demographic analysis of the Larson Site by Owsley and Bass (1979).  Subsequently, Johansson and Owsley (2002) have indicated that these portions should not be evaluated as one.  Most individuals recovered from the village proper were commingled and displayed evidence of trauma (Owsley </w:t>
      </w:r>
      <w:r w:rsidRPr="00EF678F">
        <w:rPr>
          <w:i/>
        </w:rPr>
        <w:t>et al</w:t>
      </w:r>
      <w:r>
        <w:t>., 1977).  This research, which is evaluating the mortality of the population, does not include the skeletal remains recovered from the lodge floors at the Larson village even though they may represent a single breeding population.</w:t>
      </w:r>
    </w:p>
    <w:p w:rsidR="00C0293C" w:rsidRDefault="00C0293C" w:rsidP="00C0293C">
      <w:pPr>
        <w:spacing w:line="480" w:lineRule="auto"/>
        <w:ind w:firstLine="720"/>
      </w:pPr>
      <w:r w:rsidRPr="00EF678F">
        <w:t xml:space="preserve">Owsley </w:t>
      </w:r>
      <w:r w:rsidRPr="00EF678F">
        <w:rPr>
          <w:i/>
        </w:rPr>
        <w:t>et al</w:t>
      </w:r>
      <w:r w:rsidRPr="00EF678F">
        <w:t>. (1977, 1994)</w:t>
      </w:r>
      <w:r>
        <w:t xml:space="preserve"> have indicated that the presence of the individuals in the village proper, the trauma visible on the skeletons, and the demographic composition of the individual remains support the ethnohistoric accounts suggesting an increasing amount of conflict in the post-contact period.  There is sufficient archaeological evidence to suggest ongoing conflicts and continuous political re-organization of tribes and historical documents provide good evidence for external pressure, hositilities, and intermittent warfare between the Arikara and other groups (Owsley </w:t>
      </w:r>
      <w:r w:rsidRPr="00EF678F">
        <w:rPr>
          <w:i/>
        </w:rPr>
        <w:t>et al</w:t>
      </w:r>
      <w:r>
        <w:t xml:space="preserve">., 1977).  Increasing intertribal conflict to maintain </w:t>
      </w:r>
      <w:r>
        <w:lastRenderedPageBreak/>
        <w:t>control of the trade networks, the westward advancement of traders, and growing competition for resources caused a horticultural based tribe to become increasingly mobile and abandoned villages quickly.  The instability of the population structure and the advent of infectious disease epidemics caused severe population loss (Owsley, 1994).  In 1700, the estimated numbers of Arikara were thought to have been in approximately 15,000 with 4,000 warriors, by 1785 7 villages and 900 warriors represented the Arikara, and by 1809 the number of Arikara in along the Missouri river is estimated at a total of 2,600 individuals.  It is believed that the Smallpox pandemic, 1780-1781, caused 50 to 75% of the Arikara to perish.</w:t>
      </w:r>
    </w:p>
    <w:p w:rsidR="00C0293C" w:rsidRDefault="00C0293C" w:rsidP="00C0293C">
      <w:pPr>
        <w:spacing w:line="480" w:lineRule="auto"/>
        <w:ind w:firstLine="720"/>
      </w:pPr>
    </w:p>
    <w:p w:rsidR="00C0293C" w:rsidRPr="00D31C86" w:rsidRDefault="00C0293C" w:rsidP="00D31C86">
      <w:pPr>
        <w:pStyle w:val="Heading3"/>
        <w:rPr>
          <w:rFonts w:ascii="Times New Roman" w:hAnsi="Times New Roman" w:cs="Times New Roman"/>
        </w:rPr>
      </w:pPr>
      <w:bookmarkStart w:id="10" w:name="_Toc349858123"/>
      <w:r w:rsidRPr="00D31C86">
        <w:rPr>
          <w:rFonts w:ascii="Times New Roman" w:hAnsi="Times New Roman" w:cs="Times New Roman"/>
        </w:rPr>
        <w:t>Summary</w:t>
      </w:r>
      <w:bookmarkEnd w:id="10"/>
    </w:p>
    <w:p w:rsidR="00C0293C" w:rsidRDefault="00C0293C" w:rsidP="00C0293C">
      <w:pPr>
        <w:spacing w:line="480" w:lineRule="auto"/>
        <w:ind w:firstLine="720"/>
      </w:pPr>
      <w:r>
        <w:t xml:space="preserve">The Arikara have a long history in the Middle Missouri River Basin, which was drastically changed as a result of an increasing European presence in the 1700s.  During this Post-contact period, several factors affected the health, demography, nutrition, and sociocultural structure; including the introduction of acute illness such as smallpox, the acquisition of the horse, and increased European presence (Holder, 1970).  Also, the Arikara experienced an increasing pressure from the migration of tribes that entered the Missouri Valley and thus competing for resources.  The diversity of the people and the outside pressures experienced by the Arikara provide an excellent basis for comparative research on the health and mortality changes caused by contact with Euro-Americans.  The incorporation of statistical models that can integrate both health indicators and demographic parameters gleamed from the bone have the potential to create new, independent tests of the archaeological and historically derived hypotheses.  </w:t>
      </w:r>
    </w:p>
    <w:p w:rsidR="00C0293C" w:rsidRDefault="00C0293C" w:rsidP="00C0293C">
      <w:bookmarkStart w:id="11" w:name="{1CF}"/>
      <w:bookmarkEnd w:id="11"/>
    </w:p>
    <w:p w:rsidR="00C0293C" w:rsidRDefault="00C0293C" w:rsidP="00C0293C"/>
    <w:p w:rsidR="008126A6" w:rsidRPr="00D31C86" w:rsidRDefault="008126A6" w:rsidP="00D31C86">
      <w:pPr>
        <w:pStyle w:val="Heading2"/>
        <w:rPr>
          <w:rFonts w:ascii="Times New Roman" w:hAnsi="Times New Roman" w:cs="Times New Roman"/>
        </w:rPr>
      </w:pPr>
      <w:bookmarkStart w:id="12" w:name="_Toc349858124"/>
      <w:r w:rsidRPr="00D31C86">
        <w:rPr>
          <w:rFonts w:ascii="Times New Roman" w:hAnsi="Times New Roman" w:cs="Times New Roman"/>
        </w:rPr>
        <w:t>Chapter 3</w:t>
      </w:r>
      <w:bookmarkEnd w:id="12"/>
    </w:p>
    <w:p w:rsidR="008126A6" w:rsidRPr="00D31C86" w:rsidRDefault="008126A6" w:rsidP="00D31C86">
      <w:pPr>
        <w:pStyle w:val="Heading2"/>
        <w:rPr>
          <w:rFonts w:ascii="Times New Roman" w:hAnsi="Times New Roman" w:cs="Times New Roman"/>
        </w:rPr>
      </w:pPr>
      <w:bookmarkStart w:id="13" w:name="_Toc349858125"/>
      <w:r w:rsidRPr="00D31C86">
        <w:rPr>
          <w:rFonts w:ascii="Times New Roman" w:hAnsi="Times New Roman" w:cs="Times New Roman"/>
        </w:rPr>
        <w:t>Paleodemography</w:t>
      </w:r>
      <w:bookmarkEnd w:id="13"/>
    </w:p>
    <w:p w:rsidR="008126A6" w:rsidRPr="00D31C86" w:rsidRDefault="008126A6" w:rsidP="00D31C86">
      <w:pPr>
        <w:pStyle w:val="Heading2"/>
        <w:rPr>
          <w:rFonts w:ascii="Times New Roman" w:hAnsi="Times New Roman" w:cs="Times New Roman"/>
        </w:rPr>
      </w:pPr>
    </w:p>
    <w:p w:rsidR="008126A6" w:rsidRPr="008126A6" w:rsidRDefault="008126A6" w:rsidP="008126A6">
      <w:pPr>
        <w:jc w:val="center"/>
        <w:rPr>
          <w:b/>
          <w:sz w:val="28"/>
          <w:szCs w:val="28"/>
        </w:rPr>
      </w:pPr>
    </w:p>
    <w:p w:rsidR="008126A6" w:rsidRPr="00AD1B27" w:rsidRDefault="008126A6" w:rsidP="008126A6">
      <w:pPr>
        <w:spacing w:line="480" w:lineRule="auto"/>
        <w:ind w:firstLine="720"/>
      </w:pPr>
      <w:r w:rsidRPr="00AD1B27">
        <w:t>Paleodemography, the study of population dynamics, evaluates how mortality, fertility, and migration are affected by the bio-cultural and socio-political landscape within and between populations.  As such, it has been used to highlight major demographic transitions caused by micro- and macro-evolutionary processes throughout human history.  The basis for comparisons rests on determining if the estimated mortality profile departs from known extant age structures in conjunction with evidence as to the specific cultural and biological processes biasing the demographic structure.</w:t>
      </w:r>
    </w:p>
    <w:p w:rsidR="008126A6" w:rsidRPr="00AD1B27" w:rsidRDefault="008126A6" w:rsidP="008126A6">
      <w:pPr>
        <w:spacing w:line="480" w:lineRule="auto"/>
        <w:ind w:firstLine="720"/>
      </w:pPr>
      <w:r w:rsidRPr="00AD1B27">
        <w:t xml:space="preserve">One of the major goals in paleodemographic analyses is to determine the mortality profile of a population and investigate its plausibility compared to known human demographic patterns.  Bioarchaeologists have used divergence from known demographic patterns to hypothesize as to the biocultural and/or taphonomic underpinnings causing these inconsistencies.  Contemporary human populations follow regular patterns of mortality (Paine, 2000; Coale and Demeny, 1983).  Unfortunately, skeletal populations often exhibit different patterns than the known; which has led to questioning our ability to make interpretations (Paine, 2000).  A recurring question in paleodemography is if it is possible to accurately estimate mortality, fertility, and population dynamics from bioarchaeological data (Gage, 2010).  Demography is primarily concerned with age specific mortality and fertility and relies on quality census data that are unbiased in the numeration of births and deaths, which is infeasible for most archaeological populations.  Instead </w:t>
      </w:r>
      <w:r w:rsidRPr="00AD1B27">
        <w:lastRenderedPageBreak/>
        <w:t>of directly estimating demographic parameters, indirect approaches that rely on age at death statistics have been used in paleodemography (Gage, 2010).  Reconstructions of mortality patterns, length of cemetery use, and life expectancy have been a major part of bioarchaeological analyses since the early 20</w:t>
      </w:r>
      <w:r w:rsidRPr="00AD1B27">
        <w:rPr>
          <w:vertAlign w:val="superscript"/>
        </w:rPr>
        <w:t>th</w:t>
      </w:r>
      <w:r w:rsidRPr="00AD1B27">
        <w:t xml:space="preserve"> century; but the application of, methodological basis for, and interpretation of paleodemographic results have been inconsistent (Frankenberg and Konigsberg, 2006; Konigsberg and Frankenberg, 2013).</w:t>
      </w:r>
    </w:p>
    <w:p w:rsidR="008126A6" w:rsidRPr="00AD1B27" w:rsidRDefault="008126A6" w:rsidP="008126A6">
      <w:pPr>
        <w:spacing w:line="480" w:lineRule="auto"/>
      </w:pPr>
    </w:p>
    <w:p w:rsidR="008126A6" w:rsidRPr="00D31C86" w:rsidRDefault="008126A6" w:rsidP="00D31C86">
      <w:pPr>
        <w:pStyle w:val="Heading3"/>
        <w:rPr>
          <w:rFonts w:ascii="Times New Roman" w:hAnsi="Times New Roman" w:cs="Times New Roman"/>
        </w:rPr>
      </w:pPr>
      <w:bookmarkStart w:id="14" w:name="_Toc349858126"/>
      <w:r w:rsidRPr="00D31C86">
        <w:rPr>
          <w:rFonts w:ascii="Times New Roman" w:hAnsi="Times New Roman" w:cs="Times New Roman"/>
        </w:rPr>
        <w:t>A Brief History</w:t>
      </w:r>
      <w:bookmarkEnd w:id="14"/>
    </w:p>
    <w:p w:rsidR="008126A6" w:rsidRPr="00AD1B27" w:rsidRDefault="008126A6" w:rsidP="008126A6">
      <w:pPr>
        <w:spacing w:line="480" w:lineRule="auto"/>
        <w:ind w:firstLine="720"/>
      </w:pPr>
      <w:r w:rsidRPr="00AD1B27">
        <w:t xml:space="preserve">Hooten (1920, 1930) represent the early applications of paleodemography and focused on estimation of population size and length of cemetery use, but his analyses have since been deemed incomplete (Frankenberg and Konigsberg, 2006).  Angel (1969) called for a more comprehensive approach that integrated both physical anthropologists and archaeologists to understand the population dynamics of a skeletal population.  The years following Angel (1969) saw major advances in demographic theory (Peterson 1975), but little methodological development beyond tabulations of age at death intervals and graphical representation of different age-at-death distributions (Paine, 2000; Konigsberg and Frankenberg, 2013).  Abridged life tables were the main product of paleodemographers of the 1970s.  Acsadi and Nemeskeri’s </w:t>
      </w:r>
      <w:r w:rsidRPr="00AD1B27">
        <w:rPr>
          <w:i/>
        </w:rPr>
        <w:t>History of Human Lifespan and Mortality</w:t>
      </w:r>
      <w:r w:rsidRPr="00AD1B27">
        <w:t xml:space="preserve"> (1971) demonstrated that an increase in life expectancy corresponded with the adoption of agriculture through the application of life tables.  This was followed by several others, who incorporated life tables within their bioarchaeological analyses (Weiss, 1973; Moore </w:t>
      </w:r>
      <w:r w:rsidRPr="00AD1B27">
        <w:rPr>
          <w:i/>
        </w:rPr>
        <w:t>et al</w:t>
      </w:r>
      <w:r w:rsidRPr="00AD1B27">
        <w:t xml:space="preserve">., 1975; Swedlund and Armelagos, 1976).  Life tables provide an improvement over the then available methods, but did not solve the methodological problems </w:t>
      </w:r>
      <w:r w:rsidRPr="00AD1B27">
        <w:lastRenderedPageBreak/>
        <w:t xml:space="preserve">with age estimation or the lack of demographic tools being applied in analyses.  It was not until the early 1980s that major criticisms of the field (Bocquet-Appel and Masset, 1982; Howell, 1982; Sattenspiel and Harpending, 1983; VanGerven and Armelagos, 1983) encouraged major theoretical and methodological improvements (Armelagos and VanGerven, 2003; Boldsen, 1988; Gage, 1988, 1989; Paine, 1989; Konigsberg and Frankenberg, 1992, 1994; Wood </w:t>
      </w:r>
      <w:r w:rsidRPr="00AD1B27">
        <w:rPr>
          <w:i/>
        </w:rPr>
        <w:t>et al</w:t>
      </w:r>
      <w:r w:rsidRPr="00AD1B27">
        <w:t>., 1992a</w:t>
      </w:r>
      <w:proofErr w:type="gramStart"/>
      <w:r w:rsidRPr="00AD1B27">
        <w:t>,b</w:t>
      </w:r>
      <w:proofErr w:type="gramEnd"/>
      <w:r w:rsidRPr="00AD1B27">
        <w:t xml:space="preserve">).  Significant improvements included both age estimation techniques and model estimation.  Konigsberg and Frankenberg (1992) suggested the use of contingency tables demography to alleviate some of the issues found with abridged life tables with similar approaches suggest by Bocquet-Appel and Masset (1996).  However, Konigsberg and Frankenberg (2002) clearly state that contingency tables do not provide a major improvement over abridged life tables.  Rather, they are just as susceptible to over fitting, as demonstrated by Jackes (2000).  Jackes (2000) produced more age classes than indicator states, which prevents model construction.  Hoppa and </w:t>
      </w:r>
      <w:proofErr w:type="gramStart"/>
      <w:r w:rsidRPr="00AD1B27">
        <w:t>Vaupel ‘s</w:t>
      </w:r>
      <w:proofErr w:type="gramEnd"/>
      <w:r w:rsidRPr="00AD1B27">
        <w:t xml:space="preserve"> (2002) volume summarizes much of these advancements and demonstrate how paleodemography has become a standard in bioarchaeological analyses.  The questions that remain are how to best integrate data from multiple age indicators into a model for the age-at-death distribution and how can skeletal indicators of health be easily combined with an age distribution to improve interpretations. </w:t>
      </w:r>
    </w:p>
    <w:p w:rsidR="008126A6" w:rsidRPr="00AD1B27" w:rsidRDefault="008126A6" w:rsidP="008126A6">
      <w:pPr>
        <w:spacing w:line="480" w:lineRule="auto"/>
        <w:ind w:firstLine="720"/>
      </w:pPr>
      <w:r w:rsidRPr="00AD1B27">
        <w:t xml:space="preserve">Several theoretical and methodological issues exist that affect the efficacy of paleodemographic profiles and any subsequent interpretations including: sample biases, errors in age estimation methods (see following chapter), capturing non-stationarity within a population, and dealing with selective mortality and the heterogeneity in the risk of death (Buikstra and Beck, 2006).  A correlate to the site formation processes outlined by Binford and Bertram </w:t>
      </w:r>
      <w:r w:rsidRPr="00AD1B27">
        <w:lastRenderedPageBreak/>
        <w:t xml:space="preserve">(1977), are the sample formation processes associated with skeletal assemblages (Milner </w:t>
      </w:r>
      <w:r w:rsidRPr="00AD1B27">
        <w:rPr>
          <w:i/>
        </w:rPr>
        <w:t>et al</w:t>
      </w:r>
      <w:r w:rsidRPr="00AD1B27">
        <w:t xml:space="preserve">., 2008):  1)the living individuals for which demographic parameters are based 2) the individuals that died- whether their death was associated with selective mortality or hidden heterogeneity in death or other unknown risks of death 3)the individuals actually buried as determined by cultural practices 4)the number of individuals preserved over time in relation to taphonomic conditions 5)the quality and quantity of recovery and 6)the amount of material curated.  After consideration of these factors and when appropriate data and methods of analysis are available, hypotheses can be made about population dynamics (Paine, 2000; Bonneuil, 2005; Chamberlian, 2006); even though some have disregarded paleodemography’s ability to generate any at all (Lovejoy </w:t>
      </w:r>
      <w:r w:rsidRPr="00AD1B27">
        <w:rPr>
          <w:i/>
        </w:rPr>
        <w:t>et al</w:t>
      </w:r>
      <w:r w:rsidR="00406C25">
        <w:t xml:space="preserve">., 1977).  </w:t>
      </w:r>
    </w:p>
    <w:p w:rsidR="008126A6" w:rsidRPr="00D31C86" w:rsidRDefault="008126A6" w:rsidP="00D31C86">
      <w:pPr>
        <w:pStyle w:val="Heading3"/>
        <w:rPr>
          <w:rFonts w:ascii="Times New Roman" w:hAnsi="Times New Roman" w:cs="Times New Roman"/>
        </w:rPr>
      </w:pPr>
      <w:bookmarkStart w:id="15" w:name="_Toc349858127"/>
      <w:r w:rsidRPr="00D31C86">
        <w:rPr>
          <w:rFonts w:ascii="Times New Roman" w:hAnsi="Times New Roman" w:cs="Times New Roman"/>
        </w:rPr>
        <w:t>Sample Bias</w:t>
      </w:r>
      <w:bookmarkEnd w:id="15"/>
    </w:p>
    <w:p w:rsidR="008126A6" w:rsidRPr="00AD1B27" w:rsidRDefault="008126A6" w:rsidP="008126A6">
      <w:pPr>
        <w:spacing w:line="480" w:lineRule="auto"/>
        <w:ind w:firstLine="720"/>
      </w:pPr>
      <w:r w:rsidRPr="00AD1B27">
        <w:t xml:space="preserve">Skeletal samples represent one of the only means to evaluate mortality in prehistoric populations.  A mortality sample is a highly selected sample of the people at a particular age who were once living, because of selective mortality and heterogeneity in frailty among the living, preservation of the skeletal material, and the excavation and curation of the recovered materials (Wood </w:t>
      </w:r>
      <w:r w:rsidRPr="00AD1B27">
        <w:rPr>
          <w:i/>
        </w:rPr>
        <w:t>et al</w:t>
      </w:r>
      <w:r w:rsidRPr="00AD1B27">
        <w:t xml:space="preserve">., 1992a).  Representativeness of a sample tends to be acknowledged and then assumed in population based analyses, because it is difficult to address if a bias exists and if so why (Hoppa, 1996).  The ideal for population-based studies is that the skeletal sample being used has a one to one relationship to the population from which it is derived, which means that no biases exist.  Unfortunately, this is not reality.  Several researchers have acknowledged possible biases, which can alter the composition of the skeletal sample, including cultural practices, biological status, taphonomic destruction, or excavation practices (Gordon and Buikstra, 1981; </w:t>
      </w:r>
      <w:r w:rsidRPr="00AD1B27">
        <w:lastRenderedPageBreak/>
        <w:t>Waldron, 198</w:t>
      </w:r>
      <w:r w:rsidR="00014538">
        <w:t>7</w:t>
      </w:r>
      <w:r w:rsidRPr="00AD1B27">
        <w:t xml:space="preserve">; Walker </w:t>
      </w:r>
      <w:r w:rsidRPr="00AD1B27">
        <w:rPr>
          <w:i/>
        </w:rPr>
        <w:t>et al</w:t>
      </w:r>
      <w:r w:rsidRPr="00AD1B27">
        <w:t xml:space="preserve">., 1988; Jackes, 1992; Nawrocki, 1995; Guy </w:t>
      </w:r>
      <w:r w:rsidRPr="00AD1B27">
        <w:rPr>
          <w:i/>
        </w:rPr>
        <w:t>et al</w:t>
      </w:r>
      <w:r w:rsidRPr="00AD1B27">
        <w:t xml:space="preserve">., 1997; Hoppa and Saunders, 1998).  These biases have the potential to drastically affect mortality curves, which limits the scope of any demographic inferences derived from them, but does not negate their construction (Alesan </w:t>
      </w:r>
      <w:r w:rsidRPr="00AD1B27">
        <w:rPr>
          <w:i/>
        </w:rPr>
        <w:t>et al</w:t>
      </w:r>
      <w:r w:rsidRPr="00AD1B27">
        <w:t>., 1999; Jones and Ubelaker, 2001).</w:t>
      </w:r>
    </w:p>
    <w:p w:rsidR="008126A6" w:rsidRPr="00AD1B27" w:rsidRDefault="008126A6" w:rsidP="008126A6">
      <w:pPr>
        <w:spacing w:line="480" w:lineRule="auto"/>
        <w:ind w:firstLine="720"/>
      </w:pPr>
      <w:r w:rsidRPr="00AD1B27">
        <w:t xml:space="preserve">The only consideration that would suggest a systematic bias is that the estimation of population size from the historic Arikara village, Leavenworth (39CO9), indicated the presence of at least one additional cemetery (Bass </w:t>
      </w:r>
      <w:r w:rsidRPr="00AD1B27">
        <w:rPr>
          <w:i/>
        </w:rPr>
        <w:t>et al</w:t>
      </w:r>
      <w:r w:rsidRPr="00AD1B27">
        <w:t xml:space="preserve">., 1971).  However, site surveys did not indicate any additional cemeteries within the area of the Larson village (Bass and Rucker, 1976).  Also, ethnographic and archaeological data support the assumption that one population of Arikara Indians utilized the Larson site cemetery to the exclusion of any other burial locations.  Additionally, comparison with other Arikara sites does not indicate differential burial practices.  Differential burial practices have been considered a major reasoning for sample biases.  However, historic and ethnographic data indicate that the Arikara did not practice differential burial practices during the proto-historic time period.  A few prehistoric Woodland sites have infant burials associated with house floors, but this does not seem to be a continued practice within the proto-historic period.  There has been some suggestions as to the village occupants at given times of the year (Ewers, 1961).  It is believed that a portion of the villagers left for long stretches of time for trading purposes, which was intensified during the proto-historic period when resources were becoming scarce with the increase in European and Indian tribes within the Missouri River Basin.  Prior to the entire village becoming more nomadic, it is believed that a large portion of the village occupants, adult men and women, left for long period of time for hunting and trading purposes, which would leave the elderly and very young in the village </w:t>
      </w:r>
      <w:r w:rsidRPr="00AD1B27">
        <w:lastRenderedPageBreak/>
        <w:t xml:space="preserve">(Ewers, 1961).  Thus, it would be expected to have a cemetery reflecting the very young and the very older, two groups typically having a greater risk of death.  </w:t>
      </w:r>
    </w:p>
    <w:p w:rsidR="008126A6" w:rsidRPr="00AD1B27" w:rsidRDefault="008126A6" w:rsidP="008126A6">
      <w:pPr>
        <w:spacing w:line="480" w:lineRule="auto"/>
        <w:ind w:firstLine="720"/>
      </w:pPr>
      <w:r w:rsidRPr="00AD1B27">
        <w:t xml:space="preserve">As early as Johnston and Snow (1961) and Johnston (1968), literature acknowledges the difficulties resulting from a lack of juveniles in a skeletal sample.  Paine and Harpending (1998) suggest the lack of young decrease fertility estimates in a population; whereas, the lack of the old inflates the crude birth rate.  The under-numeration of juvenile skeletons in archaeological samples, especially infants, questions our ability to study population dynamics.  Moore </w:t>
      </w:r>
      <w:r w:rsidRPr="00AD1B27">
        <w:rPr>
          <w:i/>
        </w:rPr>
        <w:t>et al</w:t>
      </w:r>
      <w:r w:rsidRPr="00AD1B27">
        <w:t xml:space="preserve">. (1975) demonstrated how infant undernumeration significantly impacted life table parameter estimates relating to life expectancy at birth and Pennington (1996) noted that representative cemetery samples with large amount of subadults, particularly infants, can impact age-specific survivorship and the subsequent life table parameters, including mean age-at-death.  Walker </w:t>
      </w:r>
      <w:r w:rsidRPr="00AD1B27">
        <w:rPr>
          <w:i/>
        </w:rPr>
        <w:t>et al</w:t>
      </w:r>
      <w:r w:rsidRPr="00AD1B27">
        <w:t>. (1988) compared the 19</w:t>
      </w:r>
      <w:r w:rsidRPr="00AD1B27">
        <w:rPr>
          <w:vertAlign w:val="superscript"/>
        </w:rPr>
        <w:t>th</w:t>
      </w:r>
      <w:r w:rsidRPr="00AD1B27">
        <w:t xml:space="preserve"> century mission records suggesting a high number of infants and elderly and found more young adults than infants during excavations.  Similarly, Jones and Ubelaker (2001) excavated only 50% of the infants indicated to be in the cemetery according to the records.  Guy </w:t>
      </w:r>
      <w:r w:rsidRPr="00AD1B27">
        <w:rPr>
          <w:i/>
        </w:rPr>
        <w:t>et al</w:t>
      </w:r>
      <w:r w:rsidRPr="00AD1B27">
        <w:t xml:space="preserve">. (1997) suggest that the fragility, bone density, and lack of cortical bone in infant remains cause them to be more susceptible to taphonomic forces.  The high organic to inorganic component in immature bone significantly affects its preservation.  Erosion and changing of water levels during the excavations of the Larson Village could have caused an additional loss of infants as the field records document several burials being excavated under several inches of water.  However, over half of the Larson Village cemetery sample is juvenile with a large portion of these being less than 1 year of age.  Guy </w:t>
      </w:r>
      <w:r w:rsidRPr="00AD1B27">
        <w:rPr>
          <w:i/>
        </w:rPr>
        <w:t>et al</w:t>
      </w:r>
      <w:r w:rsidRPr="00AD1B27">
        <w:t xml:space="preserve">. (1997) suggest that infants under one should comprise 25% of a pre-industrial population, but in reality infants only </w:t>
      </w:r>
      <w:r w:rsidRPr="00AD1B27">
        <w:lastRenderedPageBreak/>
        <w:t xml:space="preserve">comprised 5-6% of the total skeletal sample in their research.  Nearly one-third of the Larson cemetery is infants under the age of one, which is closer to expected percentage of sub-adults when compared to the historical demographic records.  The composition of the Larson site makes it an ideal sample to study proto-historic population dynamics.  </w:t>
      </w:r>
    </w:p>
    <w:p w:rsidR="008126A6" w:rsidRPr="00AD1B27" w:rsidRDefault="008126A6" w:rsidP="008126A6">
      <w:pPr>
        <w:spacing w:line="480" w:lineRule="auto"/>
        <w:ind w:firstLine="720"/>
      </w:pPr>
      <w:r w:rsidRPr="00AD1B27">
        <w:t xml:space="preserve">Additionally, a skeletal sample is assumed to represent a breeding population for demography purposes, as this is a fundamental assumption to demographic analyses (Alesan </w:t>
      </w:r>
      <w:r w:rsidRPr="00AD1B27">
        <w:rPr>
          <w:i/>
        </w:rPr>
        <w:t>et al</w:t>
      </w:r>
      <w:r w:rsidRPr="00AD1B27">
        <w:t xml:space="preserve">., 1999).  For example, Indian Knoll represents a cemetery in use for 500+years (Howell, 1976), which makes it unlikely that it represented a single interbreeding population.  Archaeological data from the River Basin surveys (Lehmer, 1971) and prior demographic analyses suggest a 30 year use of the cemetery, which correlates with a typical village occupation period (Owsley, 1975; Owsley </w:t>
      </w:r>
      <w:r w:rsidRPr="00AD1B27">
        <w:rPr>
          <w:i/>
        </w:rPr>
        <w:t>et al</w:t>
      </w:r>
      <w:r w:rsidRPr="00AD1B27">
        <w:t xml:space="preserve">., 1977; Owsley and Bass, 1979).  </w:t>
      </w:r>
    </w:p>
    <w:p w:rsidR="008126A6" w:rsidRDefault="008126A6" w:rsidP="008126A6">
      <w:pPr>
        <w:spacing w:line="480" w:lineRule="auto"/>
        <w:ind w:firstLine="720"/>
      </w:pPr>
      <w:r w:rsidRPr="00AD1B27">
        <w:t>Peterson (1975) argues</w:t>
      </w:r>
      <w:proofErr w:type="gramStart"/>
      <w:r w:rsidRPr="00AD1B27">
        <w:t>,</w:t>
      </w:r>
      <w:proofErr w:type="gramEnd"/>
      <w:r w:rsidRPr="00AD1B27">
        <w:t xml:space="preserve"> skeletal sample sizes are so small that they do not represent any real population, and research has demonstrated that sample sizes of 100 plus are preferred, because parameters become more difficult to recover in small samples sizes (Hoppa and Saunders, 1998; Usher, 2000).  The limited size of a sample can be mitigated through the application of the appropriate statistical tests, but the composition and any associated biases cannot.  Hence, the number of skeletal remains recovered during excavation and the quality of the preservation are to impact the quality of any demographic inferences.  Even though the field staff had to contend with rising water levels, the trained excavation personnel and systematic excavation practices provided a very well preserved skeletal assemblage in which there are a large number of juvenile skeletons.  Bass (1981) estimated at least 90 percent of the skeletons </w:t>
      </w:r>
      <w:r w:rsidRPr="00AD1B27">
        <w:lastRenderedPageBreak/>
        <w:t>within the cemetery were recovered with most of those recovered having excellent bone preservation.</w:t>
      </w:r>
    </w:p>
    <w:p w:rsidR="008126A6" w:rsidRPr="00D31C86" w:rsidRDefault="008126A6" w:rsidP="00D31C86">
      <w:pPr>
        <w:pStyle w:val="Heading3"/>
        <w:rPr>
          <w:rFonts w:ascii="Times New Roman" w:hAnsi="Times New Roman" w:cs="Times New Roman"/>
        </w:rPr>
      </w:pPr>
      <w:bookmarkStart w:id="16" w:name="_Toc349858128"/>
      <w:r w:rsidRPr="00D31C86">
        <w:rPr>
          <w:rFonts w:ascii="Times New Roman" w:hAnsi="Times New Roman" w:cs="Times New Roman"/>
        </w:rPr>
        <w:t>Selective Mortality</w:t>
      </w:r>
      <w:bookmarkEnd w:id="16"/>
    </w:p>
    <w:p w:rsidR="008126A6" w:rsidRPr="00AD1B27" w:rsidRDefault="008126A6" w:rsidP="008126A6">
      <w:pPr>
        <w:spacing w:line="480" w:lineRule="auto"/>
        <w:ind w:firstLine="720"/>
      </w:pPr>
      <w:r w:rsidRPr="00AD1B27">
        <w:t xml:space="preserve">Since the mortality sample is inherently biased by the fact that it represents only a small portion of the once living population, issues of heterogeneity in the risk of death also must be addressed.  A cemetery is not going to have all the individuals that died or be a random sample of all who were alive in a given age interval.  Cohen (1994), in response to Wood </w:t>
      </w:r>
      <w:r w:rsidRPr="00AD1B27">
        <w:rPr>
          <w:i/>
        </w:rPr>
        <w:t>et al</w:t>
      </w:r>
      <w:r w:rsidRPr="00AD1B27">
        <w:t xml:space="preserve">. (1992a), argued that heterogeneity in pre-industrial populations does not significantly affect model building, because these populations do not have the hierarchical structure, so all individuals within the population have a equal risk of death, but even non-human species of animals display selective mortality (Milner </w:t>
      </w:r>
      <w:r w:rsidRPr="00AD1B27">
        <w:rPr>
          <w:i/>
        </w:rPr>
        <w:t>et al</w:t>
      </w:r>
      <w:r w:rsidRPr="00AD1B27">
        <w:t>., 2000).  Owsley and Bass (1979) and Owsley and Bradtmiller (1983) indicate selective mortality between the sexes in which females had a higher risk of death in early adulthood.  Others have indicated sex-based differentials mortality in Mississippian period skeletal material (Wilson and Steadman, 2008) and Medieval Black Death individuals (Redfern and DeWitte, 2011), but little Native American data is available for direct comparison with the Larson site.  Overall issues of selective mortality</w:t>
      </w:r>
      <w:r w:rsidR="00014538">
        <w:t xml:space="preserve"> </w:t>
      </w:r>
      <w:r w:rsidRPr="00AD1B27">
        <w:t xml:space="preserve">have been well demonstrated in </w:t>
      </w:r>
      <w:r w:rsidR="00014538">
        <w:t>paleodemographic analysis (Ushe</w:t>
      </w:r>
      <w:r w:rsidRPr="00AD1B27">
        <w:t>r</w:t>
      </w:r>
      <w:r w:rsidR="00014538">
        <w:t>,</w:t>
      </w:r>
      <w:r w:rsidRPr="00AD1B27">
        <w:t xml:space="preserve"> 2000; Boldsen, 2005; Boldsen, 2007).  Recent work on the Black Death (Dewitte and Wood, 2008; DeWitte, 2009; Redfern and DeWitte, 2011) indicates that mortality was selective, which lends credence to the idea that selectivity can be gleaned from the skeletal data.  Furthermore, Boldsen (2007) has shown that risk of death differences in small scale societies. </w:t>
      </w:r>
    </w:p>
    <w:p w:rsidR="008126A6" w:rsidRPr="00AD1B27" w:rsidRDefault="008126A6" w:rsidP="008126A6">
      <w:pPr>
        <w:spacing w:line="480" w:lineRule="auto"/>
      </w:pPr>
    </w:p>
    <w:p w:rsidR="008126A6" w:rsidRPr="00D31C86" w:rsidRDefault="008126A6" w:rsidP="00D31C86">
      <w:pPr>
        <w:pStyle w:val="Heading3"/>
        <w:rPr>
          <w:rFonts w:ascii="Times New Roman" w:hAnsi="Times New Roman" w:cs="Times New Roman"/>
        </w:rPr>
      </w:pPr>
      <w:bookmarkStart w:id="17" w:name="_Toc349858129"/>
      <w:r w:rsidRPr="00D31C86">
        <w:rPr>
          <w:rFonts w:ascii="Times New Roman" w:hAnsi="Times New Roman" w:cs="Times New Roman"/>
        </w:rPr>
        <w:lastRenderedPageBreak/>
        <w:t>Non-stationarity</w:t>
      </w:r>
      <w:bookmarkEnd w:id="17"/>
    </w:p>
    <w:p w:rsidR="008126A6" w:rsidRPr="00AD1B27" w:rsidRDefault="008126A6" w:rsidP="008126A6">
      <w:pPr>
        <w:spacing w:line="480" w:lineRule="auto"/>
        <w:ind w:firstLine="720"/>
      </w:pPr>
      <w:r w:rsidRPr="00AD1B27">
        <w:t xml:space="preserve">Stationarity is assumed in paleodemography, because it allows for estimation of mortality rates for past populations from skeletal age-at-death distributions.  If a population is not stationarity the age-at-death distribution can be distorted and biased estimates of the age distribution and mortality produced (Sattenspiel and Harpending, 1983; Johansson and Horowitz, 1986).  A stationary population is one that is closed to migration, has no growth rate, and has an unchanging age-specific fertility and mortality schedule.  Hence, mortality and fertility are constant and the population is not growing or declining.  The concept of a stationary population stems from the idea that population growth has been around zero for much of human existence (Alesan </w:t>
      </w:r>
      <w:r w:rsidRPr="00AD1B27">
        <w:rPr>
          <w:i/>
        </w:rPr>
        <w:t>et al</w:t>
      </w:r>
      <w:r w:rsidRPr="00AD1B27">
        <w:t xml:space="preserve">., 1999).  Molecular studies have demonstrated that the human population was very small prior to 50,000 to 100,000 B.P., which implies a very low growth rate (Premo and Hublin, 2009).  Thus the stability of the human population has served as the basis for the assumption of stationarity in paleodemography.  As such, it is assumed that the individual ages are known and can be assigned to discrete age intervals for a skeletal sample, but this does not account for the state of the once living population that may have been growing or declining (Moore </w:t>
      </w:r>
      <w:r w:rsidRPr="00AD1B27">
        <w:rPr>
          <w:i/>
        </w:rPr>
        <w:t>et al</w:t>
      </w:r>
      <w:r w:rsidRPr="00AD1B27">
        <w:t xml:space="preserve">., 1975).  </w:t>
      </w:r>
    </w:p>
    <w:p w:rsidR="008126A6" w:rsidRPr="00AD1B27" w:rsidRDefault="008126A6" w:rsidP="008126A6">
      <w:pPr>
        <w:spacing w:line="480" w:lineRule="auto"/>
        <w:ind w:firstLine="720"/>
      </w:pPr>
      <w:r w:rsidRPr="00AD1B27">
        <w:t xml:space="preserve">Changes in population growth can significantly impact demographic interpretations.  Small variations in fertility significantly affect age-at-death distributions; while large modifications to mortality do not have the same impact.  Two populations with identical age-at-death distributions can exist and have different fertility rates.  For example, a large portion of children within a skeletal sample may be used to suggest a growing </w:t>
      </w:r>
      <w:proofErr w:type="gramStart"/>
      <w:r w:rsidRPr="00AD1B27">
        <w:t>population,</w:t>
      </w:r>
      <w:proofErr w:type="gramEnd"/>
      <w:r w:rsidRPr="00AD1B27">
        <w:t xml:space="preserve"> however, a large portion of children also reduces the average age-at-death for the entire skeletal sample.  A smaller number of children, especially as a result of under-nummeration, can lead to over-estimation of the average age-at-death (Horowitz </w:t>
      </w:r>
      <w:r w:rsidRPr="00AD1B27">
        <w:rPr>
          <w:i/>
        </w:rPr>
        <w:t>et al</w:t>
      </w:r>
      <w:r w:rsidRPr="00AD1B27">
        <w:t xml:space="preserve">., 1998; Milner </w:t>
      </w:r>
      <w:r w:rsidRPr="00AD1B27">
        <w:rPr>
          <w:i/>
        </w:rPr>
        <w:t>et al</w:t>
      </w:r>
      <w:r w:rsidRPr="00AD1B27">
        <w:t xml:space="preserve">., 2000).  This issue </w:t>
      </w:r>
      <w:r w:rsidRPr="00AD1B27">
        <w:lastRenderedPageBreak/>
        <w:t xml:space="preserve">has led to the argument that age-at-death distribution changes reflect fertility more than mortality (Sattenspeil and Harpending, 1983; Johannson and Horowitz, 1986).  Sattenspiel and Harpending (1983) were one of the first to state that the population growth rate may be unknown.  This is a major issue for most prehistoric populations and has been reiterated with many resolutions being suggested (Johansson and Horowitz, 1986; Buikstra </w:t>
      </w:r>
      <w:r w:rsidRPr="00AD1B27">
        <w:rPr>
          <w:i/>
        </w:rPr>
        <w:t>et al</w:t>
      </w:r>
      <w:r w:rsidRPr="00AD1B27">
        <w:t xml:space="preserve">., 1986; Gage, 1988; Paine, 1989).  Regardless of the debate, if population growth is not accounted for a population may be considered to be experiencing increased mortality.  </w:t>
      </w:r>
    </w:p>
    <w:p w:rsidR="008126A6" w:rsidRDefault="008126A6" w:rsidP="008126A6">
      <w:pPr>
        <w:spacing w:line="480" w:lineRule="auto"/>
        <w:ind w:firstLine="720"/>
      </w:pPr>
      <w:r w:rsidRPr="00AD1B27">
        <w:t>A more reasonable assumption would be to recognize a stable population, because populations tend towards a stable age structure.  A stable population is one that is closed to migration, has constant age-specific fertility and mortality rates, and a stable age distribution.  It follows all of the same characteristics of a stationary population except the non-zero population growth.  Even though it is necessary to acknowledge that heterogeneity, selective mortality, and demographic non-stationarity can affect paleodemographic analyses, demographic models can be developed if the proper statistical methods are implemented.</w:t>
      </w:r>
    </w:p>
    <w:p w:rsidR="008126A6" w:rsidRPr="00D31C86" w:rsidRDefault="008126A6" w:rsidP="00D31C86">
      <w:pPr>
        <w:pStyle w:val="Heading3"/>
        <w:rPr>
          <w:rFonts w:ascii="Times New Roman" w:hAnsi="Times New Roman" w:cs="Times New Roman"/>
        </w:rPr>
      </w:pPr>
      <w:bookmarkStart w:id="18" w:name="_Toc349858130"/>
      <w:r w:rsidRPr="00D31C86">
        <w:rPr>
          <w:rFonts w:ascii="Times New Roman" w:hAnsi="Times New Roman" w:cs="Times New Roman"/>
        </w:rPr>
        <w:t>Uniformitarianism</w:t>
      </w:r>
      <w:bookmarkEnd w:id="18"/>
    </w:p>
    <w:p w:rsidR="008126A6" w:rsidRDefault="008126A6" w:rsidP="00D31C86">
      <w:pPr>
        <w:spacing w:line="480" w:lineRule="auto"/>
        <w:ind w:firstLine="720"/>
      </w:pPr>
      <w:r w:rsidRPr="00AD1B27">
        <w:t xml:space="preserve">The underlining premise to all paleodemography is uniformitarianism.  The uniformitarian basis acknowledges no difference in fertility, maturation, or senescence between populations over time and space.  Howell (1976) succinctly defined this position by stating that” humans have not changed in the processes by which they respond to environmental fluctuations because certain aspects of human life-history are subject to evolutionary constraints, like reproductive maturation and menopause” (p 26).  The ability to respond to environmental changes may vary between populations, but the demographic processes do not; making it </w:t>
      </w:r>
      <w:r w:rsidRPr="00AD1B27">
        <w:lastRenderedPageBreak/>
        <w:t xml:space="preserve">possible to model these processes.  Several have argued that age patterns depart from the expected model data (Meindl and Russel, 1998) where the survival curve contrasts with modern populations (Mensforth, 1990).  Howell’s (1982) reanalysis of the Libben </w:t>
      </w:r>
      <w:proofErr w:type="gramStart"/>
      <w:r w:rsidRPr="00AD1B27">
        <w:t>sample,</w:t>
      </w:r>
      <w:proofErr w:type="gramEnd"/>
      <w:r w:rsidRPr="00AD1B27">
        <w:t xml:space="preserve"> supported this argument by demonstrating that a model that significantly varies from known modern populations questions the reliability of the model.  It challenges hypothesis testing, especially regarding the major demographic transitions in human history, because we know that people are not the same, but in order to use standards developed from modern material to age prehistoric skeletons we must assume that the aging process is the same (Aykroyd </w:t>
      </w:r>
      <w:r w:rsidRPr="00AD1B27">
        <w:rPr>
          <w:i/>
        </w:rPr>
        <w:t>et al</w:t>
      </w:r>
      <w:r w:rsidRPr="00AD1B27">
        <w:t xml:space="preserve">., 1996; Aykroyd </w:t>
      </w:r>
      <w:r w:rsidRPr="00AD1B27">
        <w:rPr>
          <w:i/>
        </w:rPr>
        <w:t>et al</w:t>
      </w:r>
      <w:r w:rsidRPr="00AD1B27">
        <w:t xml:space="preserve">., 1997, Hoppa, 2002; Frankenberg and Konigsberg, 2006).  Accepting an uniformitarian approach and believing that variation in fertility and mortality is predictable allows for the patterns of age-specific fertility and mortality to be modeled (Coale and Demeny, 1983).  Although uniformitarianism is a major problem in the application of age-at-death estimation methods assuming senescence is uniform prior to model building helps determine how well a population responded to environmental influences, which is the ultimate goal.  </w:t>
      </w:r>
    </w:p>
    <w:p w:rsidR="008126A6" w:rsidRPr="00D31C86" w:rsidRDefault="008126A6" w:rsidP="00D31C86">
      <w:pPr>
        <w:pStyle w:val="Heading3"/>
        <w:rPr>
          <w:rFonts w:ascii="Times New Roman" w:hAnsi="Times New Roman" w:cs="Times New Roman"/>
        </w:rPr>
      </w:pPr>
      <w:bookmarkStart w:id="19" w:name="_Toc349858131"/>
      <w:r w:rsidRPr="00D31C86">
        <w:rPr>
          <w:rFonts w:ascii="Times New Roman" w:hAnsi="Times New Roman" w:cs="Times New Roman"/>
        </w:rPr>
        <w:t>Modeling</w:t>
      </w:r>
      <w:bookmarkEnd w:id="19"/>
      <w:r w:rsidRPr="00D31C86">
        <w:rPr>
          <w:rFonts w:ascii="Times New Roman" w:hAnsi="Times New Roman" w:cs="Times New Roman"/>
        </w:rPr>
        <w:t xml:space="preserve"> </w:t>
      </w:r>
    </w:p>
    <w:p w:rsidR="008126A6" w:rsidRPr="008126A6" w:rsidRDefault="008126A6" w:rsidP="00D31C86">
      <w:pPr>
        <w:spacing w:line="480" w:lineRule="auto"/>
        <w:ind w:firstLine="720"/>
      </w:pPr>
      <w:r w:rsidRPr="00AD1B27">
        <w:t xml:space="preserve">Several methods for modeling mortality have been proposed over the years.  Demographers look for three distinct rates associated with mortality curves in order to establish if a trend exists in the data.  The first type, associated with most industrialized populations, is where most mortality occurs later in life.  The second type is a constant rate of mortality throughout the lifespan.  The third type represents mortality that occurs early in life.  A typical pre-industrial population has a boat-shaped curve in which infants are at a higher risk of death, adolescents and young adults have a relatively low risk, and older adults have an increasing and </w:t>
      </w:r>
      <w:r w:rsidRPr="00AD1B27">
        <w:lastRenderedPageBreak/>
        <w:t>high risk of death (Howell, 1976).  This attritional model is what would be expected if there were no major influences affecting the demographic parameters.  A flatter model with a higher young adult hazard and lower survivorship rate would indicate a catastrophic regime (Paine, 2000).  For example, if a skeletal population was the result of a small-pox epidemic a survival analysis would result in a catastrophic pattern.  Several non-attritional models have been noted in the recent literature (Chamberlian, 2006).  A catastrophic mortality profile has a high risk of death for all age categories, while having an age pattern that mirrors the living population (Keckler, 1997).  This profile is typical in mass graves associated with epidemics, conflicts, and natural disasters (Gowland and Chamberlian</w:t>
      </w:r>
      <w:proofErr w:type="gramStart"/>
      <w:r w:rsidRPr="00AD1B27">
        <w:t>,2005</w:t>
      </w:r>
      <w:proofErr w:type="gramEnd"/>
      <w:r w:rsidRPr="00AD1B27">
        <w:t>; Paine and Boldsen, 2002; Margerisan and Knusel, 2002; DeWitte, 2009).  Paine and Boldsen (2002) noted that increased population growth, sedentism, and trade caused changes in the patterns of epidemic diseases in which frequency increases causes extrinisic mortality effects on the population.  Conversely, chronic malnutrition would elevate the young and old more than the middle.</w:t>
      </w:r>
    </w:p>
    <w:p w:rsidR="008126A6" w:rsidRPr="00AD1B27" w:rsidRDefault="008126A6" w:rsidP="008126A6">
      <w:pPr>
        <w:spacing w:line="480" w:lineRule="auto"/>
        <w:ind w:firstLine="720"/>
      </w:pPr>
      <w:r w:rsidRPr="00AD1B27">
        <w:t xml:space="preserve">Abridged life tables have been the predominant method to create mortality profiles from cumulative age-at-death estimates for a skeletal sample and is still consistently found in the anthropological literature (Acsadi and Nemeskeri, 1970; Ubelaker, 1974; Swedlund and Armelagos, 1976; Lovejoy </w:t>
      </w:r>
      <w:r w:rsidRPr="00AD1B27">
        <w:rPr>
          <w:i/>
        </w:rPr>
        <w:t>et al</w:t>
      </w:r>
      <w:r w:rsidRPr="00AD1B27">
        <w:t xml:space="preserve">., 1977); even though anthropologists were trying to understand population dynamics well before the common use of life tables in the 1970s (Frankenberg and Konigsberg, 2006).  Life tables provide anthropologists a means by which to make demographic inferences and are relatively easy to produce.  A life table is the summed number of deaths within various age cohorts, which is used to compute life expectancy per cohort, the probability of death within each cohort, and the overall age structure of the once living population.  Weiss </w:t>
      </w:r>
      <w:r w:rsidRPr="00AD1B27">
        <w:lastRenderedPageBreak/>
        <w:t>(1973) developed empirical life tables for anthropological populations.  Owsley and colleagues (Owsley</w:t>
      </w:r>
      <w:proofErr w:type="gramStart"/>
      <w:r w:rsidRPr="00AD1B27">
        <w:t>,1975</w:t>
      </w:r>
      <w:proofErr w:type="gramEnd"/>
      <w:r w:rsidRPr="00AD1B27">
        <w:t xml:space="preserve">; Owsley </w:t>
      </w:r>
      <w:r w:rsidRPr="00AD1B27">
        <w:rPr>
          <w:i/>
        </w:rPr>
        <w:t>et al</w:t>
      </w:r>
      <w:r w:rsidRPr="00AD1B27">
        <w:t xml:space="preserve">., 1977; Owsley and Bass, 1979) followed much of what Angel considered vital statistics (1969) to study the demography of the Larson site, including reconstruction of the age composition, mortality at different periods of life, adult longevity of each sex, and sex ratios of adults using model life tables as a source for comparison. </w:t>
      </w:r>
    </w:p>
    <w:p w:rsidR="008126A6" w:rsidRPr="00AD1B27" w:rsidRDefault="008126A6" w:rsidP="008126A6">
      <w:pPr>
        <w:spacing w:line="480" w:lineRule="auto"/>
        <w:ind w:firstLine="720"/>
      </w:pPr>
      <w:r w:rsidRPr="00AD1B27">
        <w:t xml:space="preserve">Life tables are restrictive in the types of data that can be used and the number of analyses that can be accomplished from them, because they require conforming to an age pattern of mortality (Gage 1988).  This can lead to the wrong mortality pattern being applied to a population if the population being modeled diverges significantly from known demographic patterns.  Life table use in paleodemography has been heavily criticized for the assumptions and data required to produce informative tables (Sattenspiel and Harpending, 1983; Konigsberg and Frankenberg, 1992, 1994; Milner </w:t>
      </w:r>
      <w:r w:rsidRPr="00AD1B27">
        <w:rPr>
          <w:i/>
        </w:rPr>
        <w:t>et al</w:t>
      </w:r>
      <w:r w:rsidRPr="00AD1B27">
        <w:t xml:space="preserve">., 2000).  The number of deaths for each age interval is not known, the ages are estimated, and there is an overall assumption of a stationary population in which fertility and mortality rates are considered equal (Konigsberg and Frankenberg, 1992; Sattenspiel and Harpending, 1983; Johansson and Horowitz, 1986).  Also, because of the issue of undernummeration of infants, many researchers do not include the very young in life tables because it can drastically shift a survivorship curve (Moore </w:t>
      </w:r>
      <w:r w:rsidRPr="00AD1B27">
        <w:rPr>
          <w:i/>
        </w:rPr>
        <w:t>et al</w:t>
      </w:r>
      <w:r w:rsidRPr="00AD1B27">
        <w:t xml:space="preserve">., 1975).  Over parameterization often occurs in model building (Jackes, 2000), where there is more age categories than age indicators in a life table (Konigsberg and Frankenberg, 2002).  Also, the lumping of age ranges assumes an equal exposure to the risk of death; even though an individual skeleton has its own inherent risk based on the available skeletal traits (Wood </w:t>
      </w:r>
      <w:r w:rsidRPr="00AD1B27">
        <w:rPr>
          <w:i/>
        </w:rPr>
        <w:t>et al</w:t>
      </w:r>
      <w:r w:rsidRPr="00AD1B27">
        <w:t xml:space="preserve">., 1992b).  It is nearly impossible to address issues of frailty or well-being in a sound statistical approach using life tables because of </w:t>
      </w:r>
      <w:r w:rsidRPr="00AD1B27">
        <w:lastRenderedPageBreak/>
        <w:t xml:space="preserve">the age lumping.  Furthermore, the utilization of life tables often requires the assumption of a stationary population, which is based on the belief that populations usually reestablish the modal age structure within a few decades of a demographic disturbance (Weiss, 1973).  A few researchers have suggested calculations to account for the growth and decline of a population within the life table structure (Palkovich, 1983), but most research assumed a zero population growth or decline. </w:t>
      </w:r>
    </w:p>
    <w:p w:rsidR="008126A6" w:rsidRPr="00AD1B27" w:rsidRDefault="008126A6" w:rsidP="008126A6">
      <w:pPr>
        <w:spacing w:line="480" w:lineRule="auto"/>
        <w:ind w:firstLine="720"/>
      </w:pPr>
      <w:r w:rsidRPr="00AD1B27">
        <w:t xml:space="preserve">Life tables are not the preferred method for constructing a mortality profile for several theoretical and methodological issues.  Especially since the quality of data used to construct Weiss’s empirical tables have been questioned.  Instead, hazard models have been suggested as an alternative to life table models (Wood </w:t>
      </w:r>
      <w:r w:rsidRPr="00AD1B27">
        <w:rPr>
          <w:i/>
        </w:rPr>
        <w:t>et al</w:t>
      </w:r>
      <w:r w:rsidRPr="00AD1B27">
        <w:t xml:space="preserve">., 1992b; Gage, 1988; Gage and Dyke, 1986; Milner </w:t>
      </w:r>
      <w:r w:rsidRPr="00AD1B27">
        <w:rPr>
          <w:i/>
        </w:rPr>
        <w:t>et al</w:t>
      </w:r>
      <w:r w:rsidRPr="00AD1B27">
        <w:t xml:space="preserve">., 2000; Hoppa and Vaupel, 2002).  Hazards optimize the parameters for age-specific mortality rates based on the skeletal data, they are not limited as to the number of parameters as life tables, and can incorporate any variables deemed as contributing to the hazard rate including confounding effects of demographic non-stationarity and growth (Frankenberg and Konisgberg, 2006).  As such, hazards provide researchers the ability to investigate the dynamic demographic processes that create the mortality profile.  Also, hazards allow for the age-at-death patterns to be directly fitted to survivorship, death rate, and age structure data (Hoppa, 2002).  </w:t>
      </w:r>
    </w:p>
    <w:p w:rsidR="008126A6" w:rsidRPr="00AD1B27" w:rsidRDefault="008126A6" w:rsidP="008126A6">
      <w:pPr>
        <w:spacing w:line="480" w:lineRule="auto"/>
        <w:ind w:firstLine="720"/>
      </w:pPr>
      <w:r w:rsidRPr="00AD1B27">
        <w:t xml:space="preserve">Survival analysis includes both parametric and non-parametric hazard models.  Hazard models have practically replaced the contingency table paleodemography that predominated in the 1970s and 1980s (Frankenberg and Konigsberg, 2006).  Instead of tabulating the number of individuals within a cohort using skeletal data, hazard models predict the proportion of individuals that should be in each indicator state in a population.  Hazards have been used in </w:t>
      </w:r>
      <w:r w:rsidRPr="00AD1B27">
        <w:lastRenderedPageBreak/>
        <w:t xml:space="preserve">demography, epidemiology, and in industrial sciences to understand the risk of events that vary continuously with time using relatively few parameters, because they can smooth and improve data without imposing a particular pattern of mortality (Eshed </w:t>
      </w:r>
      <w:r w:rsidRPr="00AD1B27">
        <w:rPr>
          <w:i/>
        </w:rPr>
        <w:t>et al</w:t>
      </w:r>
      <w:r w:rsidRPr="00AD1B27">
        <w:t>., 2004; Gage, 2010).  Also, they reduce the number of parameters, so are useful when little data is available.  Hazard models provide an improvement over life tables, but are just as susceptible to over-parameterization (Konigsberg and Frankenberg, 2002).  Hazard analysis provides a way to deal with differing age ranges that could be assigned to an individual (</w:t>
      </w:r>
      <w:r w:rsidRPr="00AD1B27">
        <w:rPr>
          <w:i/>
        </w:rPr>
        <w:t>e.g</w:t>
      </w:r>
      <w:r w:rsidRPr="00AD1B27">
        <w:t xml:space="preserve">.; 50+, 15-25, or 20 to 60 years old at the time of death) as interval censored so each skeleton could have a different age interval length (Frankenberg and Konigsberg, 2006).  Also, hazard analysis allows for estimates of mortality for all ages, even though precise age estimates for all ages are not known (Milner </w:t>
      </w:r>
      <w:r w:rsidRPr="00AD1B27">
        <w:rPr>
          <w:i/>
        </w:rPr>
        <w:t>et al</w:t>
      </w:r>
      <w:r w:rsidRPr="00AD1B27">
        <w:t xml:space="preserve">., 2000).  </w:t>
      </w:r>
    </w:p>
    <w:p w:rsidR="008126A6" w:rsidRPr="00AD1B27" w:rsidRDefault="008126A6" w:rsidP="008126A6">
      <w:pPr>
        <w:spacing w:line="480" w:lineRule="auto"/>
        <w:ind w:firstLine="720"/>
      </w:pPr>
      <w:r w:rsidRPr="00AD1B27">
        <w:t xml:space="preserve">Hazards do not impose a fixed age pattern to the data; instead, the data determines the age pattern (Gage, 1988).  Therefore, when a dataset is of sufficient quantity and quality, hazard models can provide an improvement over that of model life-tables.  Parametric hazard models tend to be used, because they smooth data when sample sizes or mortality data are inadequate (Eshed </w:t>
      </w:r>
      <w:r w:rsidRPr="00AD1B27">
        <w:rPr>
          <w:i/>
        </w:rPr>
        <w:t>et al</w:t>
      </w:r>
      <w:r w:rsidRPr="00AD1B27">
        <w:t xml:space="preserve">., 2004). Recent research has shown the promise of using mixed, semi-parametric, and non-parametric approaches (see Hoppa and Vaupel, 2002 volume). </w:t>
      </w:r>
    </w:p>
    <w:p w:rsidR="008126A6" w:rsidRPr="00AD1B27" w:rsidRDefault="008126A6" w:rsidP="008126A6">
      <w:pPr>
        <w:spacing w:line="480" w:lineRule="auto"/>
        <w:ind w:firstLine="720"/>
      </w:pPr>
      <w:r w:rsidRPr="00AD1B27">
        <w:t>Regardless of the type of hazard model applied, the models are used to determine age-specific forces (hazard) of mortality (µ (</w:t>
      </w:r>
      <w:r w:rsidRPr="00AD1B27">
        <w:rPr>
          <w:i/>
        </w:rPr>
        <w:t>a</w:t>
      </w:r>
      <w:r w:rsidRPr="00AD1B27">
        <w:t>)), survival function (</w:t>
      </w:r>
      <w:proofErr w:type="gramStart"/>
      <w:r w:rsidRPr="00AD1B27">
        <w:t>S(</w:t>
      </w:r>
      <w:proofErr w:type="gramEnd"/>
      <w:r w:rsidRPr="00AD1B27">
        <w:rPr>
          <w:i/>
        </w:rPr>
        <w:t>a</w:t>
      </w:r>
      <w:r w:rsidRPr="00AD1B27">
        <w:t>)), and probability density function (</w:t>
      </w:r>
      <w:r w:rsidRPr="00AD1B27">
        <w:rPr>
          <w:i/>
        </w:rPr>
        <w:t>f</w:t>
      </w:r>
      <w:r w:rsidRPr="00AD1B27">
        <w:rPr>
          <w:i/>
          <w:vertAlign w:val="subscript"/>
        </w:rPr>
        <w:t>0</w:t>
      </w:r>
      <w:r w:rsidRPr="00AD1B27">
        <w:rPr>
          <w:i/>
        </w:rPr>
        <w:t>(a))</w:t>
      </w:r>
      <w:r w:rsidRPr="00AD1B27">
        <w:t xml:space="preserve">.  In a traditional demographic life table, the instantaneous risk of death or hazard is simply estimated as the number of deaths at a given age divided by the number of individuals at risk; whereas, the survivorship is the proportion of the original birth cohort surviving to a given age.  </w:t>
      </w:r>
    </w:p>
    <w:p w:rsidR="008126A6" w:rsidRPr="00AD1B27" w:rsidRDefault="008126A6" w:rsidP="008126A6">
      <w:pPr>
        <w:spacing w:line="480" w:lineRule="auto"/>
        <w:ind w:firstLine="720"/>
      </w:pPr>
      <w:r w:rsidRPr="00AD1B27">
        <w:lastRenderedPageBreak/>
        <w:t xml:space="preserve">  The force of mortality or risk of death (</w:t>
      </w:r>
      <w:proofErr w:type="gramStart"/>
      <w:r w:rsidRPr="00AD1B27">
        <w:t>µ(</w:t>
      </w:r>
      <w:proofErr w:type="gramEnd"/>
      <w:r w:rsidRPr="00AD1B27">
        <w:t>a), provides an age-specific mortality rate.  It is a non-negative number on a scale from zero to one.  Typically, the force of mortality is high during infancy, declines to its lowest point in childhood and young adulthood, and significantly increases during older adulthood.  The survival function (</w:t>
      </w:r>
      <w:proofErr w:type="gramStart"/>
      <w:r w:rsidRPr="00AD1B27">
        <w:t>S(</w:t>
      </w:r>
      <w:proofErr w:type="gramEnd"/>
      <w:r w:rsidRPr="00AD1B27">
        <w:t xml:space="preserve">a))specifies the probability of an individual surviving to a particular age.  It is assumed that the survival function is 1.0 at birth and declines until it approximates zero with senility.  The survival function informs researchers on the mortality patterns within and between skeletal samples; hence, it is used heavily for hypothesis construction and interpretation because it is the proportion of a cohort starting at time zero that is still alive at </w:t>
      </w:r>
      <w:proofErr w:type="gramStart"/>
      <w:r w:rsidRPr="00AD1B27">
        <w:t>time(</w:t>
      </w:r>
      <w:proofErr w:type="gramEnd"/>
      <w:r w:rsidRPr="00AD1B27">
        <w:t>a).  The probability density function (</w:t>
      </w:r>
      <w:proofErr w:type="gramStart"/>
      <w:r w:rsidRPr="00AD1B27">
        <w:t>f</w:t>
      </w:r>
      <w:r w:rsidRPr="00AD1B27">
        <w:rPr>
          <w:vertAlign w:val="subscript"/>
        </w:rPr>
        <w:t>0</w:t>
      </w:r>
      <w:r w:rsidRPr="00AD1B27">
        <w:t>(</w:t>
      </w:r>
      <w:proofErr w:type="gramEnd"/>
      <w:r w:rsidRPr="00AD1B27">
        <w:t xml:space="preserve">a)) is slightly more complicated, because it is dependent on the stationarity of the population under study.  Assuming demographic stationarity, the probability density function provides an estimate of the mortality distribution for a population.  The slope estimates for the force of mortality and survivorship reflect the relative risk of death at a particular age.  The probability density function approximates a mortality distribution at a particular population growth rate, which is usually assumed to be zero (Wood </w:t>
      </w:r>
      <w:r w:rsidRPr="00AD1B27">
        <w:rPr>
          <w:i/>
        </w:rPr>
        <w:t>et al</w:t>
      </w:r>
      <w:r w:rsidRPr="00AD1B27">
        <w:t xml:space="preserve">., 2002; Milner </w:t>
      </w:r>
      <w:r w:rsidRPr="00AD1B27">
        <w:rPr>
          <w:i/>
        </w:rPr>
        <w:t>et al</w:t>
      </w:r>
      <w:r w:rsidRPr="00AD1B27">
        <w:t>., 2008).  It is a fraction of all deaths from the initial cohort that are likely to die at a specific point in time.</w:t>
      </w:r>
    </w:p>
    <w:p w:rsidR="008126A6" w:rsidRPr="00AD1B27" w:rsidRDefault="008126A6" w:rsidP="008126A6">
      <w:pPr>
        <w:spacing w:line="480" w:lineRule="auto"/>
        <w:ind w:firstLine="720"/>
      </w:pPr>
      <w:r w:rsidRPr="00AD1B27">
        <w:t xml:space="preserve">Paleodemographic data can be used to estimate all three functions through the use of parametric or non-parametric modes and a means to estimate the parameters within the model.  The selection of the appropriate model is inherent to analyses, so the model that best fits the data structure should be used.  Several goodness-of-fit tests are available to compare hazard models.  Parametric hazard models are more commonly used because they smooth the data, especially </w:t>
      </w:r>
      <w:r w:rsidRPr="00AD1B27">
        <w:lastRenderedPageBreak/>
        <w:t xml:space="preserve">when sample size is small or mortality data is inadequate, which is typical in bioarchaeology (Eshed </w:t>
      </w:r>
      <w:r w:rsidRPr="00AD1B27">
        <w:rPr>
          <w:i/>
        </w:rPr>
        <w:t>et al</w:t>
      </w:r>
      <w:r w:rsidRPr="00AD1B27">
        <w:t xml:space="preserve">., 2004; Frankenberg and Konigsberg, 2006). </w:t>
      </w:r>
    </w:p>
    <w:p w:rsidR="008126A6" w:rsidRPr="00AD1B27" w:rsidRDefault="008126A6" w:rsidP="008126A6">
      <w:pPr>
        <w:spacing w:line="480" w:lineRule="auto"/>
        <w:ind w:firstLine="720"/>
      </w:pPr>
      <w:r w:rsidRPr="00AD1B27">
        <w:t>The Gompertz model was the first parametric model to be developed to model human mortality and is a direct reflection of the attritional mortality with senescence (Gompertz, 1825).  The Gompertz function has two parameters (</w:t>
      </w:r>
      <w:proofErr w:type="gramStart"/>
      <w:r w:rsidRPr="00AD1B27">
        <w:t>α and</w:t>
      </w:r>
      <w:proofErr w:type="gramEnd"/>
      <w:r w:rsidRPr="00AD1B27">
        <w:t xml:space="preserve"> β) that are estimated via optimization, usually in the form of a maximum likelihood estimator using a computer algorithm.  </w:t>
      </w:r>
      <w:proofErr w:type="gramStart"/>
      <w:r w:rsidRPr="00AD1B27">
        <w:t>The α</w:t>
      </w:r>
      <w:proofErr w:type="gramEnd"/>
      <w:r w:rsidRPr="00AD1B27">
        <w:t xml:space="preserve"> parameter determines the overall level of adult mortality, while the β reflects how the risk of death accelerates with age (Wood </w:t>
      </w:r>
      <w:r w:rsidRPr="00AD1B27">
        <w:rPr>
          <w:i/>
        </w:rPr>
        <w:t>et al</w:t>
      </w:r>
      <w:r w:rsidRPr="00AD1B27">
        <w:t>., 2002).  The risk of death is proportional to the remaining physiological capacity of an individual (Gage, 1989).  The Gompertz model is commonly used in industry to determine the failure rates associated with use of equipment, but is useful to examine the age-dependent component (adults) of a population in paleodemography.  Since a juvenile component risk of death generally decreases with age, it is not appropriate to fit a Gompertz model to a sample with juveniles.</w:t>
      </w:r>
    </w:p>
    <w:p w:rsidR="008126A6" w:rsidRPr="008126A6" w:rsidRDefault="008126A6" w:rsidP="008126A6">
      <w:pPr>
        <w:spacing w:line="480" w:lineRule="auto"/>
        <w:ind w:firstLine="720"/>
      </w:pPr>
    </w:p>
    <w:p w:rsidR="008126A6" w:rsidRPr="00C90CC6" w:rsidRDefault="00C90CC6" w:rsidP="00D31C86">
      <w:pPr>
        <w:spacing w:line="480" w:lineRule="auto"/>
        <w:ind w:firstLine="720"/>
        <w:jc w:val="center"/>
      </w:pPr>
      <m:oMathPara>
        <m:oMath>
          <m:r>
            <w:rPr>
              <w:rFonts w:ascii="Cambria Math" w:hAnsi="Cambria Math"/>
            </w:rPr>
            <m:t>h</m:t>
          </m:r>
          <m:d>
            <m:dPr>
              <m:ctrlPr>
                <w:rPr>
                  <w:rFonts w:ascii="Cambria Math" w:hAnsi="Cambria Math"/>
                  <w:i/>
                </w:rPr>
              </m:ctrlPr>
            </m:dPr>
            <m:e>
              <m:r>
                <w:rPr>
                  <w:rFonts w:ascii="Cambria Math" w:hAnsi="Cambria Math"/>
                </w:rPr>
                <m:t>a</m:t>
              </m:r>
            </m:e>
          </m:d>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 xml:space="preserve">3 </m:t>
              </m:r>
            </m:sub>
          </m:sSub>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a</m:t>
              </m:r>
            </m:sup>
          </m:sSup>
        </m:oMath>
      </m:oMathPara>
    </w:p>
    <w:p w:rsidR="008126A6" w:rsidRPr="00AD1B27" w:rsidRDefault="008126A6" w:rsidP="008126A6">
      <w:pPr>
        <w:spacing w:line="480" w:lineRule="auto"/>
        <w:ind w:firstLine="720"/>
      </w:pPr>
    </w:p>
    <w:p w:rsidR="008126A6" w:rsidRPr="00AD1B27" w:rsidRDefault="008126A6" w:rsidP="008126A6">
      <w:pPr>
        <w:spacing w:line="480" w:lineRule="auto"/>
        <w:ind w:firstLine="720"/>
      </w:pPr>
      <w:r w:rsidRPr="00AD1B27">
        <w:t>The Gompertz-Makeham model is a modified Gompertz that adds a third, constant parameter (α</w:t>
      </w:r>
      <w:r w:rsidRPr="00AD1B27">
        <w:rPr>
          <w:vertAlign w:val="subscript"/>
        </w:rPr>
        <w:t>2</w:t>
      </w:r>
      <w:r w:rsidRPr="00AD1B27">
        <w:t xml:space="preserve">), the Makeham component (1860) accounts for the deaths within a skeletal sample that are not captured by the exponential age-dependent parameter.  This parameter is often excluded from paleodemographic analyses, because it is difficult to estimate accurately from skeletal data and is deemed negiligible compared to the other parameter estimates (Herrmann and Konigsberg, 2002). </w:t>
      </w:r>
    </w:p>
    <w:p w:rsidR="008126A6" w:rsidRPr="00AD1B27" w:rsidRDefault="008126A6" w:rsidP="008126A6">
      <w:pPr>
        <w:spacing w:line="480" w:lineRule="auto"/>
        <w:ind w:firstLine="720"/>
      </w:pPr>
    </w:p>
    <w:p w:rsidR="008126A6" w:rsidRPr="00AD1B27" w:rsidRDefault="00C90CC6" w:rsidP="008126A6">
      <w:pPr>
        <w:spacing w:line="480" w:lineRule="auto"/>
        <w:ind w:firstLine="720"/>
        <w:jc w:val="center"/>
        <w:rPr>
          <w:vertAlign w:val="subscript"/>
        </w:rPr>
      </w:pPr>
      <m:oMath>
        <m:r>
          <w:rPr>
            <w:rFonts w:ascii="Cambria Math" w:hAnsi="Cambria Math"/>
          </w:rPr>
          <m:t>h</m:t>
        </m:r>
        <m:d>
          <m:dPr>
            <m:ctrlPr>
              <w:rPr>
                <w:rFonts w:ascii="Cambria Math" w:hAnsi="Cambria Math"/>
                <w:i/>
              </w:rPr>
            </m:ctrlPr>
          </m:dPr>
          <m:e>
            <m:r>
              <w:rPr>
                <w:rFonts w:ascii="Cambria Math" w:hAnsi="Cambria Math"/>
              </w:rPr>
              <m:t>a</m:t>
            </m:r>
          </m:e>
        </m:d>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 xml:space="preserve">3 </m:t>
            </m:r>
          </m:sub>
        </m:sSub>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a</m:t>
            </m:r>
          </m:sup>
        </m:sSup>
      </m:oMath>
      <w:r w:rsidR="008126A6" w:rsidRPr="008126A6">
        <w:t>+α</w:t>
      </w:r>
      <w:r w:rsidR="008126A6" w:rsidRPr="008126A6">
        <w:rPr>
          <w:vertAlign w:val="subscript"/>
        </w:rPr>
        <w:t>2</w:t>
      </w:r>
    </w:p>
    <w:p w:rsidR="008126A6" w:rsidRPr="00AD1B27" w:rsidRDefault="008126A6" w:rsidP="008126A6">
      <w:pPr>
        <w:spacing w:line="480" w:lineRule="auto"/>
        <w:ind w:firstLine="720"/>
      </w:pPr>
    </w:p>
    <w:p w:rsidR="008126A6" w:rsidRPr="00AD1B27" w:rsidRDefault="008126A6" w:rsidP="008126A6">
      <w:pPr>
        <w:spacing w:line="480" w:lineRule="auto"/>
        <w:ind w:firstLine="720"/>
      </w:pPr>
      <w:r w:rsidRPr="00AD1B27">
        <w:t>The Gompertz-Makeham model helps explain causes of death (competing hazards) that are independent of each other or age, such as disease, accidents, or warfare.  Previous research has indicated it is a useful tool if differential mortality within the sexes is suspected in a population (Wilson and Steadman 2008).  Owsley and Bass (1979) report a high number of young adult females in the Larson Cemetery, which he attributed to the hazards of childbearing.  Wilson and Steadman (2008) found a similar pattern of large number of young-adult females in the Mississipian-period Orendorf cemetery and determined that the combined Gompertz-Makeham model fit better than just the Gompertz.  The Gompertz-Makeham was able to capture the independent risk of death for females, which may have affected frailty and well-being of the population.  However, like the Gompertz model, this model does not account for the juvenile component in the cemetery.</w:t>
      </w:r>
    </w:p>
    <w:p w:rsidR="008126A6" w:rsidRPr="00AD1B27" w:rsidRDefault="008126A6" w:rsidP="008126A6">
      <w:pPr>
        <w:spacing w:line="480" w:lineRule="auto"/>
        <w:ind w:firstLine="720"/>
      </w:pPr>
      <w:r w:rsidRPr="00AD1B27">
        <w:t xml:space="preserve">In order to adequately accommodate the juvenile component in hazard analyses without being too complex, the Siler (1979) model is typically employed.  The Siler (1979) model has been proven useful for understanding the entire mortality profile of a population, because it divides mortality into three competing components:  a juvenile, adult, and age-independent component.  Gage (1990) indicates it is the most parsimonious model for explaining human mortality.  Gage and colleagues (Gage 1988, 1989, 1990; Gage and O’Connor, 1994) have demonstrated the utility of the Siler model for explaining both human and non-human population dynamics and of the five parameter Siler hazard model as a parsimonious model that fits the </w:t>
      </w:r>
      <w:r w:rsidRPr="00AD1B27">
        <w:lastRenderedPageBreak/>
        <w:t xml:space="preserve">mortality pattern for the entire lifespan of a population (Gage, 1990).  O’Connor </w:t>
      </w:r>
      <w:r w:rsidRPr="00AD1B27">
        <w:rPr>
          <w:i/>
        </w:rPr>
        <w:t>et al</w:t>
      </w:r>
      <w:r w:rsidRPr="00AD1B27">
        <w:t xml:space="preserve">. (1997) and more recently (Nagaoka </w:t>
      </w:r>
      <w:r w:rsidRPr="00AD1B27">
        <w:rPr>
          <w:i/>
        </w:rPr>
        <w:t>et al</w:t>
      </w:r>
      <w:r w:rsidRPr="00AD1B27">
        <w:t xml:space="preserve">. 2006) have used the Siler as the primary method of analysis.  The Siler model is a parametric competing hazard model that allows for the integration of juvenile data, which in many cases when omitted will provide an overestimated expectation of life (Gage, 2005).  Gage (1990) demonstrated that the Siler model fit a wider range of mortality patterns than the Coale-Demeny (1983) model life tables and O’Connor (1995) showed that it could be fit to any of the patterns in the paleodemographic literature.  The Siler model has three competing hazards:  </w:t>
      </w:r>
      <w:proofErr w:type="gramStart"/>
      <w:r w:rsidRPr="00AD1B27">
        <w:t>an</w:t>
      </w:r>
      <w:proofErr w:type="gramEnd"/>
      <w:r w:rsidRPr="00AD1B27">
        <w:t xml:space="preserve"> juvenile component, an age-independent Makeham component, and a senescent Gompertz component.  The juvenile component is comprised of two parameters (α</w:t>
      </w:r>
      <w:r w:rsidRPr="00AD1B27">
        <w:rPr>
          <w:vertAlign w:val="subscript"/>
        </w:rPr>
        <w:t>1</w:t>
      </w:r>
      <w:r w:rsidRPr="00AD1B27">
        <w:t xml:space="preserve"> and β</w:t>
      </w:r>
      <w:r w:rsidRPr="00AD1B27">
        <w:rPr>
          <w:vertAlign w:val="subscript"/>
        </w:rPr>
        <w:t>2</w:t>
      </w:r>
      <w:r w:rsidRPr="00AD1B27">
        <w:t>) that capture the generalized infant mortality and the decreasing risk of death with age; whereas, the Makeham (α</w:t>
      </w:r>
      <w:r w:rsidRPr="00AD1B27">
        <w:rPr>
          <w:vertAlign w:val="subscript"/>
        </w:rPr>
        <w:t>2</w:t>
      </w:r>
      <w:r w:rsidRPr="00AD1B27">
        <w:t>) and Gompertz (α</w:t>
      </w:r>
      <w:r w:rsidRPr="00AD1B27">
        <w:rPr>
          <w:vertAlign w:val="subscript"/>
        </w:rPr>
        <w:t>3</w:t>
      </w:r>
      <w:r w:rsidRPr="00AD1B27">
        <w:t xml:space="preserve"> and β</w:t>
      </w:r>
      <w:r w:rsidRPr="00AD1B27">
        <w:rPr>
          <w:vertAlign w:val="subscript"/>
        </w:rPr>
        <w:t>3</w:t>
      </w:r>
      <w:r w:rsidRPr="00AD1B27">
        <w:t xml:space="preserve">)  components are identical to those previously discussed.  </w:t>
      </w:r>
    </w:p>
    <w:p w:rsidR="008126A6" w:rsidRPr="00AD1B27" w:rsidRDefault="008126A6" w:rsidP="008126A6">
      <w:pPr>
        <w:spacing w:line="480" w:lineRule="auto"/>
      </w:pPr>
    </w:p>
    <w:p w:rsidR="008126A6" w:rsidRPr="00C90CC6" w:rsidRDefault="00C90CC6" w:rsidP="00D31C86">
      <w:pPr>
        <w:spacing w:line="480" w:lineRule="auto"/>
        <w:jc w:val="center"/>
      </w:pPr>
      <m:oMathPara>
        <m:oMath>
          <m:r>
            <w:rPr>
              <w:rFonts w:ascii="Cambria Math" w:hAnsi="Cambria Math"/>
            </w:rPr>
            <m:t>μ</m:t>
          </m:r>
          <m:d>
            <m:dPr>
              <m:ctrlPr>
                <w:rPr>
                  <w:rFonts w:ascii="Cambria Math" w:hAnsi="Cambria Math"/>
                  <w:i/>
                </w:rPr>
              </m:ctrlPr>
            </m:dPr>
            <m:e>
              <m:r>
                <w:rPr>
                  <w:rFonts w:ascii="Cambria Math" w:hAnsi="Cambria Math"/>
                </w:rPr>
                <m:t>a</m:t>
              </m:r>
            </m:e>
          </m:d>
          <m:r>
            <w:rPr>
              <w:rFonts w:ascii="Cambria Math" w:hAnsi="Cambria Math"/>
            </w:rPr>
            <m:t xml:space="preserve">= </m:t>
          </m:r>
          <m:sSub>
            <m:sSubPr>
              <m:ctrlPr>
                <w:rPr>
                  <w:rFonts w:ascii="Cambria Math" w:hAnsi="Cambria Math"/>
                  <w:i/>
                </w:rPr>
              </m:ctrlPr>
            </m:sSubPr>
            <m:e>
              <m:r>
                <w:rPr>
                  <w:rFonts w:ascii="Cambria Math" w:hAnsi="Cambria Math"/>
                </w:rPr>
                <m:t>α</m:t>
              </m:r>
            </m:e>
            <m:sub>
              <m:r>
                <w:rPr>
                  <w:rFonts w:ascii="Cambria Math" w:hAnsi="Cambria Math"/>
                </w:rPr>
                <m:t>1</m:t>
              </m:r>
            </m:sub>
          </m:sSub>
          <m:sSup>
            <m:sSupPr>
              <m:ctrlPr>
                <w:rPr>
                  <w:rFonts w:ascii="Cambria Math" w:hAnsi="Cambria Math"/>
                  <w:i/>
                </w:rPr>
              </m:ctrlPr>
            </m:sSupPr>
            <m:e>
              <m:r>
                <w:rPr>
                  <w:rFonts w:ascii="Cambria Math" w:hAnsi="Cambria Math"/>
                </w:rPr>
                <m:t>e</m:t>
              </m:r>
            </m:e>
            <m:sup>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a</m:t>
              </m:r>
            </m:sup>
          </m:sSup>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 xml:space="preserve">3 </m:t>
              </m:r>
            </m:sub>
          </m:sSub>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a</m:t>
              </m:r>
            </m:sup>
          </m:sSup>
        </m:oMath>
      </m:oMathPara>
    </w:p>
    <w:p w:rsidR="008126A6" w:rsidRPr="00AD1B27" w:rsidRDefault="008126A6" w:rsidP="008126A6">
      <w:pPr>
        <w:spacing w:line="480" w:lineRule="auto"/>
      </w:pPr>
    </w:p>
    <w:p w:rsidR="008126A6" w:rsidRPr="008126A6" w:rsidRDefault="008126A6" w:rsidP="008126A6">
      <w:pPr>
        <w:spacing w:line="480" w:lineRule="auto"/>
      </w:pPr>
      <w:r w:rsidRPr="00AD1B27">
        <w:t xml:space="preserve">Like the Gompertz-Makeham model, each hazard is assumed to be independent (Wood </w:t>
      </w:r>
      <w:r w:rsidRPr="00AD1B27">
        <w:rPr>
          <w:i/>
        </w:rPr>
        <w:t>et al</w:t>
      </w:r>
      <w:r w:rsidRPr="00AD1B27">
        <w:t xml:space="preserve">., 2002).  Gage (1989, 1991) has demonstrated that the three competing hazards mirror mortality patterns well, but criticisms on the interpretive capabilities for the juvenile component have been questions (O’Connor, 1995).  However, it is useful in pre-industrial cemetery populations that contain a high proportion of juveniles (O’Connor, 1995).  The age-independent, Makeham component, is often assumed to be negligible and removed from the model (Herrmann and Konigsberg 2002) leaving a four parameter Siler model. </w:t>
      </w:r>
    </w:p>
    <w:p w:rsidR="008126A6" w:rsidRPr="00AD1B27" w:rsidRDefault="008126A6" w:rsidP="008126A6">
      <w:pPr>
        <w:spacing w:line="480" w:lineRule="auto"/>
        <w:ind w:firstLine="720"/>
      </w:pPr>
      <w:r w:rsidRPr="00AD1B27">
        <w:lastRenderedPageBreak/>
        <w:t xml:space="preserve">A few issues arise with the implementation of these three parametric hazard models.  The Gompertz, Gompertz-Makeham, and Siler models all assume equal levels of frailty for the population.  It is assumed that everyone is at equal risk of dying from age-independent factors, which does not account for selective mortality (Wood </w:t>
      </w:r>
      <w:r w:rsidRPr="00AD1B27">
        <w:rPr>
          <w:i/>
        </w:rPr>
        <w:t>et al</w:t>
      </w:r>
      <w:r w:rsidRPr="00AD1B27">
        <w:t xml:space="preserve">., 1992a; Milner </w:t>
      </w:r>
      <w:r w:rsidRPr="00AD1B27">
        <w:rPr>
          <w:i/>
        </w:rPr>
        <w:t>et al</w:t>
      </w:r>
      <w:r w:rsidRPr="00AD1B27">
        <w:t xml:space="preserve">., 2000; Boldsen, 2007).  Some researchers have proposed alternatives to the Gompertz, Gompertz-Makeham, and Siler models that include multi-state, mixed, or nested hazard models.  For example, adding a “frailty” component allows for sub-groups within a population, such as those associated with class or gender to have different age-independent hazard rates while having equal senescent rates.  Alternatively, the Weibull model, used by Herrmann and Konigsberg (2002) in their mortality analysis of Indian Knoll, can be used to integrate a fixed number of disease stages or insults into the model.  Usher (2000) demonstrated the utility of the multi-state Weibull model for capturing different disease states in her analysis of the Danish Tirup cemetery.  The Weibull is useful for integrating health indicators as covariates into the model, but does not capture the major features of a human mortality profile as well as the Siler model.  Several other models have also been proposed to address mortality and morbidity, but will not be discussed here, as these are outside of scope of this research.  </w:t>
      </w:r>
    </w:p>
    <w:p w:rsidR="00D31C86" w:rsidRDefault="00D31C86" w:rsidP="008126A6">
      <w:pPr>
        <w:spacing w:line="480" w:lineRule="auto"/>
      </w:pPr>
    </w:p>
    <w:p w:rsidR="008126A6" w:rsidRPr="00D31C86" w:rsidRDefault="008126A6" w:rsidP="00D31C86">
      <w:pPr>
        <w:pStyle w:val="Heading3"/>
        <w:rPr>
          <w:rFonts w:ascii="Times New Roman" w:hAnsi="Times New Roman" w:cs="Times New Roman"/>
        </w:rPr>
      </w:pPr>
      <w:bookmarkStart w:id="20" w:name="_Toc349858132"/>
      <w:r w:rsidRPr="00D31C86">
        <w:rPr>
          <w:rFonts w:ascii="Times New Roman" w:hAnsi="Times New Roman" w:cs="Times New Roman"/>
        </w:rPr>
        <w:t>Summary</w:t>
      </w:r>
      <w:bookmarkEnd w:id="20"/>
    </w:p>
    <w:p w:rsidR="008126A6" w:rsidRPr="00AD1B27" w:rsidRDefault="008126A6" w:rsidP="008126A6">
      <w:pPr>
        <w:spacing w:line="480" w:lineRule="auto"/>
        <w:ind w:firstLine="720"/>
      </w:pPr>
      <w:r w:rsidRPr="00AD1B27">
        <w:t xml:space="preserve">This research focuses on the utility of one parametric model that incorporates sub-adult and adult mortality, the Siler model, and two adult mortality models, the Gompertz and Gompertz-Makeham models.  The Siler model is most applicable for skeletal samples, like Larson site, because they require a representative population where undernummeration of </w:t>
      </w:r>
      <w:r w:rsidRPr="00AD1B27">
        <w:lastRenderedPageBreak/>
        <w:t xml:space="preserve">juveniles is a non-issue.  The Gompertz and Gompertz-Makeham models are suitable for adult individuals and can better highlight any differential sex-specific mortality in a population over that of the Siler model.  While hazard models eliminate many of the issues paleodemographers had with using life tables, issues of over-parameterization are still a problem and must be considered when choosing the appropriate model.  Nonetheless, the application of hazard models has improved the capabilities of paleodemographers to model mortality using often incomplete skeletal data. </w:t>
      </w:r>
    </w:p>
    <w:p w:rsidR="00D31C86" w:rsidRPr="00D31C86" w:rsidRDefault="00D31C86" w:rsidP="00D31C86">
      <w:pPr>
        <w:pStyle w:val="Heading2"/>
        <w:rPr>
          <w:rFonts w:ascii="Times New Roman" w:hAnsi="Times New Roman" w:cs="Times New Roman"/>
        </w:rPr>
      </w:pPr>
      <w:r>
        <w:br w:type="page"/>
      </w:r>
      <w:bookmarkStart w:id="21" w:name="_Toc349858133"/>
      <w:r w:rsidRPr="00D31C86">
        <w:rPr>
          <w:rFonts w:ascii="Times New Roman" w:hAnsi="Times New Roman" w:cs="Times New Roman"/>
        </w:rPr>
        <w:lastRenderedPageBreak/>
        <w:t>Chapter 4</w:t>
      </w:r>
      <w:bookmarkEnd w:id="21"/>
    </w:p>
    <w:p w:rsidR="00D31C86" w:rsidRDefault="00D31C86" w:rsidP="00D31C86">
      <w:pPr>
        <w:pStyle w:val="Heading2"/>
        <w:rPr>
          <w:rFonts w:ascii="Times New Roman" w:hAnsi="Times New Roman" w:cs="Times New Roman"/>
        </w:rPr>
      </w:pPr>
      <w:bookmarkStart w:id="22" w:name="_Toc349858134"/>
      <w:r w:rsidRPr="00D31C86">
        <w:rPr>
          <w:rFonts w:ascii="Times New Roman" w:hAnsi="Times New Roman" w:cs="Times New Roman"/>
        </w:rPr>
        <w:t>Age-at-death Estimation</w:t>
      </w:r>
      <w:bookmarkEnd w:id="22"/>
    </w:p>
    <w:p w:rsidR="00062B45" w:rsidRDefault="00062B45" w:rsidP="00062B45">
      <w:pPr>
        <w:spacing w:line="480" w:lineRule="auto"/>
        <w:ind w:firstLine="720"/>
      </w:pPr>
    </w:p>
    <w:p w:rsidR="00062B45" w:rsidRPr="00F436BD" w:rsidRDefault="00062B45" w:rsidP="00062B45">
      <w:pPr>
        <w:spacing w:line="480" w:lineRule="auto"/>
        <w:ind w:firstLine="720"/>
      </w:pPr>
      <w:r w:rsidRPr="00F436BD">
        <w:t xml:space="preserve">Age estimation is an essential portion of the development of a biological profile for forensic investigations and for bioarchaeology as it is the foundation for all paleodemographic analyses. </w:t>
      </w:r>
      <w:r>
        <w:t xml:space="preserve"> </w:t>
      </w:r>
      <w:r w:rsidRPr="00F436BD">
        <w:t xml:space="preserve">Often the skeletal indicators, procedures, and the analytical and statistical methods applied to produce an age estimate are significantly influenced by the research agenda, the statistical understanding, and the philosophical beliefs </w:t>
      </w:r>
      <w:r>
        <w:t>of the researcher (Algee-Hewitt</w:t>
      </w:r>
      <w:r w:rsidRPr="00F436BD">
        <w:t>,</w:t>
      </w:r>
      <w:r>
        <w:t xml:space="preserve"> </w:t>
      </w:r>
      <w:r w:rsidRPr="00F436BD">
        <w:t>201</w:t>
      </w:r>
      <w:r w:rsidR="00AF054E">
        <w:t>2</w:t>
      </w:r>
      <w:r w:rsidRPr="00F436BD">
        <w:t>).</w:t>
      </w:r>
      <w:r>
        <w:t xml:space="preserve"> </w:t>
      </w:r>
      <w:r w:rsidRPr="00F436BD">
        <w:t xml:space="preserve"> In general, age at death estimates seem fairly straightforward and can be accomplished easily, so it is not uncommon to find a mean age at death, life expectancy, and age-specific mortality rates for a given population. </w:t>
      </w:r>
      <w:r>
        <w:t xml:space="preserve"> </w:t>
      </w:r>
      <w:r w:rsidRPr="00F436BD">
        <w:t xml:space="preserve">This same assumption as led to the computation of life tables following the modifications outlined in Acsadi and Nemeskeri (1970).  For example, the life table produced from the Libben cemetery can be interpreted in one of two ways; “life was far more difficult for prehistoric in North America” or the results are “reduction as absurdum” which questions the reliability of the life table itself.  Howell’s (1982) parameters were so different than Lovejoy and colleagues (1977) that the entire mortality profile was called into question. </w:t>
      </w:r>
      <w:r>
        <w:t xml:space="preserve"> </w:t>
      </w:r>
      <w:r w:rsidRPr="00F436BD">
        <w:t>Several researchers have acknowledged that the means of age-at-death distributions are quite low for several prehistoric samples with some suggesting under aging of older adults (Weiss 1973</w:t>
      </w:r>
      <w:r>
        <w:t>;</w:t>
      </w:r>
      <w:r w:rsidR="00AF054E">
        <w:t xml:space="preserve"> Gage</w:t>
      </w:r>
      <w:r>
        <w:t>,</w:t>
      </w:r>
      <w:r w:rsidRPr="00F436BD">
        <w:t xml:space="preserve"> 1989), others suggest that the use of Bayesian-like approaches are based on reference samples with young distributions (Konigsberg and Frankenberg</w:t>
      </w:r>
      <w:r>
        <w:t>,</w:t>
      </w:r>
      <w:r w:rsidRPr="00F436BD">
        <w:t xml:space="preserve"> 2002), and that the differences in life tables are from the reference samples used to create the age estimates (Bocquet-Appel and Masset</w:t>
      </w:r>
      <w:r>
        <w:t>,</w:t>
      </w:r>
      <w:r w:rsidRPr="00F436BD">
        <w:t xml:space="preserve"> </w:t>
      </w:r>
      <w:r w:rsidRPr="00F436BD">
        <w:lastRenderedPageBreak/>
        <w:t>1982; Buikstra and Konigsberg</w:t>
      </w:r>
      <w:r>
        <w:t>,</w:t>
      </w:r>
      <w:r w:rsidRPr="00F436BD">
        <w:t xml:space="preserve"> 1985).</w:t>
      </w:r>
      <w:r>
        <w:t xml:space="preserve"> </w:t>
      </w:r>
      <w:r w:rsidRPr="00F436BD">
        <w:t xml:space="preserve"> Hence, the problem that often arises in demography analyses of any kind reverts to issues in the age-at-death estimation methods.  </w:t>
      </w:r>
    </w:p>
    <w:p w:rsidR="00062B45" w:rsidRPr="00062B45" w:rsidRDefault="00062B45" w:rsidP="00062B45">
      <w:pPr>
        <w:pStyle w:val="Heading3"/>
        <w:rPr>
          <w:rFonts w:ascii="Times New Roman" w:hAnsi="Times New Roman" w:cs="Times New Roman"/>
        </w:rPr>
      </w:pPr>
      <w:bookmarkStart w:id="23" w:name="_Toc349858135"/>
      <w:r w:rsidRPr="00062B45">
        <w:rPr>
          <w:rFonts w:ascii="Times New Roman" w:hAnsi="Times New Roman" w:cs="Times New Roman"/>
        </w:rPr>
        <w:t>Theoretical and Methodological Considerations</w:t>
      </w:r>
      <w:bookmarkEnd w:id="23"/>
    </w:p>
    <w:p w:rsidR="00062B45" w:rsidRPr="00F436BD" w:rsidRDefault="00062B45" w:rsidP="00062B45">
      <w:pPr>
        <w:spacing w:line="480" w:lineRule="auto"/>
        <w:ind w:firstLine="720"/>
      </w:pPr>
      <w:r w:rsidRPr="00F436BD">
        <w:t>The reliability, applicability, and validity of age estimation techniques for paleodemography have been severely critiqued over the past few decades (Bo</w:t>
      </w:r>
      <w:r w:rsidR="00AF054E">
        <w:t>c</w:t>
      </w:r>
      <w:r w:rsidRPr="00F436BD">
        <w:t>quet-Appel and Masset</w:t>
      </w:r>
      <w:r>
        <w:t>,</w:t>
      </w:r>
      <w:r w:rsidR="00162E59">
        <w:t xml:space="preserve"> 1982, 1985, 1996</w:t>
      </w:r>
      <w:r w:rsidRPr="00F436BD">
        <w:t>; VanGerven and Armelagos</w:t>
      </w:r>
      <w:r>
        <w:t>,</w:t>
      </w:r>
      <w:r w:rsidRPr="00F436BD">
        <w:t xml:space="preserve"> 1983; Buikstra and Konigsberg</w:t>
      </w:r>
      <w:r>
        <w:t>,</w:t>
      </w:r>
      <w:r w:rsidRPr="00F436BD">
        <w:t xml:space="preserve"> 1985; Konigsberg and Frankenberg</w:t>
      </w:r>
      <w:r>
        <w:t>,</w:t>
      </w:r>
      <w:r w:rsidRPr="00F436BD">
        <w:t xml:space="preserve"> 1992, 1994;</w:t>
      </w:r>
      <w:r w:rsidR="00162E59">
        <w:t xml:space="preserve"> Bocquet-Appel</w:t>
      </w:r>
      <w:proofErr w:type="gramStart"/>
      <w:r w:rsidR="00162E59">
        <w:t>,</w:t>
      </w:r>
      <w:r w:rsidR="00162E59" w:rsidRPr="00F436BD">
        <w:t>2008</w:t>
      </w:r>
      <w:proofErr w:type="gramEnd"/>
      <w:r w:rsidR="00162E59">
        <w:t>;</w:t>
      </w:r>
      <w:r w:rsidRPr="00F436BD">
        <w:t xml:space="preserve"> Milner and Boldsen</w:t>
      </w:r>
      <w:r>
        <w:t>,</w:t>
      </w:r>
      <w:r w:rsidRPr="00F436BD">
        <w:t xml:space="preserve"> 2012a,b).  Bocquet-Appel and Masset</w:t>
      </w:r>
      <w:r w:rsidR="00162E59">
        <w:t xml:space="preserve"> (1982, 1985)</w:t>
      </w:r>
      <w:r w:rsidRPr="00F436BD">
        <w:t xml:space="preserve"> argued for the “death of paleodemography” because of inherent issues in age-at-death estimation and the subsequent analyses using these estimations. </w:t>
      </w:r>
      <w:r>
        <w:t xml:space="preserve"> </w:t>
      </w:r>
      <w:r w:rsidRPr="00F436BD">
        <w:t>As Bocquet-Ap</w:t>
      </w:r>
      <w:r>
        <w:t>pel and Masset (1982) stated, “</w:t>
      </w:r>
      <w:r w:rsidRPr="00F436BD">
        <w:t>the information conveyed by the age indicators is so poor” that the estimation of vital rates for past skeletal populations is simply a product of “random fluctuations and errors of method</w:t>
      </w:r>
      <w:r>
        <w:t xml:space="preserve">, </w:t>
      </w:r>
      <w:r w:rsidRPr="00F436BD">
        <w:t>p</w:t>
      </w:r>
      <w:r>
        <w:t xml:space="preserve"> </w:t>
      </w:r>
      <w:r w:rsidRPr="00F436BD">
        <w:t>329</w:t>
      </w:r>
      <w:r>
        <w:t>”</w:t>
      </w:r>
      <w:r w:rsidRPr="00F436BD">
        <w:t>.  They highlighted three major areas of concern in their paper:</w:t>
      </w:r>
      <w:r>
        <w:t xml:space="preserve"> </w:t>
      </w:r>
      <w:r w:rsidRPr="00F436BD">
        <w:t xml:space="preserve"> 1) the target age-at-death distributions are heavily influenced by the distribution of the reference sample used to create the method; 2) age-at-death estimates are inherently biased; 3) the correlation between skeletal age indicators and chronological age is unacceptably low.</w:t>
      </w:r>
      <w:r>
        <w:t xml:space="preserve"> </w:t>
      </w:r>
      <w:r w:rsidRPr="00F436BD">
        <w:t xml:space="preserve"> However, accurate age-at-death estimations are essential to reconstruction fertility and mortality schedules, morbidity patterns, and the age composition of skeletal populations. </w:t>
      </w:r>
      <w:r>
        <w:t xml:space="preserve"> </w:t>
      </w:r>
      <w:r w:rsidRPr="00F436BD">
        <w:t>Thus, researches have responded to the concerns by improving on the method and theory in age estimation, which has culminated in the guidelines outlined in the “Rostock Manifesto” (Konigsberg and Frankenberg</w:t>
      </w:r>
      <w:r>
        <w:t>,</w:t>
      </w:r>
      <w:r w:rsidRPr="00F436BD">
        <w:t xml:space="preserve"> 1992, 1994, 2002</w:t>
      </w:r>
      <w:r>
        <w:t>;</w:t>
      </w:r>
      <w:r w:rsidRPr="00F436BD">
        <w:t xml:space="preserve"> Hoppa and Vaupel</w:t>
      </w:r>
      <w:r>
        <w:t>,</w:t>
      </w:r>
      <w:r w:rsidRPr="00F436BD">
        <w:t xml:space="preserve"> 2002)  As outlined in the “Rostock Manifesto,” aging methods must incorporate traits that have a better correspondence with age, must utilize Bayesian approaches to create the method used, and must </w:t>
      </w:r>
      <w:r w:rsidRPr="00F436BD">
        <w:lastRenderedPageBreak/>
        <w:t>seek to understand that the target population’s age distribution (Hoppa and Vaupel</w:t>
      </w:r>
      <w:r>
        <w:t>,</w:t>
      </w:r>
      <w:r w:rsidRPr="00F436BD">
        <w:t xml:space="preserve"> 2002).  Instead of being a farewell, the criticisms sparked much debate and research to improve age estimation methods.  As several researchers have noted, the ages of skeletal sample are not known (Bocquet-Appel and Masset</w:t>
      </w:r>
      <w:r>
        <w:t>,</w:t>
      </w:r>
      <w:r w:rsidRPr="00F436BD">
        <w:t xml:space="preserve"> 1982, 1985</w:t>
      </w:r>
      <w:r>
        <w:t>;</w:t>
      </w:r>
      <w:r w:rsidRPr="00F436BD">
        <w:t xml:space="preserve"> Konigsberg and Frankenberg</w:t>
      </w:r>
      <w:r>
        <w:t>,</w:t>
      </w:r>
      <w:r w:rsidRPr="00F436BD">
        <w:t xml:space="preserve"> 2002</w:t>
      </w:r>
      <w:r>
        <w:t>;</w:t>
      </w:r>
      <w:r w:rsidRPr="00F436BD">
        <w:t xml:space="preserve"> Van Gerven and Armelagos</w:t>
      </w:r>
      <w:r>
        <w:t>,</w:t>
      </w:r>
      <w:r w:rsidRPr="00F436BD">
        <w:t xml:space="preserve"> 1983</w:t>
      </w:r>
      <w:r>
        <w:t>;</w:t>
      </w:r>
      <w:r w:rsidRPr="00F436BD">
        <w:t xml:space="preserve"> Bocquet-Appel</w:t>
      </w:r>
      <w:r>
        <w:t>,</w:t>
      </w:r>
      <w:r w:rsidRPr="00F436BD">
        <w:t xml:space="preserve"> 1986).  This results in an inherent error to all age-at-death estimates, which can be alleviated but not resolved by improvements in age at death indicators. </w:t>
      </w:r>
    </w:p>
    <w:p w:rsidR="00062B45" w:rsidRPr="00F436BD" w:rsidRDefault="00062B45" w:rsidP="00062B45">
      <w:pPr>
        <w:spacing w:line="480" w:lineRule="auto"/>
        <w:ind w:firstLine="720"/>
      </w:pPr>
      <w:r w:rsidRPr="00F436BD">
        <w:t xml:space="preserve">Estimating the chronological age from a skeleton is one of the most difficult aspects of analyzing a skeleton, but is the main purpose for assessing age (Kipling </w:t>
      </w:r>
      <w:r w:rsidRPr="00B068CC">
        <w:rPr>
          <w:i/>
        </w:rPr>
        <w:t>et al</w:t>
      </w:r>
      <w:r w:rsidRPr="00F436BD">
        <w:t>.</w:t>
      </w:r>
      <w:r>
        <w:t>,</w:t>
      </w:r>
      <w:r w:rsidRPr="00F436BD">
        <w:t xml:space="preserve"> 2004).</w:t>
      </w:r>
      <w:r>
        <w:t xml:space="preserve"> </w:t>
      </w:r>
      <w:r w:rsidRPr="00F436BD">
        <w:t xml:space="preserve"> Anthropologists typically use a suite of variables from the skeleton, known to change regularly over the course of a life time, to infer the chronological age of an individual.  A key assumption in using age estimation data to reconstruction the demographic profile of a population is that the biological age, derived from skeletal development and degeneration, is equivalent to the chronological age of the decedent (Kemkes-Grottenthaler</w:t>
      </w:r>
      <w:r>
        <w:t>,</w:t>
      </w:r>
      <w:r w:rsidRPr="00F436BD">
        <w:t xml:space="preserve"> 2002).  Variation between the biological and chronological age is known to exist as a result as of population differences, secular trends, and susceptibility of the individual to environmental factors.</w:t>
      </w:r>
      <w:r>
        <w:t xml:space="preserve"> </w:t>
      </w:r>
      <w:r w:rsidRPr="00F436BD">
        <w:t xml:space="preserve"> Ideally, the observer wants methods that are both accurate and precise, especially for forensic contexts where only one skeleton is evaluated at a time; while in a paleodemographic context, the goal is to model population dynamics to allow for biological interpretation. </w:t>
      </w:r>
    </w:p>
    <w:p w:rsidR="00062B45" w:rsidRPr="00F436BD" w:rsidRDefault="00062B45" w:rsidP="00062B45">
      <w:pPr>
        <w:spacing w:line="480" w:lineRule="auto"/>
      </w:pPr>
      <w:r w:rsidRPr="00F436BD">
        <w:t xml:space="preserve"> </w:t>
      </w:r>
      <w:r w:rsidRPr="00F436BD">
        <w:tab/>
        <w:t xml:space="preserve">The congruency of the biological and chronological age and the accuracy and precision of methods for age estimation depend on whether estimation is being made on an adult or sub-adult.  Developmental processes are assumed to be under greater genetic control, so are not as </w:t>
      </w:r>
      <w:r w:rsidRPr="00F436BD">
        <w:lastRenderedPageBreak/>
        <w:t>affected by environmental influences.  Several researchers have found that specific areas of the skeleton are under greater genetic control during development than others (</w:t>
      </w:r>
      <w:r w:rsidRPr="00F436BD">
        <w:rPr>
          <w:i/>
        </w:rPr>
        <w:t>e.g</w:t>
      </w:r>
      <w:r w:rsidRPr="00F436BD">
        <w:t>., dentition versus long bone length), so are not as influenced by environmental changes.  Also, populations exhibit differences in rate, timing, and duration of growth.</w:t>
      </w:r>
      <w:r>
        <w:t xml:space="preserve"> </w:t>
      </w:r>
      <w:r w:rsidRPr="00F436BD">
        <w:t xml:space="preserve"> Merchant and Ubelaker (1977) noted a clear difference in growth patterns between the Arikara compared to other Native American </w:t>
      </w:r>
      <w:r>
        <w:t>and modern American populations.</w:t>
      </w:r>
      <w:r w:rsidRPr="00F436BD">
        <w:t xml:space="preserve"> </w:t>
      </w:r>
      <w:r>
        <w:t xml:space="preserve"> </w:t>
      </w:r>
      <w:r w:rsidRPr="00F436BD">
        <w:t>Ubelaker (1978) adapted 20</w:t>
      </w:r>
      <w:r w:rsidRPr="00F436BD">
        <w:rPr>
          <w:vertAlign w:val="superscript"/>
        </w:rPr>
        <w:t>th</w:t>
      </w:r>
      <w:r w:rsidRPr="00F436BD">
        <w:t xml:space="preserve"> century American dental eruption standards to account for differences in eruption patterns of Arikara, and Owsley and Jantz (1983, 1994) describe how tooth development in infants and children within the Arikara are not consistent with modern standards and suggest a formula to adjust for the difference.  On the other hand, adult aging relies on the degenerative process, which is greatly influenced by environmental processes, such as nutrition, life style, disease, or activity. </w:t>
      </w:r>
      <w:r>
        <w:t xml:space="preserve"> </w:t>
      </w:r>
      <w:r w:rsidRPr="00F436BD">
        <w:t xml:space="preserve">The individual variability of aging in </w:t>
      </w:r>
      <w:proofErr w:type="gramStart"/>
      <w:r w:rsidRPr="00F436BD">
        <w:t>adults</w:t>
      </w:r>
      <w:proofErr w:type="gramEnd"/>
      <w:r w:rsidRPr="00F436BD">
        <w:t xml:space="preserve"> results in broader age estimates that are inherently less precise than sub-adult age estimates (Nawrocki</w:t>
      </w:r>
      <w:r>
        <w:t>,</w:t>
      </w:r>
      <w:r w:rsidRPr="00F436BD">
        <w:t xml:space="preserve"> 2010). </w:t>
      </w:r>
    </w:p>
    <w:p w:rsidR="00062B45" w:rsidRPr="00F436BD" w:rsidRDefault="00062B45" w:rsidP="00062B45">
      <w:pPr>
        <w:spacing w:line="480" w:lineRule="auto"/>
        <w:ind w:firstLine="720"/>
      </w:pPr>
      <w:r w:rsidRPr="00F436BD">
        <w:t>Most age-at-death estimation methods rely on inverse calibration where an appropriate prior (reference population) is required for the computation of quality age estimates.  The reference population’s fitness is one of the biggest obstacles in age estimation.  A conservative approach to address the issue of bias is to select a uniform prior when estimating the age distribution of a target sample because it produces an unbiased age structure (Bocquet-Appel</w:t>
      </w:r>
      <w:r>
        <w:t>,</w:t>
      </w:r>
      <w:r w:rsidRPr="00F436BD">
        <w:t xml:space="preserve"> 1986).  This classical calibration approach is appropriate when no suitable prior exists for the target sample, because it assumes an uninformative prior for age at death and produces maximum likelihood estimates for age by </w:t>
      </w:r>
      <w:proofErr w:type="gramStart"/>
      <w:r w:rsidRPr="00F436BD">
        <w:t>regressing</w:t>
      </w:r>
      <w:proofErr w:type="gramEnd"/>
      <w:r w:rsidRPr="00F436BD">
        <w:t xml:space="preserve"> the dependent variable on the independent and then solving for age (Konigsberg </w:t>
      </w:r>
      <w:r w:rsidRPr="00B068CC">
        <w:rPr>
          <w:i/>
        </w:rPr>
        <w:t>et al</w:t>
      </w:r>
      <w:r w:rsidRPr="00F436BD">
        <w:t>.</w:t>
      </w:r>
      <w:r>
        <w:t>,</w:t>
      </w:r>
      <w:r w:rsidRPr="00F436BD">
        <w:t xml:space="preserve"> 1998).</w:t>
      </w:r>
      <w:r>
        <w:t xml:space="preserve"> </w:t>
      </w:r>
      <w:r w:rsidRPr="00F436BD">
        <w:t xml:space="preserve"> However, an unbiased age structure requires </w:t>
      </w:r>
      <w:r w:rsidRPr="00F436BD">
        <w:lastRenderedPageBreak/>
        <w:t>data to be discarded because it does not use all of the information about the target sample’s age structure (Konigsberg and Frankenberg</w:t>
      </w:r>
      <w:r>
        <w:t>,</w:t>
      </w:r>
      <w:r w:rsidRPr="00F436BD">
        <w:t xml:space="preserve"> 1992); and it assumes that each skeleton in the target sample has an equal probability of being in all age categories (Hoppa and Vaupel</w:t>
      </w:r>
      <w:r>
        <w:t>,</w:t>
      </w:r>
      <w:r w:rsidRPr="00F436BD">
        <w:t xml:space="preserve"> 2002).</w:t>
      </w:r>
      <w:r>
        <w:t xml:space="preserve"> </w:t>
      </w:r>
      <w:r w:rsidRPr="00F436BD">
        <w:t xml:space="preserve"> A more economical approach would be to utilize statistical methods that incorporate hazard models that allow for the age at death to be calculated from the distribution estimated from hazard analysis and the age of transition (Konigsberg </w:t>
      </w:r>
      <w:r w:rsidRPr="00B068CC">
        <w:rPr>
          <w:i/>
        </w:rPr>
        <w:t>et al</w:t>
      </w:r>
      <w:r w:rsidRPr="00F436BD">
        <w:t>.</w:t>
      </w:r>
      <w:r>
        <w:t>,</w:t>
      </w:r>
      <w:r w:rsidRPr="00F436BD">
        <w:t xml:space="preserve"> 2008).</w:t>
      </w:r>
      <w:r>
        <w:t xml:space="preserve"> </w:t>
      </w:r>
      <w:r w:rsidRPr="00F436BD">
        <w:t xml:space="preserve"> This method relies heavily on maximum likelihood estimation to produce the age distribution.</w:t>
      </w:r>
      <w:r>
        <w:t xml:space="preserve"> </w:t>
      </w:r>
      <w:r w:rsidRPr="00F436BD">
        <w:t xml:space="preserve"> Maximum likelihood estimates use a reference sample to obtain the target sample age distribution initially, but through multiple iterations, where the subsequent iterations use the distribution of the target sample produced in the first iteration, the affects of the reference sample distribution are minimized (Konigsberg and Frankenberg</w:t>
      </w:r>
      <w:r>
        <w:t>,</w:t>
      </w:r>
      <w:r w:rsidRPr="00F436BD">
        <w:t xml:space="preserve"> 2002).  The iterations are maximized when the difference in log-likelihoods between two iterations is negligible.  Comparisons of the reference sample, target sample, Bayesian produced curve</w:t>
      </w:r>
      <w:r>
        <w:t>,</w:t>
      </w:r>
      <w:r w:rsidRPr="00F436BD">
        <w:t xml:space="preserve"> and maximum likelihood curve clearly indicate that the maximum likelihood is the best fit for acquiring an age distribution of a target sample (Konigsberg and Frankenberg</w:t>
      </w:r>
      <w:r>
        <w:t>,</w:t>
      </w:r>
      <w:r w:rsidRPr="00F436BD">
        <w:t xml:space="preserve"> 2002).  Also maximum likelihood estimation methods can take into consideration the quality of information from an individual skeleton.  </w:t>
      </w:r>
    </w:p>
    <w:p w:rsidR="00062B45" w:rsidRPr="00062B45" w:rsidRDefault="00062B45" w:rsidP="00062B45">
      <w:pPr>
        <w:pStyle w:val="Heading3"/>
        <w:rPr>
          <w:rFonts w:ascii="Times New Roman" w:hAnsi="Times New Roman" w:cs="Times New Roman"/>
        </w:rPr>
      </w:pPr>
      <w:bookmarkStart w:id="24" w:name="_Toc349858136"/>
      <w:r w:rsidRPr="00062B45">
        <w:rPr>
          <w:rFonts w:ascii="Times New Roman" w:hAnsi="Times New Roman" w:cs="Times New Roman"/>
        </w:rPr>
        <w:t>Sub-adult Age Estimation</w:t>
      </w:r>
      <w:bookmarkEnd w:id="24"/>
    </w:p>
    <w:p w:rsidR="00062B45" w:rsidRPr="00F436BD" w:rsidRDefault="00062B45" w:rsidP="007141FE">
      <w:pPr>
        <w:spacing w:line="480" w:lineRule="auto"/>
        <w:ind w:firstLine="720"/>
      </w:pPr>
      <w:r w:rsidRPr="00F436BD">
        <w:t xml:space="preserve">Sub-adult aging methods predominantly focus on age dependent variation in dental development, epiphyseal closure, and bone growth to provide an age-at-death. </w:t>
      </w:r>
      <w:r>
        <w:t xml:space="preserve"> </w:t>
      </w:r>
      <w:r w:rsidRPr="00F436BD">
        <w:t>Even though most sub-adult aging techniques provide more precise and accurate ages than adult estimation methods, sub-adult age estimation methods must account for population specific developmental patterns, because timing and extent of growth are based on the population and sex (Stewart</w:t>
      </w:r>
      <w:r>
        <w:t>,</w:t>
      </w:r>
      <w:r w:rsidRPr="00F436BD">
        <w:t xml:space="preserve"> </w:t>
      </w:r>
      <w:r w:rsidRPr="00F436BD">
        <w:lastRenderedPageBreak/>
        <w:t>1979</w:t>
      </w:r>
      <w:r>
        <w:t>;</w:t>
      </w:r>
      <w:r w:rsidRPr="00F436BD">
        <w:t xml:space="preserve"> Ubelaker</w:t>
      </w:r>
      <w:r>
        <w:t>,</w:t>
      </w:r>
      <w:r w:rsidR="00162E59">
        <w:t xml:space="preserve"> </w:t>
      </w:r>
      <w:r w:rsidRPr="00F436BD">
        <w:t>197</w:t>
      </w:r>
      <w:r w:rsidR="00162E59">
        <w:t>8)</w:t>
      </w:r>
      <w:r w:rsidRPr="00F436BD">
        <w:t>.  Also, methods also must account for metabolic stressors affecting growth and catch-up growth often associated with adolescence.</w:t>
      </w:r>
    </w:p>
    <w:p w:rsidR="00062B45" w:rsidRPr="007141FE" w:rsidRDefault="00062B45" w:rsidP="00062B45">
      <w:pPr>
        <w:pStyle w:val="Heading3"/>
        <w:rPr>
          <w:rFonts w:ascii="Times New Roman" w:hAnsi="Times New Roman" w:cs="Times New Roman"/>
          <w:b w:val="0"/>
        </w:rPr>
      </w:pPr>
      <w:bookmarkStart w:id="25" w:name="_Toc349858137"/>
      <w:r w:rsidRPr="007141FE">
        <w:rPr>
          <w:rFonts w:ascii="Times New Roman" w:hAnsi="Times New Roman" w:cs="Times New Roman"/>
          <w:b w:val="0"/>
        </w:rPr>
        <w:t>Dental Development and Eruption</w:t>
      </w:r>
      <w:bookmarkEnd w:id="25"/>
    </w:p>
    <w:p w:rsidR="00062B45" w:rsidRPr="00F436BD" w:rsidRDefault="00062B45" w:rsidP="007141FE">
      <w:pPr>
        <w:spacing w:line="480" w:lineRule="auto"/>
        <w:ind w:firstLine="720"/>
      </w:pPr>
      <w:r w:rsidRPr="00F436BD">
        <w:t>Teeth are considered to be the most informative and reliable indicator to assess age in juvenile skeletal remains, especially in the very young (Lewis and Garn</w:t>
      </w:r>
      <w:r>
        <w:t>,</w:t>
      </w:r>
      <w:r w:rsidRPr="00F436BD">
        <w:t xml:space="preserve"> 1960</w:t>
      </w:r>
      <w:r>
        <w:t>;</w:t>
      </w:r>
      <w:r w:rsidRPr="00F436BD">
        <w:t xml:space="preserve"> Liversidge</w:t>
      </w:r>
      <w:r>
        <w:t>,</w:t>
      </w:r>
      <w:r w:rsidRPr="00F436BD">
        <w:t xml:space="preserve"> 2008).</w:t>
      </w:r>
      <w:r>
        <w:t xml:space="preserve"> </w:t>
      </w:r>
      <w:r w:rsidRPr="00F436BD">
        <w:t xml:space="preserve"> Teeth have a strong genetic component, so are not as susceptible to environmental variability; whereas, many of the skeletal markers are affected by nutrition, disease, or maturation variability (Scheuer and Black</w:t>
      </w:r>
      <w:r>
        <w:t>,</w:t>
      </w:r>
      <w:r w:rsidRPr="00F436BD">
        <w:t xml:space="preserve"> 2000</w:t>
      </w:r>
      <w:r>
        <w:t>;</w:t>
      </w:r>
      <w:r w:rsidRPr="00F436BD">
        <w:t xml:space="preserve"> Cardoso</w:t>
      </w:r>
      <w:r>
        <w:t>,</w:t>
      </w:r>
      <w:r w:rsidRPr="00F436BD">
        <w:t xml:space="preserve"> 2007). </w:t>
      </w:r>
      <w:r>
        <w:t xml:space="preserve"> </w:t>
      </w:r>
      <w:r w:rsidRPr="00F436BD">
        <w:t>Smith (1991) found that stages of tooth development had lower coefficients of variation than do stages of skeletal development.  Also, dental maturation seems to be independent of both skeletal and sexual maturation (Liversidge</w:t>
      </w:r>
      <w:r>
        <w:t>,</w:t>
      </w:r>
      <w:r w:rsidRPr="00F436BD">
        <w:t xml:space="preserve"> 2008).</w:t>
      </w:r>
      <w:r>
        <w:t xml:space="preserve"> </w:t>
      </w:r>
      <w:r w:rsidRPr="00F436BD">
        <w:t xml:space="preserve"> Furthermore, tests of know age material demonstrated estimated ages diverged less from actual than they did from the es</w:t>
      </w:r>
      <w:r w:rsidR="00162E59">
        <w:t xml:space="preserve">timated skeletal age (Saunders </w:t>
      </w:r>
      <w:r w:rsidR="00162E59" w:rsidRPr="00162E59">
        <w:rPr>
          <w:i/>
        </w:rPr>
        <w:t>e</w:t>
      </w:r>
      <w:r w:rsidRPr="00162E59">
        <w:rPr>
          <w:i/>
        </w:rPr>
        <w:t>t al</w:t>
      </w:r>
      <w:r w:rsidRPr="00F436BD">
        <w:t>.</w:t>
      </w:r>
      <w:r>
        <w:t>,</w:t>
      </w:r>
      <w:r w:rsidRPr="00F436BD">
        <w:t xml:space="preserve"> 1993). </w:t>
      </w:r>
    </w:p>
    <w:p w:rsidR="00062B45" w:rsidRPr="00F436BD" w:rsidRDefault="00062B45" w:rsidP="007141FE">
      <w:pPr>
        <w:spacing w:line="480" w:lineRule="auto"/>
        <w:ind w:firstLine="720"/>
      </w:pPr>
      <w:r w:rsidRPr="00F436BD">
        <w:t xml:space="preserve">Anthropologists evaluate dental maturity by 1) assessing tooth crown and root mineralization through the scoring of developmental stages (Morrees </w:t>
      </w:r>
      <w:r w:rsidRPr="00B068CC">
        <w:rPr>
          <w:i/>
        </w:rPr>
        <w:t>et al</w:t>
      </w:r>
      <w:r w:rsidRPr="00F436BD">
        <w:t>.</w:t>
      </w:r>
      <w:r>
        <w:t>,</w:t>
      </w:r>
      <w:r w:rsidRPr="00F436BD">
        <w:t xml:space="preserve"> 1963a,b</w:t>
      </w:r>
      <w:r>
        <w:t>;</w:t>
      </w:r>
      <w:r w:rsidRPr="00F436BD">
        <w:t xml:space="preserve"> Liversidge</w:t>
      </w:r>
      <w:r>
        <w:t>,</w:t>
      </w:r>
      <w:r w:rsidRPr="00F436BD">
        <w:t xml:space="preserve"> 2008) or by the measurement of the crown versus height (Demirjian </w:t>
      </w:r>
      <w:r w:rsidRPr="00B068CC">
        <w:rPr>
          <w:i/>
        </w:rPr>
        <w:t>et al</w:t>
      </w:r>
      <w:r w:rsidRPr="00F436BD">
        <w:t>.</w:t>
      </w:r>
      <w:r>
        <w:t>,</w:t>
      </w:r>
      <w:r w:rsidRPr="00F436BD">
        <w:t xml:space="preserve"> 1973)  and 2) evaluating the pattern and/or amount of teeth eruption/emergence for age estimations (Schour and Massler</w:t>
      </w:r>
      <w:r>
        <w:t>,</w:t>
      </w:r>
      <w:r w:rsidRPr="00F436BD">
        <w:t xml:space="preserve"> 1941</w:t>
      </w:r>
      <w:r>
        <w:t>;</w:t>
      </w:r>
      <w:r w:rsidRPr="00F436BD">
        <w:t xml:space="preserve"> Ubelaker</w:t>
      </w:r>
      <w:r>
        <w:t>,</w:t>
      </w:r>
      <w:r w:rsidRPr="00F436BD">
        <w:t xml:space="preserve"> 1978).  It is important to note that most mineralization standards for teeth are based on cross-sectional or longitudinal studies using radiographs of European children (Smith</w:t>
      </w:r>
      <w:r>
        <w:t>,</w:t>
      </w:r>
      <w:r w:rsidRPr="00F436BD">
        <w:t xml:space="preserve"> 1991), while regression-based methods have utilized documented archaeological material and are based on measuring the maximum tooth height (Liversidge </w:t>
      </w:r>
      <w:r w:rsidRPr="00B068CC">
        <w:rPr>
          <w:i/>
        </w:rPr>
        <w:t>et al</w:t>
      </w:r>
      <w:r w:rsidRPr="00F436BD">
        <w:t>.</w:t>
      </w:r>
      <w:r>
        <w:t>,</w:t>
      </w:r>
      <w:r w:rsidR="00015FA4">
        <w:t xml:space="preserve"> 1998, 2003</w:t>
      </w:r>
      <w:r w:rsidRPr="00F436BD">
        <w:t xml:space="preserve">).  </w:t>
      </w:r>
    </w:p>
    <w:p w:rsidR="00062B45" w:rsidRPr="00F436BD" w:rsidRDefault="00062B45" w:rsidP="007141FE">
      <w:pPr>
        <w:spacing w:line="480" w:lineRule="auto"/>
        <w:ind w:firstLine="720"/>
      </w:pPr>
      <w:r w:rsidRPr="00F436BD">
        <w:lastRenderedPageBreak/>
        <w:t>Out of the several scoring- based approaches available to anthropologists, few meet the “Rostock Manifesto” requirements (Hoppa and Vaupel</w:t>
      </w:r>
      <w:r>
        <w:t>,</w:t>
      </w:r>
      <w:r w:rsidRPr="00F436BD">
        <w:t xml:space="preserve"> 2002).  Smith (1991) outlines the mathematical basis for most tooth formation and developmental schemes used in anthropology as well as the pros and cons of each.  She focuses heavily on the compatibility and comparability of methods, which according to her are not comparable because “the underlying variables are fundamentally different” (p149).  The Moorees </w:t>
      </w:r>
      <w:r w:rsidRPr="00B068CC">
        <w:rPr>
          <w:i/>
        </w:rPr>
        <w:t>et al</w:t>
      </w:r>
      <w:r>
        <w:t>.</w:t>
      </w:r>
      <w:r w:rsidRPr="00F436BD">
        <w:t xml:space="preserve"> (1963a, b) standards were formed using a probit analysis to locate the mean in the cumulative distribution function, which avoids the age structure bias common to most aging techniques (Smith</w:t>
      </w:r>
      <w:r>
        <w:t>,</w:t>
      </w:r>
      <w:r w:rsidRPr="00F436BD">
        <w:t xml:space="preserve"> 1991).  As such, it explicitly provides estimates of age of attainment of the growth stage and provides central tendency and dispersion information. </w:t>
      </w:r>
      <w:r>
        <w:t xml:space="preserve"> </w:t>
      </w:r>
      <w:proofErr w:type="gramStart"/>
      <w:r w:rsidRPr="00F436BD">
        <w:t xml:space="preserve">However, </w:t>
      </w:r>
      <w:r>
        <w:t xml:space="preserve">Saunders </w:t>
      </w:r>
      <w:r w:rsidRPr="00B068CC">
        <w:rPr>
          <w:i/>
        </w:rPr>
        <w:t>et al</w:t>
      </w:r>
      <w:r>
        <w:t>. (1993</w:t>
      </w:r>
      <w:r w:rsidRPr="00F436BD">
        <w:t xml:space="preserve">) caution against using the Moorees </w:t>
      </w:r>
      <w:r w:rsidRPr="00B068CC">
        <w:rPr>
          <w:i/>
        </w:rPr>
        <w:t>et al</w:t>
      </w:r>
      <w:r w:rsidRPr="00F436BD">
        <w:t xml:space="preserve">. (1963b) standards </w:t>
      </w:r>
      <w:r>
        <w:t xml:space="preserve">of </w:t>
      </w:r>
      <w:r w:rsidRPr="00F436BD">
        <w:t xml:space="preserve">development </w:t>
      </w:r>
      <w:r>
        <w:t>for</w:t>
      </w:r>
      <w:r w:rsidRPr="00F436BD">
        <w:t xml:space="preserve"> the adult central incisor, because of sampling deficiencies.</w:t>
      </w:r>
      <w:proofErr w:type="gramEnd"/>
      <w:r w:rsidRPr="00F436BD">
        <w:t xml:space="preserve">  A recent study by Maber </w:t>
      </w:r>
      <w:r w:rsidRPr="00B068CC">
        <w:rPr>
          <w:i/>
        </w:rPr>
        <w:t>et al</w:t>
      </w:r>
      <w:r w:rsidRPr="00F436BD">
        <w:t>. (2006)  and Liversidge (2008) evaluated several of the dental maturity methods in use to determine the absolute accuracy of each in regards to the true, chronological age of the child.</w:t>
      </w:r>
      <w:r>
        <w:t xml:space="preserve"> </w:t>
      </w:r>
      <w:r w:rsidRPr="00F436BD">
        <w:t xml:space="preserve"> They found that the scoring based methods performed very well with the overall accuracy being six month to one year. </w:t>
      </w:r>
    </w:p>
    <w:p w:rsidR="00062B45" w:rsidRPr="00F436BD" w:rsidRDefault="00062B45" w:rsidP="007141FE">
      <w:pPr>
        <w:spacing w:line="480" w:lineRule="auto"/>
        <w:ind w:firstLine="720"/>
      </w:pPr>
      <w:r w:rsidRPr="00F436BD">
        <w:t>Several have criticized scoring methods, because of the inter-observer bias in the scoring of stages, trait identification, and interpretations of definitions for specific traits, which limits the scoring-based methods utility (Saunder</w:t>
      </w:r>
      <w:r w:rsidR="00015FA4">
        <w:t>s</w:t>
      </w:r>
      <w:r>
        <w:t>,</w:t>
      </w:r>
      <w:r w:rsidRPr="00F436BD">
        <w:t xml:space="preserve"> 2008). </w:t>
      </w:r>
      <w:r>
        <w:t xml:space="preserve"> </w:t>
      </w:r>
      <w:r w:rsidRPr="00F436BD">
        <w:t xml:space="preserve">This has lead to the development of regression-based approaches.  Liversidge </w:t>
      </w:r>
      <w:r w:rsidRPr="00B068CC">
        <w:rPr>
          <w:i/>
        </w:rPr>
        <w:t>et al</w:t>
      </w:r>
      <w:r w:rsidRPr="00F436BD">
        <w:t xml:space="preserve">. </w:t>
      </w:r>
      <w:r>
        <w:t>(</w:t>
      </w:r>
      <w:r w:rsidRPr="00F436BD">
        <w:t>1998</w:t>
      </w:r>
      <w:r>
        <w:t>)</w:t>
      </w:r>
      <w:r w:rsidRPr="00F436BD">
        <w:t xml:space="preserve"> created regression based methods to estimate age from deciduous and adult teeth</w:t>
      </w:r>
      <w:r>
        <w:t>, but little research has been published that tests the accuracy lvel of the regression formulae versus scoring methods.</w:t>
      </w:r>
      <w:r w:rsidRPr="00F436BD">
        <w:t xml:space="preserve"> </w:t>
      </w:r>
    </w:p>
    <w:p w:rsidR="00062B45" w:rsidRPr="00F436BD" w:rsidRDefault="00062B45" w:rsidP="007141FE">
      <w:pPr>
        <w:spacing w:line="480" w:lineRule="auto"/>
        <w:ind w:firstLine="720"/>
      </w:pPr>
      <w:r w:rsidRPr="00F436BD">
        <w:lastRenderedPageBreak/>
        <w:t>The comparison of erupted teeth to pictorial charts of eruption patterns also have been applied to archaeological material (Schour and Massler</w:t>
      </w:r>
      <w:r>
        <w:t>,</w:t>
      </w:r>
      <w:r w:rsidRPr="00F436BD">
        <w:t xml:space="preserve"> 1941</w:t>
      </w:r>
      <w:r>
        <w:t xml:space="preserve">; </w:t>
      </w:r>
      <w:r w:rsidRPr="00F436BD">
        <w:t>Ubelaker</w:t>
      </w:r>
      <w:r>
        <w:t>,</w:t>
      </w:r>
      <w:r w:rsidRPr="00F436BD">
        <w:t xml:space="preserve"> 1978).</w:t>
      </w:r>
      <w:r>
        <w:t xml:space="preserve"> </w:t>
      </w:r>
      <w:r w:rsidRPr="00F436BD">
        <w:t xml:space="preserve"> However, eruption or emergence of the teeth </w:t>
      </w:r>
      <w:r>
        <w:t>is</w:t>
      </w:r>
      <w:r w:rsidRPr="00F436BD">
        <w:t xml:space="preserve"> considered to be less reliable because it is affected by systemic influences, like developmental abnormalities and disease (Smith</w:t>
      </w:r>
      <w:r>
        <w:t>,</w:t>
      </w:r>
      <w:r w:rsidRPr="00F436BD">
        <w:t xml:space="preserve"> 1991). </w:t>
      </w:r>
      <w:r>
        <w:t xml:space="preserve"> </w:t>
      </w:r>
      <w:r w:rsidRPr="00F436BD">
        <w:t>Also, inter</w:t>
      </w:r>
      <w:r>
        <w:t>-</w:t>
      </w:r>
      <w:r w:rsidRPr="00F436BD">
        <w:t>population differences in eruption patterns of teeth have been identified with eruption starting earlier overall or there being a different pattern in the timing of emergence for specific teeth</w:t>
      </w:r>
      <w:r>
        <w:t xml:space="preserve"> (Jantz and Owsley, 1994)</w:t>
      </w:r>
      <w:r w:rsidRPr="00F436BD">
        <w:t>.  Ubelaker (1978) adapted the developmental stages for the first 15 years of life chart, created by Schour and Massler (1941), for Native American materials to account for this.</w:t>
      </w:r>
      <w:r>
        <w:t xml:space="preserve"> </w:t>
      </w:r>
      <w:r w:rsidRPr="00F436BD">
        <w:t xml:space="preserve"> Merchant and Ubelaker (1977) found that Arikara Indian material, from the Mobridge (39WW1) archaeological site, displayed earlier than expected eruption patterns when compared to ages obtained through Moorees </w:t>
      </w:r>
      <w:r w:rsidRPr="00B068CC">
        <w:rPr>
          <w:i/>
        </w:rPr>
        <w:t>et al</w:t>
      </w:r>
      <w:r w:rsidRPr="00F436BD">
        <w:t xml:space="preserve">. (1963a,b). </w:t>
      </w:r>
      <w:r>
        <w:t xml:space="preserve"> </w:t>
      </w:r>
      <w:r w:rsidRPr="00F436BD">
        <w:t>However, this test of Schour and Massler (1941) used materials of an unknow</w:t>
      </w:r>
      <w:r>
        <w:t>n age.  Nevertheless, Ubelaker’</w:t>
      </w:r>
      <w:r w:rsidRPr="00F436BD">
        <w:t>s (1978) eruption chart is the recommended source for most of forensic anthropology and was cited as such in the Workshop for European Anthropologists (1980).  Another possible source of error in using tooth eruption for age estimation is in the definition of eruption.</w:t>
      </w:r>
      <w:r>
        <w:t xml:space="preserve"> </w:t>
      </w:r>
      <w:r w:rsidRPr="00F436BD">
        <w:t xml:space="preserve"> Most clinical-based standards consider eruption when the tooth has perforated the gingival; whereas in archaeological contexts eruption is often associated with the tooth projecting beyond the bone (Smith</w:t>
      </w:r>
      <w:r>
        <w:t>,</w:t>
      </w:r>
      <w:r w:rsidRPr="00F436BD">
        <w:t xml:space="preserve"> 1991). </w:t>
      </w:r>
    </w:p>
    <w:p w:rsidR="00062B45" w:rsidRPr="00F436BD" w:rsidRDefault="00062B45" w:rsidP="007141FE">
      <w:pPr>
        <w:spacing w:line="480" w:lineRule="auto"/>
        <w:ind w:firstLine="720"/>
      </w:pPr>
      <w:r w:rsidRPr="00F436BD">
        <w:t xml:space="preserve">More recently, Shackelford </w:t>
      </w:r>
      <w:r w:rsidRPr="00B068CC">
        <w:rPr>
          <w:i/>
        </w:rPr>
        <w:t>et al</w:t>
      </w:r>
      <w:r w:rsidRPr="00F436BD">
        <w:t xml:space="preserve">. (2012) outlined a multifactorial method for dental development based on the Moorrees </w:t>
      </w:r>
      <w:r w:rsidRPr="00B068CC">
        <w:rPr>
          <w:i/>
        </w:rPr>
        <w:t>et al</w:t>
      </w:r>
      <w:r w:rsidRPr="00F436BD">
        <w:t>. (1963a</w:t>
      </w:r>
      <w:proofErr w:type="gramStart"/>
      <w:r w:rsidRPr="00F436BD">
        <w:t>,b</w:t>
      </w:r>
      <w:proofErr w:type="gramEnd"/>
      <w:r w:rsidRPr="00F436BD">
        <w:t xml:space="preserve">) method.  Since the Moorrees </w:t>
      </w:r>
      <w:r w:rsidRPr="00B068CC">
        <w:rPr>
          <w:i/>
        </w:rPr>
        <w:t>et al</w:t>
      </w:r>
      <w:r w:rsidRPr="00F436BD">
        <w:t>. (1963a</w:t>
      </w:r>
      <w:proofErr w:type="gramStart"/>
      <w:r w:rsidRPr="00F436BD">
        <w:t>,b</w:t>
      </w:r>
      <w:proofErr w:type="gramEnd"/>
      <w:r w:rsidRPr="00F436BD">
        <w:t xml:space="preserve">) data follow a cumulative probit distribution, Bayesian based methods can be applied in which the transition of moving from one score to the next can be determined for individual or a suite of </w:t>
      </w:r>
      <w:r w:rsidRPr="00F436BD">
        <w:lastRenderedPageBreak/>
        <w:t xml:space="preserve">teeth.  A specific point estimate and probability density function for the age can be determined using combined data from both primary and secondary teeth.  </w:t>
      </w:r>
    </w:p>
    <w:p w:rsidR="00062B45" w:rsidRPr="007141FE" w:rsidRDefault="00062B45" w:rsidP="007141FE">
      <w:pPr>
        <w:pStyle w:val="Heading3"/>
        <w:rPr>
          <w:rFonts w:ascii="Times New Roman" w:hAnsi="Times New Roman" w:cs="Times New Roman"/>
          <w:b w:val="0"/>
        </w:rPr>
      </w:pPr>
      <w:bookmarkStart w:id="26" w:name="_Toc349858138"/>
      <w:r w:rsidRPr="007141FE">
        <w:rPr>
          <w:rFonts w:ascii="Times New Roman" w:hAnsi="Times New Roman" w:cs="Times New Roman"/>
          <w:b w:val="0"/>
        </w:rPr>
        <w:t>Skeletal Development</w:t>
      </w:r>
      <w:bookmarkEnd w:id="26"/>
    </w:p>
    <w:p w:rsidR="00062B45" w:rsidRPr="00F436BD" w:rsidRDefault="00062B45" w:rsidP="007141FE">
      <w:pPr>
        <w:spacing w:line="480" w:lineRule="auto"/>
        <w:ind w:firstLine="720"/>
      </w:pPr>
      <w:r w:rsidRPr="00F436BD">
        <w:t xml:space="preserve">The appearance of ossification centers are the least informative in bioarchaeological analyses, because separate ossification centers cannot be clearly associated with elements when excavated.  However, the overall size and morphological changes of ossification centers are a primary means to assess age from the mid-fetal to the late adolescent time period, especially in the absence of teeth. </w:t>
      </w:r>
      <w:r>
        <w:t xml:space="preserve"> </w:t>
      </w:r>
      <w:r w:rsidRPr="00F436BD">
        <w:t>Surveys of archaeological and forensic materials by Ubelaker (1978, 1989 a</w:t>
      </w:r>
      <w:proofErr w:type="gramStart"/>
      <w:r w:rsidRPr="00F436BD">
        <w:t>,b</w:t>
      </w:r>
      <w:proofErr w:type="gramEnd"/>
      <w:r w:rsidRPr="00F436BD">
        <w:t xml:space="preserve">) have provided much of the information regarding fusion times found in Buikstra and Ubelaker (1994). </w:t>
      </w:r>
      <w:r>
        <w:t xml:space="preserve"> </w:t>
      </w:r>
      <w:r w:rsidRPr="00F436BD">
        <w:t>These data augmented by McKern and Stewart’s (1957) survey of Korean War fatalities provide an extensive overview of skeletal maturation timing.</w:t>
      </w:r>
      <w:r>
        <w:t xml:space="preserve"> </w:t>
      </w:r>
      <w:r w:rsidRPr="00F436BD">
        <w:t xml:space="preserve"> The caveat with using McKern and Stewart (1957) as a standard in the archaeological context is the narrow population scope, so other references should be used in conjunction with or in lieu of this reference (Ubelaker</w:t>
      </w:r>
      <w:r>
        <w:t>,</w:t>
      </w:r>
      <w:r w:rsidRPr="00F436BD">
        <w:t xml:space="preserve"> 1978</w:t>
      </w:r>
      <w:r>
        <w:t>;</w:t>
      </w:r>
      <w:r w:rsidRPr="00F436BD">
        <w:t xml:space="preserve"> Stewart</w:t>
      </w:r>
      <w:r>
        <w:t>,</w:t>
      </w:r>
      <w:r w:rsidRPr="00F436BD">
        <w:t xml:space="preserve"> 1979</w:t>
      </w:r>
      <w:r>
        <w:t>;</w:t>
      </w:r>
      <w:r w:rsidRPr="00F436BD">
        <w:t xml:space="preserve"> Scheuer and Black</w:t>
      </w:r>
      <w:r>
        <w:t>,</w:t>
      </w:r>
      <w:r w:rsidRPr="00F436BD">
        <w:t xml:space="preserve"> 2000</w:t>
      </w:r>
      <w:r>
        <w:t>;</w:t>
      </w:r>
      <w:r w:rsidRPr="00F436BD">
        <w:t xml:space="preserve"> Schaefer and Black</w:t>
      </w:r>
      <w:r>
        <w:t>,</w:t>
      </w:r>
      <w:r w:rsidRPr="00F436BD">
        <w:t xml:space="preserve"> 2005).</w:t>
      </w:r>
      <w:r>
        <w:t xml:space="preserve"> </w:t>
      </w:r>
      <w:r w:rsidRPr="00F436BD">
        <w:t xml:space="preserve"> The timing of epiphyseal fusion, even though it is well documented, is quite variable by individual, sex, and population (Cameron</w:t>
      </w:r>
      <w:r>
        <w:t>,</w:t>
      </w:r>
      <w:r w:rsidRPr="00F436BD">
        <w:t xml:space="preserve"> 2002</w:t>
      </w:r>
      <w:r>
        <w:t>;</w:t>
      </w:r>
      <w:r w:rsidRPr="00F436BD">
        <w:t xml:space="preserve"> Crowder and Austin</w:t>
      </w:r>
      <w:r>
        <w:t>,</w:t>
      </w:r>
      <w:r w:rsidRPr="00F436BD">
        <w:t xml:space="preserve"> 2005</w:t>
      </w:r>
      <w:r>
        <w:t>;</w:t>
      </w:r>
      <w:r w:rsidRPr="00F436BD">
        <w:t xml:space="preserve"> Saunders</w:t>
      </w:r>
      <w:r>
        <w:t>,</w:t>
      </w:r>
      <w:r w:rsidRPr="00F436BD">
        <w:t xml:space="preserve"> 2008).  Studies have consistently demonstrated that epiphyseal fusion occurs earlier in females than males (Scheuer and Black</w:t>
      </w:r>
      <w:r>
        <w:t>,</w:t>
      </w:r>
      <w:r w:rsidRPr="00F436BD">
        <w:t xml:space="preserve"> 2000</w:t>
      </w:r>
      <w:r>
        <w:t>;</w:t>
      </w:r>
      <w:r w:rsidRPr="00F436BD">
        <w:t xml:space="preserve"> Krogman and Iscan</w:t>
      </w:r>
      <w:r>
        <w:t>,</w:t>
      </w:r>
      <w:r w:rsidRPr="00F436BD">
        <w:t xml:space="preserve"> 1986).</w:t>
      </w:r>
      <w:r>
        <w:t xml:space="preserve"> </w:t>
      </w:r>
      <w:r w:rsidRPr="00F436BD">
        <w:t xml:space="preserve"> The value of epiphyseal fusion and long bone length increases when analyzing older children and adolescent material, but sex of the individual should be considered in these cases (McKern and Stewart</w:t>
      </w:r>
      <w:r>
        <w:t>,</w:t>
      </w:r>
      <w:r w:rsidRPr="00F436BD">
        <w:t xml:space="preserve"> 1957</w:t>
      </w:r>
      <w:r>
        <w:t>;</w:t>
      </w:r>
      <w:r w:rsidRPr="00122FF1">
        <w:t xml:space="preserve"> </w:t>
      </w:r>
      <w:r w:rsidRPr="00F436BD">
        <w:t>Stewart</w:t>
      </w:r>
      <w:r>
        <w:t>,</w:t>
      </w:r>
      <w:r w:rsidRPr="00F436BD">
        <w:t xml:space="preserve"> 1979</w:t>
      </w:r>
      <w:r>
        <w:t xml:space="preserve">; </w:t>
      </w:r>
      <w:r w:rsidRPr="00F436BD">
        <w:t>Ubelaker 1989</w:t>
      </w:r>
      <w:r>
        <w:t xml:space="preserve">, </w:t>
      </w:r>
      <w:r w:rsidRPr="00F436BD">
        <w:t>Scheuer and Black</w:t>
      </w:r>
      <w:r>
        <w:t>,</w:t>
      </w:r>
      <w:r w:rsidRPr="00F436BD">
        <w:t xml:space="preserve"> 2000</w:t>
      </w:r>
      <w:r>
        <w:t>).</w:t>
      </w:r>
    </w:p>
    <w:p w:rsidR="00062B45" w:rsidRPr="00F436BD" w:rsidRDefault="00062B45" w:rsidP="007141FE">
      <w:pPr>
        <w:spacing w:line="480" w:lineRule="auto"/>
        <w:ind w:firstLine="720"/>
      </w:pPr>
      <w:r w:rsidRPr="00F436BD">
        <w:lastRenderedPageBreak/>
        <w:t xml:space="preserve">The postnatal change in length has been well documented by Maresh (1943, 1955, </w:t>
      </w:r>
      <w:proofErr w:type="gramStart"/>
      <w:r>
        <w:t>1</w:t>
      </w:r>
      <w:r w:rsidRPr="00F436BD">
        <w:t>970</w:t>
      </w:r>
      <w:proofErr w:type="gramEnd"/>
      <w:r w:rsidRPr="00F436BD">
        <w:t xml:space="preserve">) for living children of European descent.  He has established reference tables from birth to the cessation of growth in length of most major long bones, which can be found in </w:t>
      </w:r>
      <w:r w:rsidRPr="00F436BD">
        <w:rPr>
          <w:i/>
        </w:rPr>
        <w:t>Developmental Juvenile Osteology</w:t>
      </w:r>
      <w:r w:rsidRPr="00F436BD">
        <w:t xml:space="preserve"> (Scheuer and Black</w:t>
      </w:r>
      <w:r>
        <w:t>,</w:t>
      </w:r>
      <w:r w:rsidRPr="00F436BD">
        <w:t xml:space="preserve"> 2000).  The Maresh standards have been widely applied to assess the predicted length in archaeological sub-adult remains.</w:t>
      </w:r>
      <w:r>
        <w:t xml:space="preserve"> </w:t>
      </w:r>
      <w:r w:rsidRPr="00F436BD">
        <w:t xml:space="preserve"> However, there is no way to verify the age estimates in archaeological remains, so studies have correlated long bone length with dental development (Johnston</w:t>
      </w:r>
      <w:r>
        <w:t>,</w:t>
      </w:r>
      <w:r w:rsidRPr="00F436BD">
        <w:t xml:space="preserve"> 1962</w:t>
      </w:r>
      <w:r>
        <w:t>;</w:t>
      </w:r>
      <w:r w:rsidRPr="00F436BD">
        <w:t xml:space="preserve"> Merchant and Ubelaker</w:t>
      </w:r>
      <w:r>
        <w:t>,</w:t>
      </w:r>
      <w:r w:rsidRPr="00F436BD">
        <w:t xml:space="preserve"> 1977).  Jantz and Owsley’s (1994) suggest that the deciduous teeth in Arikara children did not develop in relation to one another in the same way as do those of children used in establishing White standards.</w:t>
      </w:r>
      <w:r>
        <w:t xml:space="preserve"> </w:t>
      </w:r>
      <w:r w:rsidRPr="00F436BD">
        <w:t xml:space="preserve"> For example, the stages for dm2 are attained earlier in Arikara children.  Owsley and Jantz (1985) examined the perinatal profile using long bone lengths compared to the dental development and found that a large number of infants may represent premature births or were smaller skeletally for their age.  Konigsberg </w:t>
      </w:r>
      <w:r w:rsidRPr="00B068CC">
        <w:rPr>
          <w:i/>
        </w:rPr>
        <w:t>et al</w:t>
      </w:r>
      <w:r w:rsidRPr="00F436BD">
        <w:t>. (1997) used the femoral length on age with maximum likelihood method to re-estimate the age-at-death distribution and found that more of the skeletons were term.</w:t>
      </w:r>
      <w:r>
        <w:t xml:space="preserve"> </w:t>
      </w:r>
      <w:r w:rsidRPr="00F436BD">
        <w:t xml:space="preserve"> Most studies have relied on teeth as the basis for examining growth, because skeletal age has served more as a marker for alterations and defects in growth than to estimate age for archaeological material (Saunders</w:t>
      </w:r>
      <w:r>
        <w:t>,</w:t>
      </w:r>
      <w:r w:rsidRPr="00F436BD">
        <w:t xml:space="preserve"> 2008).  </w:t>
      </w:r>
      <w:r w:rsidRPr="00F436BD">
        <w:rPr>
          <w:highlight w:val="yellow"/>
        </w:rPr>
        <w:t xml:space="preserve">  </w:t>
      </w:r>
    </w:p>
    <w:p w:rsidR="00062B45" w:rsidRPr="00F436BD" w:rsidRDefault="00062B45" w:rsidP="007141FE">
      <w:pPr>
        <w:spacing w:line="480" w:lineRule="auto"/>
        <w:ind w:firstLine="720"/>
      </w:pPr>
      <w:r w:rsidRPr="00F436BD">
        <w:t xml:space="preserve">A major concern in the assessment of age-at-death in juvenile, archaeological material is the preservation of reliable indicators. </w:t>
      </w:r>
      <w:r>
        <w:t xml:space="preserve"> </w:t>
      </w:r>
      <w:r w:rsidRPr="00F436BD">
        <w:t>Eruption and development of teeth, the presence and appearance of ossification centers, epiphyseal development, epiphyseal fusion, and bone length as a means to assess age-at-death have all been applied to archaeological materials (Scheuer and Black</w:t>
      </w:r>
      <w:r>
        <w:t>,</w:t>
      </w:r>
      <w:r w:rsidRPr="00F436BD">
        <w:t xml:space="preserve"> 2000</w:t>
      </w:r>
      <w:r>
        <w:t>;</w:t>
      </w:r>
      <w:r w:rsidRPr="00F436BD">
        <w:t xml:space="preserve"> Krogman and Iscan</w:t>
      </w:r>
      <w:r>
        <w:t>,</w:t>
      </w:r>
      <w:r w:rsidRPr="00F436BD">
        <w:t xml:space="preserve"> 1986</w:t>
      </w:r>
      <w:r>
        <w:t>;</w:t>
      </w:r>
      <w:r w:rsidRPr="00F436BD">
        <w:t xml:space="preserve"> Ubelaker</w:t>
      </w:r>
      <w:r>
        <w:t>,</w:t>
      </w:r>
      <w:r w:rsidRPr="00F436BD">
        <w:t xml:space="preserve"> 1978</w:t>
      </w:r>
      <w:r>
        <w:t>;</w:t>
      </w:r>
      <w:r w:rsidRPr="00F436BD">
        <w:t xml:space="preserve"> Ubelaker</w:t>
      </w:r>
      <w:r>
        <w:t>,</w:t>
      </w:r>
      <w:r w:rsidRPr="00F436BD">
        <w:t xml:space="preserve"> 1989).  Most studies have </w:t>
      </w:r>
      <w:r w:rsidRPr="00F436BD">
        <w:lastRenderedPageBreak/>
        <w:t>utilized teeth, but have substituted long bone length derived ages when teeth are unavailable.  Caution is suggested when using skeletal development when dentition is available as there is considerable variation in maturation rates on the inter-personal level (Cameron</w:t>
      </w:r>
      <w:r>
        <w:t>,</w:t>
      </w:r>
      <w:r w:rsidRPr="00F436BD">
        <w:t xml:space="preserve"> 2002).  Thus the question that arises with archaeological material is in the fact that a large disparity often exists between the ages derived from teeth compared to those that are derived from long bone le</w:t>
      </w:r>
      <w:r>
        <w:t xml:space="preserve">ngth or skeletal development.  </w:t>
      </w:r>
      <w:r w:rsidRPr="00F436BD">
        <w:t>The disparity between dental and skeletal maturation is of importance in studying the Arikara in the Missouri River Basin of South Dakota.  Owsley and colle</w:t>
      </w:r>
      <w:r>
        <w:t>a</w:t>
      </w:r>
      <w:r w:rsidRPr="00F436BD">
        <w:t>gues (1983, 1994) evaluated 18</w:t>
      </w:r>
      <w:r w:rsidRPr="00F436BD">
        <w:rPr>
          <w:vertAlign w:val="superscript"/>
        </w:rPr>
        <w:t>th</w:t>
      </w:r>
      <w:r w:rsidRPr="00F436BD">
        <w:t xml:space="preserve"> and 19</w:t>
      </w:r>
      <w:r w:rsidRPr="00F436BD">
        <w:rPr>
          <w:vertAlign w:val="superscript"/>
        </w:rPr>
        <w:t>th</w:t>
      </w:r>
      <w:r w:rsidRPr="00F436BD">
        <w:t xml:space="preserve"> century Arikara, who demonstrated a low rate of diaphyseal increase with age compared to other archaeological material.</w:t>
      </w:r>
      <w:r>
        <w:t xml:space="preserve"> </w:t>
      </w:r>
      <w:r w:rsidRPr="00F436BD">
        <w:t xml:space="preserve"> They suggest that epidemic disease, depopulation, and inter-triba</w:t>
      </w:r>
      <w:r>
        <w:t xml:space="preserve">l conflict caused the stress.  </w:t>
      </w:r>
      <w:r w:rsidRPr="00F436BD">
        <w:t xml:space="preserve">Merchant and Ubelaker (1977) examined proto-historic Arikara from Mobridge, South Dakota and found precocious dental eruption when compared to European-based standards. </w:t>
      </w:r>
      <w:r>
        <w:t xml:space="preserve"> </w:t>
      </w:r>
      <w:r w:rsidRPr="00F436BD">
        <w:t xml:space="preserve">Owsley and Jantz (1994) note a difference in dental formation rates compared to long bone lengths in Arikara infants and proposed a correction factor that accounts for the significantly shorter long bone lengths for perinatal remains than expected based on their dental development.    </w:t>
      </w:r>
    </w:p>
    <w:p w:rsidR="00062B45" w:rsidRPr="007141FE" w:rsidRDefault="00062B45" w:rsidP="007141FE">
      <w:pPr>
        <w:pStyle w:val="Heading3"/>
        <w:rPr>
          <w:rFonts w:ascii="Times New Roman" w:hAnsi="Times New Roman" w:cs="Times New Roman"/>
        </w:rPr>
      </w:pPr>
      <w:bookmarkStart w:id="27" w:name="_Toc349858139"/>
      <w:r w:rsidRPr="007141FE">
        <w:rPr>
          <w:rFonts w:ascii="Times New Roman" w:hAnsi="Times New Roman" w:cs="Times New Roman"/>
        </w:rPr>
        <w:t>Adult Age Estimation</w:t>
      </w:r>
      <w:bookmarkEnd w:id="27"/>
    </w:p>
    <w:p w:rsidR="00062B45" w:rsidRPr="00F436BD" w:rsidRDefault="00062B45" w:rsidP="007141FE">
      <w:pPr>
        <w:pStyle w:val="Default"/>
        <w:spacing w:line="480" w:lineRule="auto"/>
        <w:ind w:firstLine="720"/>
      </w:pPr>
      <w:r w:rsidRPr="00F436BD">
        <w:t>While sub-adult age estimation methods focus on the correlation between biological and chronological age associated with development, methods employed in bioarchaeological analyses of mature remains rely on the predictability of degenerative processes within the skeleton.  A plethora of adult age-at-death estimation methods have been devised by the anthropological community ranging from single trait methods to complex multifactorial summary age methods (Kemkes-Grottenthaler</w:t>
      </w:r>
      <w:r>
        <w:t>,</w:t>
      </w:r>
      <w:r w:rsidRPr="00F436BD">
        <w:t xml:space="preserve"> 2002).  Many anthropologists have relied on </w:t>
      </w:r>
      <w:r w:rsidRPr="00F436BD">
        <w:lastRenderedPageBreak/>
        <w:t xml:space="preserve">“traditional,” macromorphoscopic-based, age-at-death estimation methods found in the </w:t>
      </w:r>
      <w:r w:rsidRPr="00F436BD">
        <w:rPr>
          <w:i/>
        </w:rPr>
        <w:t>Standards of Data Collection</w:t>
      </w:r>
      <w:r w:rsidRPr="00F436BD">
        <w:t xml:space="preserve"> (Buikstra and Ubelaker</w:t>
      </w:r>
      <w:r>
        <w:t>,</w:t>
      </w:r>
      <w:r w:rsidRPr="00F436BD">
        <w:t xml:space="preserve"> 1994), which have become the foundation for many population studies over the last several years.  Single trait methods have ranged from observing gross morphological observation using the pubic symphy</w:t>
      </w:r>
      <w:r w:rsidR="00015FA4">
        <w:t>sis (Todd, 1920, 1921a/b/c</w:t>
      </w:r>
      <w:r w:rsidRPr="00F436BD">
        <w:t xml:space="preserve">; McKern and Stewart, 1957; Suchey </w:t>
      </w:r>
      <w:r w:rsidRPr="00B068CC">
        <w:rPr>
          <w:i/>
        </w:rPr>
        <w:t>et al</w:t>
      </w:r>
      <w:r w:rsidRPr="00F436BD">
        <w:t xml:space="preserve">., 1986), auricular surface (Lovejoy </w:t>
      </w:r>
      <w:r w:rsidRPr="00B068CC">
        <w:rPr>
          <w:i/>
        </w:rPr>
        <w:t>et al</w:t>
      </w:r>
      <w:r w:rsidRPr="00F436BD">
        <w:t>.</w:t>
      </w:r>
      <w:r>
        <w:t>,</w:t>
      </w:r>
      <w:r w:rsidRPr="00F436BD">
        <w:t xml:space="preserve"> 1985a; Buckberry and Chamberlain, 2002</w:t>
      </w:r>
      <w:r>
        <w:t>;</w:t>
      </w:r>
      <w:r w:rsidRPr="00F436BD">
        <w:t xml:space="preserve"> Igarashi </w:t>
      </w:r>
      <w:r w:rsidRPr="00B068CC">
        <w:rPr>
          <w:i/>
        </w:rPr>
        <w:t>et al</w:t>
      </w:r>
      <w:r w:rsidRPr="00F436BD">
        <w:t>. 2005), a</w:t>
      </w:r>
      <w:r>
        <w:t xml:space="preserve">cetabulum (Rissech </w:t>
      </w:r>
      <w:r w:rsidRPr="00B068CC">
        <w:rPr>
          <w:i/>
        </w:rPr>
        <w:t>et al</w:t>
      </w:r>
      <w:r>
        <w:t>., 2006;</w:t>
      </w:r>
      <w:r w:rsidRPr="00F436BD">
        <w:t xml:space="preserve"> Calce 2012), sternal rib ends (Iscan </w:t>
      </w:r>
      <w:r w:rsidRPr="00B068CC">
        <w:rPr>
          <w:i/>
        </w:rPr>
        <w:t>et al</w:t>
      </w:r>
      <w:r w:rsidRPr="00F436BD">
        <w:t xml:space="preserve">., 1984, 1985; Yoder </w:t>
      </w:r>
      <w:r w:rsidRPr="00B068CC">
        <w:rPr>
          <w:i/>
        </w:rPr>
        <w:t>et al</w:t>
      </w:r>
      <w:r w:rsidRPr="00F436BD">
        <w:t xml:space="preserve">. 2001; DiGangi </w:t>
      </w:r>
      <w:r w:rsidRPr="00B068CC">
        <w:rPr>
          <w:i/>
        </w:rPr>
        <w:t>et al</w:t>
      </w:r>
      <w:r w:rsidRPr="00F436BD">
        <w:t xml:space="preserve">., 2009), and cranial sutures (Todd and Lyon, 1924, 1925; Singer, 1953; Meindl and Lovejoy, 1985; Mann </w:t>
      </w:r>
      <w:r w:rsidRPr="00B068CC">
        <w:rPr>
          <w:i/>
        </w:rPr>
        <w:t>et al</w:t>
      </w:r>
      <w:r w:rsidRPr="00F436BD">
        <w:t>., 1991; Nawrocki, 1998).</w:t>
      </w:r>
      <w:r>
        <w:t xml:space="preserve"> </w:t>
      </w:r>
      <w:r w:rsidRPr="00F436BD">
        <w:t xml:space="preserve"> Several multifactorial methods have been developed (Acsadi and Nemeskeri, 1970; Workshop of European Anthropologists, 1980; Lovejoy </w:t>
      </w:r>
      <w:r w:rsidRPr="00B068CC">
        <w:rPr>
          <w:i/>
        </w:rPr>
        <w:t>et al</w:t>
      </w:r>
      <w:r w:rsidRPr="00F436BD">
        <w:t xml:space="preserve">., 1985b; Boldsen </w:t>
      </w:r>
      <w:r w:rsidRPr="00B068CC">
        <w:rPr>
          <w:i/>
        </w:rPr>
        <w:t>et al</w:t>
      </w:r>
      <w:r w:rsidRPr="00F436BD">
        <w:t xml:space="preserve">., 2002; Weise </w:t>
      </w:r>
      <w:r w:rsidRPr="00B068CC">
        <w:rPr>
          <w:i/>
        </w:rPr>
        <w:t>et al</w:t>
      </w:r>
      <w:r w:rsidRPr="00F436BD">
        <w:t>., 2008).  Other methods have focused on microscopic and histological techniques to evaluate cortical bone remodeling rates (Kerley, 1965; Kerley and Ubelaker, 1978; Stout</w:t>
      </w:r>
      <w:r w:rsidR="0067733E">
        <w:t xml:space="preserve"> and Paine,</w:t>
      </w:r>
      <w:r w:rsidRPr="00F436BD">
        <w:t xml:space="preserve"> 1992), dental histology, and root translucency (Maples, 19</w:t>
      </w:r>
      <w:r w:rsidR="0067733E">
        <w:t>89</w:t>
      </w:r>
      <w:r w:rsidRPr="00F436BD">
        <w:t xml:space="preserve">; Lamendin </w:t>
      </w:r>
      <w:r w:rsidRPr="00B068CC">
        <w:rPr>
          <w:i/>
        </w:rPr>
        <w:t>et al</w:t>
      </w:r>
      <w:r w:rsidRPr="00F436BD">
        <w:t>., 1992; Prince and Ubelaker</w:t>
      </w:r>
      <w:r w:rsidR="0067733E">
        <w:t>, 2002</w:t>
      </w:r>
      <w:r w:rsidRPr="00F436BD">
        <w:t>).</w:t>
      </w:r>
      <w:r>
        <w:t xml:space="preserve"> </w:t>
      </w:r>
      <w:r w:rsidRPr="00F436BD">
        <w:t xml:space="preserve"> Reviews of age estimation methods available can be found in Kemkes-Grottenthaler (2002), Latham and Finnegan (2010), and Garvin </w:t>
      </w:r>
      <w:r w:rsidRPr="00B068CC">
        <w:rPr>
          <w:i/>
        </w:rPr>
        <w:t>et al</w:t>
      </w:r>
      <w:r w:rsidRPr="00F436BD">
        <w:t xml:space="preserve">. (2012).  The over-arching theme to all aging is the predictability of observable morphological change over time. </w:t>
      </w:r>
    </w:p>
    <w:p w:rsidR="00062B45" w:rsidRPr="00F436BD" w:rsidRDefault="00062B45" w:rsidP="00062B45">
      <w:pPr>
        <w:pStyle w:val="Default"/>
        <w:spacing w:line="480" w:lineRule="auto"/>
      </w:pPr>
    </w:p>
    <w:p w:rsidR="00062B45" w:rsidRPr="007141FE" w:rsidRDefault="00062B45" w:rsidP="007141FE">
      <w:pPr>
        <w:pStyle w:val="Heading3"/>
        <w:rPr>
          <w:rFonts w:ascii="Times New Roman" w:hAnsi="Times New Roman" w:cs="Times New Roman"/>
          <w:b w:val="0"/>
        </w:rPr>
      </w:pPr>
      <w:bookmarkStart w:id="28" w:name="_Toc349858140"/>
      <w:r w:rsidRPr="007141FE">
        <w:rPr>
          <w:rFonts w:ascii="Times New Roman" w:hAnsi="Times New Roman" w:cs="Times New Roman"/>
          <w:b w:val="0"/>
        </w:rPr>
        <w:t>Traditional Trait-based Methods</w:t>
      </w:r>
      <w:bookmarkEnd w:id="28"/>
    </w:p>
    <w:p w:rsidR="00062B45" w:rsidRPr="00F436BD" w:rsidRDefault="007141FE" w:rsidP="007141FE">
      <w:pPr>
        <w:pStyle w:val="Default"/>
        <w:spacing w:line="480" w:lineRule="auto"/>
        <w:ind w:firstLine="720"/>
      </w:pPr>
      <w:r>
        <w:t>The p</w:t>
      </w:r>
      <w:r w:rsidR="00062B45" w:rsidRPr="00F436BD">
        <w:t>ubic symphysis is one of the most reliable single-trait age-at-dea</w:t>
      </w:r>
      <w:r w:rsidR="0067733E">
        <w:t>th indicators available (</w:t>
      </w:r>
      <w:r w:rsidR="00062B45" w:rsidRPr="00F436BD">
        <w:t>Meindl and Lovejoy</w:t>
      </w:r>
      <w:r w:rsidR="00062B45">
        <w:t>,</w:t>
      </w:r>
      <w:r w:rsidR="00062B45" w:rsidRPr="00F436BD">
        <w:t xml:space="preserve"> 198</w:t>
      </w:r>
      <w:r w:rsidR="0067733E">
        <w:t>5</w:t>
      </w:r>
      <w:r w:rsidR="00062B45" w:rsidRPr="00F436BD">
        <w:t>) and performs the best in comparative studies (Milner and Boldsen</w:t>
      </w:r>
      <w:r w:rsidR="00062B45">
        <w:t>,</w:t>
      </w:r>
      <w:r w:rsidR="00062B45" w:rsidRPr="00F436BD">
        <w:t xml:space="preserve"> 2012 a</w:t>
      </w:r>
      <w:proofErr w:type="gramStart"/>
      <w:r w:rsidR="00062B45" w:rsidRPr="00F436BD">
        <w:t>,b</w:t>
      </w:r>
      <w:proofErr w:type="gramEnd"/>
      <w:r w:rsidR="00062B45" w:rsidRPr="00F436BD">
        <w:t xml:space="preserve">). </w:t>
      </w:r>
      <w:r w:rsidR="00062B45">
        <w:t xml:space="preserve"> </w:t>
      </w:r>
      <w:r w:rsidR="00062B45" w:rsidRPr="00F436BD">
        <w:t xml:space="preserve">Todd (1920, 1921) was one of the first to establish phase system to describe the age-related changes in the pubic symphysis. </w:t>
      </w:r>
      <w:r w:rsidR="00062B45">
        <w:t xml:space="preserve"> </w:t>
      </w:r>
      <w:r w:rsidR="00062B45" w:rsidRPr="00F436BD">
        <w:t xml:space="preserve">His ten phases have increasingly wider age </w:t>
      </w:r>
      <w:r w:rsidR="00062B45" w:rsidRPr="00F436BD">
        <w:lastRenderedPageBreak/>
        <w:t>ranges to account for the variability in age-related morphological change with an open-ended terminal phase X that captures individuals 50 years or above.  Researchers have continually revised this method by developing new ways to quantify changes and produce an age estimate (McKern and Stewart</w:t>
      </w:r>
      <w:r w:rsidR="00062B45">
        <w:t>,</w:t>
      </w:r>
      <w:r w:rsidR="00062B45" w:rsidRPr="00F436BD">
        <w:t xml:space="preserve"> 1957</w:t>
      </w:r>
      <w:r w:rsidR="00062B45">
        <w:t>;</w:t>
      </w:r>
      <w:r w:rsidR="00062B45" w:rsidRPr="00F436BD">
        <w:t xml:space="preserve"> Gilbert and McKern</w:t>
      </w:r>
      <w:r w:rsidR="00062B45">
        <w:t xml:space="preserve">, </w:t>
      </w:r>
      <w:r w:rsidR="00062B45" w:rsidRPr="00F436BD">
        <w:t>1973</w:t>
      </w:r>
      <w:r w:rsidR="00062B45">
        <w:t>;</w:t>
      </w:r>
      <w:r w:rsidR="00062B45" w:rsidRPr="00F436BD">
        <w:t xml:space="preserve"> Katz and Suchey</w:t>
      </w:r>
      <w:r w:rsidR="00062B45">
        <w:t>,</w:t>
      </w:r>
      <w:r w:rsidR="00062B45" w:rsidRPr="00F436BD">
        <w:t xml:space="preserve"> 1986).  </w:t>
      </w:r>
    </w:p>
    <w:p w:rsidR="00062B45" w:rsidRPr="00F436BD" w:rsidRDefault="00062B45" w:rsidP="007141FE">
      <w:pPr>
        <w:spacing w:line="480" w:lineRule="auto"/>
        <w:ind w:firstLine="720"/>
      </w:pPr>
      <w:r w:rsidRPr="00F436BD">
        <w:t>McKern and Stewart (1957) developed a component scoring system that used Todd’s (1920) descriptions for an all male sample of Korean War dead.</w:t>
      </w:r>
      <w:r>
        <w:t xml:space="preserve"> </w:t>
      </w:r>
      <w:r w:rsidRPr="00F436BD">
        <w:t xml:space="preserve"> A female equivalent was developed by Gilbert and McKern (1973).</w:t>
      </w:r>
      <w:r>
        <w:t xml:space="preserve"> </w:t>
      </w:r>
      <w:r w:rsidRPr="00F436BD">
        <w:t xml:space="preserve"> The McKern and Stewart (1957) methods computes a composite score (0-15) from three areas of the pubis symphysis: </w:t>
      </w:r>
      <w:r>
        <w:t xml:space="preserve"> </w:t>
      </w:r>
      <w:r w:rsidRPr="00F436BD">
        <w:t xml:space="preserve">the dorsal plateau, ventral rampart, and rim, which </w:t>
      </w:r>
      <w:proofErr w:type="gramStart"/>
      <w:r w:rsidRPr="00F436BD">
        <w:t>is</w:t>
      </w:r>
      <w:proofErr w:type="gramEnd"/>
      <w:r w:rsidRPr="00F436BD">
        <w:t xml:space="preserve"> then compared to a chart with known ages. </w:t>
      </w:r>
      <w:r>
        <w:t xml:space="preserve"> </w:t>
      </w:r>
      <w:r w:rsidRPr="00F436BD">
        <w:t xml:space="preserve">They believed that this was less biased and restrictive than the Todd (1920) method and addressed the criticisms of Brooks (1955), which suggested that Todd (1920) did not account for the variability within a specific age interval and over-aged individuals.  The component system’s biggest drawback is that it requires a complete, well-preserved surface so that all features can be scored.  </w:t>
      </w:r>
    </w:p>
    <w:p w:rsidR="00062B45" w:rsidRPr="00F436BD" w:rsidRDefault="00062B45" w:rsidP="00062B45">
      <w:pPr>
        <w:spacing w:line="480" w:lineRule="auto"/>
      </w:pPr>
      <w:r w:rsidRPr="00F436BD">
        <w:t xml:space="preserve">Katz and Suchey (1986) re-evaluated the pubic symphysis using a forensic population with known ages ranging from 14-92 years, derived from the Los Angeles Medical Examiner’s office.  Their study was one of the first to capture older individuals that had been underrepresented in reference sample age distributions. </w:t>
      </w:r>
      <w:r>
        <w:t xml:space="preserve"> </w:t>
      </w:r>
      <w:r w:rsidRPr="00F436BD">
        <w:t xml:space="preserve">They believed that the features highlighted in McKern and Stewart’s method are not independent, so an approach that accounts for the entire surface is better. </w:t>
      </w:r>
      <w:r>
        <w:t xml:space="preserve"> </w:t>
      </w:r>
      <w:r w:rsidRPr="00F436BD">
        <w:t xml:space="preserve">Basically, Katz and Suchey (1986) modified Todd (1920) into 6 phases with 95% age intervals associated with each phase.  Brooks and Suchey (1990) further refined Todd’s method for females.  Katz and Suchey (1986) and Brooks and Suchey (1990), better known as the Suchey-Brook’s method, is the most common method applied in modern forensic case work in </w:t>
      </w:r>
      <w:r w:rsidRPr="00F436BD">
        <w:lastRenderedPageBreak/>
        <w:t>the United States (Garvin and Passala</w:t>
      </w:r>
      <w:r w:rsidR="0067733E">
        <w:t>c</w:t>
      </w:r>
      <w:r w:rsidRPr="00F436BD">
        <w:t>qua</w:t>
      </w:r>
      <w:r>
        <w:t>,</w:t>
      </w:r>
      <w:r w:rsidRPr="00F436BD">
        <w:t xml:space="preserve"> 2011).  Refinements to the Suchey-Brook’s system have been published that acknowledge a seventh phase to capture more advanced ages, but these methods remain untested (Berg</w:t>
      </w:r>
      <w:r>
        <w:t>,</w:t>
      </w:r>
      <w:r w:rsidRPr="00F436BD">
        <w:t xml:space="preserve"> 2008</w:t>
      </w:r>
      <w:r>
        <w:t>;</w:t>
      </w:r>
      <w:r w:rsidRPr="00F436BD">
        <w:t xml:space="preserve"> Hartnett</w:t>
      </w:r>
      <w:r>
        <w:t>,</w:t>
      </w:r>
      <w:r w:rsidRPr="00F436BD">
        <w:t xml:space="preserve"> 2010).  One of the biggest criticisms of the Suchey-Brook’s method is that it has very wide age ranges, which may or may not be useful in the forensic context.</w:t>
      </w:r>
      <w:r>
        <w:t xml:space="preserve"> </w:t>
      </w:r>
      <w:r w:rsidRPr="00F436BD">
        <w:t xml:space="preserve"> More important to this research is the fact that the Suchey-Brook’s method is statistically limiting, because it cannot be used to construct demographic life tables with more than six parameters (Boldsen </w:t>
      </w:r>
      <w:r w:rsidRPr="00B068CC">
        <w:rPr>
          <w:i/>
        </w:rPr>
        <w:t>et al</w:t>
      </w:r>
      <w:r w:rsidRPr="00F436BD">
        <w:t>.</w:t>
      </w:r>
      <w:r>
        <w:t>,</w:t>
      </w:r>
      <w:r w:rsidRPr="00F436BD">
        <w:t xml:space="preserve"> 2002). </w:t>
      </w:r>
    </w:p>
    <w:p w:rsidR="00062B45" w:rsidRPr="00F436BD" w:rsidRDefault="00062B45" w:rsidP="007141FE">
      <w:pPr>
        <w:spacing w:line="480" w:lineRule="auto"/>
        <w:ind w:firstLine="720"/>
      </w:pPr>
      <w:r w:rsidRPr="00F436BD">
        <w:t xml:space="preserve">The auricular surface has been widely used in paleodemographic analyses since its inception by Lovejoy </w:t>
      </w:r>
      <w:r w:rsidRPr="00B068CC">
        <w:rPr>
          <w:i/>
        </w:rPr>
        <w:t>et al</w:t>
      </w:r>
      <w:r w:rsidRPr="00F436BD">
        <w:t xml:space="preserve">. (1985a); noting the preservation of this surface over other skeletal elements.  Lovejoy </w:t>
      </w:r>
      <w:r w:rsidRPr="00B068CC">
        <w:rPr>
          <w:i/>
        </w:rPr>
        <w:t>et al</w:t>
      </w:r>
      <w:r w:rsidRPr="00F436BD">
        <w:t xml:space="preserve">. (1985a) outlined eight phases associated with the changing morphology with age of the auricular surface. </w:t>
      </w:r>
      <w:r>
        <w:t xml:space="preserve"> </w:t>
      </w:r>
      <w:r w:rsidRPr="00F436BD">
        <w:t xml:space="preserve">However, the Lovejoy </w:t>
      </w:r>
      <w:r w:rsidRPr="00B068CC">
        <w:rPr>
          <w:i/>
        </w:rPr>
        <w:t>et al</w:t>
      </w:r>
      <w:r w:rsidRPr="00F436BD">
        <w:t xml:space="preserve"> (1985a) has an open-ended terminal age range of 60+ years like that of the Todd method.  Murray and Murray (1991) criticize the Lovejoy </w:t>
      </w:r>
      <w:r w:rsidRPr="00B068CC">
        <w:rPr>
          <w:i/>
        </w:rPr>
        <w:t>et al</w:t>
      </w:r>
      <w:r w:rsidRPr="00F436BD">
        <w:t>. (1985a) method from a forensic standpoint because the degenerative changes are too variable.</w:t>
      </w:r>
      <w:r>
        <w:t xml:space="preserve"> </w:t>
      </w:r>
      <w:r w:rsidRPr="00F436BD">
        <w:t xml:space="preserve"> They call into question the precise age ranges published by Lovejoy </w:t>
      </w:r>
      <w:r w:rsidRPr="00B068CC">
        <w:rPr>
          <w:i/>
        </w:rPr>
        <w:t>et al</w:t>
      </w:r>
      <w:r w:rsidRPr="00F436BD">
        <w:t>. (1985) and suggest that the error is too large.</w:t>
      </w:r>
      <w:r>
        <w:t xml:space="preserve"> </w:t>
      </w:r>
      <w:r w:rsidRPr="00F436BD">
        <w:t xml:space="preserve"> However, Lovejoy </w:t>
      </w:r>
      <w:r w:rsidRPr="00B068CC">
        <w:rPr>
          <w:i/>
        </w:rPr>
        <w:t>et al</w:t>
      </w:r>
      <w:r w:rsidRPr="00F436BD">
        <w:t xml:space="preserve">.’s method (1985a) is not as influenced by inter-population affects or secular change as other techniques (Osborne </w:t>
      </w:r>
      <w:r w:rsidRPr="00B068CC">
        <w:rPr>
          <w:i/>
        </w:rPr>
        <w:t>et al</w:t>
      </w:r>
      <w:r w:rsidRPr="00F436BD">
        <w:t>.</w:t>
      </w:r>
      <w:r>
        <w:t>,</w:t>
      </w:r>
      <w:r w:rsidRPr="00F436BD">
        <w:t xml:space="preserve"> 2004). </w:t>
      </w:r>
      <w:r>
        <w:t xml:space="preserve"> </w:t>
      </w:r>
      <w:r w:rsidRPr="00F436BD">
        <w:t xml:space="preserve">Osborne </w:t>
      </w:r>
      <w:r w:rsidRPr="00B068CC">
        <w:rPr>
          <w:i/>
        </w:rPr>
        <w:t>et al</w:t>
      </w:r>
      <w:r w:rsidRPr="00F436BD">
        <w:t xml:space="preserve">. (2004) calculated new mean ages and a 95% prediction interval for a modified six phase system from the original Lovejoy </w:t>
      </w:r>
      <w:r w:rsidRPr="00B068CC">
        <w:rPr>
          <w:i/>
        </w:rPr>
        <w:t>et al</w:t>
      </w:r>
      <w:r w:rsidRPr="00F436BD">
        <w:t>. (1985a) eight phase system, which is more appropriate in the forensic context.</w:t>
      </w:r>
    </w:p>
    <w:p w:rsidR="00062B45" w:rsidRPr="00F436BD" w:rsidRDefault="00062B45" w:rsidP="007141FE">
      <w:pPr>
        <w:spacing w:line="480" w:lineRule="auto"/>
        <w:ind w:firstLine="720"/>
      </w:pPr>
      <w:r w:rsidRPr="00F436BD">
        <w:t>Like the pubis symphysis, anthropologists found the variability within the surface morphology too complex to be captured in one phase (Buckberry and Chamberlian</w:t>
      </w:r>
      <w:r>
        <w:t>,</w:t>
      </w:r>
      <w:r w:rsidRPr="00F436BD">
        <w:t xml:space="preserve"> 2002).  The component system utilizes individual scores for transverse organization, surface texture, </w:t>
      </w:r>
      <w:r w:rsidRPr="00F436BD">
        <w:lastRenderedPageBreak/>
        <w:t>microporosity, macroporosity, and apical changes to compute a total score that is compared to known ages (Buckberry and Chamberlian</w:t>
      </w:r>
      <w:r>
        <w:t>,</w:t>
      </w:r>
      <w:r w:rsidRPr="00F436BD">
        <w:t xml:space="preserve"> 2002) much like that of McKern and Stewart (1957). </w:t>
      </w:r>
      <w:r>
        <w:t xml:space="preserve"> </w:t>
      </w:r>
      <w:r w:rsidRPr="00F436BD">
        <w:t xml:space="preserve">As with other component systems, all features must be present to be properly use the system. </w:t>
      </w:r>
      <w:r>
        <w:t xml:space="preserve"> </w:t>
      </w:r>
      <w:r w:rsidRPr="00F436BD">
        <w:t xml:space="preserve">Igarashi </w:t>
      </w:r>
      <w:r w:rsidRPr="00B068CC">
        <w:rPr>
          <w:i/>
        </w:rPr>
        <w:t>et al</w:t>
      </w:r>
      <w:r w:rsidRPr="00F436BD">
        <w:t xml:space="preserve">. (2005) devised a system using 13 binary traits from the auricular surface, which did not have to be complete; however, the composite scores had little improvement in reliability over previous systems. </w:t>
      </w:r>
    </w:p>
    <w:p w:rsidR="00062B45" w:rsidRPr="00F436BD" w:rsidRDefault="00062B45" w:rsidP="007141FE">
      <w:pPr>
        <w:spacing w:line="480" w:lineRule="auto"/>
        <w:ind w:firstLine="720"/>
      </w:pPr>
      <w:r w:rsidRPr="00F436BD">
        <w:t xml:space="preserve">The ossification of the costal cartilages has been acknowledged in the literature, most notably by McCormick (1980), but Iscan </w:t>
      </w:r>
      <w:r w:rsidRPr="00B068CC">
        <w:rPr>
          <w:i/>
        </w:rPr>
        <w:t>et al</w:t>
      </w:r>
      <w:r w:rsidRPr="00F436BD">
        <w:t>. (1984a</w:t>
      </w:r>
      <w:proofErr w:type="gramStart"/>
      <w:r w:rsidRPr="00F436BD">
        <w:t>,b</w:t>
      </w:r>
      <w:proofErr w:type="gramEnd"/>
      <w:r w:rsidRPr="00F436BD">
        <w:t>) fully developed the phase-based age-at-death estimation method</w:t>
      </w:r>
      <w:r w:rsidR="007141FE">
        <w:t xml:space="preserve"> for sternal rib ends</w:t>
      </w:r>
      <w:r w:rsidRPr="00F436BD">
        <w:t xml:space="preserve"> commonly used in biological analyses.</w:t>
      </w:r>
      <w:r>
        <w:t xml:space="preserve"> </w:t>
      </w:r>
      <w:r w:rsidRPr="00F436BD">
        <w:t xml:space="preserve"> This method utilizes the pit depth, pit shape, and rim wall morphological changes associated with age to assign the sternal end of the fourth rib to one of eight phases.</w:t>
      </w:r>
      <w:r>
        <w:t xml:space="preserve"> </w:t>
      </w:r>
      <w:r w:rsidRPr="00F436BD">
        <w:t xml:space="preserve"> The eighth phase is an open-ended terminal phase like the other single-trait phase-based approaches available. </w:t>
      </w:r>
      <w:r>
        <w:t xml:space="preserve"> </w:t>
      </w:r>
      <w:r w:rsidRPr="00F436BD">
        <w:t xml:space="preserve">Criticism of this method draws from the variability within each phase, the specificity of sex and population, and the need to identify the fourth rib.  Others have suggested the use of the first rib, because it is easy to identify and is usually better preserved (DiGangi </w:t>
      </w:r>
      <w:r w:rsidRPr="00B068CC">
        <w:rPr>
          <w:i/>
        </w:rPr>
        <w:t>et al</w:t>
      </w:r>
      <w:r w:rsidRPr="00F436BD">
        <w:t>.</w:t>
      </w:r>
      <w:r>
        <w:t>,</w:t>
      </w:r>
      <w:r w:rsidRPr="00F436BD">
        <w:t xml:space="preserve"> 2009).  </w:t>
      </w:r>
    </w:p>
    <w:p w:rsidR="00062B45" w:rsidRPr="00F436BD" w:rsidRDefault="007141FE" w:rsidP="007141FE">
      <w:pPr>
        <w:spacing w:line="480" w:lineRule="auto"/>
        <w:ind w:firstLine="720"/>
      </w:pPr>
      <w:r>
        <w:t>Cr</w:t>
      </w:r>
      <w:r w:rsidR="00062B45" w:rsidRPr="00F436BD">
        <w:t>anial sutures have had long tradition in anthropology.</w:t>
      </w:r>
      <w:r w:rsidR="00062B45">
        <w:t xml:space="preserve"> </w:t>
      </w:r>
      <w:r w:rsidR="00062B45" w:rsidRPr="00F436BD">
        <w:t xml:space="preserve"> As early as Todd and Lyon (1924, 1925a</w:t>
      </w:r>
      <w:proofErr w:type="gramStart"/>
      <w:r w:rsidR="00062B45" w:rsidRPr="00F436BD">
        <w:t>,b,c</w:t>
      </w:r>
      <w:proofErr w:type="gramEnd"/>
      <w:r w:rsidR="00062B45" w:rsidRPr="00F436BD">
        <w:t xml:space="preserve">), the age ranges produced from observations of the cranial sutures were criticizes as to be too broad and not very reliable.  This did not discourage its use as it is the main method utilized when a cranium is the only material available to be analyzed. </w:t>
      </w:r>
      <w:r w:rsidR="00062B45">
        <w:t xml:space="preserve"> </w:t>
      </w:r>
      <w:r w:rsidR="00062B45" w:rsidRPr="00F436BD">
        <w:t xml:space="preserve">Meindl and Lovejoy (1985) established a four point scoring system from 0 to 3 to represent the degree of closure at ten specific ectocranial (1 cm) sites across the cranium in which a composite score could be compared to a table of known ages.  Meindl and Lovejoy (1985) divided the sites into </w:t>
      </w:r>
      <w:r w:rsidR="00062B45" w:rsidRPr="00F436BD">
        <w:lastRenderedPageBreak/>
        <w:t>vault and “lateral-anterior” systems.</w:t>
      </w:r>
      <w:r w:rsidR="00062B45">
        <w:t xml:space="preserve"> </w:t>
      </w:r>
      <w:r w:rsidR="00062B45" w:rsidRPr="00F436BD">
        <w:t xml:space="preserve"> It is recommended to use the latter over the former as it is not as affected by an individual’s biology. </w:t>
      </w:r>
      <w:r w:rsidR="00062B45">
        <w:t xml:space="preserve"> </w:t>
      </w:r>
      <w:r w:rsidR="00062B45" w:rsidRPr="00F436BD">
        <w:t xml:space="preserve">A similar method was devised for the maxillary and palatal sutures by Mann </w:t>
      </w:r>
      <w:r w:rsidR="00062B45" w:rsidRPr="00B068CC">
        <w:rPr>
          <w:i/>
        </w:rPr>
        <w:t>et al</w:t>
      </w:r>
      <w:r w:rsidR="00960FE5">
        <w:t>. (</w:t>
      </w:r>
      <w:r w:rsidR="00062B45" w:rsidRPr="00F436BD">
        <w:t xml:space="preserve">1991). </w:t>
      </w:r>
      <w:r w:rsidR="00062B45">
        <w:t xml:space="preserve"> </w:t>
      </w:r>
      <w:r w:rsidR="00062B45" w:rsidRPr="00F436BD">
        <w:t>The cranial suture scoring system was further refined by Nawrocki (1998).  He expanded the sutures scored to include the palate and endocranial sutures, and he calculated group specific regression equations integrating specific sutures.  Nawrocki’s system was tested by Zambrano (2005) using modern material and found that the all-group equation preformed the best, but the age intervals were quite wide.</w:t>
      </w:r>
      <w:r w:rsidR="00062B45">
        <w:t xml:space="preserve"> </w:t>
      </w:r>
      <w:r w:rsidR="00062B45" w:rsidRPr="00F436BD">
        <w:t xml:space="preserve"> He also reaffirmed the sex specificity of cranial suture closure. </w:t>
      </w:r>
      <w:r w:rsidR="00062B45">
        <w:t xml:space="preserve"> </w:t>
      </w:r>
      <w:r w:rsidR="00062B45" w:rsidRPr="00F436BD">
        <w:t>A similar argument was made by Milner and Boldsen (2012 a</w:t>
      </w:r>
      <w:proofErr w:type="gramStart"/>
      <w:r w:rsidR="00062B45" w:rsidRPr="00F436BD">
        <w:t>,b</w:t>
      </w:r>
      <w:proofErr w:type="gramEnd"/>
      <w:r w:rsidR="00062B45" w:rsidRPr="00F436BD">
        <w:t>) where the addition of cranial sutures caused little change in their maximum likelihood estimates for age-at-death because the age ranges were so wide.</w:t>
      </w:r>
      <w:r w:rsidR="00062B45">
        <w:t xml:space="preserve"> </w:t>
      </w:r>
      <w:r w:rsidR="00062B45" w:rsidRPr="00F436BD">
        <w:t xml:space="preserve"> Even though it does not provide much more information beyond indicating an adult individual is present, it is still a good line of evidence if only the cranium is present.</w:t>
      </w:r>
    </w:p>
    <w:p w:rsidR="00062B45" w:rsidRPr="00F436BD" w:rsidRDefault="00062B45" w:rsidP="007141FE">
      <w:pPr>
        <w:spacing w:line="480" w:lineRule="auto"/>
        <w:ind w:firstLine="720"/>
      </w:pPr>
      <w:r w:rsidRPr="00F436BD">
        <w:t>Phase approaches have long been used in anthropology and are typically favored over component scoring methods for individual traits.  The use of phases requires the visual comparison of a specimen to a reference exemplar and textual descriptions of that exemplar. It relies on an age assignment based on the relationship between a phase and known reference samples in the literature.</w:t>
      </w:r>
      <w:r>
        <w:t xml:space="preserve"> </w:t>
      </w:r>
      <w:r w:rsidRPr="00F436BD">
        <w:t xml:space="preserve"> However, there are several underlying problems with phase based approaches.</w:t>
      </w:r>
      <w:r>
        <w:t xml:space="preserve"> </w:t>
      </w:r>
      <w:r w:rsidRPr="00F436BD">
        <w:t xml:space="preserve"> The first and foremost problem is that needed morphological features for age estimation </w:t>
      </w:r>
      <w:proofErr w:type="gramStart"/>
      <w:r w:rsidRPr="00F436BD">
        <w:t>are</w:t>
      </w:r>
      <w:proofErr w:type="gramEnd"/>
      <w:r w:rsidRPr="00F436BD">
        <w:t xml:space="preserve"> often absent, usually from taphonomic processes.  Additionally, inter- and intra-observer error can be problematic because definitions may be difficult to understand, unclear, or are not well defined.</w:t>
      </w:r>
      <w:r>
        <w:t xml:space="preserve"> </w:t>
      </w:r>
      <w:r w:rsidRPr="00F436BD">
        <w:t xml:space="preserve"> Often the age intervals are broad with the terminal phase being open-ended or the phases overlap.  Alternatively, there is a high amount of variation within a single phase. </w:t>
      </w:r>
      <w:r>
        <w:t xml:space="preserve"> </w:t>
      </w:r>
      <w:r w:rsidRPr="00F436BD">
        <w:lastRenderedPageBreak/>
        <w:t>Often the statistical probabilities or significance of a phase are not part of the research establishing an age-criterion.  Also, the estimates are often biased, so that individual ages are under or over-estimated as the tendency is towards the mean (Hoppa and Vaupel</w:t>
      </w:r>
      <w:r>
        <w:t>,</w:t>
      </w:r>
      <w:r w:rsidRPr="00F436BD">
        <w:t xml:space="preserve"> 2002).</w:t>
      </w:r>
    </w:p>
    <w:p w:rsidR="00062B45" w:rsidRPr="00F436BD" w:rsidRDefault="00062B45" w:rsidP="00062B45">
      <w:pPr>
        <w:spacing w:line="480" w:lineRule="auto"/>
      </w:pPr>
      <w:r w:rsidRPr="00F436BD">
        <w:t xml:space="preserve">Furthermore, traditional aging methods rely on inverse calibration techniques to determine an age where the distribution of indicators are plotted against known ages from a reference sample to estimate the distribution in an unknown, target sample. </w:t>
      </w:r>
      <w:r>
        <w:t xml:space="preserve"> </w:t>
      </w:r>
      <w:r w:rsidRPr="00F436BD">
        <w:t>However, the method produces bias estimates because it assumes that the reference sample and target are dependen</w:t>
      </w:r>
      <w:r>
        <w:t>t on each other (Konigsberg and</w:t>
      </w:r>
      <w:r w:rsidRPr="00F436BD">
        <w:t xml:space="preserve"> Frankenberg</w:t>
      </w:r>
      <w:r>
        <w:t>,</w:t>
      </w:r>
      <w:r w:rsidRPr="00F436BD">
        <w:t xml:space="preserve"> 1992, 2002).</w:t>
      </w:r>
      <w:r>
        <w:t xml:space="preserve"> </w:t>
      </w:r>
      <w:r w:rsidRPr="00F436BD">
        <w:t xml:space="preserve"> Often the target sample age distribution mimics that of the reference sample (Mensforth</w:t>
      </w:r>
      <w:r>
        <w:t>,</w:t>
      </w:r>
      <w:r w:rsidRPr="00F436BD">
        <w:t xml:space="preserve"> 1990). </w:t>
      </w:r>
      <w:r>
        <w:t xml:space="preserve"> </w:t>
      </w:r>
      <w:r w:rsidRPr="00F436BD">
        <w:t xml:space="preserve">Since it is impossible for the reference and target samples to be independent, statistical tools need to be used to limit the bias and avoid total “age mimcry.” </w:t>
      </w:r>
      <w:r>
        <w:t xml:space="preserve"> </w:t>
      </w:r>
      <w:r w:rsidRPr="00F436BD">
        <w:t xml:space="preserve">A classical calibration technique that </w:t>
      </w:r>
      <w:proofErr w:type="gramStart"/>
      <w:r w:rsidRPr="00F436BD">
        <w:t>regresses</w:t>
      </w:r>
      <w:proofErr w:type="gramEnd"/>
      <w:r w:rsidRPr="00F436BD">
        <w:t xml:space="preserve"> the indicator on age and then solves for the age is more appropriate from a statistical perspective.  </w:t>
      </w:r>
    </w:p>
    <w:p w:rsidR="007141FE" w:rsidRDefault="007141FE" w:rsidP="00062B45">
      <w:pPr>
        <w:spacing w:line="480" w:lineRule="auto"/>
      </w:pPr>
    </w:p>
    <w:p w:rsidR="00062B45" w:rsidRPr="007141FE" w:rsidRDefault="00062B45" w:rsidP="007141FE">
      <w:pPr>
        <w:pStyle w:val="Heading3"/>
        <w:rPr>
          <w:rFonts w:ascii="Times New Roman" w:hAnsi="Times New Roman" w:cs="Times New Roman"/>
        </w:rPr>
      </w:pPr>
      <w:bookmarkStart w:id="29" w:name="_Toc349858141"/>
      <w:r w:rsidRPr="007141FE">
        <w:rPr>
          <w:rFonts w:ascii="Times New Roman" w:hAnsi="Times New Roman" w:cs="Times New Roman"/>
        </w:rPr>
        <w:t>Multifactorial Methods</w:t>
      </w:r>
      <w:bookmarkEnd w:id="29"/>
    </w:p>
    <w:p w:rsidR="00062B45" w:rsidRDefault="00062B45" w:rsidP="007141FE">
      <w:pPr>
        <w:spacing w:line="480" w:lineRule="auto"/>
        <w:ind w:firstLine="720"/>
      </w:pPr>
      <w:r w:rsidRPr="00F436BD">
        <w:t>A prevailing argument against single trait methods is the complexity of the aging process within a single individual (Milner and Boldsen</w:t>
      </w:r>
      <w:r>
        <w:t>,</w:t>
      </w:r>
      <w:r w:rsidRPr="00F436BD">
        <w:t xml:space="preserve"> 2012).  It is not uncommon to have bilateral asymmetry or differences between two different indicators (Kemkes-Grottenhaler</w:t>
      </w:r>
      <w:r>
        <w:t>,</w:t>
      </w:r>
      <w:r w:rsidRPr="00F436BD">
        <w:t xml:space="preserve"> 2002).  Single trait methods are applicable if one trait is available for age estimation, but the aging process is variable across the entire skeleton making it too complex to rely on a single age indicator.</w:t>
      </w:r>
      <w:r>
        <w:t xml:space="preserve"> </w:t>
      </w:r>
      <w:r w:rsidRPr="00F436BD">
        <w:t xml:space="preserve"> Even Todd (1920) noted that no single part of the skeleton is infallible and that an accurate age is estimated only after the examination of the entire skeleton.  Hence, most individuals utilize a suite of traits combined with their experience to produce an age range for a single skeleton.</w:t>
      </w:r>
      <w:r>
        <w:t xml:space="preserve"> </w:t>
      </w:r>
      <w:r w:rsidRPr="00F436BD">
        <w:t xml:space="preserve"> The </w:t>
      </w:r>
      <w:r w:rsidRPr="00F436BD">
        <w:lastRenderedPageBreak/>
        <w:t xml:space="preserve">use of multiple indicators does not necessarily remove the issue of reference sample bias of the individual traits (Milner </w:t>
      </w:r>
      <w:r w:rsidRPr="00B068CC">
        <w:rPr>
          <w:i/>
        </w:rPr>
        <w:t>et al</w:t>
      </w:r>
      <w:r w:rsidRPr="00F436BD">
        <w:t>.</w:t>
      </w:r>
      <w:r>
        <w:t>,</w:t>
      </w:r>
      <w:r w:rsidRPr="00F436BD">
        <w:t xml:space="preserve"> 2008).  Baccino </w:t>
      </w:r>
      <w:r w:rsidRPr="00B068CC">
        <w:rPr>
          <w:i/>
        </w:rPr>
        <w:t>et al</w:t>
      </w:r>
      <w:r w:rsidRPr="00F436BD">
        <w:t>. (1999) compared seven different aging methods using four approaches to calculate an age-at-death estimate.</w:t>
      </w:r>
      <w:r>
        <w:t xml:space="preserve"> </w:t>
      </w:r>
      <w:r w:rsidRPr="00F436BD">
        <w:t xml:space="preserve"> They evaluated single traits, a mathematical average of traits, a two-step approach, and global approach and found that comprehensive methods performed better than single trait methods. </w:t>
      </w:r>
      <w:r>
        <w:t xml:space="preserve"> </w:t>
      </w:r>
      <w:r w:rsidRPr="00B327D7">
        <w:t xml:space="preserve">A prevailing consensus, in line with the “Rostock Manifesto,” is that multifactorial aging should be applied in estimating ages from morphological observations, because this provides a more holistic understanding of the gaining process. </w:t>
      </w:r>
      <w:r>
        <w:t xml:space="preserve"> </w:t>
      </w:r>
      <w:r w:rsidRPr="00B327D7">
        <w:t>However, few solutions that statistically conform to the “Rostock Manifesto” have consistently applied in the literature.  The</w:t>
      </w:r>
      <w:r w:rsidRPr="00F436BD">
        <w:t xml:space="preserve"> biggest problem in using multiple lines of evidence is to find the most statistically appropriate method for combining the information from multiple traits.</w:t>
      </w:r>
    </w:p>
    <w:p w:rsidR="00062B45" w:rsidRPr="00F436BD" w:rsidRDefault="00062B45" w:rsidP="00062B45">
      <w:pPr>
        <w:spacing w:line="480" w:lineRule="auto"/>
      </w:pPr>
    </w:p>
    <w:p w:rsidR="00062B45" w:rsidRPr="007141FE" w:rsidRDefault="00062B45" w:rsidP="007141FE">
      <w:pPr>
        <w:pStyle w:val="Heading3"/>
        <w:rPr>
          <w:rFonts w:ascii="Times New Roman" w:hAnsi="Times New Roman" w:cs="Times New Roman"/>
          <w:b w:val="0"/>
        </w:rPr>
      </w:pPr>
      <w:bookmarkStart w:id="30" w:name="_Toc349858142"/>
      <w:r w:rsidRPr="007141FE">
        <w:rPr>
          <w:rFonts w:ascii="Times New Roman" w:hAnsi="Times New Roman" w:cs="Times New Roman"/>
          <w:b w:val="0"/>
        </w:rPr>
        <w:t>Regression Approach</w:t>
      </w:r>
      <w:bookmarkEnd w:id="30"/>
    </w:p>
    <w:p w:rsidR="00062B45" w:rsidRPr="00F436BD" w:rsidRDefault="00960FE5" w:rsidP="007141FE">
      <w:pPr>
        <w:spacing w:line="480" w:lineRule="auto"/>
        <w:ind w:firstLine="720"/>
      </w:pPr>
      <w:r>
        <w:t>Gustafson (1950</w:t>
      </w:r>
      <w:r w:rsidR="00062B45" w:rsidRPr="00F436BD">
        <w:t>) was one of the first to integrate multiple indicators using a regression model that utilized six variables from teeth.</w:t>
      </w:r>
      <w:r w:rsidR="00062B45">
        <w:t xml:space="preserve"> </w:t>
      </w:r>
      <w:r w:rsidR="00062B45" w:rsidRPr="00F436BD">
        <w:t xml:space="preserve"> The sum of the point values for each variable was compared to a standard curve to estimate age. </w:t>
      </w:r>
      <w:r w:rsidR="00062B45">
        <w:t xml:space="preserve"> </w:t>
      </w:r>
      <w:r w:rsidR="00062B45" w:rsidRPr="00F436BD">
        <w:t>Other researchers have been unable to replicate his results largely from the issues with error and inappropriate application of regression for the sample size given (Kemkes-Grottenthaler</w:t>
      </w:r>
      <w:r w:rsidR="00062B45">
        <w:t>,</w:t>
      </w:r>
      <w:r w:rsidR="00062B45" w:rsidRPr="00F436BD">
        <w:t xml:space="preserve"> 2002). </w:t>
      </w:r>
      <w:r w:rsidR="00062B45">
        <w:t xml:space="preserve"> </w:t>
      </w:r>
      <w:r w:rsidR="00062B45" w:rsidRPr="00F436BD">
        <w:t xml:space="preserve">A complex method formulated by Ascadi and Nemeskeri (1970) and later adopted by the Workshop of European Anthropologists (1980), averaged four indicators (cranial sutures, pubic symphysis, humerus, and femur). </w:t>
      </w:r>
      <w:r w:rsidR="00062B45">
        <w:t xml:space="preserve"> </w:t>
      </w:r>
      <w:r w:rsidR="00062B45" w:rsidRPr="00F436BD">
        <w:t>Each indicator was incorporated into a regression formula with equal weight and then compared to known age tables.</w:t>
      </w:r>
      <w:r w:rsidR="00062B45">
        <w:t xml:space="preserve"> </w:t>
      </w:r>
      <w:r w:rsidR="00062B45" w:rsidRPr="00F436BD">
        <w:t xml:space="preserve"> This method has been heavily criticized because of the equal weighting of traits without </w:t>
      </w:r>
      <w:r w:rsidR="00062B45" w:rsidRPr="00F436BD">
        <w:lastRenderedPageBreak/>
        <w:t>clear justification for doing so.</w:t>
      </w:r>
      <w:r w:rsidR="00062B45">
        <w:t xml:space="preserve"> </w:t>
      </w:r>
      <w:r w:rsidR="00062B45" w:rsidRPr="00F436BD">
        <w:t xml:space="preserve"> Additionally the equal weighting causes both an under aging of older adults and </w:t>
      </w:r>
      <w:proofErr w:type="gramStart"/>
      <w:r w:rsidR="00062B45" w:rsidRPr="00F436BD">
        <w:t>a</w:t>
      </w:r>
      <w:proofErr w:type="gramEnd"/>
      <w:r w:rsidR="00062B45" w:rsidRPr="00F436BD">
        <w:t xml:space="preserve"> over aging of the young, which has led to the argument that regression based methods cause an attraction towards the mean (Lovejoy </w:t>
      </w:r>
      <w:r w:rsidR="00062B45" w:rsidRPr="00B068CC">
        <w:rPr>
          <w:i/>
        </w:rPr>
        <w:t>et al</w:t>
      </w:r>
      <w:r w:rsidR="00062B45" w:rsidRPr="00F436BD">
        <w:t>.</w:t>
      </w:r>
      <w:r w:rsidR="00062B45">
        <w:t>,</w:t>
      </w:r>
      <w:r w:rsidR="00062B45" w:rsidRPr="00F436BD">
        <w:t xml:space="preserve"> 1985b</w:t>
      </w:r>
      <w:r w:rsidR="00062B45">
        <w:t>;</w:t>
      </w:r>
      <w:r w:rsidR="00062B45" w:rsidRPr="00F436BD">
        <w:t xml:space="preserve"> Meindl </w:t>
      </w:r>
      <w:r w:rsidR="00062B45" w:rsidRPr="00B068CC">
        <w:rPr>
          <w:i/>
        </w:rPr>
        <w:t>et al</w:t>
      </w:r>
      <w:r w:rsidR="00062B45">
        <w:t>.,</w:t>
      </w:r>
      <w:r w:rsidR="00062B45" w:rsidRPr="00F436BD">
        <w:t xml:space="preserve"> 1985</w:t>
      </w:r>
      <w:r w:rsidR="00062B45">
        <w:t>;</w:t>
      </w:r>
      <w:r w:rsidR="00062B45" w:rsidRPr="00F436BD">
        <w:t xml:space="preserve"> Molleson and Cox</w:t>
      </w:r>
      <w:r w:rsidR="00062B45">
        <w:t>,</w:t>
      </w:r>
      <w:r w:rsidR="00062B45" w:rsidRPr="00F436BD">
        <w:t xml:space="preserve"> 1993</w:t>
      </w:r>
      <w:r w:rsidR="00062B45">
        <w:t>;</w:t>
      </w:r>
      <w:r w:rsidR="00062B45" w:rsidRPr="00F436BD">
        <w:t xml:space="preserve"> Kemkes-Grottenthaler</w:t>
      </w:r>
      <w:r w:rsidR="00062B45">
        <w:t>,</w:t>
      </w:r>
      <w:r w:rsidR="00062B45" w:rsidRPr="00F436BD">
        <w:t xml:space="preserve"> 2002).  The main issue that arises with the integration of single traits into a regression model is that the statistical methods often applied require the assumption of independence of traits which causes a collinearity problem.  The more recent methods rely on regression of the independently scored “traditional” features to create a new estimate (Aykroyd </w:t>
      </w:r>
      <w:r w:rsidR="00062B45" w:rsidRPr="00B068CC">
        <w:rPr>
          <w:i/>
        </w:rPr>
        <w:t>et al</w:t>
      </w:r>
      <w:r w:rsidR="00062B45" w:rsidRPr="00F436BD">
        <w:t>.</w:t>
      </w:r>
      <w:r w:rsidR="00062B45">
        <w:t>,</w:t>
      </w:r>
      <w:r w:rsidR="00062B45" w:rsidRPr="00F436BD">
        <w:t xml:space="preserve"> 1999</w:t>
      </w:r>
      <w:r w:rsidR="00062B45">
        <w:t>;</w:t>
      </w:r>
      <w:r w:rsidR="00062B45" w:rsidRPr="00F436BD">
        <w:t xml:space="preserve"> </w:t>
      </w:r>
      <w:r w:rsidR="00062B45" w:rsidRPr="00960FE5">
        <w:rPr>
          <w:i/>
        </w:rPr>
        <w:t>Martrile</w:t>
      </w:r>
      <w:r w:rsidRPr="00960FE5">
        <w:rPr>
          <w:i/>
        </w:rPr>
        <w:t xml:space="preserve"> et al.</w:t>
      </w:r>
      <w:r w:rsidR="00062B45">
        <w:t>,</w:t>
      </w:r>
      <w:r w:rsidR="00062B45" w:rsidRPr="00F436BD">
        <w:t xml:space="preserve"> 2007</w:t>
      </w:r>
      <w:r w:rsidR="00062B45">
        <w:t>;</w:t>
      </w:r>
      <w:r w:rsidR="00062B45" w:rsidRPr="00F436BD">
        <w:t xml:space="preserve"> Uhl</w:t>
      </w:r>
      <w:r w:rsidR="00062B45">
        <w:t>,</w:t>
      </w:r>
      <w:r w:rsidR="00062B45" w:rsidRPr="00F436BD">
        <w:t xml:space="preserve"> 2008), which could be compounding error if done incorrectly.  While most agree that researchers should use everything they have, most will still weight age criteria on personal preference and familiarity (Garvin and Passalacqua</w:t>
      </w:r>
      <w:r w:rsidR="00062B45">
        <w:t>,</w:t>
      </w:r>
      <w:r>
        <w:t xml:space="preserve"> 2012</w:t>
      </w:r>
      <w:r w:rsidR="00062B45" w:rsidRPr="00F436BD">
        <w:t xml:space="preserve">) rather than apply a statistical method to produce an age estimate.  </w:t>
      </w:r>
    </w:p>
    <w:p w:rsidR="00062B45" w:rsidRDefault="00062B45" w:rsidP="00062B45">
      <w:pPr>
        <w:spacing w:line="480" w:lineRule="auto"/>
        <w:rPr>
          <w:highlight w:val="yellow"/>
        </w:rPr>
      </w:pPr>
    </w:p>
    <w:p w:rsidR="00062B45" w:rsidRPr="007141FE" w:rsidRDefault="00062B45" w:rsidP="007141FE">
      <w:pPr>
        <w:pStyle w:val="Heading3"/>
        <w:rPr>
          <w:rFonts w:ascii="Times New Roman" w:hAnsi="Times New Roman" w:cs="Times New Roman"/>
          <w:b w:val="0"/>
        </w:rPr>
      </w:pPr>
      <w:bookmarkStart w:id="31" w:name="_Toc349858143"/>
      <w:r w:rsidRPr="007141FE">
        <w:rPr>
          <w:rFonts w:ascii="Times New Roman" w:hAnsi="Times New Roman" w:cs="Times New Roman"/>
          <w:b w:val="0"/>
        </w:rPr>
        <w:t>Multifactorial Summary Age Method</w:t>
      </w:r>
      <w:bookmarkEnd w:id="31"/>
    </w:p>
    <w:p w:rsidR="00062B45" w:rsidRPr="00F436BD" w:rsidRDefault="00062B45" w:rsidP="007141FE">
      <w:pPr>
        <w:spacing w:line="480" w:lineRule="auto"/>
        <w:ind w:firstLine="720"/>
      </w:pPr>
      <w:r w:rsidRPr="00B327D7">
        <w:t xml:space="preserve">Lovejoy </w:t>
      </w:r>
      <w:r w:rsidRPr="00B068CC">
        <w:rPr>
          <w:i/>
        </w:rPr>
        <w:t>et al</w:t>
      </w:r>
      <w:r w:rsidRPr="00B327D7">
        <w:t>. (1985b) suggested</w:t>
      </w:r>
      <w:r w:rsidRPr="00F436BD">
        <w:t xml:space="preserve"> the multifactorial </w:t>
      </w:r>
      <w:r w:rsidRPr="007141FE">
        <w:t>summary</w:t>
      </w:r>
      <w:r w:rsidRPr="00F436BD">
        <w:t xml:space="preserve"> age method, which utilizes the pubic symphysis, auricular surface, cranial suture closure, dental wear and radiographs of the proximal femur. </w:t>
      </w:r>
      <w:r>
        <w:t xml:space="preserve"> </w:t>
      </w:r>
      <w:r w:rsidRPr="00F436BD">
        <w:t>The authors call for the seriation of skeletons for each age indicator in a sample to maximum information from biological age and minimize observer error across observations; however, seriation creates a problem of lack of independence and can hamper the decision making process as to the transition from one age to another (Konigsberg and Frankenberg</w:t>
      </w:r>
      <w:r>
        <w:t>,</w:t>
      </w:r>
      <w:r w:rsidRPr="00F436BD">
        <w:t xml:space="preserve"> 2002).  Seriation of traits was the first step in the multifactorial method, which integrated the five aforementioned indicators to create a population matrix. </w:t>
      </w:r>
      <w:r>
        <w:t xml:space="preserve"> </w:t>
      </w:r>
      <w:r w:rsidRPr="00F436BD">
        <w:t xml:space="preserve">A principal component analysis was applied to the population matrix and the correlation of each indicator with the first principal </w:t>
      </w:r>
      <w:r w:rsidRPr="00F436BD">
        <w:lastRenderedPageBreak/>
        <w:t xml:space="preserve">component is the indicator’s weight (Lovejoy </w:t>
      </w:r>
      <w:r w:rsidRPr="00B068CC">
        <w:rPr>
          <w:i/>
        </w:rPr>
        <w:t>et al</w:t>
      </w:r>
      <w:r w:rsidRPr="00F436BD">
        <w:t>.</w:t>
      </w:r>
      <w:r>
        <w:t>,</w:t>
      </w:r>
      <w:r w:rsidRPr="00F436BD">
        <w:t xml:space="preserve"> 1985b).</w:t>
      </w:r>
      <w:r>
        <w:t xml:space="preserve"> </w:t>
      </w:r>
      <w:r w:rsidRPr="00F436BD">
        <w:t xml:space="preserve"> The age was the weighted average of all chosen indicators.  Bedford (1993) conducted a blind test of this multi-factorial method, and found that the “summary” ages strongly correlated with each other. </w:t>
      </w:r>
    </w:p>
    <w:p w:rsidR="00062B45" w:rsidRPr="00F436BD" w:rsidRDefault="00062B45" w:rsidP="00062B45">
      <w:pPr>
        <w:spacing w:line="480" w:lineRule="auto"/>
      </w:pPr>
      <w:r w:rsidRPr="00F436BD">
        <w:t>Bayesian Multifactorial Method</w:t>
      </w:r>
    </w:p>
    <w:p w:rsidR="00062B45" w:rsidRPr="00F436BD" w:rsidRDefault="00062B45" w:rsidP="007141FE">
      <w:pPr>
        <w:spacing w:line="480" w:lineRule="auto"/>
        <w:ind w:firstLine="720"/>
      </w:pPr>
      <w:r w:rsidRPr="00F436BD">
        <w:t xml:space="preserve">Uhl and colleagues (2011) presented a Bayesian approach to multifactorial aging that allows researchers to incorporate multiple skeletal indicators of age-at-death in a statistically sound way. </w:t>
      </w:r>
      <w:r>
        <w:t xml:space="preserve"> </w:t>
      </w:r>
      <w:r w:rsidRPr="00F436BD">
        <w:t xml:space="preserve">This multifactorial approach is a statistical combination of several age estimates using data for the pubic symphysis, the auricular surface, and the sternal rib end collected following the methods of Suchey and Brooks (1990), Lovejoy </w:t>
      </w:r>
      <w:r w:rsidRPr="00B068CC">
        <w:rPr>
          <w:i/>
        </w:rPr>
        <w:t>et al</w:t>
      </w:r>
      <w:r w:rsidRPr="00F436BD">
        <w:t xml:space="preserve">. (1985a), and Iscan </w:t>
      </w:r>
      <w:r w:rsidRPr="00B068CC">
        <w:rPr>
          <w:i/>
        </w:rPr>
        <w:t>et al</w:t>
      </w:r>
      <w:r w:rsidRPr="00F436BD">
        <w:t xml:space="preserve">. (1984a, b, 1985).  After testing if the original scoring systems followed a transition model, Uhl </w:t>
      </w:r>
      <w:r w:rsidRPr="00B068CC">
        <w:rPr>
          <w:i/>
        </w:rPr>
        <w:t>et al</w:t>
      </w:r>
      <w:r w:rsidRPr="00F436BD">
        <w:t xml:space="preserve"> (2011) found that all but the auricular surface followed a cumulative log-probit model so the phases for this surface were condensed to five phases. </w:t>
      </w:r>
      <w:r>
        <w:t xml:space="preserve"> </w:t>
      </w:r>
      <w:r w:rsidRPr="00F436BD">
        <w:t>Testing of the model showed that it was able to capture 95% of the individual ages within the 95% highest posterior density regions; however the ranges were quite wide in some instances, especially for the very old (Uhl</w:t>
      </w:r>
      <w:r>
        <w:t>,</w:t>
      </w:r>
      <w:r w:rsidRPr="00F436BD">
        <w:t xml:space="preserve"> 2013).  The method has the capability to handle missing data, bilateral asymmetry, and does not require additional data collection for a new aging method, which transition analysis requires.  This method can be applied to individual cases through the use of reference tables, the scores from the traditional age estimation methods, and computation as outlined in Uhl (2013). </w:t>
      </w:r>
    </w:p>
    <w:p w:rsidR="007141FE" w:rsidRDefault="007141FE" w:rsidP="00062B45">
      <w:pPr>
        <w:spacing w:line="480" w:lineRule="auto"/>
      </w:pPr>
    </w:p>
    <w:p w:rsidR="00062B45" w:rsidRPr="007141FE" w:rsidRDefault="00062B45" w:rsidP="007141FE">
      <w:pPr>
        <w:pStyle w:val="Heading3"/>
        <w:rPr>
          <w:rFonts w:ascii="Times New Roman" w:hAnsi="Times New Roman" w:cs="Times New Roman"/>
          <w:b w:val="0"/>
        </w:rPr>
      </w:pPr>
      <w:bookmarkStart w:id="32" w:name="_Toc349858144"/>
      <w:r w:rsidRPr="007141FE">
        <w:rPr>
          <w:rFonts w:ascii="Times New Roman" w:hAnsi="Times New Roman" w:cs="Times New Roman"/>
          <w:b w:val="0"/>
        </w:rPr>
        <w:t>Transition Analysis</w:t>
      </w:r>
      <w:bookmarkEnd w:id="32"/>
    </w:p>
    <w:p w:rsidR="00062B45" w:rsidRPr="00F436BD" w:rsidRDefault="00062B45" w:rsidP="007141FE">
      <w:pPr>
        <w:spacing w:line="480" w:lineRule="auto"/>
        <w:ind w:firstLine="720"/>
      </w:pPr>
      <w:r w:rsidRPr="00F436BD">
        <w:t>Konigsberg and Frankenberg (2002) demonstrate</w:t>
      </w:r>
      <w:r w:rsidR="007141FE">
        <w:t>d</w:t>
      </w:r>
      <w:r w:rsidRPr="00F436BD">
        <w:t xml:space="preserve"> that maximum likelihood estimation methods using multiple indicators outperform the multifactorial approaches, because they </w:t>
      </w:r>
      <w:r w:rsidRPr="00F436BD">
        <w:lastRenderedPageBreak/>
        <w:t xml:space="preserve">produce more representative target age distributions.  One of the key benefits of a maximum likelihood approach is the ability to integrate multiple age indicators, without introducing unnecessary bias seen in Lovejoy </w:t>
      </w:r>
      <w:r w:rsidRPr="00B068CC">
        <w:rPr>
          <w:i/>
        </w:rPr>
        <w:t>et al</w:t>
      </w:r>
      <w:r w:rsidRPr="00F436BD">
        <w:t>. (1985b), to produce an age estimate (Konigsberg and Frankenberg</w:t>
      </w:r>
      <w:r>
        <w:t>,</w:t>
      </w:r>
      <w:r w:rsidRPr="00F436BD">
        <w:t xml:space="preserve"> 2002).  Transition analysis estimates age of transition between adjacent stages of a phase or trait (Boldsen </w:t>
      </w:r>
      <w:r w:rsidRPr="00B068CC">
        <w:rPr>
          <w:i/>
        </w:rPr>
        <w:t>et al</w:t>
      </w:r>
      <w:r w:rsidRPr="00F436BD">
        <w:t>.</w:t>
      </w:r>
      <w:r>
        <w:t>,</w:t>
      </w:r>
      <w:r w:rsidRPr="00F436BD">
        <w:t xml:space="preserve"> 2002).</w:t>
      </w:r>
      <w:r>
        <w:t xml:space="preserve"> </w:t>
      </w:r>
      <w:r w:rsidRPr="00F436BD">
        <w:t xml:space="preserve"> Konigsberg and colleagues demonstrated that it is possible to compute the probability density function for a mean age at transition for any single trait that can be reliably seriated and follows a consistent aging scheme (DiGangi </w:t>
      </w:r>
      <w:r w:rsidRPr="00B068CC">
        <w:rPr>
          <w:i/>
        </w:rPr>
        <w:t>et al</w:t>
      </w:r>
      <w:r w:rsidRPr="00F436BD">
        <w:t>.</w:t>
      </w:r>
      <w:r>
        <w:t>,</w:t>
      </w:r>
      <w:r w:rsidRPr="00F436BD">
        <w:t xml:space="preserve"> 2009, Langley-Shirley and Jantz</w:t>
      </w:r>
      <w:r>
        <w:t>,</w:t>
      </w:r>
      <w:r w:rsidRPr="00F436BD">
        <w:t xml:space="preserve"> 2010).  The basis of transition analysis is that a probability of being in a morphological state is calculated from a known age sample. </w:t>
      </w:r>
      <w:r>
        <w:t xml:space="preserve"> </w:t>
      </w:r>
      <w:r w:rsidRPr="00F436BD">
        <w:t xml:space="preserve">These parameters are converted via maximum likelihood estimation to a mean and standard deviation for a distribution of the age (Boldsen </w:t>
      </w:r>
      <w:r w:rsidRPr="00B068CC">
        <w:rPr>
          <w:i/>
        </w:rPr>
        <w:t>et al</w:t>
      </w:r>
      <w:r w:rsidRPr="00F436BD">
        <w:t>.</w:t>
      </w:r>
      <w:r>
        <w:t>,</w:t>
      </w:r>
      <w:r w:rsidRPr="00F436BD">
        <w:t xml:space="preserve"> 2002).  Several individuals have shown the utility of transition analysis in paleodemographic research (Usher</w:t>
      </w:r>
      <w:r>
        <w:t>,</w:t>
      </w:r>
      <w:r w:rsidRPr="00F436BD">
        <w:t xml:space="preserve"> 2000</w:t>
      </w:r>
      <w:r>
        <w:t>;</w:t>
      </w:r>
      <w:r w:rsidRPr="00F436BD">
        <w:t xml:space="preserve"> DeWitte</w:t>
      </w:r>
      <w:r>
        <w:t>,</w:t>
      </w:r>
      <w:r w:rsidRPr="00F436BD">
        <w:t xml:space="preserve"> 200</w:t>
      </w:r>
      <w:r>
        <w:t xml:space="preserve">9; </w:t>
      </w:r>
      <w:r w:rsidRPr="00F436BD">
        <w:t>Wilson</w:t>
      </w:r>
      <w:r>
        <w:t>,</w:t>
      </w:r>
      <w:r w:rsidRPr="00F436BD">
        <w:t xml:space="preserve"> 2010).</w:t>
      </w:r>
    </w:p>
    <w:p w:rsidR="00062B45" w:rsidRPr="00F436BD" w:rsidRDefault="00062B45" w:rsidP="007141FE">
      <w:pPr>
        <w:spacing w:line="480" w:lineRule="auto"/>
        <w:ind w:firstLine="720"/>
      </w:pPr>
      <w:r w:rsidRPr="00F436BD">
        <w:t xml:space="preserve">Transition Analysis, as it is presented here is referring to the system and computer program established by the Anthropological Database Odense University (ADBOU), University of Southern Denmark, which utilizes the scoring of several discrete traits on an ordinal scale to calculate an age estimate and the posterior probability density using Bayesian inference and maximum likelihood estimation for each trait as well as for the combination of traits (Boldsen </w:t>
      </w:r>
      <w:r w:rsidRPr="00B068CC">
        <w:rPr>
          <w:i/>
        </w:rPr>
        <w:t>et al</w:t>
      </w:r>
      <w:r w:rsidRPr="00F436BD">
        <w:t>.</w:t>
      </w:r>
      <w:r>
        <w:t>,</w:t>
      </w:r>
      <w:r w:rsidRPr="00F436BD">
        <w:t xml:space="preserve"> 2002).</w:t>
      </w:r>
      <w:r>
        <w:t xml:space="preserve"> </w:t>
      </w:r>
      <w:r w:rsidRPr="00F436BD">
        <w:t xml:space="preserve"> Transition analysis, as described by Boldsen </w:t>
      </w:r>
      <w:r w:rsidRPr="00B068CC">
        <w:rPr>
          <w:i/>
        </w:rPr>
        <w:t>et al</w:t>
      </w:r>
      <w:r w:rsidRPr="00F436BD">
        <w:t xml:space="preserve">. (2002), addresses several of the concerns relating to age estimation: uncertainity of the estimate, age mimicry of the reference sample, the integration of multiple traits, capturing the morphological variability within a given trait, and open-ended age intervals. </w:t>
      </w:r>
      <w:r>
        <w:t xml:space="preserve"> </w:t>
      </w:r>
      <w:r w:rsidRPr="00F436BD">
        <w:t xml:space="preserve">It conforms to the </w:t>
      </w:r>
      <w:r>
        <w:t>“</w:t>
      </w:r>
      <w:r w:rsidRPr="00F436BD">
        <w:t>Rostock Manifesto</w:t>
      </w:r>
      <w:r>
        <w:t>”</w:t>
      </w:r>
      <w:r w:rsidRPr="00F436BD">
        <w:t xml:space="preserve"> in that it calculates, using Bayesian inference and maximum likelihood estimations, the individual age of a skeleton, </w:t>
      </w:r>
      <w:r w:rsidRPr="00F436BD">
        <w:lastRenderedPageBreak/>
        <w:t xml:space="preserve">but it does not calculate the age distribution of the target sample directly from the skeletal traits, that the Rostock Manifesto requires. </w:t>
      </w:r>
    </w:p>
    <w:p w:rsidR="00062B45" w:rsidRPr="00F436BD" w:rsidRDefault="00062B45" w:rsidP="007141FE">
      <w:pPr>
        <w:spacing w:line="480" w:lineRule="auto"/>
        <w:ind w:firstLine="720"/>
      </w:pPr>
      <w:r w:rsidRPr="00F436BD">
        <w:t xml:space="preserve">Transition analysis offers several benefits over traditional phase and component scoring systems.  Transition analysis is equivalent to a component scoring system, which alleviates inter-observer error issues by utilizing binary or ordinal traits. </w:t>
      </w:r>
      <w:r>
        <w:t xml:space="preserve"> </w:t>
      </w:r>
      <w:r w:rsidRPr="00F436BD">
        <w:t>It can be applied to any indicator that undergoes regular, progressive changes throughout life, so substantially increases the number of scoring areas which increases the quality of an individual estimate.</w:t>
      </w:r>
      <w:r>
        <w:t xml:space="preserve"> </w:t>
      </w:r>
      <w:r w:rsidRPr="00F436BD">
        <w:t xml:space="preserve"> It can handle missing data, which other component systems cannot.</w:t>
      </w:r>
      <w:r>
        <w:t xml:space="preserve"> </w:t>
      </w:r>
      <w:r w:rsidRPr="00F436BD">
        <w:t xml:space="preserve"> Most importantly, transition analysis as applied in ADBOU, can account for the uncertainty of an age estimate. </w:t>
      </w:r>
      <w:r>
        <w:t xml:space="preserve"> </w:t>
      </w:r>
      <w:r w:rsidRPr="00F436BD">
        <w:t>The measure of uncertainty is a growing concern in the forensic community, as outlined by the National Academy of Science</w:t>
      </w:r>
      <w:r w:rsidR="00960FE5">
        <w:t>’s</w:t>
      </w:r>
      <w:r w:rsidRPr="00F436BD">
        <w:t xml:space="preserve"> report (2009), which suggests practitioners must account for the reliability and validity of their measures. </w:t>
      </w:r>
      <w:r>
        <w:t xml:space="preserve"> </w:t>
      </w:r>
      <w:r w:rsidRPr="00F436BD">
        <w:t>The certainty of an age is not real certain in many current methods (Milner and Boldsen</w:t>
      </w:r>
      <w:r>
        <w:t>,</w:t>
      </w:r>
      <w:r w:rsidRPr="00F436BD">
        <w:t xml:space="preserve"> 2012b).  It is difficult to determine central tendency and dispersion of a reference sample, because it is often left unpublished by the developer of a method. </w:t>
      </w:r>
      <w:r>
        <w:t xml:space="preserve"> </w:t>
      </w:r>
      <w:r w:rsidRPr="00F436BD">
        <w:t xml:space="preserve">The application of likelihood curves allows for a true measure of uncertainty associated with a trait or suite of traits, which is provided via the 95% confidence intervals.  Boldsen </w:t>
      </w:r>
      <w:r w:rsidRPr="00B068CC">
        <w:rPr>
          <w:i/>
        </w:rPr>
        <w:t>et al</w:t>
      </w:r>
      <w:r w:rsidRPr="00F436BD">
        <w:t xml:space="preserve">. (2002) and Buikstra </w:t>
      </w:r>
      <w:r w:rsidRPr="00B068CC">
        <w:rPr>
          <w:i/>
        </w:rPr>
        <w:t>et al</w:t>
      </w:r>
      <w:r w:rsidRPr="00F436BD">
        <w:t>. (2006) demonstrate transition analysis can provide information about ages of the old in much different samples, so researchers are not forced to record open-ended intervals (</w:t>
      </w:r>
      <w:r w:rsidRPr="00BA55E9">
        <w:rPr>
          <w:i/>
        </w:rPr>
        <w:t>e.g.</w:t>
      </w:r>
      <w:r w:rsidRPr="00F436BD">
        <w:t xml:space="preserve"> 50+). </w:t>
      </w:r>
      <w:r>
        <w:t xml:space="preserve"> </w:t>
      </w:r>
      <w:r w:rsidRPr="00F436BD">
        <w:t>In fact, Milner (2010) and Milner and Boldsen (2012a</w:t>
      </w:r>
      <w:proofErr w:type="gramStart"/>
      <w:r w:rsidRPr="00F436BD">
        <w:t>,b</w:t>
      </w:r>
      <w:proofErr w:type="gramEnd"/>
      <w:r w:rsidRPr="00F436BD">
        <w:t xml:space="preserve">) have shown that the confidence intervals for older individuals are narrower than the middle-aged individuals. </w:t>
      </w:r>
      <w:r>
        <w:t xml:space="preserve"> </w:t>
      </w:r>
      <w:r w:rsidRPr="00F436BD">
        <w:t xml:space="preserve">Also, the fixed age intervals associated with phase systems assume a universal uniformity to an age distribution within a given interval, which is not the case in transition analysis. </w:t>
      </w:r>
    </w:p>
    <w:p w:rsidR="00062B45" w:rsidRPr="00F436BD" w:rsidRDefault="00062B45" w:rsidP="007141FE">
      <w:pPr>
        <w:spacing w:line="480" w:lineRule="auto"/>
        <w:ind w:firstLine="720"/>
      </w:pPr>
      <w:r w:rsidRPr="00F436BD">
        <w:lastRenderedPageBreak/>
        <w:t>Bethard (2005), Uhl (2008), and Milner and Boldsen (2012 a</w:t>
      </w:r>
      <w:proofErr w:type="gramStart"/>
      <w:r w:rsidRPr="00F436BD">
        <w:t>,b</w:t>
      </w:r>
      <w:proofErr w:type="gramEnd"/>
      <w:r w:rsidRPr="00F436BD">
        <w:t xml:space="preserve">) found that the transition analysis method, using the computer program ADBOU, was only moderately effective in estimating age-at-death.  The main criticisms of the ADBOU program is that the built-in priors are not relevant to all situations, the program does not allow for the flexibility of integrating other aging criteria, and that the complexity of the scoring system required to use the program is difficult for those accustomed to the traditional phase approaches (Uhl 2013). </w:t>
      </w:r>
      <w:r>
        <w:t xml:space="preserve"> </w:t>
      </w:r>
      <w:r w:rsidRPr="00F436BD">
        <w:t>There is still the possibility of attraction towards the mean if an improper prior is used for the maximum likelihood estimation, because this prior is a reference sampl</w:t>
      </w:r>
      <w:r>
        <w:t>e</w:t>
      </w:r>
      <w:r w:rsidRPr="00F436BD">
        <w:t xml:space="preserve"> from which </w:t>
      </w:r>
      <w:r>
        <w:t>individual</w:t>
      </w:r>
      <w:r w:rsidRPr="00F436BD">
        <w:t xml:space="preserve"> estimates are drawn. </w:t>
      </w:r>
      <w:r>
        <w:t xml:space="preserve"> </w:t>
      </w:r>
      <w:r w:rsidRPr="00F436BD">
        <w:t xml:space="preserve">Additionally, without prior experience in the scoring system, inter-observer and intra-observer error become problematic, but this can be alleviated with a little training. </w:t>
      </w:r>
      <w:r>
        <w:t xml:space="preserve"> </w:t>
      </w:r>
      <w:r w:rsidRPr="00F436BD">
        <w:t>Others have found it useful to incorporate multiple skeletal indicators in a relatively unbiased fashion (Wilson and Algee-Hewitt</w:t>
      </w:r>
      <w:r>
        <w:t>,</w:t>
      </w:r>
      <w:r w:rsidRPr="00F436BD">
        <w:t xml:space="preserve"> 2009</w:t>
      </w:r>
      <w:r>
        <w:t>;</w:t>
      </w:r>
      <w:r w:rsidRPr="00F436BD">
        <w:t xml:space="preserve"> Shirley </w:t>
      </w:r>
      <w:r w:rsidRPr="00B068CC">
        <w:rPr>
          <w:i/>
        </w:rPr>
        <w:t>et al</w:t>
      </w:r>
      <w:r w:rsidRPr="00F436BD">
        <w:t>.</w:t>
      </w:r>
      <w:r>
        <w:t>,</w:t>
      </w:r>
      <w:r w:rsidRPr="00F436BD">
        <w:t xml:space="preserve"> 2010</w:t>
      </w:r>
      <w:r>
        <w:t>;</w:t>
      </w:r>
      <w:r w:rsidRPr="00F436BD">
        <w:t xml:space="preserve"> Wilson 2010).  These positive results using transition analysis, suggest that the inconsistencies observed in the quality of multi-trait estimates may be a result of the individual research design, methodological choices, and statistical assumptions and not the underlying theoretical foundation that supports the combined approach. </w:t>
      </w:r>
    </w:p>
    <w:p w:rsidR="00062B45" w:rsidRPr="00F436BD" w:rsidRDefault="00062B45" w:rsidP="00062B45">
      <w:pPr>
        <w:spacing w:line="480" w:lineRule="auto"/>
      </w:pPr>
    </w:p>
    <w:p w:rsidR="00062B45" w:rsidRPr="007141FE" w:rsidRDefault="00062B45" w:rsidP="007141FE">
      <w:pPr>
        <w:pStyle w:val="Heading3"/>
        <w:rPr>
          <w:rFonts w:ascii="Times New Roman" w:hAnsi="Times New Roman" w:cs="Times New Roman"/>
        </w:rPr>
      </w:pPr>
      <w:bookmarkStart w:id="33" w:name="_Toc349858145"/>
      <w:r w:rsidRPr="007141FE">
        <w:rPr>
          <w:rFonts w:ascii="Times New Roman" w:hAnsi="Times New Roman" w:cs="Times New Roman"/>
        </w:rPr>
        <w:t>Summary</w:t>
      </w:r>
      <w:bookmarkEnd w:id="33"/>
    </w:p>
    <w:p w:rsidR="00062B45" w:rsidRPr="00F436BD" w:rsidRDefault="00062B45" w:rsidP="00062B45">
      <w:pPr>
        <w:spacing w:line="480" w:lineRule="auto"/>
      </w:pPr>
      <w:r w:rsidRPr="00F436BD">
        <w:t>Going back to an earlier statement by Dr. Maples “Age determination us ultimately an art, not a precise science…the final best estimate results from a subjective weighting of all of the techniques that were employed</w:t>
      </w:r>
      <w:r>
        <w:t>,” p. 323.</w:t>
      </w:r>
      <w:r w:rsidRPr="00F436BD">
        <w:t xml:space="preserve">  While some indicate that all of our scientific endeavors really do not provide much better results as our subjective, “art” does for age estimation (Milner </w:t>
      </w:r>
      <w:r w:rsidRPr="00F436BD">
        <w:lastRenderedPageBreak/>
        <w:t>and Bolds</w:t>
      </w:r>
      <w:r w:rsidR="00960FE5">
        <w:t>en</w:t>
      </w:r>
      <w:r>
        <w:t>,</w:t>
      </w:r>
      <w:r w:rsidRPr="00F436BD">
        <w:t xml:space="preserve"> 2012); I agree with Kongsberg and Frankenberg (2002), there is “no apparent reason why we should not strive to make it a science</w:t>
      </w:r>
      <w:r>
        <w:t>,</w:t>
      </w:r>
      <w:r w:rsidRPr="00F436BD">
        <w:t xml:space="preserve">” </w:t>
      </w:r>
      <w:r>
        <w:t>p. 253</w:t>
      </w:r>
      <w:r w:rsidRPr="00F436BD">
        <w:t xml:space="preserve">.  The Bocquet-Appel and Masset (1982) requirement of a 0.9 correlation coefficient for each age indicator is unrealistic, because of the variability in the aging process within a skeleton. </w:t>
      </w:r>
      <w:r>
        <w:t xml:space="preserve"> </w:t>
      </w:r>
      <w:r w:rsidRPr="00F436BD">
        <w:t>However the use of multiple age indicat</w:t>
      </w:r>
      <w:r>
        <w:t>ors in methods like Transition A</w:t>
      </w:r>
      <w:r w:rsidRPr="00F436BD">
        <w:t xml:space="preserve">nalysis allow for more accurate age estimates based on Bayes’ theorem and maximum likelihood estimation (MLE), which do not have the reference sample age distribution bias. </w:t>
      </w:r>
      <w:r>
        <w:t xml:space="preserve"> </w:t>
      </w:r>
      <w:r w:rsidRPr="00F436BD">
        <w:t>Even though the method does not recover the parameters of the age-at-death distribution like other methods (</w:t>
      </w:r>
      <w:r w:rsidRPr="00BA55E9">
        <w:rPr>
          <w:i/>
        </w:rPr>
        <w:t>e.g.,</w:t>
      </w:r>
      <w:r w:rsidRPr="00F436BD">
        <w:t xml:space="preserve"> Konigsberg and Herrmann, 2002; Love and Müller, 2002), it does not have the issues of subjectivity of phase age-at-death methods, can handle multiple age indicators, and can act as a first step in creating a mortality profile. </w:t>
      </w:r>
    </w:p>
    <w:p w:rsidR="00236E6D" w:rsidRPr="00D31C86" w:rsidRDefault="00C0293C" w:rsidP="001C002A">
      <w:pPr>
        <w:pStyle w:val="Heading2"/>
      </w:pPr>
      <w:r>
        <w:br w:type="page"/>
      </w:r>
      <w:bookmarkStart w:id="34" w:name="_Toc349858146"/>
      <w:r w:rsidR="00236E6D" w:rsidRPr="00D31C86">
        <w:lastRenderedPageBreak/>
        <w:t xml:space="preserve">CHAPTER </w:t>
      </w:r>
      <w:r w:rsidR="003D07AE" w:rsidRPr="00D31C86">
        <w:t>5</w:t>
      </w:r>
      <w:bookmarkEnd w:id="34"/>
    </w:p>
    <w:p w:rsidR="003D07AE" w:rsidRPr="00D31C86" w:rsidRDefault="003D07AE" w:rsidP="00D31C86">
      <w:pPr>
        <w:pStyle w:val="Heading2"/>
        <w:rPr>
          <w:rFonts w:ascii="Times New Roman" w:hAnsi="Times New Roman" w:cs="Times New Roman"/>
        </w:rPr>
      </w:pPr>
      <w:bookmarkStart w:id="35" w:name="_Toc349858147"/>
      <w:r w:rsidRPr="00D31C86">
        <w:rPr>
          <w:rFonts w:ascii="Times New Roman" w:hAnsi="Times New Roman" w:cs="Times New Roman"/>
        </w:rPr>
        <w:t>Materials and Methods</w:t>
      </w:r>
      <w:bookmarkEnd w:id="35"/>
    </w:p>
    <w:p w:rsidR="003D07AE" w:rsidRDefault="003D07AE" w:rsidP="003D07AE"/>
    <w:p w:rsidR="003D07AE" w:rsidRDefault="003D07AE" w:rsidP="003D07AE"/>
    <w:p w:rsidR="003D07AE" w:rsidRPr="00D31C86" w:rsidRDefault="003D07AE" w:rsidP="00D31C86">
      <w:pPr>
        <w:pStyle w:val="Heading3"/>
        <w:rPr>
          <w:rFonts w:ascii="Times New Roman" w:hAnsi="Times New Roman" w:cs="Times New Roman"/>
        </w:rPr>
      </w:pPr>
      <w:bookmarkStart w:id="36" w:name="_Toc349858148"/>
      <w:r w:rsidRPr="00D31C86">
        <w:rPr>
          <w:rFonts w:ascii="Times New Roman" w:hAnsi="Times New Roman" w:cs="Times New Roman"/>
        </w:rPr>
        <w:t>Materials</w:t>
      </w:r>
      <w:bookmarkEnd w:id="36"/>
    </w:p>
    <w:p w:rsidR="003D07AE" w:rsidRPr="00F92CB3" w:rsidRDefault="003D07AE" w:rsidP="003D07AE">
      <w:pPr>
        <w:spacing w:line="480" w:lineRule="auto"/>
      </w:pPr>
      <w:r w:rsidRPr="00674864">
        <w:tab/>
      </w:r>
      <w:r w:rsidRPr="00F92CB3">
        <w:t xml:space="preserve">A sample from the Larson site (39WW2) located in south-central South </w:t>
      </w:r>
      <w:proofErr w:type="gramStart"/>
      <w:r w:rsidRPr="00F92CB3">
        <w:t>Dakota,</w:t>
      </w:r>
      <w:proofErr w:type="gramEnd"/>
      <w:r w:rsidRPr="00F92CB3">
        <w:t xml:space="preserve"> was utilized in this analysis. </w:t>
      </w:r>
      <w:r>
        <w:t xml:space="preserve"> </w:t>
      </w:r>
      <w:r w:rsidRPr="00F92CB3">
        <w:t>Excavation of the cemetery associated with the Larsen village started in 1966 and continued through 1968.</w:t>
      </w:r>
      <w:r>
        <w:t xml:space="preserve"> </w:t>
      </w:r>
      <w:r w:rsidRPr="00F92CB3">
        <w:t xml:space="preserve"> Heavy mechanical equipment, trenching, and traditional hand excavation methods were utilized to recover all skeletal material within the cemetery area during the salvage operations</w:t>
      </w:r>
      <w:r>
        <w:t>,</w:t>
      </w:r>
      <w:r w:rsidRPr="00F92CB3">
        <w:t xml:space="preserve"> as this site is now under the Oahe reservoir.  In total 706 individuals were recovered from the village and adjacent cemetery.</w:t>
      </w:r>
      <w:r>
        <w:t xml:space="preserve"> </w:t>
      </w:r>
      <w:r w:rsidRPr="00F92CB3">
        <w:t xml:space="preserve"> </w:t>
      </w:r>
      <w:r>
        <w:t>Although no site report has been published,</w:t>
      </w:r>
      <w:r w:rsidRPr="00F92CB3">
        <w:t xml:space="preserve"> </w:t>
      </w:r>
      <w:r>
        <w:t xml:space="preserve">the Larson Site has been utilized in </w:t>
      </w:r>
      <w:r w:rsidRPr="00F92CB3">
        <w:t>several research projects</w:t>
      </w:r>
      <w:r>
        <w:t>.</w:t>
      </w:r>
      <w:r w:rsidRPr="00F92CB3">
        <w:t xml:space="preserve"> </w:t>
      </w:r>
      <w:r>
        <w:t xml:space="preserve"> </w:t>
      </w:r>
      <w:r w:rsidRPr="00F92CB3">
        <w:t xml:space="preserve">A relatively short occupation time, 1750 to 1785, for the </w:t>
      </w:r>
      <w:proofErr w:type="gramStart"/>
      <w:r w:rsidRPr="00F92CB3">
        <w:t xml:space="preserve">village </w:t>
      </w:r>
      <w:r>
        <w:t xml:space="preserve"> has</w:t>
      </w:r>
      <w:proofErr w:type="gramEnd"/>
      <w:r>
        <w:t xml:space="preserve"> been suggested</w:t>
      </w:r>
      <w:r w:rsidRPr="00F92CB3">
        <w:t xml:space="preserve"> (Jantz</w:t>
      </w:r>
      <w:r>
        <w:t>,</w:t>
      </w:r>
      <w:r w:rsidRPr="00F92CB3">
        <w:t xml:space="preserve"> 1970</w:t>
      </w:r>
      <w:r>
        <w:t xml:space="preserve">; Lehmer, </w:t>
      </w:r>
      <w:r w:rsidRPr="00F92CB3">
        <w:t>1970</w:t>
      </w:r>
      <w:r>
        <w:t>;</w:t>
      </w:r>
      <w:r w:rsidRPr="00F92CB3">
        <w:t xml:space="preserve"> Owsley</w:t>
      </w:r>
      <w:r>
        <w:t>,</w:t>
      </w:r>
      <w:r w:rsidRPr="00F92CB3">
        <w:t xml:space="preserve"> 1975</w:t>
      </w:r>
      <w:r>
        <w:t>;</w:t>
      </w:r>
      <w:r w:rsidRPr="00F92CB3">
        <w:t xml:space="preserve"> Owsley and Bass</w:t>
      </w:r>
      <w:r>
        <w:t>,</w:t>
      </w:r>
      <w:r w:rsidRPr="00F92CB3">
        <w:t xml:space="preserve"> 1979)</w:t>
      </w:r>
      <w:r>
        <w:t xml:space="preserve">, but more recently </w:t>
      </w:r>
      <w:r w:rsidRPr="00F92CB3">
        <w:t>Jantz and Owsley (1985) suggest</w:t>
      </w:r>
      <w:r>
        <w:t>ed</w:t>
      </w:r>
      <w:r w:rsidRPr="00F92CB3">
        <w:t xml:space="preserve"> a 1679-1733 proto-historic occupation date.</w:t>
      </w:r>
      <w:r>
        <w:t xml:space="preserve"> </w:t>
      </w:r>
      <w:r w:rsidRPr="00F92CB3">
        <w:t xml:space="preserve"> Nevertheless, cultural assignment is post-contact Coalescent (Lehmer</w:t>
      </w:r>
      <w:r>
        <w:t>,</w:t>
      </w:r>
      <w:r w:rsidRPr="00F92CB3">
        <w:t xml:space="preserve"> 1971), Le Beau phase.</w:t>
      </w:r>
      <w:r>
        <w:t xml:space="preserve"> </w:t>
      </w:r>
      <w:r w:rsidRPr="00F92CB3">
        <w:t xml:space="preserve"> Furthermore, European manufactured goods were recovered in association with many of the cemetery burials indicating </w:t>
      </w:r>
      <w:r>
        <w:t>a</w:t>
      </w:r>
      <w:r w:rsidRPr="00F92CB3">
        <w:t xml:space="preserve"> Post-contact village (Jantz</w:t>
      </w:r>
      <w:r>
        <w:t>,</w:t>
      </w:r>
      <w:r w:rsidRPr="00F92CB3">
        <w:t xml:space="preserve"> 1972).</w:t>
      </w:r>
    </w:p>
    <w:p w:rsidR="003D07AE" w:rsidRDefault="003D07AE" w:rsidP="003D07AE">
      <w:pPr>
        <w:spacing w:line="480" w:lineRule="auto"/>
        <w:ind w:firstLine="720"/>
      </w:pPr>
      <w:r w:rsidRPr="00F92CB3">
        <w:t xml:space="preserve">The </w:t>
      </w:r>
      <w:r>
        <w:t xml:space="preserve">Larson site consists of </w:t>
      </w:r>
      <w:r w:rsidRPr="00F92CB3">
        <w:t xml:space="preserve">an earthlodge village </w:t>
      </w:r>
      <w:r>
        <w:t>and</w:t>
      </w:r>
      <w:r w:rsidRPr="00F92CB3">
        <w:t xml:space="preserve"> cemetery located on the East bank of the Missouri River just south of Mobridge, South Dakota.  The village was located on a high terrace overlooking the valley basin with the cemetery located 100-300 yards </w:t>
      </w:r>
      <w:r>
        <w:t>northeast</w:t>
      </w:r>
      <w:r w:rsidRPr="00F92CB3">
        <w:t xml:space="preserve"> of the village (Owsley </w:t>
      </w:r>
      <w:r w:rsidRPr="00F92CB3">
        <w:rPr>
          <w:i/>
        </w:rPr>
        <w:t>et al</w:t>
      </w:r>
      <w:r w:rsidRPr="00F92CB3">
        <w:t>.</w:t>
      </w:r>
      <w:r>
        <w:t>,</w:t>
      </w:r>
      <w:r w:rsidRPr="00F92CB3">
        <w:t xml:space="preserve"> 1977</w:t>
      </w:r>
      <w:r>
        <w:t>;</w:t>
      </w:r>
      <w:r w:rsidRPr="00F92CB3">
        <w:t xml:space="preserve"> Owsley and Bass</w:t>
      </w:r>
      <w:r>
        <w:t>,</w:t>
      </w:r>
      <w:r w:rsidRPr="00F92CB3">
        <w:t xml:space="preserve"> 1979). The settlement was fortified by a defensive ditch (Bower</w:t>
      </w:r>
      <w:r>
        <w:t>,</w:t>
      </w:r>
      <w:r w:rsidRPr="00F92CB3">
        <w:t xml:space="preserve"> 1966). </w:t>
      </w:r>
      <w:r>
        <w:t xml:space="preserve"> </w:t>
      </w:r>
      <w:r w:rsidRPr="00F92CB3">
        <w:t xml:space="preserve">The locality of the cemetery, in proximity to the village, is </w:t>
      </w:r>
      <w:r w:rsidRPr="00F92CB3">
        <w:lastRenderedPageBreak/>
        <w:t>consistent with Arikara ethnohistoric data (Lehmer</w:t>
      </w:r>
      <w:r>
        <w:t>,</w:t>
      </w:r>
      <w:r w:rsidRPr="00F92CB3">
        <w:t xml:space="preserve"> 1970).  Figure 5.1 provides a map of the excavated areas associated with the Larson site from the 1966, 1967, and 1968 field seasons. </w:t>
      </w:r>
    </w:p>
    <w:p w:rsidR="00D31C86" w:rsidRPr="00674864" w:rsidRDefault="00D31C86" w:rsidP="00D31C86">
      <w:pPr>
        <w:spacing w:line="480" w:lineRule="auto"/>
        <w:ind w:firstLine="720"/>
      </w:pPr>
      <w:r w:rsidRPr="00674864">
        <w:t>Burials were excavated in the village area and from the cemetery, which was east of the village.</w:t>
      </w:r>
      <w:r>
        <w:t xml:space="preserve"> </w:t>
      </w:r>
      <w:r w:rsidRPr="00674864">
        <w:t xml:space="preserve"> Initial investigations by Bowers (1966) indicated human remains inside lodges and the village area (Owsley </w:t>
      </w:r>
      <w:r w:rsidRPr="00F92CB3">
        <w:rPr>
          <w:i/>
        </w:rPr>
        <w:t>et al</w:t>
      </w:r>
      <w:r>
        <w:t>,</w:t>
      </w:r>
      <w:r w:rsidRPr="00674864">
        <w:t xml:space="preserve"> 1977).</w:t>
      </w:r>
      <w:r>
        <w:t xml:space="preserve"> </w:t>
      </w:r>
      <w:r w:rsidRPr="00674864">
        <w:t xml:space="preserve"> </w:t>
      </w:r>
      <w:r>
        <w:t xml:space="preserve">The village </w:t>
      </w:r>
      <w:proofErr w:type="gramStart"/>
      <w:r>
        <w:t>area  is</w:t>
      </w:r>
      <w:proofErr w:type="gramEnd"/>
      <w:r w:rsidRPr="00674864">
        <w:t xml:space="preserve"> not included in this analysis due to the village site formation processes.  </w:t>
      </w:r>
      <w:r w:rsidRPr="00F92CB3">
        <w:t xml:space="preserve">The condition, location, and artifacts found in association with these remains imply a hostile etiology (Owsley </w:t>
      </w:r>
      <w:r w:rsidRPr="00F92CB3">
        <w:rPr>
          <w:i/>
        </w:rPr>
        <w:t>et al</w:t>
      </w:r>
      <w:r w:rsidRPr="00F92CB3">
        <w:t>.</w:t>
      </w:r>
      <w:r>
        <w:t>,</w:t>
      </w:r>
      <w:r w:rsidRPr="00F92CB3">
        <w:t xml:space="preserve"> 1977).  The skeletons displayed evidence of scalping, fractures, mutilation, and dental avulsion irrespectively of age or sex (Owsley </w:t>
      </w:r>
      <w:r w:rsidRPr="00F92CB3">
        <w:rPr>
          <w:i/>
        </w:rPr>
        <w:t>et al</w:t>
      </w:r>
      <w:r w:rsidRPr="00F92CB3">
        <w:t>.</w:t>
      </w:r>
      <w:r>
        <w:t>,</w:t>
      </w:r>
      <w:r w:rsidRPr="00F92CB3">
        <w:t xml:space="preserve"> 1977).</w:t>
      </w:r>
      <w:r>
        <w:t xml:space="preserve"> </w:t>
      </w:r>
      <w:r w:rsidRPr="00F92CB3">
        <w:t xml:space="preserve"> </w:t>
      </w:r>
      <w:r w:rsidRPr="00674864">
        <w:t>Subsequent salvage based excavations by a team from the University of Kansas under the direction of Dr. William M. Bass, 1966-1968, led to the recovery of 628 individuals from approximately 700 burials in the cemetery area (Oswley</w:t>
      </w:r>
      <w:r>
        <w:t xml:space="preserve"> and Bass, 1979</w:t>
      </w:r>
      <w:r w:rsidRPr="00674864">
        <w:t>).</w:t>
      </w:r>
      <w:r>
        <w:t xml:space="preserve"> </w:t>
      </w:r>
      <w:r w:rsidRPr="00674864">
        <w:t xml:space="preserve"> The field workers had to contend with rising water levels throughout the excavation period, some skeletons being washed away, especially those in 1968, and many excavations occurring in thick mud and underwater (</w:t>
      </w:r>
      <w:r>
        <w:t xml:space="preserve">n.d. </w:t>
      </w:r>
      <w:r w:rsidRPr="00674864">
        <w:t>Field notes).</w:t>
      </w:r>
      <w:r>
        <w:t xml:space="preserve"> </w:t>
      </w:r>
      <w:r w:rsidRPr="00674864">
        <w:t xml:space="preserve"> The excavation conditions did effect the preservation of skeletal material with many of the skeletons in the F301 feature being incomplete and exhibiting extensive cortical exfoliation that often is associated with wet burial conditions.  </w:t>
      </w:r>
      <w:r>
        <w:t xml:space="preserve">However, </w:t>
      </w:r>
      <w:r w:rsidRPr="00674864">
        <w:t>it is estimated that approximately 90% of the cemetery was excavated and recovered</w:t>
      </w:r>
      <w:r>
        <w:t xml:space="preserve"> (Bass and Rucker, 1976)</w:t>
      </w:r>
      <w:r w:rsidRPr="00674864">
        <w:t>.</w:t>
      </w:r>
    </w:p>
    <w:p w:rsidR="00D31C86" w:rsidRPr="00F92CB3" w:rsidRDefault="00D31C86" w:rsidP="00D31C86">
      <w:pPr>
        <w:spacing w:line="480" w:lineRule="auto"/>
        <w:ind w:firstLine="720"/>
      </w:pPr>
      <w:r w:rsidRPr="00674864">
        <w:t xml:space="preserve"> In the 1970s, Dr. Bass transferred the skeletal remains from the University of Kansas to the University of Tennessee.  Preliminary analyses by Bass and Rucker (1976) suggest the Larson cemetery was representative of the expected population; because a fairly equal number of </w:t>
      </w:r>
    </w:p>
    <w:p w:rsidR="003D07AE" w:rsidRDefault="00C90CC6" w:rsidP="003D07AE">
      <w:pPr>
        <w:jc w:val="center"/>
      </w:pPr>
      <w:r>
        <w:rPr>
          <w:noProof/>
        </w:rPr>
        <w:lastRenderedPageBreak/>
        <w:drawing>
          <wp:inline distT="0" distB="0" distL="0" distR="0">
            <wp:extent cx="5238750" cy="723900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38750" cy="7239000"/>
                    </a:xfrm>
                    <a:prstGeom prst="rect">
                      <a:avLst/>
                    </a:prstGeom>
                    <a:noFill/>
                    <a:ln>
                      <a:noFill/>
                    </a:ln>
                  </pic:spPr>
                </pic:pic>
              </a:graphicData>
            </a:graphic>
          </wp:inline>
        </w:drawing>
      </w:r>
    </w:p>
    <w:p w:rsidR="003D07AE" w:rsidRDefault="003D07AE" w:rsidP="003D07AE">
      <w:pPr>
        <w:jc w:val="center"/>
      </w:pPr>
    </w:p>
    <w:p w:rsidR="003D07AE" w:rsidRDefault="003D07AE" w:rsidP="003D07AE">
      <w:r>
        <w:t xml:space="preserve">Figure </w:t>
      </w:r>
      <w:proofErr w:type="gramStart"/>
      <w:r>
        <w:t>5.1  Plan</w:t>
      </w:r>
      <w:proofErr w:type="gramEnd"/>
      <w:r>
        <w:t xml:space="preserve"> map of the excavated burials from the Larson Site (39WW2)</w:t>
      </w:r>
      <w:r w:rsidR="00DD7FDA">
        <w:t xml:space="preserve">. Adapted from </w:t>
      </w:r>
      <w:r>
        <w:t xml:space="preserve">Owsley </w:t>
      </w:r>
      <w:r w:rsidR="00DD7FDA">
        <w:t>(</w:t>
      </w:r>
      <w:r>
        <w:t>1975, p 14).</w:t>
      </w:r>
    </w:p>
    <w:p w:rsidR="003D07AE" w:rsidRDefault="00D31C86" w:rsidP="00D31C86">
      <w:pPr>
        <w:spacing w:line="480" w:lineRule="auto"/>
      </w:pPr>
      <w:proofErr w:type="gramStart"/>
      <w:r w:rsidRPr="00674864">
        <w:lastRenderedPageBreak/>
        <w:t>males</w:t>
      </w:r>
      <w:proofErr w:type="gramEnd"/>
      <w:r w:rsidRPr="00674864">
        <w:t xml:space="preserve"> and females were found.</w:t>
      </w:r>
      <w:r>
        <w:t xml:space="preserve"> </w:t>
      </w:r>
      <w:r w:rsidRPr="00674864">
        <w:t xml:space="preserve"> Additionally, Lehmer (1970) indicates that the Arikara did not have differential treatment of remains. </w:t>
      </w:r>
      <w:r>
        <w:t xml:space="preserve"> </w:t>
      </w:r>
      <w:r w:rsidRPr="00674864">
        <w:t xml:space="preserve">However, Hurt (1969) suggests that at certain months the </w:t>
      </w:r>
      <w:r w:rsidR="003D07AE" w:rsidRPr="00674864">
        <w:t xml:space="preserve">village would have only been occupied by the indigent (sick, elderly, injured) and children, which may have caused a bias in the cemetery composition. </w:t>
      </w:r>
    </w:p>
    <w:p w:rsidR="003D07AE" w:rsidRPr="00674864" w:rsidRDefault="003D07AE" w:rsidP="003D07AE">
      <w:pPr>
        <w:spacing w:line="480" w:lineRule="auto"/>
        <w:ind w:firstLine="720"/>
      </w:pPr>
      <w:r w:rsidRPr="00674864">
        <w:t>All materials that could be associated with a specific burial number and were available to this author were examined,</w:t>
      </w:r>
      <w:r>
        <w:t xml:space="preserve"> (</w:t>
      </w:r>
      <w:r w:rsidRPr="00674864">
        <w:t>N=</w:t>
      </w:r>
      <w:r>
        <w:t>620</w:t>
      </w:r>
      <w:r w:rsidRPr="00674864">
        <w:t>).</w:t>
      </w:r>
      <w:r>
        <w:t xml:space="preserve">  The original number of skeletons associated with the cemetery, based field records, </w:t>
      </w:r>
      <w:proofErr w:type="gramStart"/>
      <w:r>
        <w:t>suggests</w:t>
      </w:r>
      <w:proofErr w:type="gramEnd"/>
      <w:r>
        <w:t xml:space="preserve"> a total of 643 individuals.  During analysis it was discovered that a few of the juvenile individuals actually represented multiple individuals, so were distinguished as such during analysis.  Also, several adult skeletons were not available to this author at the time of analysis, so were eliminated from subsequent analyses.</w:t>
      </w:r>
      <w:r w:rsidRPr="00674864">
        <w:t xml:space="preserve"> </w:t>
      </w:r>
      <w:r>
        <w:t xml:space="preserve"> </w:t>
      </w:r>
      <w:r w:rsidRPr="00674864">
        <w:t xml:space="preserve">The number of skeletons available, the good ethnographic, historical, and archaeological data, and the wealth of research on the biological affiliation of the individuals of the Larson site make it an ideal candidate to test the applicability of paleodemographic model construction and the age-at-death estimations necessary for these models.  </w:t>
      </w:r>
    </w:p>
    <w:p w:rsidR="003D07AE" w:rsidRPr="00D31C86" w:rsidRDefault="003D07AE" w:rsidP="00D31C86">
      <w:pPr>
        <w:pStyle w:val="Heading3"/>
        <w:rPr>
          <w:rFonts w:ascii="Times New Roman" w:hAnsi="Times New Roman" w:cs="Times New Roman"/>
        </w:rPr>
      </w:pPr>
    </w:p>
    <w:p w:rsidR="003D07AE" w:rsidRDefault="003D07AE" w:rsidP="00D31C86">
      <w:pPr>
        <w:pStyle w:val="Heading3"/>
        <w:rPr>
          <w:rFonts w:ascii="Times New Roman" w:hAnsi="Times New Roman" w:cs="Times New Roman"/>
        </w:rPr>
      </w:pPr>
      <w:bookmarkStart w:id="37" w:name="_Toc349858149"/>
      <w:r w:rsidRPr="00D31C86">
        <w:rPr>
          <w:rFonts w:ascii="Times New Roman" w:hAnsi="Times New Roman" w:cs="Times New Roman"/>
        </w:rPr>
        <w:t>Methods</w:t>
      </w:r>
      <w:bookmarkEnd w:id="37"/>
    </w:p>
    <w:p w:rsidR="001C002A" w:rsidRPr="006B42FD" w:rsidRDefault="001C002A" w:rsidP="001C002A">
      <w:pPr>
        <w:spacing w:line="480" w:lineRule="auto"/>
        <w:ind w:firstLine="720"/>
      </w:pPr>
      <w:r w:rsidRPr="006B42FD">
        <w:t xml:space="preserve">This research is the first stage of a larger project to evaluate the “well-being” of the Arikara throughout the Missouri River Valley.  The ultimate goal is to apply an epidemiological model that integrates both the demographic and pathological data, but this cannot be accomplished without understanding the population dynamics within each skeletal population.  The scope of this work will be limited to understanding 1) how age-at-death estimation methods impact demographic reconstruction and 2) what information can be gleaned about the Arikara from the demography of the Larson site (39WW2) cemetery skeletal sample.  Examining the </w:t>
      </w:r>
      <w:r w:rsidRPr="006B42FD">
        <w:lastRenderedPageBreak/>
        <w:t xml:space="preserve">differences between age estimation methods permits a better understanding of sample construction and any associated biases.  Each age-at-death distribution will be used to evaluate the fit of demographic models in order to better understand population dynamics associated with post-contact Arikara.  </w:t>
      </w:r>
    </w:p>
    <w:p w:rsidR="001C002A" w:rsidRDefault="001C002A" w:rsidP="001C002A">
      <w:pPr>
        <w:spacing w:line="480" w:lineRule="auto"/>
      </w:pPr>
    </w:p>
    <w:p w:rsidR="001C002A" w:rsidRPr="001C002A" w:rsidRDefault="001C002A" w:rsidP="001C002A">
      <w:pPr>
        <w:spacing w:line="480" w:lineRule="auto"/>
        <w:rPr>
          <w:i/>
        </w:rPr>
      </w:pPr>
      <w:r w:rsidRPr="001C002A">
        <w:rPr>
          <w:i/>
        </w:rPr>
        <w:t>Age-at-death Estimation</w:t>
      </w:r>
    </w:p>
    <w:p w:rsidR="001C002A" w:rsidRPr="006B42FD" w:rsidRDefault="001C002A" w:rsidP="001C002A">
      <w:pPr>
        <w:spacing w:line="480" w:lineRule="auto"/>
        <w:ind w:firstLine="720"/>
      </w:pPr>
      <w:r w:rsidRPr="006B42FD">
        <w:t xml:space="preserve">Accurate age-at-death estimates are vital to bioarchaeology analyses, as they serve the basis for population-based analyses.  Age-at-death estimates for all skeletons were calculated using multiple lines of evidence.  The following sections outline the methods used to estimate age-at-death in juveniles and age-at-death and sex for adults.  All age-at-death estimates accounted for gestation, so were systematically adjusted for the nine month gestation period or 0.75 years.  Since skeletal development is initiated in utero and most of the primary dentition is well-developed prior to birth it is necessary to have age ranges that incorporate fetal ages.  </w:t>
      </w:r>
    </w:p>
    <w:p w:rsidR="001C002A" w:rsidRDefault="001C002A" w:rsidP="001C002A">
      <w:pPr>
        <w:spacing w:line="480" w:lineRule="auto"/>
      </w:pPr>
    </w:p>
    <w:p w:rsidR="001C002A" w:rsidRPr="001C002A" w:rsidRDefault="001C002A" w:rsidP="001C002A">
      <w:pPr>
        <w:spacing w:line="480" w:lineRule="auto"/>
        <w:rPr>
          <w:i/>
        </w:rPr>
      </w:pPr>
      <w:r w:rsidRPr="001C002A">
        <w:rPr>
          <w:i/>
        </w:rPr>
        <w:t>Sub-adult age-at-death Estimation</w:t>
      </w:r>
    </w:p>
    <w:p w:rsidR="001C002A" w:rsidRPr="006B42FD" w:rsidRDefault="001C002A" w:rsidP="001C002A">
      <w:pPr>
        <w:spacing w:line="480" w:lineRule="auto"/>
        <w:ind w:firstLine="720"/>
      </w:pPr>
      <w:r w:rsidRPr="006B42FD">
        <w:t xml:space="preserve">Sub-adult age-at-death estimates utilized previously established methods for dental development (Moorrees </w:t>
      </w:r>
      <w:r w:rsidRPr="006B42FD">
        <w:rPr>
          <w:i/>
        </w:rPr>
        <w:t>et al</w:t>
      </w:r>
      <w:r w:rsidRPr="006B42FD">
        <w:t>.</w:t>
      </w:r>
      <w:r>
        <w:t>,</w:t>
      </w:r>
      <w:r w:rsidRPr="006B42FD">
        <w:t xml:space="preserve"> 1963 a</w:t>
      </w:r>
      <w:proofErr w:type="gramStart"/>
      <w:r w:rsidRPr="006B42FD">
        <w:t>,b</w:t>
      </w:r>
      <w:proofErr w:type="gramEnd"/>
      <w:r w:rsidRPr="006B42FD">
        <w:t xml:space="preserve">; Shackelford </w:t>
      </w:r>
      <w:r w:rsidRPr="006B42FD">
        <w:rPr>
          <w:i/>
        </w:rPr>
        <w:t>et al</w:t>
      </w:r>
      <w:r w:rsidRPr="006B42FD">
        <w:t>.</w:t>
      </w:r>
      <w:r>
        <w:t>,</w:t>
      </w:r>
      <w:r w:rsidRPr="006B42FD">
        <w:t xml:space="preserve"> 2012; Liversidge </w:t>
      </w:r>
      <w:r w:rsidRPr="006B42FD">
        <w:rPr>
          <w:i/>
        </w:rPr>
        <w:t>et al</w:t>
      </w:r>
      <w:r w:rsidRPr="006B42FD">
        <w:t>.</w:t>
      </w:r>
      <w:r>
        <w:t>,</w:t>
      </w:r>
      <w:r w:rsidRPr="006B42FD">
        <w:t xml:space="preserve"> 1998), bone length measurements(Maresh</w:t>
      </w:r>
      <w:r>
        <w:t>,</w:t>
      </w:r>
      <w:r w:rsidRPr="006B42FD">
        <w:t xml:space="preserve"> 1955; Fazekas and Kosa</w:t>
      </w:r>
      <w:r>
        <w:t>,</w:t>
      </w:r>
      <w:r w:rsidRPr="006B42FD">
        <w:t xml:space="preserve"> 1978); and epiphyseal development, union, and fusion (Buikstra and Ubelaker</w:t>
      </w:r>
      <w:r>
        <w:t>,</w:t>
      </w:r>
      <w:r w:rsidRPr="006B42FD">
        <w:t xml:space="preserve"> 1994</w:t>
      </w:r>
      <w:r>
        <w:t>;</w:t>
      </w:r>
      <w:r w:rsidRPr="006B42FD">
        <w:t xml:space="preserve"> Scheuer and Black</w:t>
      </w:r>
      <w:r>
        <w:t>,</w:t>
      </w:r>
      <w:r w:rsidRPr="006B42FD">
        <w:t xml:space="preserve"> 2000). </w:t>
      </w:r>
      <w:r>
        <w:t xml:space="preserve"> </w:t>
      </w:r>
      <w:r w:rsidRPr="006B42FD">
        <w:t>A few standards are available, relevant to Native Americans and more specifically the Arikara (Jantz and Owsley</w:t>
      </w:r>
      <w:r>
        <w:t>,</w:t>
      </w:r>
      <w:r w:rsidRPr="006B42FD">
        <w:t xml:space="preserve"> 1994</w:t>
      </w:r>
      <w:r>
        <w:t>;</w:t>
      </w:r>
      <w:r w:rsidRPr="006B42FD">
        <w:t xml:space="preserve"> Ubelaker</w:t>
      </w:r>
      <w:r>
        <w:t>,</w:t>
      </w:r>
      <w:r w:rsidRPr="006B42FD">
        <w:t xml:space="preserve"> 1987, 1989</w:t>
      </w:r>
      <w:r>
        <w:t>), but were not implemented in</w:t>
      </w:r>
      <w:r w:rsidRPr="006B42FD">
        <w:t xml:space="preserve"> this analysis as neither follows the guidelines suggested by the “Rostock Manifesto” (Hoppa and Vaupel, 2002) and do not </w:t>
      </w:r>
      <w:r w:rsidRPr="006B42FD">
        <w:lastRenderedPageBreak/>
        <w:t xml:space="preserve">completely account for the biases associated to precocious dental eruption and development compared to skeletal development. </w:t>
      </w:r>
      <w:r>
        <w:t xml:space="preserve"> Furthermore, </w:t>
      </w:r>
      <w:r w:rsidRPr="006B42FD">
        <w:t>these works served as the justification for keeping skeletal development and dental development based age-at-death estimates as separate data sets.</w:t>
      </w:r>
    </w:p>
    <w:p w:rsidR="001C002A" w:rsidRPr="006B42FD" w:rsidRDefault="001C002A" w:rsidP="001C002A">
      <w:pPr>
        <w:spacing w:line="480" w:lineRule="auto"/>
        <w:ind w:firstLine="720"/>
      </w:pPr>
      <w:r w:rsidRPr="006B42FD">
        <w:t xml:space="preserve">Cranial and Long bone lengths (maximum diaphyseal length) for fetal and infant remains were taken with a digital sliding caliper. </w:t>
      </w:r>
      <w:r>
        <w:t xml:space="preserve"> </w:t>
      </w:r>
      <w:r w:rsidRPr="006B42FD">
        <w:t xml:space="preserve">All available left side elements were measured. </w:t>
      </w:r>
      <w:r>
        <w:t xml:space="preserve"> </w:t>
      </w:r>
      <w:r w:rsidRPr="006B42FD">
        <w:t xml:space="preserve">The right side was substituted when the left was unavailable. </w:t>
      </w:r>
      <w:r>
        <w:t xml:space="preserve"> </w:t>
      </w:r>
      <w:r w:rsidRPr="006B42FD">
        <w:t xml:space="preserve">Age was acquired through a comparison of the cranial and post-cranial metrics from reference tables created by Fazekas and Kosa (1978), as presented in Scheuer and Black (2000), for fetal remains.  Infant through adolescent remains long bone lengths were taken with a digital sliding caliper or osteometric board, as appropriate, and compared to growth charts presented by Maresh (1955), which are based on healthy American children.  No applicable growth charts were available for Native Americans. </w:t>
      </w:r>
    </w:p>
    <w:p w:rsidR="001C002A" w:rsidRPr="006B42FD" w:rsidRDefault="001C002A" w:rsidP="001C002A">
      <w:pPr>
        <w:spacing w:line="480" w:lineRule="auto"/>
        <w:ind w:firstLine="720"/>
      </w:pPr>
      <w:r w:rsidRPr="006B42FD">
        <w:t xml:space="preserve"> Dental development scores were assigned by visual assessment of the dental mineralization pattern following Moorees </w:t>
      </w:r>
      <w:r w:rsidRPr="006B42FD">
        <w:rPr>
          <w:i/>
        </w:rPr>
        <w:t>et al</w:t>
      </w:r>
      <w:r w:rsidRPr="006B42FD">
        <w:t>. (1963a</w:t>
      </w:r>
      <w:proofErr w:type="gramStart"/>
      <w:r w:rsidRPr="006B42FD">
        <w:t>,b</w:t>
      </w:r>
      <w:proofErr w:type="gramEnd"/>
      <w:r w:rsidRPr="006B42FD">
        <w:t xml:space="preserve">) or by regression analysis following Liversidge </w:t>
      </w:r>
      <w:r w:rsidRPr="006B42FD">
        <w:rPr>
          <w:i/>
        </w:rPr>
        <w:t>et al</w:t>
      </w:r>
      <w:r w:rsidRPr="006B42FD">
        <w:t xml:space="preserve">.(1998) Moorees </w:t>
      </w:r>
      <w:r w:rsidRPr="006B42FD">
        <w:rPr>
          <w:i/>
        </w:rPr>
        <w:t>et al</w:t>
      </w:r>
      <w:r w:rsidRPr="006B42FD">
        <w:t>.’s (1963a,b) study was based on a large, longitudinal sample from dental radiographs of children at the Fels Research Institute in Ohio and utilize a cumulative probit regression model on a log scale to estimate developmental levels (Smith</w:t>
      </w:r>
      <w:r>
        <w:t>,</w:t>
      </w:r>
      <w:r w:rsidRPr="006B42FD">
        <w:t xml:space="preserve"> 1991). </w:t>
      </w:r>
      <w:r>
        <w:t xml:space="preserve"> </w:t>
      </w:r>
      <w:r w:rsidRPr="006B42FD">
        <w:t xml:space="preserve">The Moorees </w:t>
      </w:r>
      <w:r w:rsidRPr="006B42FD">
        <w:rPr>
          <w:i/>
        </w:rPr>
        <w:t>et al</w:t>
      </w:r>
      <w:r w:rsidRPr="006B42FD">
        <w:t>. (1963a</w:t>
      </w:r>
      <w:proofErr w:type="gramStart"/>
      <w:r w:rsidRPr="006B42FD">
        <w:t>,b</w:t>
      </w:r>
      <w:proofErr w:type="gramEnd"/>
      <w:r w:rsidRPr="006B42FD">
        <w:t>) were previously utilized to study the Larson site (Owsley</w:t>
      </w:r>
      <w:r>
        <w:t>,</w:t>
      </w:r>
      <w:r w:rsidRPr="006B42FD">
        <w:t xml:space="preserve"> 1975</w:t>
      </w:r>
      <w:r>
        <w:t>;</w:t>
      </w:r>
      <w:r w:rsidRPr="006B42FD">
        <w:t xml:space="preserve"> Owsley </w:t>
      </w:r>
      <w:r w:rsidRPr="006B42FD">
        <w:rPr>
          <w:i/>
        </w:rPr>
        <w:t>et al</w:t>
      </w:r>
      <w:r w:rsidRPr="006B42FD">
        <w:t>.</w:t>
      </w:r>
      <w:r>
        <w:t>, 1977;</w:t>
      </w:r>
      <w:r w:rsidRPr="006B42FD">
        <w:t xml:space="preserve"> Owsley and Bass</w:t>
      </w:r>
      <w:r>
        <w:t>,</w:t>
      </w:r>
      <w:r w:rsidRPr="006B42FD">
        <w:t xml:space="preserve"> 1979), but these analyses did not capture the scores for all teeth simultaneous; rather single tooth scores and associated ranges were given preference to assign an age range. </w:t>
      </w:r>
      <w:r>
        <w:t xml:space="preserve"> </w:t>
      </w:r>
      <w:r w:rsidRPr="006B42FD">
        <w:t xml:space="preserve">Preference was given to premolar and molar scores to assess age </w:t>
      </w:r>
      <w:r w:rsidRPr="006B42FD">
        <w:lastRenderedPageBreak/>
        <w:t>(Owsley and Jantz</w:t>
      </w:r>
      <w:r>
        <w:t>,</w:t>
      </w:r>
      <w:r w:rsidRPr="006B42FD">
        <w:t xml:space="preserve"> 1983, 1984).  The age estimates for juveniles with teeth that could be scored following Moorrees </w:t>
      </w:r>
      <w:r w:rsidRPr="006B42FD">
        <w:rPr>
          <w:i/>
        </w:rPr>
        <w:t>et al</w:t>
      </w:r>
      <w:r w:rsidRPr="006B42FD">
        <w:t xml:space="preserve">. (1963a,b) were calculated following the maximum likelihood estimation (MLE) method outlined by Shackelford </w:t>
      </w:r>
      <w:r w:rsidRPr="006B42FD">
        <w:rPr>
          <w:i/>
        </w:rPr>
        <w:t>et al</w:t>
      </w:r>
      <w:r w:rsidRPr="006B42FD">
        <w:t xml:space="preserve">. (2012) using the R, version 2.15.1, statistical platform (http://www.r-project.org).  Shackelford </w:t>
      </w:r>
      <w:r w:rsidRPr="006B42FD">
        <w:rPr>
          <w:i/>
        </w:rPr>
        <w:t>et al</w:t>
      </w:r>
      <w:r w:rsidRPr="006B42FD">
        <w:t xml:space="preserve">.’s (2012), method permitted the integration of all available scored teeth into a MLE equation using R. </w:t>
      </w:r>
      <w:r>
        <w:t xml:space="preserve"> </w:t>
      </w:r>
      <w:r w:rsidRPr="006B42FD">
        <w:t xml:space="preserve">Very young infants could not be assessed using the method outlined in Shackelford </w:t>
      </w:r>
      <w:r w:rsidRPr="006B42FD">
        <w:rPr>
          <w:i/>
        </w:rPr>
        <w:t>et al</w:t>
      </w:r>
      <w:r w:rsidRPr="006B42FD">
        <w:t xml:space="preserve">. (2012), as Moorrees </w:t>
      </w:r>
      <w:r w:rsidRPr="006B42FD">
        <w:rPr>
          <w:i/>
        </w:rPr>
        <w:t>et al</w:t>
      </w:r>
      <w:r w:rsidRPr="006B42FD">
        <w:t>.’s (1963a</w:t>
      </w:r>
      <w:proofErr w:type="gramStart"/>
      <w:r w:rsidRPr="006B42FD">
        <w:t>,b</w:t>
      </w:r>
      <w:proofErr w:type="gramEnd"/>
      <w:r w:rsidRPr="006B42FD">
        <w:t xml:space="preserve">) data did not include fetal or newborn teeth.  When only the deciduous dentition, in the early stages of development, was available, regression formulae developed using the Spitalfields archaeological collection of known age-at-death individuals were utilized (Liversidge </w:t>
      </w:r>
      <w:r w:rsidRPr="006B42FD">
        <w:rPr>
          <w:i/>
        </w:rPr>
        <w:t>et al</w:t>
      </w:r>
      <w:r w:rsidRPr="006B42FD">
        <w:t>.</w:t>
      </w:r>
      <w:r>
        <w:t>,</w:t>
      </w:r>
      <w:r w:rsidRPr="006B42FD">
        <w:t xml:space="preserve"> 1998). </w:t>
      </w:r>
      <w:r>
        <w:t xml:space="preserve"> </w:t>
      </w:r>
      <w:r w:rsidRPr="006B42FD">
        <w:t xml:space="preserve">This method used the maximum length (cusp-tip or mid-incisal edge to developing edge of crown or root) of the developing tooth to estimate the age. </w:t>
      </w:r>
    </w:p>
    <w:p w:rsidR="001C002A" w:rsidRPr="006B42FD" w:rsidRDefault="001C002A" w:rsidP="001C002A">
      <w:pPr>
        <w:spacing w:line="480" w:lineRule="auto"/>
        <w:ind w:firstLine="720"/>
      </w:pPr>
      <w:r w:rsidRPr="006B42FD">
        <w:t>Long bone length-based methods and dental development-based methods served as the basis for all sub-adult ages obtained in this research.  No substitutions were undertaken and dental and skeletal age estimates were analyzed separately and compared to the age estimates provided in the curation records.  Growth studies of Arikara skeletal materials have suggested differences in growth patterns of teeth and long bones compared to modern Americans and other archaeological materials (Merchant and Ubelaker</w:t>
      </w:r>
      <w:r>
        <w:t>,</w:t>
      </w:r>
      <w:r w:rsidRPr="006B42FD">
        <w:t xml:space="preserve"> 1977).  </w:t>
      </w:r>
      <w:r w:rsidRPr="00E36B4B">
        <w:t>Owsley and Jantz (1983, 1984)</w:t>
      </w:r>
      <w:r w:rsidRPr="006B42FD">
        <w:t xml:space="preserve"> identified systematic and patterned differences in tooth formation timing in the Larson Cemetery sample for infants and young children.  They found a significant difference between the age estimates obtained by teeth and those obtained through skeletal development and suggest a correction factor for age estimates.  Konigsberg and Holman (1999) suggest age-at-death methods for immature remains are not free from the reference sample age-structure bias seen in </w:t>
      </w:r>
      <w:r w:rsidRPr="006B42FD">
        <w:lastRenderedPageBreak/>
        <w:t>methods for aging adult skeletons, so the correction factor suggested by Owsley and Jantz (1994) was not applied to the subadult age estimate.</w:t>
      </w:r>
      <w:r>
        <w:t xml:space="preserve"> </w:t>
      </w:r>
      <w:r w:rsidRPr="006B42FD">
        <w:t xml:space="preserve"> Furthermore, the correction factor was only applicable to the very young. </w:t>
      </w:r>
      <w:r>
        <w:t xml:space="preserve"> </w:t>
      </w:r>
      <w:r w:rsidRPr="006B42FD">
        <w:t xml:space="preserve">Others have suggested the age-at-death estimation method biases are minimal compared to the adults, so would not drastically affect paleodemographic analyses (Milner </w:t>
      </w:r>
      <w:r w:rsidRPr="006B42FD">
        <w:rPr>
          <w:i/>
        </w:rPr>
        <w:t>et al</w:t>
      </w:r>
      <w:r w:rsidRPr="006B42FD">
        <w:t>.</w:t>
      </w:r>
      <w:r>
        <w:t>,</w:t>
      </w:r>
      <w:r w:rsidRPr="006B42FD">
        <w:t xml:space="preserve"> 2008).  They go on to state that the margin of error and variation within individual age estimates will not drastically affect analyses of juvenile mortality, survivorship, and fertility (Milner </w:t>
      </w:r>
      <w:r w:rsidRPr="006B42FD">
        <w:rPr>
          <w:i/>
        </w:rPr>
        <w:t>et al</w:t>
      </w:r>
      <w:r w:rsidRPr="006B42FD">
        <w:t>.</w:t>
      </w:r>
      <w:r>
        <w:t>,</w:t>
      </w:r>
      <w:r w:rsidRPr="006B42FD">
        <w:t xml:space="preserve"> 2008).  Since previous research has suggested a significant difference between Native American, specifically the Arikara, skeletal and dental development, this research evaluates the influence of the age-at-death method on modeling the juvenile mortality parameters. </w:t>
      </w:r>
      <w:r>
        <w:t xml:space="preserve"> </w:t>
      </w:r>
      <w:r w:rsidRPr="006B42FD">
        <w:t>Thus, the data from the curation records, from skeletal development, and from dental development were t</w:t>
      </w:r>
      <w:r>
        <w:t xml:space="preserve">reated as separate data sets.  </w:t>
      </w:r>
    </w:p>
    <w:p w:rsidR="001C002A" w:rsidRDefault="001C002A" w:rsidP="001C002A">
      <w:pPr>
        <w:spacing w:line="480" w:lineRule="auto"/>
      </w:pPr>
    </w:p>
    <w:p w:rsidR="001C002A" w:rsidRPr="001C002A" w:rsidRDefault="001C002A" w:rsidP="001C002A">
      <w:pPr>
        <w:spacing w:line="480" w:lineRule="auto"/>
        <w:rPr>
          <w:i/>
        </w:rPr>
      </w:pPr>
      <w:r w:rsidRPr="001C002A">
        <w:rPr>
          <w:i/>
        </w:rPr>
        <w:t>Adult Sex and Age-at-Death Estimation</w:t>
      </w:r>
    </w:p>
    <w:p w:rsidR="001C002A" w:rsidRPr="006B42FD" w:rsidRDefault="001C002A" w:rsidP="001C002A">
      <w:pPr>
        <w:spacing w:line="480" w:lineRule="auto"/>
        <w:ind w:firstLine="720"/>
      </w:pPr>
      <w:r w:rsidRPr="006B42FD">
        <w:t>Previous research has indicated a female mean age-at-death bias in the Larson Cemetery (Owsley and Bass</w:t>
      </w:r>
      <w:r>
        <w:t>,</w:t>
      </w:r>
      <w:r w:rsidRPr="006B42FD">
        <w:t xml:space="preserve"> 1979), so sex was estimated for all adult skeletons available to the author.  This allowed for the assessment of sex-specific mortality.  Sex estimates followed the standard scoring approaches presented in Buikstra and Ubelaker (1994) for innominate and cranial morphology. </w:t>
      </w:r>
      <w:r>
        <w:t xml:space="preserve"> </w:t>
      </w:r>
      <w:r w:rsidRPr="006B42FD">
        <w:t>When available the attributes associated with the pubis (Phenice</w:t>
      </w:r>
      <w:r>
        <w:t>,</w:t>
      </w:r>
      <w:r w:rsidRPr="006B42FD">
        <w:t xml:space="preserve"> 1969) were given preference over other methods as these traits have been found to be more accurate.  The greater sciatic notch scores were evaluated using Walker (2005). </w:t>
      </w:r>
      <w:r>
        <w:t xml:space="preserve"> </w:t>
      </w:r>
      <w:r w:rsidRPr="006B42FD">
        <w:t>Cranial morphology was assessed when these were the only traits available for analysis and followed the methods outlined in Walker (2008).  Care was taken to assess sex using just cranial elements when the individua</w:t>
      </w:r>
      <w:r>
        <w:t xml:space="preserve">ls </w:t>
      </w:r>
      <w:r>
        <w:lastRenderedPageBreak/>
        <w:t xml:space="preserve">appeared to be older, since </w:t>
      </w:r>
      <w:r w:rsidRPr="006B42FD">
        <w:t xml:space="preserve">Walker </w:t>
      </w:r>
      <w:r>
        <w:t>(</w:t>
      </w:r>
      <w:r w:rsidRPr="006B42FD">
        <w:t xml:space="preserve">2008) has shown that more robust, older females have been attributed to males because sexual dimorphism is reduced with advancing age (Meindl </w:t>
      </w:r>
      <w:r w:rsidRPr="006B42FD">
        <w:rPr>
          <w:i/>
        </w:rPr>
        <w:t>et al</w:t>
      </w:r>
      <w:r w:rsidRPr="006B42FD">
        <w:t>.</w:t>
      </w:r>
      <w:r>
        <w:t>,</w:t>
      </w:r>
      <w:r w:rsidRPr="006B42FD">
        <w:t xml:space="preserve"> 1985</w:t>
      </w:r>
      <w:r>
        <w:t>;</w:t>
      </w:r>
      <w:r w:rsidRPr="006B42FD">
        <w:t xml:space="preserve"> Walker</w:t>
      </w:r>
      <w:r>
        <w:t>,</w:t>
      </w:r>
      <w:r w:rsidRPr="006B42FD">
        <w:t xml:space="preserve"> 1995</w:t>
      </w:r>
      <w:r>
        <w:t>;</w:t>
      </w:r>
      <w:r w:rsidRPr="006B42FD">
        <w:t xml:space="preserve"> Meindl and Russell</w:t>
      </w:r>
      <w:r>
        <w:t>,</w:t>
      </w:r>
      <w:r w:rsidRPr="006B42FD">
        <w:t xml:space="preserve"> 1998).  </w:t>
      </w:r>
    </w:p>
    <w:p w:rsidR="001C002A" w:rsidRPr="006B42FD" w:rsidRDefault="001C002A" w:rsidP="001C002A">
      <w:pPr>
        <w:spacing w:line="480" w:lineRule="auto"/>
        <w:ind w:firstLine="720"/>
      </w:pPr>
      <w:r w:rsidRPr="006B42FD">
        <w:t>All adult individuals were scored following the “traditional” age estimation methods outlined in Buikstra and Ubelaker (1994), the Transition Analysis scoring guidebook (Milner and Boldsen</w:t>
      </w:r>
      <w:r>
        <w:t>,</w:t>
      </w:r>
      <w:r w:rsidRPr="006B42FD">
        <w:t xml:space="preserve"> 2008), and the Calibrated Expert Inference approach (pers. comm.  Dr. George Milner).  These scores were then used to estimate the age at death through the application of Bayesian Multifactorial Analysis (Uhl </w:t>
      </w:r>
      <w:r w:rsidRPr="006B42FD">
        <w:rPr>
          <w:i/>
        </w:rPr>
        <w:t>et al</w:t>
      </w:r>
      <w:r w:rsidRPr="006B42FD">
        <w:t>.</w:t>
      </w:r>
      <w:r>
        <w:t>,</w:t>
      </w:r>
      <w:r w:rsidRPr="006B42FD">
        <w:t xml:space="preserve"> 2011</w:t>
      </w:r>
      <w:r>
        <w:t>;</w:t>
      </w:r>
      <w:r w:rsidRPr="006B42FD">
        <w:t xml:space="preserve"> Uhl</w:t>
      </w:r>
      <w:r>
        <w:t>,</w:t>
      </w:r>
      <w:r w:rsidRPr="006B42FD">
        <w:t xml:space="preserve"> 2012) that uses scores obtained from the Suchey-Brooks method (Brooks and Suchey</w:t>
      </w:r>
      <w:r>
        <w:t>,</w:t>
      </w:r>
      <w:r w:rsidRPr="006B42FD">
        <w:t xml:space="preserve"> 1990), Iscan </w:t>
      </w:r>
      <w:r w:rsidRPr="006B42FD">
        <w:rPr>
          <w:i/>
        </w:rPr>
        <w:t>et al</w:t>
      </w:r>
      <w:r>
        <w:t>. (1984a</w:t>
      </w:r>
      <w:proofErr w:type="gramStart"/>
      <w:r>
        <w:t>,b</w:t>
      </w:r>
      <w:proofErr w:type="gramEnd"/>
      <w:r w:rsidRPr="006B42FD">
        <w:t xml:space="preserve">; 1985), and Lovejoy </w:t>
      </w:r>
      <w:r w:rsidRPr="006B42FD">
        <w:rPr>
          <w:i/>
        </w:rPr>
        <w:t>et al</w:t>
      </w:r>
      <w:r w:rsidRPr="006B42FD">
        <w:t>. (1985a), Transition Analysis (Boldsen</w:t>
      </w:r>
      <w:r>
        <w:t xml:space="preserve"> </w:t>
      </w:r>
      <w:r w:rsidRPr="00E36B4B">
        <w:rPr>
          <w:i/>
        </w:rPr>
        <w:t>et al.</w:t>
      </w:r>
      <w:r>
        <w:t>,</w:t>
      </w:r>
      <w:r w:rsidRPr="006B42FD">
        <w:t xml:space="preserve"> 2002), and the Calibrated Expert Inference approach (Weise </w:t>
      </w:r>
      <w:r w:rsidRPr="006B42FD">
        <w:rPr>
          <w:i/>
        </w:rPr>
        <w:t>et al</w:t>
      </w:r>
      <w:r w:rsidRPr="006B42FD">
        <w:t>.</w:t>
      </w:r>
      <w:r>
        <w:t>,</w:t>
      </w:r>
      <w:r w:rsidRPr="006B42FD">
        <w:t xml:space="preserve"> 2008). </w:t>
      </w:r>
    </w:p>
    <w:p w:rsidR="001C002A" w:rsidRPr="006B42FD" w:rsidRDefault="001C002A" w:rsidP="001C002A">
      <w:pPr>
        <w:spacing w:line="480" w:lineRule="auto"/>
        <w:ind w:firstLine="720"/>
      </w:pPr>
      <w:r w:rsidRPr="006B42FD">
        <w:t xml:space="preserve">The most common age-at-death estimation methods used in bioarchaeology and paleodemography are found in </w:t>
      </w:r>
      <w:r w:rsidRPr="006B42FD">
        <w:rPr>
          <w:i/>
        </w:rPr>
        <w:t>Standards</w:t>
      </w:r>
      <w:r w:rsidRPr="006B42FD">
        <w:t xml:space="preserve"> (Buikstra and Ubelaker</w:t>
      </w:r>
      <w:r>
        <w:t>,</w:t>
      </w:r>
      <w:r w:rsidRPr="006B42FD">
        <w:t xml:space="preserve"> 1994), which utilize the pubic symphysis, auricular surface, sternal rib end, and cranial sutures. </w:t>
      </w:r>
      <w:r>
        <w:t xml:space="preserve"> </w:t>
      </w:r>
      <w:r w:rsidRPr="006B42FD">
        <w:t xml:space="preserve">These “traditional” approaches are often criticized for their inherent bias, but have created much of the data available for paleodemographic comparisons.  Published age distributions for the Larson site are based on Owsley and Bass (1979), which used Todd’s (1920) phases for the pubic symphysis.  These data were unavailable during this research, so age-at-death estimates for all adult skeletons were derived from the “traditional” approaches outlined in Buikstra and Ubelaker (1994). </w:t>
      </w:r>
    </w:p>
    <w:p w:rsidR="001C002A" w:rsidRPr="006B42FD" w:rsidRDefault="001C002A" w:rsidP="001C002A">
      <w:pPr>
        <w:spacing w:line="480" w:lineRule="auto"/>
        <w:ind w:firstLine="720"/>
      </w:pPr>
      <w:r w:rsidRPr="006B42FD">
        <w:t>Skeletons with preserved pubic bones, auricular surface, and/or cranial sutures were scored following criteria outlined in the Transition Analysis Age Estimation Skeletal Scoring Procedure Guide by Milner and Boldsen (2008).</w:t>
      </w:r>
      <w:r>
        <w:t xml:space="preserve"> </w:t>
      </w:r>
      <w:r w:rsidRPr="006B42FD">
        <w:t xml:space="preserve"> Transition analysis was applied to all available </w:t>
      </w:r>
      <w:r w:rsidRPr="006B42FD">
        <w:lastRenderedPageBreak/>
        <w:t xml:space="preserve">adult skeletons with the pertinent skeletal indicators present.  The full version of the ordinal scoring system can be found in Boldsen </w:t>
      </w:r>
      <w:r w:rsidRPr="006B42FD">
        <w:rPr>
          <w:i/>
        </w:rPr>
        <w:t>et al</w:t>
      </w:r>
      <w:r w:rsidRPr="006B42FD">
        <w:t xml:space="preserve">. (2002:96-104), Appendix 5.1.  All scoring occurred prior to a full skeletal analysis of the individual to prevent the introduction of bias by observation of other morphological features associated with age.  The scoring of individual components of a surface in this system, as opposed to an entire surface, maximizes the number of individuals available for analysis because fragmentary remains could be scored. </w:t>
      </w:r>
      <w:r>
        <w:t xml:space="preserve"> </w:t>
      </w:r>
      <w:r w:rsidRPr="006B42FD">
        <w:t xml:space="preserve">The basis of the scoring method is much like other methods available that attempt to order morphological changes associated with age into stages. </w:t>
      </w:r>
      <w:r>
        <w:t xml:space="preserve"> </w:t>
      </w:r>
      <w:r w:rsidRPr="006B42FD">
        <w:t xml:space="preserve">As such, “many of the terms are immediately recognizable as being derived from earlier work, especially that of McKern and Stewart (1957) and Lovejoy </w:t>
      </w:r>
      <w:r w:rsidRPr="006B42FD">
        <w:rPr>
          <w:i/>
        </w:rPr>
        <w:t>et al</w:t>
      </w:r>
      <w:r w:rsidRPr="006B42FD">
        <w:t xml:space="preserve">. (1985)” (Boldsen </w:t>
      </w:r>
      <w:r w:rsidRPr="006B42FD">
        <w:rPr>
          <w:i/>
        </w:rPr>
        <w:t>et al</w:t>
      </w:r>
      <w:r w:rsidRPr="006B42FD">
        <w:t>.</w:t>
      </w:r>
      <w:r>
        <w:t>,</w:t>
      </w:r>
      <w:r w:rsidRPr="006B42FD">
        <w:t xml:space="preserve"> 2002: 81).</w:t>
      </w:r>
      <w:r>
        <w:t xml:space="preserve"> </w:t>
      </w:r>
      <w:r w:rsidRPr="006B42FD">
        <w:t xml:space="preserve"> The author was trained on the scoring methods through the 2008 Workshop on Transition Analysis at the American Academy of Forensic Sciences Annual Meeting and through personal correspondence with Dr. George Milner. </w:t>
      </w:r>
      <w:r>
        <w:t xml:space="preserve"> </w:t>
      </w:r>
      <w:r w:rsidRPr="006B42FD">
        <w:t>Additionally, this author has conducted other research using the transition analysis-based scoring method and the ADBOU computer program (Wilson and Algee-Hewitt</w:t>
      </w:r>
      <w:r>
        <w:t>,</w:t>
      </w:r>
      <w:r w:rsidRPr="006B42FD">
        <w:t xml:space="preserve"> 2008</w:t>
      </w:r>
      <w:r>
        <w:t>;</w:t>
      </w:r>
      <w:r w:rsidRPr="006B42FD">
        <w:t xml:space="preserve"> Shirley </w:t>
      </w:r>
      <w:r w:rsidRPr="006B42FD">
        <w:rPr>
          <w:i/>
        </w:rPr>
        <w:t>et al</w:t>
      </w:r>
      <w:r w:rsidRPr="006B42FD">
        <w:t>.</w:t>
      </w:r>
      <w:r>
        <w:t>,</w:t>
      </w:r>
      <w:r w:rsidRPr="006B42FD">
        <w:t xml:space="preserve"> 2009</w:t>
      </w:r>
      <w:r>
        <w:t>;</w:t>
      </w:r>
      <w:r w:rsidRPr="006B42FD">
        <w:t xml:space="preserve"> Algee-Hewitt </w:t>
      </w:r>
      <w:r w:rsidRPr="006B42FD">
        <w:rPr>
          <w:i/>
        </w:rPr>
        <w:t>et al</w:t>
      </w:r>
      <w:r w:rsidRPr="006B42FD">
        <w:t>.</w:t>
      </w:r>
      <w:r>
        <w:t>,</w:t>
      </w:r>
      <w:r w:rsidRPr="006B42FD">
        <w:t xml:space="preserve"> 2010).  </w:t>
      </w:r>
    </w:p>
    <w:p w:rsidR="001C002A" w:rsidRPr="006B42FD" w:rsidRDefault="001C002A" w:rsidP="001C002A">
      <w:pPr>
        <w:spacing w:line="480" w:lineRule="auto"/>
        <w:ind w:firstLine="720"/>
      </w:pPr>
      <w:r w:rsidRPr="006B42FD">
        <w:t>Age estimates were calculated through Transition analysis, a Bayesian, MLE method, using the program ADBOU.  ADBOU was originally developed by Roar Hylleberg and Jesper Boldsen from the Anthropological Database Odense University, University of Southern Denmark.</w:t>
      </w:r>
      <w:r>
        <w:t xml:space="preserve"> </w:t>
      </w:r>
      <w:r w:rsidRPr="006B42FD">
        <w:t xml:space="preserve"> The ADBOU program utilized in this analysis is the Dr. Steve Ousley version available through Dr. George Milner’s website</w:t>
      </w:r>
      <w:r>
        <w:t xml:space="preserve"> (</w:t>
      </w:r>
      <w:r w:rsidRPr="00E36B4B">
        <w:t>http://www.anthro.psu.edu/projects_labs/bioarch/bioarch_lab.shtml</w:t>
      </w:r>
      <w:r>
        <w:t>)</w:t>
      </w:r>
      <w:r w:rsidRPr="006B42FD">
        <w:t xml:space="preserve">, which is compatible with a Windows 7 platform.  Transition Analysis seeks to rectify several issues with aging: effect of </w:t>
      </w:r>
      <w:r w:rsidRPr="006B42FD">
        <w:lastRenderedPageBreak/>
        <w:t xml:space="preserve">reference sample age distribution in the target sample, biases in age estimates, a means of combining information from different standard anatomical markers to produce a single age estimate and the difficulty of accurately and precisely aging the elderly.  Transition analysis prevents age mimicry of the reference sample’s mortality profile by </w:t>
      </w:r>
      <w:proofErr w:type="gramStart"/>
      <w:r w:rsidRPr="006B42FD">
        <w:t>regressing</w:t>
      </w:r>
      <w:proofErr w:type="gramEnd"/>
      <w:r w:rsidRPr="006B42FD">
        <w:t xml:space="preserve"> the observed morphological characteristics onto the age of the individuals (see Konigsberg and Frankenberg</w:t>
      </w:r>
      <w:r>
        <w:t>,</w:t>
      </w:r>
      <w:r w:rsidRPr="006B42FD">
        <w:t xml:space="preserve"> 2002).  A uniform prior probability (</w:t>
      </w:r>
      <w:proofErr w:type="gramStart"/>
      <w:r w:rsidRPr="006B42FD">
        <w:t>f(</w:t>
      </w:r>
      <w:proofErr w:type="gramEnd"/>
      <w:r w:rsidRPr="006B42FD">
        <w:t>a)) for the distribution of ages-at-death was chosen over the mortality data for four 17</w:t>
      </w:r>
      <w:r w:rsidRPr="006B42FD">
        <w:rPr>
          <w:vertAlign w:val="superscript"/>
        </w:rPr>
        <w:t>th</w:t>
      </w:r>
      <w:r w:rsidRPr="006B42FD">
        <w:t xml:space="preserve"> century, rural Danish parish, because these data are inappropriate for prehistoric Native American and may not reflect the same population dynamics.  The uniform prior is a more conservative approach when an appropriate prior is unavailable.  The ADBOU program inputs the ordinal data from each skeleton into a logit regression model.  A probability density function, with an associated MLE-derived point estimate and its associated 95% confidence interval, were calculated from the scores. It is important to note that all three surfaces do not need to be present to calculate a MLE estimate; however, the associated 95% confidence intervals increase with fewer scores.  </w:t>
      </w:r>
    </w:p>
    <w:p w:rsidR="001C002A" w:rsidRPr="006B42FD" w:rsidRDefault="001C002A" w:rsidP="001C002A">
      <w:pPr>
        <w:spacing w:line="480" w:lineRule="auto"/>
        <w:ind w:firstLine="720"/>
      </w:pPr>
      <w:r w:rsidRPr="006B42FD">
        <w:t>A Bayesian Multifactorial approach was taken to incorporate the data from the traditional age estimation methods (Uhl</w:t>
      </w:r>
      <w:r>
        <w:t>,</w:t>
      </w:r>
      <w:r w:rsidRPr="006B42FD">
        <w:t xml:space="preserve"> 2012).</w:t>
      </w:r>
      <w:r>
        <w:t xml:space="preserve"> </w:t>
      </w:r>
      <w:r w:rsidRPr="006B42FD">
        <w:t xml:space="preserve"> This method uses scores from the pubic symphysis </w:t>
      </w:r>
      <w:r>
        <w:t>(</w:t>
      </w:r>
      <w:r w:rsidRPr="006B42FD">
        <w:t>Brooks and Suchey</w:t>
      </w:r>
      <w:r>
        <w:t xml:space="preserve">, </w:t>
      </w:r>
      <w:r w:rsidRPr="006B42FD">
        <w:t xml:space="preserve">1990), auricular surface (Lovejoy </w:t>
      </w:r>
      <w:r w:rsidRPr="006B42FD">
        <w:rPr>
          <w:i/>
        </w:rPr>
        <w:t>et al</w:t>
      </w:r>
      <w:r w:rsidRPr="006B42FD">
        <w:t>.</w:t>
      </w:r>
      <w:r>
        <w:t>,</w:t>
      </w:r>
      <w:r w:rsidRPr="006B42FD">
        <w:t xml:space="preserve"> 1985), and sternal rib end (Iscan </w:t>
      </w:r>
      <w:r w:rsidRPr="006B42FD">
        <w:rPr>
          <w:i/>
        </w:rPr>
        <w:t>et al</w:t>
      </w:r>
      <w:r>
        <w:rPr>
          <w:i/>
        </w:rPr>
        <w:t>.,</w:t>
      </w:r>
      <w:r w:rsidRPr="006B42FD">
        <w:t xml:space="preserve"> 1984</w:t>
      </w:r>
      <w:r>
        <w:t xml:space="preserve"> </w:t>
      </w:r>
      <w:r w:rsidRPr="006B42FD">
        <w:t>a</w:t>
      </w:r>
      <w:proofErr w:type="gramStart"/>
      <w:r w:rsidRPr="006B42FD">
        <w:t>,b</w:t>
      </w:r>
      <w:proofErr w:type="gramEnd"/>
      <w:r w:rsidRPr="006B42FD">
        <w:t xml:space="preserve">) to calculate a MLE-based estimate and an associated prediction interval.  Since direct observation of Native American skeletons is diminishing, especially within the United States, it is imperative to test new methods that can incorporate previously collected data and determine their utility in studying population dyanamics.   </w:t>
      </w:r>
    </w:p>
    <w:p w:rsidR="001C002A" w:rsidRDefault="001C002A" w:rsidP="001C002A">
      <w:pPr>
        <w:spacing w:line="480" w:lineRule="auto"/>
        <w:ind w:firstLine="720"/>
      </w:pPr>
      <w:r w:rsidRPr="006B42FD">
        <w:lastRenderedPageBreak/>
        <w:t xml:space="preserve">A relatively new method, suggested by Weise </w:t>
      </w:r>
      <w:r w:rsidRPr="006B42FD">
        <w:rPr>
          <w:i/>
        </w:rPr>
        <w:t>et al</w:t>
      </w:r>
      <w:r w:rsidRPr="006B42FD">
        <w:t xml:space="preserve">. (2008) and lauded by Milner and Boldsen (2012) as the way to approach age estimation is the Calibrated Expert Inference (CEI) method.  Calibrated Expert Inference uses binary, component scoring of several morphological traits that change with senescence to compute an age estimate.  The CEI approach integrates several unpublished and under-published morphological features commonly employed by anthropologists to provide more precise age ranges. </w:t>
      </w:r>
      <w:r>
        <w:t xml:space="preserve"> </w:t>
      </w:r>
      <w:r w:rsidRPr="006B42FD">
        <w:t>For example, this method focuses on traits, like vertebral lipping (Stewart</w:t>
      </w:r>
      <w:r>
        <w:t>,</w:t>
      </w:r>
      <w:r w:rsidRPr="006B42FD">
        <w:t xml:space="preserve"> 1979), which have been used to narrow or shift age ranges in forensic skeletal analyses, but on their own are relatively uninformative.  Definitions, a trait list, and suggestions on scoring were provided to the author by Dr. George Milner. These “non-traditional” traits provide data for when “traditional” indicators are not present or could be used in conjunction with them.  Subjective scoring occurred as the last step in skeletal analysis to avoid biasing results using other methods.  The best methodology for incorporating CEI data into a statistical framework and the “best” traits list has not been completed, so future research will assess their potential for computing age-at-death estimates, how they compare to Transition Analysis and Multifactorial approaches, and determine their influence on modeling mortality.  </w:t>
      </w:r>
    </w:p>
    <w:p w:rsidR="001C002A" w:rsidRPr="006B42FD" w:rsidRDefault="001C002A" w:rsidP="001C002A">
      <w:pPr>
        <w:spacing w:line="480" w:lineRule="auto"/>
        <w:ind w:firstLine="720"/>
      </w:pPr>
    </w:p>
    <w:p w:rsidR="001C002A" w:rsidRPr="001C002A" w:rsidRDefault="001C002A" w:rsidP="001C002A">
      <w:pPr>
        <w:spacing w:line="480" w:lineRule="auto"/>
        <w:rPr>
          <w:i/>
        </w:rPr>
      </w:pPr>
      <w:r w:rsidRPr="001C002A">
        <w:rPr>
          <w:i/>
        </w:rPr>
        <w:t>Population Dynamics</w:t>
      </w:r>
    </w:p>
    <w:p w:rsidR="001C002A" w:rsidRPr="006B42FD" w:rsidRDefault="001C002A" w:rsidP="001C002A">
      <w:pPr>
        <w:spacing w:line="480" w:lineRule="auto"/>
        <w:ind w:firstLine="720"/>
      </w:pPr>
      <w:r w:rsidRPr="006B42FD">
        <w:t>The nonparametric Kaplan Meier survivorship analysis was used to estimate the overall survival function from the a</w:t>
      </w:r>
      <w:r>
        <w:t xml:space="preserve">ge-at-death estimates using </w:t>
      </w:r>
      <w:r w:rsidRPr="006B42FD">
        <w:t xml:space="preserve">R. Unlike traditional life tables where the ages are interval censored, a Kaplan-Meier life table uses the exact age of individual deaths.  The resulting survival curve is a stepped curve that adds information as each death occurs.  As such, it provides a good basis for determining the fit of a model and if a subset within the population is </w:t>
      </w:r>
      <w:r w:rsidRPr="006B42FD">
        <w:lastRenderedPageBreak/>
        <w:t>significantly affecting the overall population mortality curve.</w:t>
      </w:r>
      <w:r>
        <w:t xml:space="preserve"> </w:t>
      </w:r>
      <w:r w:rsidRPr="006B42FD">
        <w:t xml:space="preserve"> The survivorship curves from all significant parametric models were visually compared to the Kaplan-Meier survival plots to determine fit.</w:t>
      </w:r>
      <w:r>
        <w:t xml:space="preserve"> </w:t>
      </w:r>
      <w:r w:rsidRPr="006B42FD">
        <w:t xml:space="preserve"> Unfortunately, like most analyses the age-at-death, point estimates were used for initial model building, which assumes age-at-death is known and can dismiss data (Konigsberg and Frankenberg</w:t>
      </w:r>
      <w:r>
        <w:t>,</w:t>
      </w:r>
      <w:r w:rsidRPr="006B42FD">
        <w:t xml:space="preserve"> 2013). </w:t>
      </w:r>
    </w:p>
    <w:p w:rsidR="001C002A" w:rsidRDefault="001C002A" w:rsidP="001C002A">
      <w:pPr>
        <w:spacing w:line="480" w:lineRule="auto"/>
      </w:pPr>
    </w:p>
    <w:p w:rsidR="001C002A" w:rsidRPr="001C002A" w:rsidRDefault="001C002A" w:rsidP="001C002A">
      <w:pPr>
        <w:spacing w:line="480" w:lineRule="auto"/>
        <w:rPr>
          <w:i/>
        </w:rPr>
      </w:pPr>
      <w:r w:rsidRPr="001C002A">
        <w:rPr>
          <w:i/>
        </w:rPr>
        <w:t>Modeling Mortality</w:t>
      </w:r>
    </w:p>
    <w:p w:rsidR="001C002A" w:rsidRPr="006B42FD" w:rsidRDefault="001C002A" w:rsidP="001C002A">
      <w:pPr>
        <w:spacing w:line="480" w:lineRule="auto"/>
        <w:ind w:firstLine="720"/>
      </w:pPr>
      <w:r w:rsidRPr="006B42FD">
        <w:t>Three parametric hazard models, the Gompertz, the Gompertz-Makeham, and Siler models, were utilized to estimate the age-at-death distributions for each dataset using the R version 2.15.1 ().  The age-at-death estimates were grouped into several age categories: 0-1, 1-2,2-5,5-10,15-20,20-30,30-40,40-50,50-60,60-70,70-80,80+ depending on the age-at-death estimation methods used.</w:t>
      </w:r>
      <w:r>
        <w:t xml:space="preserve"> </w:t>
      </w:r>
      <w:r w:rsidRPr="006B42FD">
        <w:t xml:space="preserve"> The parameter values were computed through maximum likelihood estimation (Konigsberg and Frankenberg, 1994).  Maximizing the likelihood accounts for the age uncertainty inherent in skeletal data (Frankenberg and Konigsberg</w:t>
      </w:r>
      <w:r>
        <w:t>,</w:t>
      </w:r>
      <w:r w:rsidRPr="006B42FD">
        <w:t xml:space="preserve"> 2002). </w:t>
      </w:r>
    </w:p>
    <w:p w:rsidR="001C002A" w:rsidRPr="006B42FD" w:rsidRDefault="001C002A" w:rsidP="001C002A">
      <w:pPr>
        <w:spacing w:line="480" w:lineRule="auto"/>
        <w:ind w:firstLine="720"/>
      </w:pPr>
      <w:r w:rsidRPr="006B42FD">
        <w:t>Maximum likelihood is an iterative process in which the parameters are generated then tested to fit against the real dataset.  This iterative process continues until the specific confidence level is reached and the parameters best fit the data.  Optimization to maximize the log likelihood of the model parameters was achieved using the generalized “optim” function in R with the finite scaling function set to -1, which maximizes the log likelihood.  The “optim” function uses the Nelder-Mead simplex algorithm (Nelder and Mead, 1965) to produce the log likelihood values.  It is used over the optimx function, which has been proposed to replace the optim function, but literature has clearly shown the utility of the optim function (Konigsberg and Frankenberg</w:t>
      </w:r>
      <w:r>
        <w:t>,</w:t>
      </w:r>
      <w:r w:rsidRPr="006B42FD">
        <w:t xml:space="preserve"> </w:t>
      </w:r>
      <w:r w:rsidRPr="006B42FD">
        <w:lastRenderedPageBreak/>
        <w:t>2002).  Starting values of 1.0e</w:t>
      </w:r>
      <w:r w:rsidRPr="006B42FD">
        <w:rPr>
          <w:vertAlign w:val="superscript"/>
        </w:rPr>
        <w:t>-6</w:t>
      </w:r>
      <w:r w:rsidRPr="006B42FD">
        <w:t xml:space="preserve"> were inputted into the “optim” function for each parameter estimate and adapted as needed.  A model was deemed successful if convergence was reached, a log-likelihood value was generated, and no warnings messages were given.  </w:t>
      </w:r>
    </w:p>
    <w:p w:rsidR="001C002A" w:rsidRPr="006B42FD" w:rsidRDefault="001C002A" w:rsidP="001C002A">
      <w:pPr>
        <w:spacing w:line="480" w:lineRule="auto"/>
        <w:ind w:firstLine="720"/>
      </w:pPr>
      <w:r w:rsidRPr="006B42FD">
        <w:t>The log-likelihood values served as the basis for determining the fit of a model following Hilborn and Mangel (1997).  The likelihood approach is often used in ecology for hypothesis testing to determine how well different models approximate reality (Hobbs and Hilborn, 2006).  The model parameters that had the largest accompanying log-likelihood value were considered the maximum likelihood estimates for the model.  The best fitting model’s parameters served as the basis for computing the mean-at-death, the crude birth rate, the mean age of the living, the relative hazard, survivorship, and probability density function for the age distribution.</w:t>
      </w:r>
    </w:p>
    <w:p w:rsidR="001C002A" w:rsidRDefault="001C002A" w:rsidP="001C002A">
      <w:pPr>
        <w:spacing w:line="480" w:lineRule="auto"/>
        <w:ind w:firstLine="720"/>
      </w:pPr>
      <w:r w:rsidRPr="006B42FD">
        <w:t xml:space="preserve">Statistical significance between the model parameters was evaluated by comparing the log-likelihood values.  A larger log-likelihood value indicated a better fitting model.  In cases where the difference between two values was negligible, the model with the fewer parameters was chosen, since the best model is the one that is the most parsimonious (Wood </w:t>
      </w:r>
      <w:r w:rsidRPr="006B42FD">
        <w:rPr>
          <w:i/>
        </w:rPr>
        <w:t>et al</w:t>
      </w:r>
      <w:r w:rsidRPr="006B42FD">
        <w:t>.</w:t>
      </w:r>
      <w:r>
        <w:t>,</w:t>
      </w:r>
      <w:r w:rsidRPr="006B42FD">
        <w:t xml:space="preserve"> 2002). Differences between log-likelihoods of each model were tested for significance through the likelihood ratio test (Hilborn and Mangel, 1997).  This ratio can be converted into an asymptotic Chi-square (X</w:t>
      </w:r>
      <w:r w:rsidRPr="006B42FD">
        <w:rPr>
          <w:vertAlign w:val="superscript"/>
        </w:rPr>
        <w:t>2</w:t>
      </w:r>
      <w:r w:rsidRPr="006B42FD">
        <w:t>), where the smaller the ratio the larger the X</w:t>
      </w:r>
      <w:r w:rsidRPr="006B42FD">
        <w:rPr>
          <w:vertAlign w:val="superscript"/>
        </w:rPr>
        <w:t>2</w:t>
      </w:r>
      <w:r>
        <w:t xml:space="preserve"> will be</w:t>
      </w:r>
      <w:r w:rsidRPr="006B42FD">
        <w:t>.</w:t>
      </w:r>
    </w:p>
    <w:p w:rsidR="001C002A" w:rsidRPr="006B42FD" w:rsidRDefault="001C002A" w:rsidP="001C002A">
      <w:pPr>
        <w:spacing w:line="480" w:lineRule="auto"/>
        <w:ind w:firstLine="720"/>
      </w:pPr>
      <w:r w:rsidRPr="006B42FD">
        <w:t xml:space="preserve">  </w:t>
      </w:r>
    </w:p>
    <w:p w:rsidR="001C002A" w:rsidRPr="00C90CC6" w:rsidRDefault="00C90CC6" w:rsidP="001C002A">
      <w:pPr>
        <w:spacing w:line="480" w:lineRule="auto"/>
        <w:jc w:val="center"/>
      </w:pPr>
      <m:oMathPara>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-2(</m:t>
          </m:r>
          <m:sSub>
            <m:sSubPr>
              <m:ctrlPr>
                <w:rPr>
                  <w:rFonts w:ascii="Cambria Math" w:hAnsi="Cambria Math"/>
                  <w:i/>
                </w:rPr>
              </m:ctrlPr>
            </m:sSubPr>
            <m:e>
              <m:r>
                <w:rPr>
                  <w:rFonts w:ascii="Cambria Math" w:hAnsi="Cambria Math"/>
                </w:rPr>
                <m:t>L</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oMath>
      </m:oMathPara>
    </w:p>
    <w:p w:rsidR="001C002A" w:rsidRPr="006B42FD" w:rsidRDefault="001C002A" w:rsidP="001C002A">
      <w:pPr>
        <w:spacing w:line="480" w:lineRule="auto"/>
        <w:jc w:val="center"/>
      </w:pPr>
    </w:p>
    <w:p w:rsidR="001C002A" w:rsidRPr="006B42FD" w:rsidRDefault="001C002A" w:rsidP="001C002A">
      <w:pPr>
        <w:spacing w:line="480" w:lineRule="auto"/>
      </w:pPr>
      <w:proofErr w:type="gramStart"/>
      <w:r w:rsidRPr="006B42FD">
        <w:t>the</w:t>
      </w:r>
      <w:proofErr w:type="gramEnd"/>
      <w:r w:rsidRPr="006B42FD">
        <w:t xml:space="preserve"> difference between the log-likelihood for the model with the higher number of parameters and the lower number of parameters (Agresti, 1996).</w:t>
      </w:r>
      <w:r>
        <w:t xml:space="preserve"> </w:t>
      </w:r>
      <w:r w:rsidRPr="006B42FD">
        <w:t xml:space="preserve"> For example, the three-parameter </w:t>
      </w:r>
      <w:r w:rsidRPr="006B42FD">
        <w:lastRenderedPageBreak/>
        <w:t>Gompertz-Makeham is subtracted from the two-parameter Gompertz and multiplied by two (see Konigsberg and Frankenberg</w:t>
      </w:r>
      <w:r>
        <w:t>,</w:t>
      </w:r>
      <w:r w:rsidRPr="006B42FD">
        <w:t xml:space="preserve"> 2002 for a worked example).  The resulting X</w:t>
      </w:r>
      <w:r w:rsidRPr="006B42FD">
        <w:rPr>
          <w:vertAlign w:val="superscript"/>
        </w:rPr>
        <w:t>2</w:t>
      </w:r>
      <w:r w:rsidRPr="006B42FD">
        <w:t xml:space="preserve"> value was compared to the Chi-square distribution’s critical value (3.841) for a two sided test with degrees of freedom equal to the difference in the number of parameters, one in this research.  If a difference (X</w:t>
      </w:r>
      <w:r w:rsidRPr="006B42FD">
        <w:rPr>
          <w:vertAlign w:val="superscript"/>
        </w:rPr>
        <w:t>2</w:t>
      </w:r>
      <w:r w:rsidRPr="006B42FD">
        <w:t xml:space="preserve">) was greater than the critical value the two models were deemed to be significantly different and the model with the larger log-likelihood value was chosen as the best model.   </w:t>
      </w:r>
    </w:p>
    <w:p w:rsidR="001C002A" w:rsidRDefault="001C002A" w:rsidP="001C002A">
      <w:pPr>
        <w:spacing w:line="480" w:lineRule="auto"/>
        <w:ind w:firstLine="720"/>
      </w:pPr>
      <w:r w:rsidRPr="006B42FD">
        <w:t>The best performing models’ parameters were used to compute the age-specific survival function (</w:t>
      </w:r>
      <w:proofErr w:type="gramStart"/>
      <w:r w:rsidRPr="006B42FD">
        <w:t>S(</w:t>
      </w:r>
      <w:proofErr w:type="gramEnd"/>
      <w:r w:rsidRPr="006B42FD">
        <w:t>a)),  the hazard/ force of mortality function (µ(a)) and the probability density function (</w:t>
      </w:r>
      <m:oMath>
        <m:sSub>
          <m:sSubPr>
            <m:ctrlPr>
              <w:rPr>
                <w:rFonts w:ascii="Cambria Math" w:hAnsi="Cambria Math"/>
                <w:i/>
              </w:rPr>
            </m:ctrlPr>
          </m:sSubPr>
          <m:e>
            <m:r>
              <w:rPr>
                <w:rFonts w:ascii="Cambria Math" w:hAnsi="Cambria Math"/>
              </w:rPr>
              <m:t>f</m:t>
            </m:r>
          </m:e>
          <m:sub>
            <m:r>
              <w:rPr>
                <w:rFonts w:ascii="Cambria Math" w:hAnsi="Cambria Math"/>
              </w:rPr>
              <m:t>0</m:t>
            </m:r>
          </m:sub>
        </m:sSub>
        <m:d>
          <m:dPr>
            <m:ctrlPr>
              <w:rPr>
                <w:rFonts w:ascii="Cambria Math" w:hAnsi="Cambria Math"/>
                <w:i/>
              </w:rPr>
            </m:ctrlPr>
          </m:dPr>
          <m:e>
            <m:r>
              <w:rPr>
                <w:rFonts w:ascii="Cambria Math" w:hAnsi="Cambria Math"/>
              </w:rPr>
              <m:t>a</m:t>
            </m:r>
          </m:e>
        </m:d>
      </m:oMath>
      <w:r w:rsidRPr="006B42FD">
        <w:t xml:space="preserve">) for each dataset.  </w:t>
      </w:r>
      <w:r>
        <w:t xml:space="preserve">The following </w:t>
      </w:r>
      <w:r w:rsidRPr="006B42FD">
        <w:t>formulae used to plot the survival and hazard curves and the probability density function for the Siler model, as a full five-parameter Siler model incorporates the Gompertz, Makeham, and juvenile components, which highlights the fact that the three functi</w:t>
      </w:r>
      <w:r>
        <w:t>on are interrelated (Cox, 1962):</w:t>
      </w:r>
      <w:r w:rsidRPr="006B42FD">
        <w:t xml:space="preserve">  </w:t>
      </w:r>
    </w:p>
    <w:p w:rsidR="001C002A" w:rsidRPr="006B42FD" w:rsidRDefault="001C002A" w:rsidP="001C002A">
      <w:pPr>
        <w:spacing w:line="480" w:lineRule="auto"/>
        <w:ind w:firstLine="720"/>
      </w:pPr>
    </w:p>
    <w:p w:rsidR="001C002A" w:rsidRPr="00C90CC6" w:rsidRDefault="00C90CC6" w:rsidP="001C002A">
      <w:pPr>
        <w:spacing w:line="480" w:lineRule="auto"/>
        <w:jc w:val="center"/>
      </w:pPr>
      <m:oMathPara>
        <m:oMath>
          <m:r>
            <w:rPr>
              <w:rFonts w:ascii="Cambria Math" w:hAnsi="Cambria Math"/>
            </w:rPr>
            <m:t>S(a)=</m:t>
          </m:r>
          <m:sSup>
            <m:sSupPr>
              <m:ctrlPr>
                <w:rPr>
                  <w:rFonts w:ascii="Cambria Math" w:hAnsi="Cambria Math"/>
                  <w:i/>
                </w:rPr>
              </m:ctrlPr>
            </m:sSupPr>
            <m:e>
              <m:r>
                <w:rPr>
                  <w:rFonts w:ascii="Cambria Math" w:hAnsi="Cambria Math"/>
                </w:rPr>
                <m:t>e</m:t>
              </m:r>
            </m:e>
            <m: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α</m:t>
                      </m:r>
                    </m:e>
                    <m:sub>
                      <m:r>
                        <w:rPr>
                          <w:rFonts w:ascii="Cambria Math" w:hAnsi="Cambria Math"/>
                        </w:rPr>
                        <m:t>1</m:t>
                      </m:r>
                    </m:sub>
                  </m:sSub>
                </m:num>
                <m:den>
                  <m:sSub>
                    <m:sSubPr>
                      <m:ctrlPr>
                        <w:rPr>
                          <w:rFonts w:ascii="Cambria Math" w:hAnsi="Cambria Math"/>
                          <w:i/>
                        </w:rPr>
                      </m:ctrlPr>
                    </m:sSubPr>
                    <m:e>
                      <m:r>
                        <w:rPr>
                          <w:rFonts w:ascii="Cambria Math" w:hAnsi="Cambria Math"/>
                        </w:rPr>
                        <m:t>β</m:t>
                      </m:r>
                    </m:e>
                    <m:sub>
                      <m:r>
                        <w:rPr>
                          <w:rFonts w:ascii="Cambria Math" w:hAnsi="Cambria Math"/>
                        </w:rPr>
                        <m:t>1</m:t>
                      </m:r>
                    </m:sub>
                  </m:sSub>
                </m:den>
              </m:f>
              <m:d>
                <m:dPr>
                  <m:ctrlPr>
                    <w:rPr>
                      <w:rFonts w:ascii="Cambria Math" w:hAnsi="Cambria Math"/>
                      <w:i/>
                    </w:rPr>
                  </m:ctrlPr>
                </m:dPr>
                <m:e>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a</m:t>
                      </m:r>
                    </m:sup>
                  </m:sSup>
                </m:e>
              </m:d>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2</m:t>
                  </m:r>
                </m:sub>
              </m:sSub>
              <m:r>
                <w:rPr>
                  <w:rFonts w:ascii="Cambria Math" w:hAnsi="Cambria Math"/>
                </w:rPr>
                <m:t>a)+</m:t>
              </m:r>
              <m:f>
                <m:fPr>
                  <m:ctrlPr>
                    <w:rPr>
                      <w:rFonts w:ascii="Cambria Math" w:hAnsi="Cambria Math"/>
                      <w:i/>
                    </w:rPr>
                  </m:ctrlPr>
                </m:fPr>
                <m:num>
                  <m:sSub>
                    <m:sSubPr>
                      <m:ctrlPr>
                        <w:rPr>
                          <w:rFonts w:ascii="Cambria Math" w:hAnsi="Cambria Math"/>
                          <w:i/>
                        </w:rPr>
                      </m:ctrlPr>
                    </m:sSubPr>
                    <m:e>
                      <m:r>
                        <w:rPr>
                          <w:rFonts w:ascii="Cambria Math" w:hAnsi="Cambria Math"/>
                        </w:rPr>
                        <m:t>∝</m:t>
                      </m:r>
                    </m:e>
                    <m:sub>
                      <m:r>
                        <w:rPr>
                          <w:rFonts w:ascii="Cambria Math" w:hAnsi="Cambria Math"/>
                        </w:rPr>
                        <m:t>3</m:t>
                      </m:r>
                    </m:sub>
                  </m:sSub>
                </m:num>
                <m:den>
                  <m:sSub>
                    <m:sSubPr>
                      <m:ctrlPr>
                        <w:rPr>
                          <w:rFonts w:ascii="Cambria Math" w:hAnsi="Cambria Math"/>
                          <w:i/>
                        </w:rPr>
                      </m:ctrlPr>
                    </m:sSubPr>
                    <m:e>
                      <m:r>
                        <w:rPr>
                          <w:rFonts w:ascii="Cambria Math" w:hAnsi="Cambria Math"/>
                        </w:rPr>
                        <m:t>β</m:t>
                      </m:r>
                    </m:e>
                    <m:sub>
                      <m:r>
                        <w:rPr>
                          <w:rFonts w:ascii="Cambria Math" w:hAnsi="Cambria Math"/>
                        </w:rPr>
                        <m:t>3</m:t>
                      </m:r>
                    </m:sub>
                  </m:sSub>
                </m:den>
              </m:f>
              <m:d>
                <m:dPr>
                  <m:ctrlPr>
                    <w:rPr>
                      <w:rFonts w:ascii="Cambria Math" w:hAnsi="Cambria Math"/>
                      <w:i/>
                    </w:rPr>
                  </m:ctrlPr>
                </m:dPr>
                <m:e>
                  <m:r>
                    <w:rPr>
                      <w:rFonts w:ascii="Cambria Math" w:hAnsi="Cambria Math"/>
                    </w:rPr>
                    <m:t>1-</m:t>
                  </m:r>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a</m:t>
                      </m:r>
                    </m:sup>
                  </m:sSup>
                </m:e>
              </m:d>
              <m:r>
                <w:rPr>
                  <w:rFonts w:ascii="Cambria Math" w:hAnsi="Cambria Math"/>
                </w:rPr>
                <m:t>]</m:t>
              </m:r>
            </m:sup>
          </m:sSup>
        </m:oMath>
      </m:oMathPara>
    </w:p>
    <w:p w:rsidR="001C002A" w:rsidRPr="006B42FD" w:rsidRDefault="001C002A" w:rsidP="001C002A">
      <w:pPr>
        <w:spacing w:line="480" w:lineRule="auto"/>
      </w:pPr>
    </w:p>
    <w:p w:rsidR="001C002A" w:rsidRPr="00C90CC6" w:rsidRDefault="00C90CC6" w:rsidP="001C002A">
      <w:pPr>
        <w:spacing w:line="480" w:lineRule="auto"/>
        <w:jc w:val="center"/>
      </w:pPr>
      <m:oMathPara>
        <m:oMath>
          <m:r>
            <w:rPr>
              <w:rFonts w:ascii="Cambria Math" w:hAnsi="Cambria Math"/>
            </w:rPr>
            <m:t xml:space="preserve">μ(a)= </m:t>
          </m:r>
          <m:sSub>
            <m:sSubPr>
              <m:ctrlPr>
                <w:rPr>
                  <w:rFonts w:ascii="Cambria Math" w:hAnsi="Cambria Math"/>
                  <w:i/>
                </w:rPr>
              </m:ctrlPr>
            </m:sSubPr>
            <m:e>
              <m:r>
                <w:rPr>
                  <w:rFonts w:ascii="Cambria Math" w:hAnsi="Cambria Math"/>
                </w:rPr>
                <m:t>α</m:t>
              </m:r>
            </m:e>
            <m:sub>
              <m:r>
                <w:rPr>
                  <w:rFonts w:ascii="Cambria Math" w:hAnsi="Cambria Math"/>
                </w:rPr>
                <m:t>1</m:t>
              </m:r>
            </m:sub>
          </m:sSub>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a</m:t>
              </m:r>
            </m:sup>
          </m:sSup>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3</m:t>
              </m:r>
            </m:sub>
          </m:sSub>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β</m:t>
                  </m:r>
                </m:e>
                <m:sub>
                  <m:r>
                    <w:rPr>
                      <w:rFonts w:ascii="Cambria Math" w:hAnsi="Cambria Math"/>
                    </w:rPr>
                    <m:t>3</m:t>
                  </m:r>
                </m:sub>
              </m:sSub>
              <m:r>
                <w:rPr>
                  <w:rFonts w:ascii="Cambria Math" w:hAnsi="Cambria Math"/>
                </w:rPr>
                <m:t>a</m:t>
              </m:r>
            </m:sup>
          </m:sSup>
        </m:oMath>
      </m:oMathPara>
    </w:p>
    <w:p w:rsidR="001C002A" w:rsidRPr="001C002A" w:rsidRDefault="001C002A" w:rsidP="001C002A">
      <w:pPr>
        <w:spacing w:line="480" w:lineRule="auto"/>
      </w:pPr>
    </w:p>
    <w:p w:rsidR="001C002A" w:rsidRPr="00C90CC6" w:rsidRDefault="00C90CC6" w:rsidP="001C002A">
      <w:pPr>
        <w:spacing w:line="480" w:lineRule="auto"/>
        <w:jc w:val="center"/>
      </w:pPr>
      <m:oMathPara>
        <m:oMath>
          <m:sSub>
            <m:sSubPr>
              <m:ctrlPr>
                <w:rPr>
                  <w:rFonts w:ascii="Cambria Math" w:hAnsi="Cambria Math"/>
                  <w:i/>
                </w:rPr>
              </m:ctrlPr>
            </m:sSubPr>
            <m:e>
              <m:r>
                <w:rPr>
                  <w:rFonts w:ascii="Cambria Math" w:hAnsi="Cambria Math"/>
                </w:rPr>
                <m:t>f</m:t>
              </m:r>
            </m:e>
            <m:sub>
              <m:r>
                <w:rPr>
                  <w:rFonts w:ascii="Cambria Math" w:hAnsi="Cambria Math"/>
                </w:rPr>
                <m:t>0</m:t>
              </m:r>
            </m:sub>
          </m:sSub>
          <m:d>
            <m:dPr>
              <m:ctrlPr>
                <w:rPr>
                  <w:rFonts w:ascii="Cambria Math" w:hAnsi="Cambria Math"/>
                  <w:i/>
                </w:rPr>
              </m:ctrlPr>
            </m:dPr>
            <m:e>
              <m:r>
                <w:rPr>
                  <w:rFonts w:ascii="Cambria Math" w:hAnsi="Cambria Math"/>
                </w:rPr>
                <m:t>a</m:t>
              </m:r>
            </m:e>
          </m:d>
          <m:r>
            <w:rPr>
              <w:rFonts w:ascii="Cambria Math" w:hAnsi="Cambria Math"/>
            </w:rPr>
            <m:t>=S(a)*μ(a)</m:t>
          </m:r>
        </m:oMath>
      </m:oMathPara>
    </w:p>
    <w:p w:rsidR="001C002A" w:rsidRPr="006B42FD" w:rsidRDefault="001C002A" w:rsidP="001C002A">
      <w:pPr>
        <w:spacing w:line="480" w:lineRule="auto"/>
        <w:jc w:val="center"/>
      </w:pPr>
    </w:p>
    <w:p w:rsidR="001C002A" w:rsidRPr="006B42FD" w:rsidRDefault="001C002A" w:rsidP="001C002A">
      <w:pPr>
        <w:spacing w:line="480" w:lineRule="auto"/>
        <w:ind w:firstLine="720"/>
      </w:pPr>
      <w:r w:rsidRPr="006B42FD">
        <w:t xml:space="preserve">The computation of one function allows the other two to be estimated using the data. </w:t>
      </w:r>
      <w:r>
        <w:t xml:space="preserve"> </w:t>
      </w:r>
      <w:r w:rsidRPr="006B42FD">
        <w:t xml:space="preserve">The survivorship function S(a) plots the natural logarithm of the proportion of a cohort of individuals </w:t>
      </w:r>
      <w:r w:rsidRPr="006B42FD">
        <w:lastRenderedPageBreak/>
        <w:t>starting at time 0 that is still alive at time a.</w:t>
      </w:r>
      <w:r>
        <w:t xml:space="preserve"> </w:t>
      </w:r>
      <w:r w:rsidRPr="006B42FD">
        <w:t xml:space="preserve"> The probability density function is the fraction of all deaths from initial cohort that are likely to occur at an instant of time (a).  This is equivalent to the probability of dying.  The hazard is the instanteous risk of death and is a derivative of survivorship in which the instanteous rate of change is the logarithm of the number of survivors per </w:t>
      </w:r>
      <w:proofErr w:type="gramStart"/>
      <w:r w:rsidRPr="006B42FD">
        <w:t>time(</w:t>
      </w:r>
      <w:proofErr w:type="gramEnd"/>
      <w:r w:rsidRPr="006B42FD">
        <w:t xml:space="preserve">a).  The risk of death changes substantially with the age of an </w:t>
      </w:r>
      <w:proofErr w:type="gramStart"/>
      <w:r w:rsidRPr="006B42FD">
        <w:t>individual,</w:t>
      </w:r>
      <w:proofErr w:type="gramEnd"/>
      <w:r w:rsidRPr="006B42FD">
        <w:t xml:space="preserve"> so can be equated to a ratio between the density function and the survivor function.  </w:t>
      </w:r>
    </w:p>
    <w:p w:rsidR="001C002A" w:rsidRPr="006B42FD" w:rsidRDefault="001C002A" w:rsidP="001C002A">
      <w:pPr>
        <w:spacing w:line="480" w:lineRule="auto"/>
        <w:ind w:firstLine="720"/>
      </w:pPr>
      <w:r w:rsidRPr="006B42FD">
        <w:t>The life expectancies at birth (e</w:t>
      </w:r>
      <w:r w:rsidRPr="006B42FD">
        <w:rPr>
          <w:vertAlign w:val="subscript"/>
        </w:rPr>
        <w:t>0</w:t>
      </w:r>
      <w:r w:rsidRPr="006B42FD">
        <w:t>) and adulthood (e</w:t>
      </w:r>
      <w:r w:rsidRPr="006B42FD">
        <w:rPr>
          <w:vertAlign w:val="subscript"/>
        </w:rPr>
        <w:t>15</w:t>
      </w:r>
      <w:r w:rsidRPr="006B42FD">
        <w:t xml:space="preserve">), the crude birth and death rate, and the mean age of the living were computed for best model for each dataset using the data from the S.t, h.t, and </w:t>
      </w:r>
      <w:proofErr w:type="gramStart"/>
      <w:r w:rsidRPr="006B42FD">
        <w:t>f(</w:t>
      </w:r>
      <w:proofErr w:type="gramEnd"/>
      <w:r w:rsidRPr="006B42FD">
        <w:t xml:space="preserve">t).  The crude birth and death rates are the inverse of the integral of survivorship and the mean age of the living is the integral of survivorship multiplied by age divided by the mean age-at-death. </w:t>
      </w:r>
    </w:p>
    <w:p w:rsidR="001C002A" w:rsidRDefault="001C002A" w:rsidP="001C002A">
      <w:pPr>
        <w:spacing w:line="480" w:lineRule="auto"/>
      </w:pPr>
    </w:p>
    <w:p w:rsidR="001C002A" w:rsidRPr="001C002A" w:rsidRDefault="001C002A" w:rsidP="001C002A">
      <w:pPr>
        <w:spacing w:line="480" w:lineRule="auto"/>
        <w:rPr>
          <w:i/>
        </w:rPr>
      </w:pPr>
      <w:r w:rsidRPr="001C002A">
        <w:rPr>
          <w:i/>
        </w:rPr>
        <w:t xml:space="preserve">Juvenile Survivorship </w:t>
      </w:r>
    </w:p>
    <w:p w:rsidR="001C002A" w:rsidRPr="006B42FD" w:rsidRDefault="001C002A" w:rsidP="001C002A">
      <w:pPr>
        <w:spacing w:line="480" w:lineRule="auto"/>
        <w:ind w:firstLine="720"/>
      </w:pPr>
      <w:r w:rsidRPr="006B42FD">
        <w:t>In order to investigate juvenile mortality in a comprehensive fashion several additional measures beyond the integration of the juvenile component into the parametric Siler hazard function were utilized.  Most skeletal samples have issues of undernummeration of juveniles, so several measures have been created to estimate the proportion of juveniles compared to adults, infants compared to older juveniles, and old</w:t>
      </w:r>
      <w:r>
        <w:t>er adults compared to juveniles</w:t>
      </w:r>
      <w:r w:rsidRPr="006B42FD">
        <w:t>.  Bocquet-Appel and colleagues (Bocquet-Appel</w:t>
      </w:r>
      <w:r>
        <w:t>,</w:t>
      </w:r>
      <w:r w:rsidRPr="006B42FD">
        <w:t xml:space="preserve"> 2002</w:t>
      </w:r>
      <w:r>
        <w:t>;</w:t>
      </w:r>
      <w:r w:rsidRPr="006B42FD">
        <w:t xml:space="preserve"> Bocquet-</w:t>
      </w:r>
      <w:r>
        <w:t>A</w:t>
      </w:r>
      <w:r w:rsidRPr="006B42FD">
        <w:t>ppel and Naji, 2006</w:t>
      </w:r>
      <w:r>
        <w:t>;</w:t>
      </w:r>
      <w:r w:rsidRPr="006B42FD">
        <w:t xml:space="preserve"> Bocquet-Appel and BarYosef, 2008) have used the proportion of subadults to suggest an increase or decrease in fertility.  An increase proportion of subadults in a sample </w:t>
      </w:r>
      <w:proofErr w:type="gramStart"/>
      <w:r w:rsidRPr="006B42FD">
        <w:t>suggests</w:t>
      </w:r>
      <w:proofErr w:type="gramEnd"/>
      <w:r w:rsidRPr="006B42FD">
        <w:t xml:space="preserve"> positive fertility rates while a decrease suggests negative fertility rates (Acsadi and Nemereski, 1970</w:t>
      </w:r>
      <w:r>
        <w:t>;</w:t>
      </w:r>
      <w:r w:rsidRPr="006B42FD">
        <w:t xml:space="preserve"> Buisktra </w:t>
      </w:r>
      <w:r w:rsidRPr="006B42FD">
        <w:rPr>
          <w:i/>
        </w:rPr>
        <w:t>et al</w:t>
      </w:r>
      <w:r w:rsidRPr="006B42FD">
        <w:t>.</w:t>
      </w:r>
      <w:r>
        <w:t>, 1986;</w:t>
      </w:r>
      <w:r w:rsidRPr="006B42FD">
        <w:t xml:space="preserve"> Bocquet-</w:t>
      </w:r>
      <w:r w:rsidRPr="006B42FD">
        <w:lastRenderedPageBreak/>
        <w:t>Appel, 2002).  The first measure to examine fertility within the Larson population used the ‘Juvenile Index’ (</w:t>
      </w:r>
      <w:r w:rsidRPr="006B42FD">
        <w:rPr>
          <w:vertAlign w:val="subscript"/>
        </w:rPr>
        <w:t>15</w:t>
      </w:r>
      <w:r w:rsidRPr="006B42FD">
        <w:t>P</w:t>
      </w:r>
      <w:r w:rsidRPr="006B42FD">
        <w:rPr>
          <w:vertAlign w:val="subscript"/>
        </w:rPr>
        <w:t>5</w:t>
      </w:r>
      <w:r w:rsidRPr="006B42FD">
        <w:t>), which is the proportion of children five to nineteen over individuals over the age of five (D</w:t>
      </w:r>
      <w:r w:rsidRPr="006B42FD">
        <w:rPr>
          <w:vertAlign w:val="subscript"/>
        </w:rPr>
        <w:t>5-19</w:t>
      </w:r>
      <w:r w:rsidRPr="006B42FD">
        <w:t>/D</w:t>
      </w:r>
      <w:r w:rsidRPr="006B42FD">
        <w:rPr>
          <w:vertAlign w:val="subscript"/>
        </w:rPr>
        <w:t>5+</w:t>
      </w:r>
      <w:r w:rsidRPr="006B42FD">
        <w:t xml:space="preserve">).  Bocquet-Appel and Naji (2006) demonstrated that the </w:t>
      </w:r>
      <w:r w:rsidRPr="006B42FD">
        <w:rPr>
          <w:vertAlign w:val="subscript"/>
        </w:rPr>
        <w:t>15</w:t>
      </w:r>
      <w:r w:rsidRPr="006B42FD">
        <w:t>P</w:t>
      </w:r>
      <w:r w:rsidRPr="006B42FD">
        <w:rPr>
          <w:vertAlign w:val="subscript"/>
        </w:rPr>
        <w:t>5</w:t>
      </w:r>
      <w:r w:rsidRPr="006B42FD">
        <w:t xml:space="preserve"> was highly correlated to both the growth rate and crude birth rate in simulations using 45 Coale and Demeny (1966) pre-industrial life tables for stable population.  The </w:t>
      </w:r>
      <w:r w:rsidRPr="006B42FD">
        <w:rPr>
          <w:vertAlign w:val="subscript"/>
        </w:rPr>
        <w:t>15</w:t>
      </w:r>
      <w:r w:rsidRPr="006B42FD">
        <w:t>P</w:t>
      </w:r>
      <w:r w:rsidRPr="006B42FD">
        <w:rPr>
          <w:vertAlign w:val="subscript"/>
        </w:rPr>
        <w:t>5</w:t>
      </w:r>
      <w:r w:rsidRPr="006B42FD">
        <w:t xml:space="preserve"> measures for each dataset and associated raw data can be found in the following chapter.  </w:t>
      </w:r>
    </w:p>
    <w:p w:rsidR="001C002A" w:rsidRDefault="001C002A" w:rsidP="001C002A">
      <w:pPr>
        <w:spacing w:line="480" w:lineRule="auto"/>
        <w:ind w:firstLine="720"/>
      </w:pPr>
      <w:r w:rsidRPr="006B42FD">
        <w:t>The second measure of fertility, the D</w:t>
      </w:r>
      <w:r w:rsidRPr="006B42FD">
        <w:rPr>
          <w:vertAlign w:val="subscript"/>
        </w:rPr>
        <w:t>30+</w:t>
      </w:r>
      <w:r w:rsidRPr="006B42FD">
        <w:t>/D</w:t>
      </w:r>
      <w:r w:rsidRPr="006B42FD">
        <w:rPr>
          <w:vertAlign w:val="subscript"/>
        </w:rPr>
        <w:t>5+</w:t>
      </w:r>
      <w:r w:rsidRPr="006B42FD">
        <w:t xml:space="preserve"> proportion, was calculated for each dataset with a 95% comparison interval where m is derived from the Studentized maximum modulus table for a two-tailed α=.05 and k=(N(N-1))/2 following Buikstra </w:t>
      </w:r>
      <w:r w:rsidRPr="006B42FD">
        <w:rPr>
          <w:i/>
        </w:rPr>
        <w:t>et al</w:t>
      </w:r>
      <w:r w:rsidRPr="006B42FD">
        <w:t>. (1986).  This proportion of immature skeletons is the number of skeletons over the age of thirty divided by the number of skeletons over five years of age and older.</w:t>
      </w:r>
      <w:r>
        <w:t xml:space="preserve"> </w:t>
      </w:r>
      <w:r w:rsidRPr="006B42FD">
        <w:t xml:space="preserve"> This measure has a strong negative correlation with the birth and death rate when compared to data from 312 stable populations (Coale and Demeny 1966) and supports Sattenspiel and Harpending (1983) argument that the birth rate has a greater influence on mortality in a skeletal sample. </w:t>
      </w:r>
    </w:p>
    <w:p w:rsidR="001C002A" w:rsidRPr="006B42FD" w:rsidRDefault="001C002A" w:rsidP="001C002A">
      <w:pPr>
        <w:spacing w:line="480" w:lineRule="auto"/>
        <w:ind w:firstLine="720"/>
      </w:pPr>
    </w:p>
    <w:p w:rsidR="001C002A" w:rsidRPr="001C002A" w:rsidRDefault="001C002A" w:rsidP="001C002A">
      <w:pPr>
        <w:spacing w:line="480" w:lineRule="auto"/>
        <w:ind w:left="2160" w:firstLine="720"/>
        <w:jc w:val="both"/>
      </w:pPr>
      <w:r w:rsidRPr="006B42FD">
        <w:t xml:space="preserve"> </w:t>
      </w:r>
      <m:oMath>
        <m:r>
          <w:rPr>
            <w:rFonts w:ascii="Cambria Math" w:hAnsi="Cambria Math"/>
          </w:rPr>
          <m:t>CI=</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30+</m:t>
                </m:r>
              </m:sub>
            </m:sSub>
          </m:num>
          <m:den>
            <m:sSub>
              <m:sSubPr>
                <m:ctrlPr>
                  <w:rPr>
                    <w:rFonts w:ascii="Cambria Math" w:hAnsi="Cambria Math"/>
                    <w:i/>
                  </w:rPr>
                </m:ctrlPr>
              </m:sSubPr>
              <m:e>
                <m:r>
                  <w:rPr>
                    <w:rFonts w:ascii="Cambria Math" w:hAnsi="Cambria Math"/>
                  </w:rPr>
                  <m:t>D</m:t>
                </m:r>
              </m:e>
              <m:sub>
                <m:r>
                  <w:rPr>
                    <w:rFonts w:ascii="Cambria Math" w:hAnsi="Cambria Math"/>
                  </w:rPr>
                  <m:t>5+</m:t>
                </m:r>
              </m:sub>
            </m:sSub>
          </m:den>
        </m:f>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.05,k*,∞</m:t>
            </m:r>
          </m:sub>
        </m:sSub>
        <m:rad>
          <m:radPr>
            <m:degHide m:val="1"/>
            <m:ctrlPr>
              <w:rPr>
                <w:rFonts w:ascii="Cambria Math" w:hAnsi="Cambria Math"/>
                <w:i/>
              </w:rPr>
            </m:ctrlPr>
          </m:radPr>
          <m:deg/>
          <m:e>
            <m:f>
              <m:fPr>
                <m:ctrlPr>
                  <w:rPr>
                    <w:rFonts w:ascii="Cambria Math" w:hAnsi="Cambria Math"/>
                    <w:i/>
                  </w:rPr>
                </m:ctrlPr>
              </m:fPr>
              <m:num>
                <m:r>
                  <w:rPr>
                    <w:rFonts w:ascii="Cambria Math" w:hAnsi="Cambria Math"/>
                  </w:rPr>
                  <m:t>.125</m:t>
                </m:r>
              </m:num>
              <m:den>
                <m:sSub>
                  <m:sSubPr>
                    <m:ctrlPr>
                      <w:rPr>
                        <w:rFonts w:ascii="Cambria Math" w:hAnsi="Cambria Math"/>
                        <w:i/>
                      </w:rPr>
                    </m:ctrlPr>
                  </m:sSubPr>
                  <m:e>
                    <m:r>
                      <w:rPr>
                        <w:rFonts w:ascii="Cambria Math" w:hAnsi="Cambria Math"/>
                      </w:rPr>
                      <m:t>D</m:t>
                    </m:r>
                  </m:e>
                  <m:sub>
                    <m:r>
                      <w:rPr>
                        <w:rFonts w:ascii="Cambria Math" w:hAnsi="Cambria Math"/>
                      </w:rPr>
                      <m:t>5+</m:t>
                    </m:r>
                  </m:sub>
                </m:sSub>
              </m:den>
            </m:f>
          </m:e>
        </m:rad>
      </m:oMath>
    </w:p>
    <w:p w:rsidR="001C002A" w:rsidRDefault="001C002A" w:rsidP="001C002A">
      <w:pPr>
        <w:spacing w:line="480" w:lineRule="auto"/>
        <w:jc w:val="both"/>
      </w:pPr>
    </w:p>
    <w:p w:rsidR="001C002A" w:rsidRPr="001C002A" w:rsidRDefault="001C002A" w:rsidP="001C002A">
      <w:pPr>
        <w:spacing w:line="480" w:lineRule="auto"/>
        <w:jc w:val="both"/>
      </w:pPr>
      <w:r w:rsidRPr="006B42FD">
        <w:t>For this analysis, the degrees of freedom are assumed to be infinite, so m is 3.114.</w:t>
      </w:r>
      <w:r>
        <w:t xml:space="preserve"> </w:t>
      </w:r>
      <w:r w:rsidRPr="006B42FD">
        <w:t xml:space="preserve"> </w:t>
      </w:r>
      <w:r w:rsidRPr="001C002A">
        <w:t>A significant difference between datasets is considered if the comparison intervals do not overlap.</w:t>
      </w:r>
    </w:p>
    <w:p w:rsidR="001C002A" w:rsidRPr="001C002A" w:rsidRDefault="001C002A" w:rsidP="001C002A">
      <w:pPr>
        <w:spacing w:line="480" w:lineRule="auto"/>
      </w:pPr>
      <w:r w:rsidRPr="001C002A">
        <w:t xml:space="preserve"> </w:t>
      </w:r>
      <w:r w:rsidRPr="001C002A">
        <w:tab/>
        <w:t>Likewise, the D</w:t>
      </w:r>
      <w:r w:rsidRPr="001C002A">
        <w:rPr>
          <w:vertAlign w:val="subscript"/>
        </w:rPr>
        <w:t>1-5</w:t>
      </w:r>
      <w:r w:rsidRPr="001C002A">
        <w:t>/D</w:t>
      </w:r>
      <w:r w:rsidRPr="001C002A">
        <w:rPr>
          <w:vertAlign w:val="subscript"/>
        </w:rPr>
        <w:t xml:space="preserve">1-10 </w:t>
      </w:r>
      <w:r w:rsidRPr="001C002A">
        <w:t xml:space="preserve">‘Juvenile Death Proportion’ with the comparison interval outlined above, was computed for each dataset to provide further data on juvenile mortality.  This proportion is the number of deaths from ages one to five divided by the number of </w:t>
      </w:r>
      <w:r w:rsidRPr="001C002A">
        <w:lastRenderedPageBreak/>
        <w:t xml:space="preserve">individuals one to ten.  It has a high positive correlation with birth rate and the juvenile death rate (Buikstra </w:t>
      </w:r>
      <w:r w:rsidRPr="001C002A">
        <w:rPr>
          <w:i/>
        </w:rPr>
        <w:t>et al</w:t>
      </w:r>
      <w:r w:rsidRPr="001C002A">
        <w:t xml:space="preserve">., 1986), which implies that a decrease in the proportion could indicate either a decrease in juvenile mortality or a decrease in birth rate.  This was used in conjunction with information on the crude birth and death rates and other juvenile proportional measures to provide a better understanding of the population dynamics. </w:t>
      </w:r>
    </w:p>
    <w:p w:rsidR="001C002A" w:rsidRDefault="001C002A" w:rsidP="001C002A">
      <w:pPr>
        <w:spacing w:line="480" w:lineRule="auto"/>
      </w:pPr>
    </w:p>
    <w:p w:rsidR="001C002A" w:rsidRPr="001C002A" w:rsidRDefault="001C002A" w:rsidP="001C002A">
      <w:pPr>
        <w:spacing w:line="480" w:lineRule="auto"/>
        <w:rPr>
          <w:i/>
        </w:rPr>
      </w:pPr>
      <w:r w:rsidRPr="001C002A">
        <w:rPr>
          <w:i/>
        </w:rPr>
        <w:t>Adult Mortality</w:t>
      </w:r>
    </w:p>
    <w:p w:rsidR="001C002A" w:rsidRPr="001C002A" w:rsidRDefault="001C002A" w:rsidP="001C002A">
      <w:pPr>
        <w:spacing w:line="480" w:lineRule="auto"/>
        <w:ind w:firstLine="720"/>
      </w:pPr>
      <w:r w:rsidRPr="006B42FD">
        <w:t>The analysis of adult mortality focused on the variability associated with sex-specific differences in age-at-death.  These analyses included any individuals with an estimated age of fifteen years or above.  The maximum likelihood point estimates of age-at-death from Transition Analysis, Multifactorial analysis, and the curation records were analyzed using the parametric Gompertz and Gompertz-Makeham models to determine if the age estimation method caused different sex-specific patterns.</w:t>
      </w:r>
      <w:r>
        <w:t xml:space="preserve"> </w:t>
      </w:r>
      <w:r w:rsidRPr="006B42FD">
        <w:t xml:space="preserve"> It is important to be able to detect an age-independent factor affecting mortality, as previous research (Owsley</w:t>
      </w:r>
      <w:r>
        <w:t>,</w:t>
      </w:r>
      <w:r w:rsidRPr="006B42FD">
        <w:t xml:space="preserve"> 1975) indicated a significant mean age-at-death difference between males and females and attributed this to the high risk of childbearing in pre-industrial populations.</w:t>
      </w:r>
    </w:p>
    <w:p w:rsidR="001C002A" w:rsidRPr="001C002A" w:rsidRDefault="001C002A" w:rsidP="00FD4855">
      <w:pPr>
        <w:pStyle w:val="Heading1"/>
        <w:jc w:val="center"/>
        <w:rPr>
          <w:rFonts w:ascii="Times New Roman" w:hAnsi="Times New Roman"/>
        </w:rPr>
      </w:pPr>
      <w:r>
        <w:br w:type="page"/>
      </w:r>
      <w:bookmarkStart w:id="38" w:name="_Toc349858150"/>
      <w:r w:rsidRPr="001C002A">
        <w:rPr>
          <w:rFonts w:ascii="Times New Roman" w:hAnsi="Times New Roman"/>
        </w:rPr>
        <w:lastRenderedPageBreak/>
        <w:t>Chapter 6</w:t>
      </w:r>
      <w:bookmarkEnd w:id="38"/>
    </w:p>
    <w:p w:rsidR="001C002A" w:rsidRDefault="001C002A" w:rsidP="00FD4855">
      <w:pPr>
        <w:pStyle w:val="Heading1"/>
        <w:jc w:val="center"/>
        <w:rPr>
          <w:rFonts w:ascii="Times New Roman" w:hAnsi="Times New Roman"/>
        </w:rPr>
      </w:pPr>
      <w:bookmarkStart w:id="39" w:name="_Toc349858151"/>
      <w:r w:rsidRPr="001C002A">
        <w:rPr>
          <w:rFonts w:ascii="Times New Roman" w:hAnsi="Times New Roman"/>
        </w:rPr>
        <w:t>Results</w:t>
      </w:r>
      <w:bookmarkEnd w:id="39"/>
    </w:p>
    <w:p w:rsidR="001C002A" w:rsidRPr="0014009B" w:rsidRDefault="001C002A" w:rsidP="001C002A">
      <w:pPr>
        <w:spacing w:line="480" w:lineRule="auto"/>
      </w:pPr>
    </w:p>
    <w:p w:rsidR="001C002A" w:rsidRPr="0014009B" w:rsidRDefault="001C002A" w:rsidP="008E4A4D">
      <w:pPr>
        <w:spacing w:line="480" w:lineRule="auto"/>
        <w:ind w:firstLine="720"/>
      </w:pPr>
      <w:r w:rsidRPr="0014009B">
        <w:t>This chapter presents the results f</w:t>
      </w:r>
      <w:r>
        <w:t xml:space="preserve">rom the </w:t>
      </w:r>
      <w:r w:rsidRPr="0014009B">
        <w:t>f</w:t>
      </w:r>
      <w:r>
        <w:t>ertility and population growth studies, the Larson mortality profile for each of the five datasets</w:t>
      </w:r>
      <w:r w:rsidRPr="0014009B">
        <w:t xml:space="preserve">, and </w:t>
      </w:r>
      <w:r>
        <w:t xml:space="preserve">the </w:t>
      </w:r>
      <w:r w:rsidRPr="0014009B">
        <w:t>sex-specific adult mortality patterns.  These results will serve as the basis for discussing how age-at-death methods affect interpretations of the population dynamics and will lead into discussing paleodemography of the Larson site.</w:t>
      </w:r>
    </w:p>
    <w:p w:rsidR="001C002A" w:rsidRPr="0014009B" w:rsidRDefault="001C002A" w:rsidP="001C002A">
      <w:pPr>
        <w:spacing w:line="480" w:lineRule="auto"/>
      </w:pPr>
    </w:p>
    <w:p w:rsidR="001C002A" w:rsidRPr="008E4A4D" w:rsidRDefault="001C002A" w:rsidP="008E4A4D">
      <w:pPr>
        <w:pStyle w:val="Heading3"/>
        <w:rPr>
          <w:rFonts w:ascii="Times New Roman" w:hAnsi="Times New Roman" w:cs="Times New Roman"/>
        </w:rPr>
      </w:pPr>
      <w:bookmarkStart w:id="40" w:name="_Toc349858152"/>
      <w:r w:rsidRPr="008E4A4D">
        <w:rPr>
          <w:rFonts w:ascii="Times New Roman" w:hAnsi="Times New Roman" w:cs="Times New Roman"/>
        </w:rPr>
        <w:t>Growth and Fertility</w:t>
      </w:r>
      <w:bookmarkEnd w:id="40"/>
    </w:p>
    <w:p w:rsidR="001C002A" w:rsidRPr="0014009B" w:rsidRDefault="001C002A" w:rsidP="001C002A">
      <w:pPr>
        <w:spacing w:line="480" w:lineRule="auto"/>
        <w:ind w:firstLine="720"/>
      </w:pPr>
      <w:r w:rsidRPr="0014009B">
        <w:t xml:space="preserve">Since the age-at-death methods incorporated into this research have the potential to change the age at death distributions it is important to explore birth and growth rates and the proportion of juveniles (15p5 proportion) and older adults (D30+/D5+ proportion) within each sample.  Both measures provide rough estimates as to the directionality of population growth or decline and should not be interpreted as a direct reflection of the population’s birth or growth rate. </w:t>
      </w:r>
      <w:r>
        <w:t xml:space="preserve"> These tests are typically applied in biased samples with juvenile under-representation, which is a non-issue in this research.  </w:t>
      </w:r>
      <w:proofErr w:type="gramStart"/>
      <w:r>
        <w:t>The calculation of the proportional measures</w:t>
      </w:r>
      <w:r w:rsidRPr="0014009B">
        <w:t xml:space="preserve"> permit</w:t>
      </w:r>
      <w:r>
        <w:t>s</w:t>
      </w:r>
      <w:r w:rsidRPr="0014009B">
        <w:t xml:space="preserve"> comparison with other populations that </w:t>
      </w:r>
      <w:r>
        <w:t xml:space="preserve">may </w:t>
      </w:r>
      <w:r w:rsidRPr="0014009B">
        <w:t>reflect</w:t>
      </w:r>
      <w:r>
        <w:t xml:space="preserve"> juvenile</w:t>
      </w:r>
      <w:r w:rsidRPr="0014009B">
        <w:t xml:space="preserve"> undernummeration</w:t>
      </w:r>
      <w:r>
        <w:t xml:space="preserve"> that are found in the literature</w:t>
      </w:r>
      <w:r w:rsidRPr="0014009B">
        <w:t>.</w:t>
      </w:r>
      <w:proofErr w:type="gramEnd"/>
    </w:p>
    <w:p w:rsidR="001C002A" w:rsidRPr="0014009B" w:rsidRDefault="001C002A" w:rsidP="001C002A">
      <w:pPr>
        <w:spacing w:line="480" w:lineRule="auto"/>
        <w:ind w:firstLine="720"/>
      </w:pPr>
      <w:r w:rsidRPr="0014009B">
        <w:t xml:space="preserve">Table </w:t>
      </w:r>
      <w:r>
        <w:t>6.1</w:t>
      </w:r>
      <w:r w:rsidRPr="0014009B">
        <w:t xml:space="preserve"> presents the number of individuals 0-4 years, 5-19 years, greater than 5 years, the total sample size, and the juvenile index.  </w:t>
      </w:r>
      <w:r>
        <w:t xml:space="preserve">The </w:t>
      </w:r>
      <w:r w:rsidRPr="0014009B">
        <w:t xml:space="preserve">15p5 proportion ranges </w:t>
      </w:r>
      <w:proofErr w:type="gramStart"/>
      <w:r w:rsidRPr="0014009B">
        <w:t xml:space="preserve">between </w:t>
      </w:r>
      <w:r>
        <w:t>0</w:t>
      </w:r>
      <w:r w:rsidRPr="0014009B">
        <w:t xml:space="preserve">.2544 to </w:t>
      </w:r>
      <w:r>
        <w:t>0</w:t>
      </w:r>
      <w:r w:rsidRPr="0014009B">
        <w:t>.5575</w:t>
      </w:r>
      <w:proofErr w:type="gramEnd"/>
      <w:r w:rsidRPr="0014009B">
        <w:t xml:space="preserve">. </w:t>
      </w:r>
      <w:r>
        <w:t xml:space="preserve"> </w:t>
      </w:r>
      <w:r w:rsidRPr="0014009B">
        <w:t>All</w:t>
      </w:r>
      <w:r>
        <w:t xml:space="preserve"> datasets</w:t>
      </w:r>
      <w:r w:rsidRPr="0014009B">
        <w:t xml:space="preserve"> indicate a population that had high fertility levels.  The juvenile proportion suggests a relatively high percentage of 5 to 19 year olds in the population, which in turn </w:t>
      </w:r>
      <w:r w:rsidRPr="0014009B">
        <w:lastRenderedPageBreak/>
        <w:t xml:space="preserve">indicates a high crude birth rate. </w:t>
      </w:r>
      <w:r>
        <w:t xml:space="preserve"> However, the </w:t>
      </w:r>
      <w:r w:rsidRPr="0014009B">
        <w:t>juvenile index results</w:t>
      </w:r>
      <w:r>
        <w:t xml:space="preserve"> were impacted by the dataset used</w:t>
      </w:r>
      <w:r w:rsidRPr="0014009B">
        <w:t xml:space="preserve">. </w:t>
      </w:r>
      <w:r>
        <w:t xml:space="preserve"> </w:t>
      </w:r>
      <w:r w:rsidRPr="0014009B">
        <w:t xml:space="preserve">Owsley’s data suggests the lowest </w:t>
      </w:r>
      <w:r>
        <w:t xml:space="preserve">juvenile </w:t>
      </w:r>
      <w:r w:rsidRPr="0014009B">
        <w:t xml:space="preserve">index for the Larson </w:t>
      </w:r>
      <w:r>
        <w:t>site</w:t>
      </w:r>
      <w:r w:rsidRPr="0014009B">
        <w:t>, while the multifactorial dataset indicates an extremely high index.  Regardless of the age-at-death estimation method used for juvenile individuals, the 15p5 ratio indicates a high percentage of juveniles in the sample.  The transition analysis</w:t>
      </w:r>
      <w:r>
        <w:t>-based datasets indicate</w:t>
      </w:r>
      <w:r w:rsidRPr="0014009B">
        <w:t xml:space="preserve"> children and young adults comprise approximately 40% of the cemetery sample, while the multifactorial method suggests that over half of the sample is comprise</w:t>
      </w:r>
      <w:r>
        <w:t>d</w:t>
      </w:r>
      <w:r w:rsidRPr="0014009B">
        <w:t xml:space="preserve"> of individuals between 5 and 19.  Both methods indicate more children that would be expected in a </w:t>
      </w:r>
      <w:r>
        <w:t xml:space="preserve">pre-industrial </w:t>
      </w:r>
      <w:r w:rsidRPr="0014009B">
        <w:t xml:space="preserve">population.  The Owsley dataset produced the lowest percentage of children and adults with only 26% of those over the age of 5 being in the child </w:t>
      </w:r>
      <w:r>
        <w:t>or</w:t>
      </w:r>
      <w:r w:rsidRPr="0014009B">
        <w:t xml:space="preserve"> young adult age range. </w:t>
      </w:r>
      <w:r>
        <w:t xml:space="preserve"> </w:t>
      </w:r>
      <w:r w:rsidRPr="0014009B">
        <w:t>The Owsley dataset is in line with other populations throughout North America when com</w:t>
      </w:r>
      <w:r>
        <w:t>pared to Bocquet-Appel and Naji’s juvenile indices from</w:t>
      </w:r>
      <w:r w:rsidRPr="0014009B">
        <w:t xml:space="preserve"> 62 cemeteries representing </w:t>
      </w:r>
      <w:r>
        <w:t>the a</w:t>
      </w:r>
      <w:r w:rsidRPr="0014009B">
        <w:t>gricultural transition in North Ameri</w:t>
      </w:r>
      <w:r>
        <w:t xml:space="preserve">ca (~7500 BP to 350 BP).  </w:t>
      </w:r>
    </w:p>
    <w:p w:rsidR="001C002A" w:rsidRDefault="001C002A" w:rsidP="001C002A">
      <w:pPr>
        <w:spacing w:line="480" w:lineRule="auto"/>
      </w:pPr>
    </w:p>
    <w:p w:rsidR="001C002A" w:rsidRDefault="001C002A" w:rsidP="001C002A">
      <w:pPr>
        <w:spacing w:line="480" w:lineRule="auto"/>
      </w:pPr>
    </w:p>
    <w:p w:rsidR="008E4A4D" w:rsidRDefault="008E4A4D" w:rsidP="001C002A">
      <w:pPr>
        <w:spacing w:line="480" w:lineRule="auto"/>
      </w:pPr>
    </w:p>
    <w:p w:rsidR="001C002A" w:rsidRPr="0014009B" w:rsidRDefault="001C002A" w:rsidP="001C002A">
      <w:proofErr w:type="gramStart"/>
      <w:r>
        <w:t>Table 6.1.</w:t>
      </w:r>
      <w:proofErr w:type="gramEnd"/>
      <w:r>
        <w:t xml:space="preserve">  </w:t>
      </w:r>
      <w:proofErr w:type="gramStart"/>
      <w:r>
        <w:t>The juvenile proportion (15p5) for each dataset in the Larson site.</w:t>
      </w:r>
      <w:proofErr w:type="gramEnd"/>
    </w:p>
    <w:bookmarkStart w:id="41" w:name="_MON_1423029918"/>
    <w:bookmarkEnd w:id="41"/>
    <w:p w:rsidR="001C002A" w:rsidRDefault="001C002A" w:rsidP="001C002A">
      <w:r w:rsidRPr="0014009B">
        <w:object w:dxaOrig="9452" w:dyaOrig="1763">
          <v:shape id="_x0000_i1025" type="#_x0000_t75" style="width:471pt;height:88.5pt" o:ole="">
            <v:imagedata r:id="rId14" o:title=""/>
          </v:shape>
          <o:OLEObject Type="Embed" ProgID="Excel.Sheet.12" ShapeID="_x0000_i1025" DrawAspect="Content" ObjectID="_1423600823" r:id="rId15"/>
        </w:object>
      </w:r>
    </w:p>
    <w:p w:rsidR="001C002A" w:rsidRPr="0014009B" w:rsidRDefault="001C002A" w:rsidP="001C002A">
      <w:pPr>
        <w:spacing w:line="480" w:lineRule="auto"/>
      </w:pPr>
    </w:p>
    <w:p w:rsidR="001C002A" w:rsidRDefault="001C002A" w:rsidP="001C002A">
      <w:pPr>
        <w:spacing w:line="480" w:lineRule="auto"/>
        <w:ind w:firstLine="720"/>
      </w:pPr>
      <w:r>
        <w:lastRenderedPageBreak/>
        <w:t xml:space="preserve">Bocquet-Appel (2002) </w:t>
      </w:r>
      <w:proofErr w:type="gramStart"/>
      <w:r>
        <w:t>suggest</w:t>
      </w:r>
      <w:proofErr w:type="gramEnd"/>
      <w:r w:rsidRPr="0014009B">
        <w:t xml:space="preserve"> that growth rate could be calculated through a regression using the 15p5</w:t>
      </w:r>
      <w:r>
        <w:t xml:space="preserve"> index</w:t>
      </w:r>
      <w:r w:rsidRPr="0014009B">
        <w:t xml:space="preserve">.  </w:t>
      </w:r>
      <w:r>
        <w:t xml:space="preserve">Using his method, the growth rate for the transition analysis datasets ranged from </w:t>
      </w:r>
      <w:r w:rsidRPr="0014009B">
        <w:t>2.6</w:t>
      </w:r>
      <w:r>
        <w:t xml:space="preserve"> to 2.7 percent</w:t>
      </w:r>
      <w:r w:rsidRPr="0014009B">
        <w:t xml:space="preserve"> annua</w:t>
      </w:r>
      <w:r>
        <w:t>l</w:t>
      </w:r>
      <w:r w:rsidRPr="0014009B">
        <w:t>l</w:t>
      </w:r>
      <w:r>
        <w:t>y</w:t>
      </w:r>
      <w:r w:rsidRPr="0014009B">
        <w:t>.  The multifactorial dataset, which had a reduced number of adults and a high</w:t>
      </w:r>
      <w:r>
        <w:t xml:space="preserve">er number of older adolescents, indicated a </w:t>
      </w:r>
      <w:r w:rsidRPr="0014009B">
        <w:t>growth rate of 4.0-4.1%</w:t>
      </w:r>
      <w:r>
        <w:t xml:space="preserve"> for the Larson site</w:t>
      </w:r>
      <w:r w:rsidRPr="0014009B">
        <w:t>, which is extremely high and unrealistic for a horticultural population.</w:t>
      </w:r>
      <w:r>
        <w:t xml:space="preserve"> </w:t>
      </w:r>
      <w:r w:rsidRPr="0014009B">
        <w:t xml:space="preserve"> Conversely, the Owsley dataset, which had the highest number of 0-4 individuals</w:t>
      </w:r>
      <w:r>
        <w:t>,</w:t>
      </w:r>
      <w:r w:rsidRPr="0014009B">
        <w:t xml:space="preserve"> ha</w:t>
      </w:r>
      <w:r>
        <w:t>d</w:t>
      </w:r>
      <w:r w:rsidRPr="0014009B">
        <w:t xml:space="preserve"> the lowest growth rate</w:t>
      </w:r>
      <w:r>
        <w:t xml:space="preserve"> at</w:t>
      </w:r>
      <w:r w:rsidRPr="0014009B">
        <w:t xml:space="preserve"> 1.2%.  The Owsley dataset approximate growth rate is the only dataset that falls within the known, horticultural populations. </w:t>
      </w:r>
      <w:r>
        <w:t xml:space="preserve"> </w:t>
      </w:r>
      <w:r w:rsidRPr="0014009B">
        <w:t>According to Livi-Bacci (2007), a growth rate of ~1% would result in a population doubling every 20-30 years.  If a 1% growth rate has a population doubling within one generation, a growth rate of 2 or 4% would be unrealistic for a horticultural population in the 18</w:t>
      </w:r>
      <w:r w:rsidRPr="0014009B">
        <w:rPr>
          <w:vertAlign w:val="superscript"/>
        </w:rPr>
        <w:t>th</w:t>
      </w:r>
      <w:r w:rsidRPr="0014009B">
        <w:t xml:space="preserve"> century.  More recently, Bocquet-Appel (2008) has retracted his statement that </w:t>
      </w:r>
      <w:r>
        <w:t xml:space="preserve">the </w:t>
      </w:r>
      <w:r w:rsidRPr="0014009B">
        <w:t xml:space="preserve">growth rate can be approximated from the juvenile index and that </w:t>
      </w:r>
      <w:r>
        <w:t xml:space="preserve">it </w:t>
      </w:r>
      <w:r w:rsidRPr="0014009B">
        <w:t xml:space="preserve">should be considered a “weak” indicator of population growth as Gage and DeWitte (2009) have argued.  Furthermore, the divergence in the juvenile index within one population using different age-at-death methods supports the argument that the indices should only be used to suggest a trend within the population. </w:t>
      </w:r>
    </w:p>
    <w:p w:rsidR="001C002A" w:rsidRPr="0014009B" w:rsidRDefault="001C002A" w:rsidP="001C002A">
      <w:pPr>
        <w:spacing w:line="480" w:lineRule="auto"/>
        <w:ind w:firstLine="720"/>
      </w:pPr>
      <w:r w:rsidRPr="0014009B">
        <w:t xml:space="preserve">It appears that the age-at-death estimation method for adults significantly impacted growth rate and death rate calculations.  The more juveniles versus adults increased the approximate growth rate. </w:t>
      </w:r>
      <w:r>
        <w:t xml:space="preserve"> </w:t>
      </w:r>
      <w:r w:rsidRPr="0014009B">
        <w:t xml:space="preserve">Using adult individuals, who only could be given an age range, eliminated many individuals that could be aged no more precisely </w:t>
      </w:r>
      <w:r>
        <w:t xml:space="preserve">than </w:t>
      </w:r>
      <w:r w:rsidRPr="0014009B">
        <w:t xml:space="preserve">as an adult. </w:t>
      </w:r>
      <w:r>
        <w:t xml:space="preserve"> </w:t>
      </w:r>
      <w:r w:rsidRPr="0014009B">
        <w:t>This was apparent in the multifactorial dataset, wh</w:t>
      </w:r>
      <w:r>
        <w:t xml:space="preserve">ich required the most </w:t>
      </w:r>
      <w:r w:rsidRPr="0014009B">
        <w:t xml:space="preserve">data to be available for scoring. </w:t>
      </w:r>
      <w:r>
        <w:t xml:space="preserve"> </w:t>
      </w:r>
      <w:r w:rsidRPr="0014009B">
        <w:lastRenderedPageBreak/>
        <w:t>The transition analysis dataset</w:t>
      </w:r>
      <w:r>
        <w:t>s</w:t>
      </w:r>
      <w:r w:rsidRPr="0014009B">
        <w:t xml:space="preserve"> had the largest number of adults, but was still affected by the large number of juveniles.</w:t>
      </w:r>
    </w:p>
    <w:p w:rsidR="001C002A" w:rsidRPr="0014009B" w:rsidRDefault="001C002A" w:rsidP="001C002A">
      <w:pPr>
        <w:spacing w:line="480" w:lineRule="auto"/>
        <w:ind w:firstLine="720"/>
      </w:pPr>
      <w:r w:rsidRPr="0014009B">
        <w:t>The D30+/D5+ proportions provided an additional measure of population growth.</w:t>
      </w:r>
      <w:r>
        <w:t xml:space="preserve"> </w:t>
      </w:r>
      <w:r w:rsidRPr="0014009B">
        <w:t xml:space="preserve"> Buikstra </w:t>
      </w:r>
      <w:r w:rsidRPr="00860D30">
        <w:rPr>
          <w:i/>
        </w:rPr>
        <w:t>et al</w:t>
      </w:r>
      <w:r w:rsidRPr="0014009B">
        <w:t>. (1986) suggest that populations with a higher number of older individuals indicate a population with a lower growth rate.  When compared to the results from the juvenile index, the transition analysis dataset, which has a larger number of older adults, supports a lower growth rate than the juvenile index predicted.</w:t>
      </w:r>
      <w:r>
        <w:t xml:space="preserve"> </w:t>
      </w:r>
      <w:r w:rsidRPr="0014009B">
        <w:t xml:space="preserve"> A higher juvenile index indicates </w:t>
      </w:r>
      <w:r>
        <w:t xml:space="preserve">a </w:t>
      </w:r>
      <w:r w:rsidRPr="0014009B">
        <w:t>high growth rate, while a low D30+/D5+ proportion implies overall population growth.  All datasets indicate some form of population growth, but not to the same levels as the juvenile index would imply.  Thus, Larson had a high fertility rate, but did not see correspond population growth as would have been predicted</w:t>
      </w:r>
      <w:r>
        <w:t xml:space="preserve"> using the juvenile index</w:t>
      </w:r>
      <w:r w:rsidRPr="0014009B">
        <w:t>.</w:t>
      </w:r>
      <w:r>
        <w:t xml:space="preserve">  This is interesting, because the Arikara population as a whole was decreasing in the late 18</w:t>
      </w:r>
      <w:r w:rsidRPr="001E5009">
        <w:rPr>
          <w:vertAlign w:val="superscript"/>
        </w:rPr>
        <w:t>th</w:t>
      </w:r>
      <w:r>
        <w:t xml:space="preserve"> century.</w:t>
      </w:r>
      <w:r w:rsidRPr="0014009B">
        <w:t xml:space="preserve">  </w:t>
      </w:r>
    </w:p>
    <w:p w:rsidR="001C002A" w:rsidRDefault="001C002A" w:rsidP="001C002A">
      <w:pPr>
        <w:spacing w:line="480" w:lineRule="auto"/>
        <w:ind w:firstLine="720"/>
      </w:pPr>
      <w:r>
        <w:t>Table 6.2 presents the tot</w:t>
      </w:r>
      <w:r w:rsidRPr="0014009B">
        <w:t xml:space="preserve">al number of individuals 5 years and above, the D30+/D5+ proportion, and the 95% comparison intervals for the 5 datasets.  The Owsley dataset has the highest proportion, while the Multifactorial/Skeletal dataset had the lowest proportion.  No difference was seen in the Transition/Skeletal and Transition/Dental or the Multifactorial/Skeletal and Multifactorial/Dental datasets, which indicates that the juvenile age-at-death method had little impact on the D30+/D5+ proportion.  The difference between datasets is the result of the adult age-at-death method. </w:t>
      </w:r>
    </w:p>
    <w:p w:rsidR="001C002A" w:rsidRDefault="001C002A" w:rsidP="001C002A">
      <w:pPr>
        <w:spacing w:line="480" w:lineRule="auto"/>
      </w:pPr>
    </w:p>
    <w:p w:rsidR="001C002A" w:rsidRDefault="001C002A" w:rsidP="001C002A">
      <w:pPr>
        <w:spacing w:line="480" w:lineRule="auto"/>
      </w:pPr>
    </w:p>
    <w:p w:rsidR="008E4A4D" w:rsidRDefault="008E4A4D" w:rsidP="001C002A">
      <w:pPr>
        <w:spacing w:line="480" w:lineRule="auto"/>
      </w:pPr>
    </w:p>
    <w:p w:rsidR="008E4A4D" w:rsidRDefault="008E4A4D" w:rsidP="001C002A"/>
    <w:p w:rsidR="001C002A" w:rsidRPr="0014009B" w:rsidRDefault="001C002A" w:rsidP="001C002A">
      <w:proofErr w:type="gramStart"/>
      <w:r>
        <w:lastRenderedPageBreak/>
        <w:t>Table 6.2.</w:t>
      </w:r>
      <w:proofErr w:type="gramEnd"/>
      <w:r>
        <w:t xml:space="preserve">  </w:t>
      </w:r>
      <w:proofErr w:type="gramStart"/>
      <w:r>
        <w:t>D30+/D5+ proportions for each dataset in the Larson site.</w:t>
      </w:r>
      <w:proofErr w:type="gramEnd"/>
    </w:p>
    <w:bookmarkStart w:id="42" w:name="_MON_1423514538"/>
    <w:bookmarkEnd w:id="42"/>
    <w:p w:rsidR="001C002A" w:rsidRPr="0014009B" w:rsidRDefault="001C002A" w:rsidP="001C002A">
      <w:r w:rsidRPr="0014009B">
        <w:object w:dxaOrig="8953" w:dyaOrig="1763">
          <v:shape id="_x0000_i1026" type="#_x0000_t75" style="width:448.5pt;height:88.5pt" o:ole="">
            <v:imagedata r:id="rId16" o:title=""/>
          </v:shape>
          <o:OLEObject Type="Embed" ProgID="Excel.Sheet.12" ShapeID="_x0000_i1026" DrawAspect="Content" ObjectID="_1423600824" r:id="rId17"/>
        </w:object>
      </w:r>
    </w:p>
    <w:p w:rsidR="001C002A" w:rsidRDefault="001C002A" w:rsidP="001C002A">
      <w:pPr>
        <w:spacing w:line="480" w:lineRule="auto"/>
        <w:ind w:firstLine="720"/>
      </w:pPr>
      <w:r w:rsidRPr="0014009B">
        <w:t xml:space="preserve"> </w:t>
      </w:r>
    </w:p>
    <w:p w:rsidR="001C002A" w:rsidRDefault="001C002A" w:rsidP="001C002A">
      <w:pPr>
        <w:spacing w:line="480" w:lineRule="auto"/>
        <w:ind w:firstLine="720"/>
      </w:pPr>
    </w:p>
    <w:p w:rsidR="008E4A4D" w:rsidRDefault="008E4A4D" w:rsidP="001C002A">
      <w:pPr>
        <w:spacing w:line="480" w:lineRule="auto"/>
        <w:ind w:firstLine="720"/>
      </w:pPr>
    </w:p>
    <w:p w:rsidR="001C002A" w:rsidRDefault="001C002A" w:rsidP="001C002A">
      <w:pPr>
        <w:spacing w:line="480" w:lineRule="auto"/>
        <w:ind w:firstLine="720"/>
      </w:pPr>
      <w:proofErr w:type="gramStart"/>
      <w:r>
        <w:t>Overlap of the 95% comparison intervals indicate</w:t>
      </w:r>
      <w:proofErr w:type="gramEnd"/>
      <w:r>
        <w:t xml:space="preserve"> no significant difference between the D30+/D5+ proportions.  N</w:t>
      </w:r>
      <w:r w:rsidRPr="0014009B">
        <w:t xml:space="preserve">o overlap exists between the Owsley and Multifactorial datasets, but both overlap the Transition datasets. </w:t>
      </w:r>
      <w:r>
        <w:t xml:space="preserve"> The Owsley dataset overlaps at the higher end of the interval, while the Multifactorial dataset overlaps as the lower end of the interval. </w:t>
      </w:r>
      <w:r w:rsidRPr="0014009B">
        <w:t xml:space="preserve"> The multifactorial dataset proportion suggests a population exhibiting population growth, while Owsley dataset would indicate a population with a relative decrease in growth.</w:t>
      </w:r>
      <w:r>
        <w:t xml:space="preserve"> </w:t>
      </w:r>
      <w:r w:rsidRPr="0014009B">
        <w:t xml:space="preserve"> This is a product of the Multifactorial dataset having fewer adult individuals, so actually has an undernummeration of adults compared to children. </w:t>
      </w:r>
      <w:r>
        <w:t xml:space="preserve"> </w:t>
      </w:r>
      <w:r w:rsidRPr="0014009B">
        <w:t xml:space="preserve">Also, less adult individuals were available to this author than the initial analysis, which could account for the lower </w:t>
      </w:r>
      <w:r>
        <w:t xml:space="preserve">number of </w:t>
      </w:r>
      <w:r w:rsidRPr="0014009B">
        <w:t>adult</w:t>
      </w:r>
      <w:r>
        <w:t>s 30+ years of age</w:t>
      </w:r>
      <w:r w:rsidRPr="0014009B">
        <w:t xml:space="preserve"> in the Transition and Multifactorial datasets</w:t>
      </w:r>
      <w:r>
        <w:t>.  The differences in sample size are not significantly enough to suggest this resulted in the pattern.  I</w:t>
      </w:r>
      <w:r w:rsidRPr="0014009B">
        <w:t xml:space="preserve">f population stability is assumed, the Larson village was experiencing growth based on the 15p15 proportions and the D30+/D5+. </w:t>
      </w:r>
      <w:r>
        <w:t xml:space="preserve"> The Transition datasets do not indicate the high </w:t>
      </w:r>
      <w:proofErr w:type="gramStart"/>
      <w:r>
        <w:t>levels of population growth or decline as the other datasets suggest, but does</w:t>
      </w:r>
      <w:proofErr w:type="gramEnd"/>
      <w:r>
        <w:t xml:space="preserve"> indicate that the Larson site may not be stationary, which is</w:t>
      </w:r>
      <w:r w:rsidRPr="0014009B">
        <w:t xml:space="preserve"> contrary to the archaeological and ethnographic literature.</w:t>
      </w:r>
      <w:r>
        <w:t xml:space="preserve">  Thus mortality models that can handle a stable </w:t>
      </w:r>
      <w:r>
        <w:lastRenderedPageBreak/>
        <w:t xml:space="preserve">rather than </w:t>
      </w:r>
      <w:proofErr w:type="gramStart"/>
      <w:r>
        <w:t>a stationary populations</w:t>
      </w:r>
      <w:proofErr w:type="gramEnd"/>
      <w:r>
        <w:t xml:space="preserve"> may be the most appropriate in understanding its demographic pattern.</w:t>
      </w:r>
    </w:p>
    <w:p w:rsidR="001C002A" w:rsidRDefault="001C002A" w:rsidP="001C002A">
      <w:pPr>
        <w:spacing w:line="480" w:lineRule="auto"/>
        <w:ind w:firstLine="720"/>
      </w:pPr>
      <w:r>
        <w:t>J</w:t>
      </w:r>
      <w:r w:rsidRPr="0014009B">
        <w:t xml:space="preserve">ohansson and Owsley (2002) did not include data from the Larson site when examining the overall health and mortality of the Upper plains, because they believe that the abundance of juveniles in the sample would have skewed the results.  A major argument for their actions was </w:t>
      </w:r>
      <w:r>
        <w:t xml:space="preserve">the affect </w:t>
      </w:r>
      <w:r w:rsidRPr="0014009B">
        <w:t>the number of juveniles has on mean-at-death.  Mean-age-at-death has been criticized as a measurement of population health, because it is easily skewed by elevated juveniles or older adult individuals.  A lower mean-age-death has been interpreted has indicating</w:t>
      </w:r>
      <w:r>
        <w:t xml:space="preserve"> elevated juvenile mortality.  </w:t>
      </w:r>
      <w:r w:rsidRPr="0014009B">
        <w:t xml:space="preserve">Since the number of juveniles is high for all age groups, but specifically in the number of infants, juvenile mortality was examined using the D1-5/D1-10 </w:t>
      </w:r>
      <w:r>
        <w:t>proportion</w:t>
      </w:r>
      <w:r w:rsidRPr="0014009B">
        <w:t xml:space="preserve"> (Buikstra </w:t>
      </w:r>
      <w:r w:rsidRPr="00860D30">
        <w:rPr>
          <w:i/>
        </w:rPr>
        <w:t>et al</w:t>
      </w:r>
      <w:r w:rsidRPr="0014009B">
        <w:t>.</w:t>
      </w:r>
      <w:r>
        <w:t>,</w:t>
      </w:r>
      <w:r w:rsidRPr="0014009B">
        <w:t xml:space="preserve"> 1986) in addition to mortality curves. Table </w:t>
      </w:r>
      <w:r>
        <w:t>6.3</w:t>
      </w:r>
      <w:r w:rsidRPr="0014009B">
        <w:t xml:space="preserve"> presents the percent of individuals less than 1, individuals D1-D10, individuals D1-D5, the sample size, the D1-5/D1-10 proportion, and the 95% comparison interval.  A high D1-5/D1-10 ratio suggests relatively high levels of mortality during early childhood.  The Transition and Multifactorial datasets that incorporated skeletal ages for juveniles had a lower proportion than the ones that incorporated the dental ages for ju</w:t>
      </w:r>
      <w:r>
        <w:t>veniles.  The Owsley dataset had</w:t>
      </w:r>
      <w:r w:rsidRPr="0014009B">
        <w:t xml:space="preserve"> the lowest D1-5/D1-10 proportion</w:t>
      </w:r>
      <w:r>
        <w:t xml:space="preserve"> overall</w:t>
      </w:r>
      <w:r w:rsidRPr="0014009B">
        <w:t>.</w:t>
      </w:r>
    </w:p>
    <w:p w:rsidR="001C002A" w:rsidRPr="0014009B" w:rsidRDefault="001C002A" w:rsidP="001C002A">
      <w:pPr>
        <w:spacing w:line="480" w:lineRule="auto"/>
        <w:ind w:firstLine="720"/>
      </w:pPr>
      <w:r>
        <w:t>The 95% comparison interval overlapped for all datasets.  Also, the D1-5/D1-10 proportion indicated higher levels of juvenile mortality than the 15p5 ration.  This suggests that another underlying factor may be affecting the Larson site.  Infant mortality was high, young children appear to have a higher mortality rate, and older children and young adolescents also appear to have a higher than expected mortality rate.  These patterns will be evaluated further through parametric mortality models.</w:t>
      </w:r>
    </w:p>
    <w:p w:rsidR="001C002A" w:rsidRDefault="001C002A" w:rsidP="001C002A">
      <w:pPr>
        <w:spacing w:line="480" w:lineRule="auto"/>
        <w:ind w:firstLine="720"/>
      </w:pPr>
    </w:p>
    <w:p w:rsidR="001C002A" w:rsidRDefault="001C002A" w:rsidP="001C002A">
      <w:proofErr w:type="gramStart"/>
      <w:r>
        <w:t>Table 6.3.</w:t>
      </w:r>
      <w:proofErr w:type="gramEnd"/>
      <w:r>
        <w:t xml:space="preserve">  </w:t>
      </w:r>
      <w:proofErr w:type="gramStart"/>
      <w:r>
        <w:t>Juvenile survivorship (D1-5/D1-10) for each dataset in the Larson site.</w:t>
      </w:r>
      <w:proofErr w:type="gramEnd"/>
      <w:r w:rsidRPr="0014009B">
        <w:t xml:space="preserve">  </w:t>
      </w:r>
    </w:p>
    <w:p w:rsidR="001C002A" w:rsidRDefault="001C002A" w:rsidP="008E4A4D">
      <w:r>
        <w:object w:dxaOrig="9467" w:dyaOrig="2053">
          <v:shape id="_x0000_i1027" type="#_x0000_t75" style="width:473.25pt;height:102.75pt" o:ole="">
            <v:imagedata r:id="rId18" o:title=""/>
          </v:shape>
          <o:OLEObject Type="Embed" ProgID="Excel.Sheet.12" ShapeID="_x0000_i1027" DrawAspect="Content" ObjectID="_1423600825" r:id="rId19"/>
        </w:object>
      </w:r>
    </w:p>
    <w:p w:rsidR="008E4A4D" w:rsidRDefault="008E4A4D" w:rsidP="001C002A">
      <w:pPr>
        <w:spacing w:line="480" w:lineRule="auto"/>
      </w:pPr>
    </w:p>
    <w:p w:rsidR="008E4A4D" w:rsidRDefault="008E4A4D" w:rsidP="001C002A">
      <w:pPr>
        <w:spacing w:line="480" w:lineRule="auto"/>
      </w:pPr>
    </w:p>
    <w:p w:rsidR="001C002A" w:rsidRPr="0014009B" w:rsidRDefault="001C002A" w:rsidP="001C002A">
      <w:pPr>
        <w:spacing w:line="480" w:lineRule="auto"/>
        <w:ind w:firstLine="720"/>
      </w:pPr>
      <w:r w:rsidRPr="0014009B">
        <w:t xml:space="preserve">The Larson site cemetery does not have significant taphonomic or excavation biases affecting sample composition that is pervasive in the bioarchaeological literature, so the large number of juveniles in the sample cannot be used to justify the differences between the juvenile indices.  Thus, it appears that the Larson population had a high fertility rate and a high juvenile mortality rate, which requires further exploration.  </w:t>
      </w:r>
    </w:p>
    <w:p w:rsidR="008E4A4D" w:rsidRDefault="008E4A4D" w:rsidP="001C002A">
      <w:pPr>
        <w:spacing w:line="480" w:lineRule="auto"/>
      </w:pPr>
    </w:p>
    <w:p w:rsidR="001C002A" w:rsidRPr="008E4A4D" w:rsidRDefault="001C002A" w:rsidP="008E4A4D">
      <w:pPr>
        <w:pStyle w:val="Heading3"/>
        <w:rPr>
          <w:rFonts w:ascii="Times New Roman" w:hAnsi="Times New Roman" w:cs="Times New Roman"/>
        </w:rPr>
      </w:pPr>
      <w:bookmarkStart w:id="43" w:name="_Toc349858153"/>
      <w:r w:rsidRPr="008E4A4D">
        <w:rPr>
          <w:rFonts w:ascii="Times New Roman" w:hAnsi="Times New Roman" w:cs="Times New Roman"/>
        </w:rPr>
        <w:t>Age-at-death methods and modeling mortality</w:t>
      </w:r>
      <w:bookmarkEnd w:id="43"/>
    </w:p>
    <w:p w:rsidR="001C002A" w:rsidRDefault="001C002A" w:rsidP="001C002A">
      <w:pPr>
        <w:spacing w:line="480" w:lineRule="auto"/>
        <w:ind w:firstLine="720"/>
      </w:pPr>
      <w:r w:rsidRPr="0014009B">
        <w:t xml:space="preserve">The following results present the mortality for the Transition/Skeletal, Transition/Dental, Multifactorial/Skeletal, Multifactorial/Dental, and Owsley datasets. </w:t>
      </w:r>
      <w:r>
        <w:t xml:space="preserve"> </w:t>
      </w:r>
      <w:r w:rsidRPr="0014009B">
        <w:t xml:space="preserve">These datasets represent a single cemetery population from the Larson site and will be used to demonstrate how the age-at-death method can affect model choice and subsequent interpretations. </w:t>
      </w:r>
      <w:r>
        <w:t xml:space="preserve"> </w:t>
      </w:r>
      <w:r w:rsidRPr="0014009B">
        <w:t xml:space="preserve">The following results are organized by dataset. </w:t>
      </w:r>
    </w:p>
    <w:p w:rsidR="008E4A4D" w:rsidRDefault="008E4A4D" w:rsidP="001C002A">
      <w:pPr>
        <w:spacing w:line="480" w:lineRule="auto"/>
        <w:ind w:firstLine="720"/>
      </w:pPr>
    </w:p>
    <w:p w:rsidR="008E4A4D" w:rsidRDefault="008E4A4D" w:rsidP="001C002A">
      <w:pPr>
        <w:spacing w:line="480" w:lineRule="auto"/>
        <w:ind w:firstLine="720"/>
      </w:pPr>
    </w:p>
    <w:p w:rsidR="008E4A4D" w:rsidRDefault="008E4A4D" w:rsidP="001C002A">
      <w:pPr>
        <w:spacing w:line="480" w:lineRule="auto"/>
        <w:ind w:firstLine="720"/>
      </w:pPr>
    </w:p>
    <w:p w:rsidR="001C002A" w:rsidRPr="008E4A4D" w:rsidRDefault="001C002A" w:rsidP="001C002A">
      <w:pPr>
        <w:spacing w:line="480" w:lineRule="auto"/>
        <w:rPr>
          <w:i/>
        </w:rPr>
      </w:pPr>
      <w:r w:rsidRPr="008E4A4D">
        <w:rPr>
          <w:i/>
        </w:rPr>
        <w:lastRenderedPageBreak/>
        <w:t>Transition Analysis-skeletal dataset</w:t>
      </w:r>
    </w:p>
    <w:p w:rsidR="008E4A4D" w:rsidRDefault="001C002A" w:rsidP="003F58AD">
      <w:pPr>
        <w:spacing w:line="480" w:lineRule="auto"/>
        <w:ind w:firstLine="720"/>
      </w:pPr>
      <w:r w:rsidRPr="0014009B">
        <w:t xml:space="preserve">Table </w:t>
      </w:r>
      <w:r>
        <w:t>6.4</w:t>
      </w:r>
      <w:r w:rsidRPr="0014009B">
        <w:t xml:space="preserve"> presents the parameter estimates and corresponding log-likelihood values for the Gompertz, Gompertz-Makeham, </w:t>
      </w:r>
      <w:proofErr w:type="gramStart"/>
      <w:r w:rsidRPr="0014009B">
        <w:t>Siler</w:t>
      </w:r>
      <w:proofErr w:type="gramEnd"/>
      <w:r w:rsidRPr="0014009B">
        <w:t xml:space="preserve"> with the α</w:t>
      </w:r>
      <w:r w:rsidRPr="0014009B">
        <w:rPr>
          <w:vertAlign w:val="subscript"/>
        </w:rPr>
        <w:t>2</w:t>
      </w:r>
      <w:r w:rsidRPr="0014009B">
        <w:t xml:space="preserve"> parameter, and the Siler without the α</w:t>
      </w:r>
      <w:r w:rsidRPr="0014009B">
        <w:rPr>
          <w:vertAlign w:val="subscript"/>
        </w:rPr>
        <w:t>2</w:t>
      </w:r>
      <w:r w:rsidRPr="0014009B">
        <w:t xml:space="preserve"> parameter for the Transition-Skeletal dataset.  </w:t>
      </w:r>
      <w:r>
        <w:t xml:space="preserve">The Siler model outperforms the Gompertz and Gompertz-Makeham, which can be explained by the incorporation of juvenile component, since nearly half of the site is comprised of juveniles.  </w:t>
      </w:r>
      <w:r w:rsidRPr="0014009B">
        <w:t>The Siler model with and without the α</w:t>
      </w:r>
      <w:r w:rsidRPr="0014009B">
        <w:rPr>
          <w:vertAlign w:val="subscript"/>
        </w:rPr>
        <w:t xml:space="preserve">2 </w:t>
      </w:r>
      <w:r w:rsidRPr="0014009B">
        <w:t>are not significantly different with a</w:t>
      </w:r>
      <w:r>
        <w:t>n</w:t>
      </w:r>
      <w:r w:rsidRPr="0014009B">
        <w:t xml:space="preserve"> asymptotic Chi-square </w:t>
      </w:r>
      <w:r>
        <w:t>χ</w:t>
      </w:r>
      <w:r w:rsidRPr="0014009B">
        <w:rPr>
          <w:vertAlign w:val="superscript"/>
        </w:rPr>
        <w:t>2</w:t>
      </w:r>
      <w:r w:rsidRPr="0014009B">
        <w:t xml:space="preserve"> value of -.008, which is below the 3.841 critical value.</w:t>
      </w:r>
      <w:r>
        <w:t xml:space="preserve"> </w:t>
      </w:r>
      <w:r w:rsidRPr="0014009B">
        <w:t xml:space="preserve"> The smaller, more parsimonious model is the best model and its parameters were used to compute the survivorship, hazard, and probability density functions</w:t>
      </w:r>
      <w:r>
        <w:t>.  Figure 6.1 presents t</w:t>
      </w:r>
      <w:r w:rsidRPr="0014009B">
        <w:t>he non</w:t>
      </w:r>
      <w:r>
        <w:t>-</w:t>
      </w:r>
      <w:r w:rsidRPr="0014009B">
        <w:t xml:space="preserve">parametric Kaplan-Meier survival plot </w:t>
      </w:r>
      <w:r>
        <w:t>of the fitted</w:t>
      </w:r>
      <w:r w:rsidRPr="0014009B">
        <w:t xml:space="preserve"> age-at-death distribution for the Transition</w:t>
      </w:r>
      <w:r>
        <w:t>-skeletal dataset</w:t>
      </w:r>
      <w:r w:rsidRPr="0014009B">
        <w:t xml:space="preserve">. </w:t>
      </w:r>
      <w:r>
        <w:t xml:space="preserve"> </w:t>
      </w:r>
      <w:r w:rsidRPr="0014009B">
        <w:t xml:space="preserve">This dataset has a relatively gradual decrease in survivorship over time. </w:t>
      </w:r>
      <w:r>
        <w:t xml:space="preserve"> A large step is visible in the</w:t>
      </w:r>
      <w:r w:rsidRPr="0014009B">
        <w:t xml:space="preserve"> 10-20 year range, which corresponds to the few individuals and larger groupings in this age category.  The population does followed expected patterns of mortality (Gage 1990) in which there is steep drop in survivorship in the very young, and leveling but continual decline in survivorship with a final low survivorship for the very old. </w:t>
      </w:r>
      <w:r>
        <w:t xml:space="preserve"> </w:t>
      </w:r>
      <w:r w:rsidRPr="0014009B">
        <w:t xml:space="preserve">Figure </w:t>
      </w:r>
      <w:r>
        <w:t xml:space="preserve">6.2 </w:t>
      </w:r>
      <w:r w:rsidRPr="0014009B">
        <w:t>d</w:t>
      </w:r>
      <w:r>
        <w:t>isplays</w:t>
      </w:r>
      <w:r w:rsidRPr="0014009B">
        <w:t xml:space="preserve"> </w:t>
      </w:r>
      <w:r>
        <w:t xml:space="preserve">the best fitting </w:t>
      </w:r>
      <w:r w:rsidRPr="0014009B">
        <w:t>four-parameter Siler, which does not include the residual, adult mortality constant</w:t>
      </w:r>
      <w:r>
        <w:t>.  This model patterns the Kaplan-M</w:t>
      </w:r>
      <w:r w:rsidRPr="0014009B">
        <w:t>eier survival curve rather well.  Gage (1991) has shown that the Siler model fits well with populations which are believed to have an accidental, age-independent hump</w:t>
      </w:r>
      <w:r>
        <w:t xml:space="preserve"> even without the α</w:t>
      </w:r>
      <w:r w:rsidRPr="00C05641">
        <w:rPr>
          <w:vertAlign w:val="subscript"/>
        </w:rPr>
        <w:t>2</w:t>
      </w:r>
      <w:r>
        <w:t xml:space="preserve"> component</w:t>
      </w:r>
      <w:r w:rsidRPr="0014009B">
        <w:t xml:space="preserve">.  There is slight variability in the 10 to 20 year range, which </w:t>
      </w:r>
      <w:r>
        <w:t>the Siler</w:t>
      </w:r>
      <w:r w:rsidRPr="0014009B">
        <w:t xml:space="preserve"> model does not entirely </w:t>
      </w:r>
      <w:r>
        <w:t>explain.  O</w:t>
      </w:r>
      <w:r w:rsidRPr="0014009B">
        <w:t>verall it conforms nicely.  The Larson population is believed to have a high number of young-adult females with a cause of death associated with child-bearing.  However, chil</w:t>
      </w:r>
      <w:r w:rsidR="003F58AD">
        <w:t>d-bearing is not completely age-</w:t>
      </w:r>
    </w:p>
    <w:p w:rsidR="001C002A" w:rsidRPr="0014009B" w:rsidRDefault="001C002A" w:rsidP="001C002A">
      <w:proofErr w:type="gramStart"/>
      <w:r w:rsidRPr="0014009B">
        <w:lastRenderedPageBreak/>
        <w:t>Table</w:t>
      </w:r>
      <w:r>
        <w:t xml:space="preserve"> 6.4</w:t>
      </w:r>
      <w:r w:rsidRPr="0014009B">
        <w:t>.</w:t>
      </w:r>
      <w:proofErr w:type="gramEnd"/>
      <w:r w:rsidRPr="0014009B">
        <w:t xml:space="preserve"> </w:t>
      </w:r>
      <w:proofErr w:type="gramStart"/>
      <w:r w:rsidRPr="0014009B">
        <w:t>Larson site transition-skeletal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proofErr w:type="gramEnd"/>
    </w:p>
    <w:bookmarkStart w:id="44" w:name="_MON_1423579480"/>
    <w:bookmarkEnd w:id="44"/>
    <w:p w:rsidR="001C002A" w:rsidRPr="0014009B" w:rsidRDefault="001C002A" w:rsidP="001C002A">
      <w:r w:rsidRPr="0014009B">
        <w:object w:dxaOrig="9585" w:dyaOrig="1472">
          <v:shape id="_x0000_i1028" type="#_x0000_t75" style="width:478.5pt;height:72.75pt" o:ole="">
            <v:imagedata r:id="rId20" o:title=""/>
          </v:shape>
          <o:OLEObject Type="Embed" ProgID="Excel.Sheet.12" ShapeID="_x0000_i1028" DrawAspect="Content" ObjectID="_1423600826" r:id="rId21"/>
        </w:object>
      </w:r>
      <w:r w:rsidRPr="0014009B">
        <w:t>*</w:t>
      </w:r>
      <w:r>
        <w:t>T</w:t>
      </w:r>
      <w:r w:rsidRPr="0014009B">
        <w:t>he best-fitting model</w:t>
      </w:r>
      <w:r>
        <w:t xml:space="preserve"> is in bold</w:t>
      </w:r>
    </w:p>
    <w:p w:rsidR="001C002A" w:rsidRPr="0014009B" w:rsidRDefault="001C002A" w:rsidP="001C002A">
      <w:pPr>
        <w:spacing w:line="480" w:lineRule="auto"/>
      </w:pPr>
    </w:p>
    <w:p w:rsidR="001C002A" w:rsidRPr="0014009B" w:rsidRDefault="00C90CC6" w:rsidP="001C002A">
      <w:pPr>
        <w:spacing w:line="480" w:lineRule="auto"/>
        <w:jc w:val="center"/>
      </w:pPr>
      <w:r>
        <w:rPr>
          <w:b/>
          <w:noProof/>
        </w:rPr>
        <w:drawing>
          <wp:inline distT="0" distB="0" distL="0" distR="0">
            <wp:extent cx="5438775" cy="5019675"/>
            <wp:effectExtent l="0" t="0" r="0" b="0"/>
            <wp:docPr id="1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t="7544"/>
                    <a:stretch>
                      <a:fillRect/>
                    </a:stretch>
                  </pic:blipFill>
                  <pic:spPr bwMode="auto">
                    <a:xfrm>
                      <a:off x="0" y="0"/>
                      <a:ext cx="5438775" cy="50196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w:t>
      </w:r>
      <w:r w:rsidRPr="0014009B">
        <w:t>.</w:t>
      </w:r>
      <w:proofErr w:type="gramEnd"/>
      <w:r>
        <w:t xml:space="preserve"> </w:t>
      </w:r>
      <w:r w:rsidRPr="0014009B">
        <w:t xml:space="preserve"> </w:t>
      </w:r>
      <w:proofErr w:type="gramStart"/>
      <w:r w:rsidRPr="0014009B">
        <w:t>Kaplan-Meier survival curve for mortality of the Larson site using the Transition-skeletal dataset.</w:t>
      </w:r>
      <w:proofErr w:type="gramEnd"/>
    </w:p>
    <w:p w:rsidR="003F58AD" w:rsidRDefault="003F58AD" w:rsidP="003F58AD">
      <w:pPr>
        <w:spacing w:line="480" w:lineRule="auto"/>
        <w:ind w:firstLine="720"/>
      </w:pPr>
    </w:p>
    <w:p w:rsidR="003F58AD" w:rsidRPr="0014009B" w:rsidRDefault="003F58AD" w:rsidP="003F58AD">
      <w:pPr>
        <w:spacing w:line="480" w:lineRule="auto"/>
      </w:pPr>
      <w:proofErr w:type="gramStart"/>
      <w:r w:rsidRPr="0014009B">
        <w:lastRenderedPageBreak/>
        <w:t>independent</w:t>
      </w:r>
      <w:proofErr w:type="gramEnd"/>
      <w:r w:rsidRPr="0014009B">
        <w:t xml:space="preserve">, so can be integrated within a Siler model.  Also, typical risks of death, such as infectious disease, which were common in the protohistoric Arikara, are going to affect certain age groups more than others, so are also not age-independent.  Thus, the Siler model provides a good model of mortality for the Larson site.  The risk of death for the Larson site, based on the Transition-skeletal dataset as depicted in Figure </w:t>
      </w:r>
      <w:r>
        <w:t>6.3</w:t>
      </w:r>
      <w:r w:rsidRPr="0014009B">
        <w:t>, does not have the rapid increase in death with the advancing years as has been shown with model life tab</w:t>
      </w:r>
      <w:r>
        <w:t>les (Acsadi and Nemereski, 1970</w:t>
      </w:r>
      <w:r w:rsidRPr="0014009B">
        <w:t xml:space="preserve">).  The expected pattern for age-specific force of mortality is a bathtub shaped curve in which a rapid increase in risk of death is associated with the older individuals.  This is not seen in the Transition-skeletal dataset, because Transition Analysis has allowed for age-at-death estimates to be extended beyond that of other age-at-death estimations.  </w:t>
      </w:r>
      <w:r>
        <w:t xml:space="preserve">Also, the hazard </w:t>
      </w:r>
      <w:r w:rsidRPr="0014009B">
        <w:t xml:space="preserve">increases with advancing age at a low, steady pace.  What is interesting in the risk of death curve is the short period of time at which risk at death is minimal.  An expected pattern would have a fairly low hazard into adulthood and an increase with older adulthood.  Rather this curve implies a low risk of death for individuals, who lived beyond age 10 with only a slight increase with age.  Adults within the population had a similar risk of death.  The theoretical age distribution, </w:t>
      </w:r>
      <w:r>
        <w:t>shown through the probability density function (</w:t>
      </w:r>
      <w:r w:rsidRPr="0014009B">
        <w:t>PDF</w:t>
      </w:r>
      <w:r>
        <w:t>) in Figure 6.4</w:t>
      </w:r>
      <w:r w:rsidRPr="0014009B">
        <w:t xml:space="preserve">, assuming a stable population, indicates a high number of young infants and children until age 10 and </w:t>
      </w:r>
      <w:proofErr w:type="gramStart"/>
      <w:r w:rsidRPr="0014009B">
        <w:t>a relative even distributions</w:t>
      </w:r>
      <w:proofErr w:type="gramEnd"/>
      <w:r w:rsidRPr="0014009B">
        <w:t xml:space="preserve"> of individuals throughout late adolescence and adulthood.</w:t>
      </w:r>
    </w:p>
    <w:p w:rsidR="001C002A" w:rsidRPr="0014009B" w:rsidRDefault="001C002A" w:rsidP="001C002A">
      <w:pPr>
        <w:spacing w:line="480" w:lineRule="auto"/>
      </w:pPr>
    </w:p>
    <w:p w:rsidR="001C002A" w:rsidRPr="0014009B" w:rsidRDefault="00C90CC6" w:rsidP="001C002A">
      <w:pPr>
        <w:spacing w:line="480" w:lineRule="auto"/>
        <w:jc w:val="center"/>
      </w:pPr>
      <w:r>
        <w:rPr>
          <w:noProof/>
        </w:rPr>
        <w:lastRenderedPageBreak/>
        <w:drawing>
          <wp:inline distT="0" distB="0" distL="0" distR="0">
            <wp:extent cx="5429250" cy="5419725"/>
            <wp:effectExtent l="0" t="0" r="0" b="0"/>
            <wp:docPr id="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9250" cy="5419725"/>
                    </a:xfrm>
                    <a:prstGeom prst="rect">
                      <a:avLst/>
                    </a:prstGeom>
                    <a:noFill/>
                    <a:ln>
                      <a:noFill/>
                    </a:ln>
                  </pic:spPr>
                </pic:pic>
              </a:graphicData>
            </a:graphic>
          </wp:inline>
        </w:drawing>
      </w:r>
    </w:p>
    <w:p w:rsidR="001C002A" w:rsidRPr="0014009B" w:rsidRDefault="001C002A" w:rsidP="001C002A">
      <w:proofErr w:type="gramStart"/>
      <w:r>
        <w:t>Figure 6.2</w:t>
      </w:r>
      <w:r w:rsidRPr="0014009B">
        <w:t>.</w:t>
      </w:r>
      <w:proofErr w:type="gramEnd"/>
      <w:r w:rsidRPr="0014009B">
        <w:t xml:space="preserve">  </w:t>
      </w:r>
      <w:proofErr w:type="gramStart"/>
      <w:r w:rsidRPr="0014009B">
        <w:t>The Larson four-parameter Siler survival curve with Kaplan-Meier plot for mortality based on the Transition-skeletal dataset.</w:t>
      </w:r>
      <w:proofErr w:type="gramEnd"/>
      <w:r w:rsidRPr="0014009B">
        <w:t xml:space="preserve">  Red is Kaplan-Meier, Blue is fitted survivor curve.</w:t>
      </w:r>
    </w:p>
    <w:p w:rsidR="001C002A" w:rsidRPr="0014009B" w:rsidRDefault="00C90CC6" w:rsidP="001C002A">
      <w:pPr>
        <w:spacing w:line="480" w:lineRule="auto"/>
        <w:jc w:val="center"/>
      </w:pPr>
      <w:r>
        <w:rPr>
          <w:noProof/>
        </w:rPr>
        <w:lastRenderedPageBreak/>
        <w:drawing>
          <wp:inline distT="0" distB="0" distL="0" distR="0">
            <wp:extent cx="5400675" cy="5391150"/>
            <wp:effectExtent l="0" t="0" r="0" b="0"/>
            <wp:docPr id="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675" cy="5391150"/>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6.3</w:t>
      </w:r>
      <w:r w:rsidRPr="0014009B">
        <w:t>.</w:t>
      </w:r>
      <w:proofErr w:type="gramEnd"/>
      <w:r w:rsidRPr="0014009B">
        <w:t xml:space="preserve">  </w:t>
      </w:r>
      <w:proofErr w:type="gramStart"/>
      <w:r w:rsidRPr="0014009B">
        <w:t>The risk of death, hazard curve for the Larson site based on the Transition-skeletal dataset.</w:t>
      </w:r>
      <w:proofErr w:type="gramEnd"/>
    </w:p>
    <w:p w:rsidR="001C002A" w:rsidRPr="0014009B" w:rsidRDefault="001C002A" w:rsidP="001C002A">
      <w:pPr>
        <w:spacing w:line="480" w:lineRule="auto"/>
      </w:pPr>
    </w:p>
    <w:p w:rsidR="001C002A" w:rsidRPr="0014009B" w:rsidRDefault="001C002A" w:rsidP="001C002A">
      <w:pPr>
        <w:spacing w:line="480" w:lineRule="auto"/>
      </w:pPr>
    </w:p>
    <w:p w:rsidR="001C002A" w:rsidRPr="0014009B" w:rsidRDefault="00C90CC6" w:rsidP="001C002A">
      <w:pPr>
        <w:spacing w:line="480" w:lineRule="auto"/>
        <w:jc w:val="center"/>
      </w:pPr>
      <w:r>
        <w:rPr>
          <w:noProof/>
        </w:rPr>
        <w:lastRenderedPageBreak/>
        <w:drawing>
          <wp:inline distT="0" distB="0" distL="0" distR="0">
            <wp:extent cx="5743575" cy="5734050"/>
            <wp:effectExtent l="0" t="0" r="0" b="0"/>
            <wp:docPr id="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3575" cy="5734050"/>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6.4</w:t>
      </w:r>
      <w:r w:rsidRPr="0014009B">
        <w:t>.</w:t>
      </w:r>
      <w:proofErr w:type="gramEnd"/>
      <w:r>
        <w:t xml:space="preserve"> </w:t>
      </w:r>
      <w:r w:rsidRPr="0014009B">
        <w:t xml:space="preserve"> Probability Density Function (PDF) for the Larson site based on the Transition-skeletal dataset.</w:t>
      </w:r>
    </w:p>
    <w:p w:rsidR="001C002A" w:rsidRPr="0014009B"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1C002A" w:rsidRPr="0014009B" w:rsidRDefault="001C002A" w:rsidP="001C002A">
      <w:pPr>
        <w:spacing w:line="480" w:lineRule="auto"/>
      </w:pPr>
    </w:p>
    <w:p w:rsidR="003F58AD" w:rsidRDefault="003F58AD" w:rsidP="001C002A">
      <w:pPr>
        <w:spacing w:line="480" w:lineRule="auto"/>
      </w:pPr>
    </w:p>
    <w:p w:rsidR="001C002A" w:rsidRPr="003F58AD" w:rsidRDefault="001C002A" w:rsidP="001C002A">
      <w:pPr>
        <w:spacing w:line="480" w:lineRule="auto"/>
        <w:rPr>
          <w:i/>
        </w:rPr>
      </w:pPr>
      <w:r w:rsidRPr="003F58AD">
        <w:rPr>
          <w:i/>
        </w:rPr>
        <w:lastRenderedPageBreak/>
        <w:t>Transition Analysis-dental Dataset</w:t>
      </w:r>
    </w:p>
    <w:p w:rsidR="001C002A" w:rsidRDefault="001C002A" w:rsidP="001C002A">
      <w:pPr>
        <w:spacing w:line="480" w:lineRule="auto"/>
        <w:ind w:firstLine="720"/>
      </w:pPr>
      <w:r w:rsidRPr="0014009B">
        <w:t xml:space="preserve">Table </w:t>
      </w:r>
      <w:r>
        <w:t>6.5</w:t>
      </w:r>
      <w:r w:rsidRPr="0014009B">
        <w:t xml:space="preserve"> presents the parameter estimates and corresponding log-likelihood values for the Gompertz, Gompertz-Makeham, </w:t>
      </w:r>
      <w:proofErr w:type="gramStart"/>
      <w:r w:rsidRPr="0014009B">
        <w:t>Siler</w:t>
      </w:r>
      <w:proofErr w:type="gramEnd"/>
      <w:r w:rsidRPr="0014009B">
        <w:t xml:space="preserve"> with the α</w:t>
      </w:r>
      <w:r w:rsidRPr="0014009B">
        <w:rPr>
          <w:vertAlign w:val="subscript"/>
        </w:rPr>
        <w:t>2</w:t>
      </w:r>
      <w:r w:rsidRPr="0014009B">
        <w:t xml:space="preserve"> parameter, and the Siler without the α</w:t>
      </w:r>
      <w:r w:rsidRPr="0014009B">
        <w:rPr>
          <w:vertAlign w:val="subscript"/>
        </w:rPr>
        <w:t>2</w:t>
      </w:r>
      <w:r w:rsidRPr="0014009B">
        <w:t xml:space="preserve"> parameter for the Transition-Skeletal dataset.  </w:t>
      </w:r>
      <w:r>
        <w:t>Like the previous dataset, t</w:t>
      </w:r>
      <w:r w:rsidRPr="0014009B">
        <w:t>he Siler model with and without the α</w:t>
      </w:r>
      <w:r w:rsidRPr="0014009B">
        <w:rPr>
          <w:vertAlign w:val="subscript"/>
        </w:rPr>
        <w:t xml:space="preserve">2 </w:t>
      </w:r>
      <w:r w:rsidRPr="0014009B">
        <w:t>are not significantly d</w:t>
      </w:r>
      <w:r>
        <w:t>ifferent with an</w:t>
      </w:r>
      <w:r w:rsidRPr="0014009B">
        <w:t xml:space="preserve"> asymptotic Chi-square X</w:t>
      </w:r>
      <w:r w:rsidRPr="0014009B">
        <w:rPr>
          <w:vertAlign w:val="superscript"/>
        </w:rPr>
        <w:t>2</w:t>
      </w:r>
      <w:r w:rsidRPr="0014009B">
        <w:t xml:space="preserve"> value of -.058, which is below the 3.841 critical value for a 95% distribution. </w:t>
      </w:r>
      <w:r>
        <w:t xml:space="preserve"> </w:t>
      </w:r>
      <w:r w:rsidRPr="0014009B">
        <w:t xml:space="preserve">The </w:t>
      </w:r>
      <w:r w:rsidR="003F58AD">
        <w:t xml:space="preserve">four-parameter Siler model was chosen as the best model. </w:t>
      </w:r>
      <w:r w:rsidRPr="0014009B">
        <w:t xml:space="preserve"> The Kaplan-Meier survival curve</w:t>
      </w:r>
      <w:r>
        <w:t xml:space="preserve"> in Figure 6.5</w:t>
      </w:r>
      <w:r w:rsidRPr="0014009B">
        <w:t xml:space="preserve"> indicates a rapid decline in survivorship with very young infants and children that </w:t>
      </w:r>
      <w:proofErr w:type="gramStart"/>
      <w:r w:rsidRPr="0014009B">
        <w:t>slows</w:t>
      </w:r>
      <w:proofErr w:type="gramEnd"/>
      <w:r w:rsidRPr="0014009B">
        <w:t xml:space="preserve"> at </w:t>
      </w:r>
      <w:r>
        <w:t xml:space="preserve">the </w:t>
      </w:r>
      <w:r w:rsidRPr="0014009B">
        <w:t>0.4</w:t>
      </w:r>
      <w:r>
        <w:t xml:space="preserve"> rate</w:t>
      </w:r>
      <w:r w:rsidRPr="0014009B">
        <w:t>.  A</w:t>
      </w:r>
      <w:r>
        <w:t>lso a</w:t>
      </w:r>
      <w:r w:rsidRPr="0014009B">
        <w:t xml:space="preserve"> step</w:t>
      </w:r>
      <w:r>
        <w:t>, like which was seen in Figure 6.1,</w:t>
      </w:r>
      <w:r w:rsidRPr="0014009B">
        <w:t xml:space="preserve"> is seen in the late teens, which causes variation in the quality of the fitted Siler to the Kaplan-Meier curve</w:t>
      </w:r>
      <w:r>
        <w:t>.</w:t>
      </w:r>
      <w:r w:rsidRPr="0014009B">
        <w:t xml:space="preserve">  Survivorship continues to decrease with advancing age until it approximates zero as it approaches 70</w:t>
      </w:r>
      <w:r w:rsidRPr="002B00A6">
        <w:t>+</w:t>
      </w:r>
      <w:r>
        <w:t xml:space="preserve"> years.  The Siler curve in Figure 6.6</w:t>
      </w:r>
      <w:r w:rsidRPr="0014009B">
        <w:t xml:space="preserve"> fits the Kaplan-Meier curve well with slight variation between the fitted and expected in early adulthood.  The hazard curve</w:t>
      </w:r>
      <w:r>
        <w:t xml:space="preserve"> in Figure 6.7</w:t>
      </w:r>
      <w:r w:rsidRPr="0014009B">
        <w:t xml:space="preserve"> corresponds well with the survivorship and highlights the lower risk of death in juveniles with dental age-at-death estimates over </w:t>
      </w:r>
      <w:r>
        <w:t xml:space="preserve">that which was seen in the Transition-skeletal dataset.  </w:t>
      </w:r>
      <w:r w:rsidRPr="0014009B">
        <w:t xml:space="preserve">This is most likely a product of the larger number of juveniles that could be aged using skeletal development. </w:t>
      </w:r>
      <w:r>
        <w:t xml:space="preserve"> </w:t>
      </w:r>
      <w:r w:rsidRPr="0014009B">
        <w:t>The risk of death decreases until around age 10 and increases slowly until</w:t>
      </w:r>
      <w:r w:rsidR="003F58AD">
        <w:t xml:space="preserve"> age 40.  The risk of death increased after age 40.</w:t>
      </w:r>
      <w:r>
        <w:t xml:space="preserve"> </w:t>
      </w:r>
      <w:r w:rsidRPr="0014009B">
        <w:t xml:space="preserve"> Individuals over the age of 70 had the highest risk of death for adults, but it did not exceed the rate seen in the juvenile component. </w:t>
      </w:r>
      <w:r>
        <w:t xml:space="preserve"> </w:t>
      </w:r>
      <w:r w:rsidRPr="0014009B">
        <w:t>The PDF curve</w:t>
      </w:r>
      <w:r>
        <w:t xml:space="preserve"> in Figure 6.8</w:t>
      </w:r>
      <w:r w:rsidRPr="0014009B">
        <w:t xml:space="preserve"> highlights the large number of juveniles and the relative even distribution of adult individuals.</w:t>
      </w:r>
      <w:r>
        <w:t xml:space="preserve"> </w:t>
      </w:r>
      <w:r w:rsidRPr="0014009B">
        <w:t xml:space="preserve"> </w:t>
      </w:r>
      <w:r>
        <w:t xml:space="preserve">  It is not apparent as to why the probability density function is relatively constant as this would not be expected in a normally distributed population.</w:t>
      </w:r>
    </w:p>
    <w:p w:rsidR="001C002A" w:rsidRPr="0014009B" w:rsidRDefault="001C002A" w:rsidP="001C002A">
      <w:pPr>
        <w:rPr>
          <w:b/>
        </w:rPr>
      </w:pPr>
      <w:proofErr w:type="gramStart"/>
      <w:r w:rsidRPr="0014009B">
        <w:lastRenderedPageBreak/>
        <w:t>Table</w:t>
      </w:r>
      <w:r>
        <w:t xml:space="preserve"> 6.5</w:t>
      </w:r>
      <w:r w:rsidRPr="0014009B">
        <w:t>.</w:t>
      </w:r>
      <w:proofErr w:type="gramEnd"/>
      <w:r>
        <w:t xml:space="preserve"> </w:t>
      </w:r>
      <w:r w:rsidRPr="0014009B">
        <w:t xml:space="preserve"> </w:t>
      </w:r>
      <w:proofErr w:type="gramStart"/>
      <w:r w:rsidRPr="0014009B">
        <w:t>Larson site transition-dental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proofErr w:type="gramEnd"/>
    </w:p>
    <w:bookmarkStart w:id="45" w:name="_MON_1423581455"/>
    <w:bookmarkEnd w:id="45"/>
    <w:p w:rsidR="001C002A" w:rsidRPr="0014009B" w:rsidRDefault="001C002A" w:rsidP="001C002A">
      <w:r w:rsidRPr="0014009B">
        <w:rPr>
          <w:b/>
        </w:rPr>
        <w:object w:dxaOrig="9390" w:dyaOrig="1472">
          <v:shape id="_x0000_i1029" type="#_x0000_t75" style="width:468.75pt;height:73.5pt" o:ole="">
            <v:imagedata r:id="rId26" o:title=""/>
          </v:shape>
          <o:OLEObject Type="Embed" ProgID="Excel.Sheet.12" ShapeID="_x0000_i1029" DrawAspect="Content" ObjectID="_1423600827" r:id="rId27"/>
        </w:object>
      </w:r>
      <w:r w:rsidRPr="0014009B">
        <w:t>*best-fitting model</w:t>
      </w:r>
      <w:r>
        <w:t xml:space="preserve"> in bold</w:t>
      </w:r>
    </w:p>
    <w:p w:rsidR="001C002A" w:rsidRPr="0014009B" w:rsidRDefault="001C002A" w:rsidP="001C002A">
      <w:pPr>
        <w:spacing w:line="480" w:lineRule="auto"/>
        <w:rPr>
          <w:b/>
        </w:rPr>
      </w:pPr>
    </w:p>
    <w:p w:rsidR="001C002A" w:rsidRPr="0014009B" w:rsidRDefault="00C90CC6" w:rsidP="001C002A">
      <w:pPr>
        <w:spacing w:line="480" w:lineRule="auto"/>
        <w:jc w:val="center"/>
        <w:rPr>
          <w:b/>
        </w:rPr>
      </w:pPr>
      <w:r>
        <w:rPr>
          <w:b/>
          <w:noProof/>
        </w:rPr>
        <w:drawing>
          <wp:inline distT="0" distB="0" distL="0" distR="0">
            <wp:extent cx="5943600" cy="5457825"/>
            <wp:effectExtent l="0" t="0" r="0" b="0"/>
            <wp:docPr id="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t="7878"/>
                    <a:stretch>
                      <a:fillRect/>
                    </a:stretch>
                  </pic:blipFill>
                  <pic:spPr bwMode="auto">
                    <a:xfrm>
                      <a:off x="0" y="0"/>
                      <a:ext cx="5943600" cy="54578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6.5</w:t>
      </w:r>
      <w:r w:rsidRPr="0014009B">
        <w:t>.</w:t>
      </w:r>
      <w:proofErr w:type="gramEnd"/>
      <w:r w:rsidRPr="0014009B">
        <w:t xml:space="preserve">  </w:t>
      </w:r>
      <w:proofErr w:type="gramStart"/>
      <w:r w:rsidRPr="0014009B">
        <w:t>Kaplan-Meier survival curve for mortality of the Larson site using the Transition-dental dataset.</w:t>
      </w:r>
      <w:proofErr w:type="gramEnd"/>
    </w:p>
    <w:p w:rsidR="001C002A" w:rsidRPr="0014009B" w:rsidRDefault="00C90CC6" w:rsidP="001C002A">
      <w:pPr>
        <w:spacing w:line="480" w:lineRule="auto"/>
        <w:jc w:val="center"/>
      </w:pPr>
      <w:r>
        <w:rPr>
          <w:noProof/>
        </w:rPr>
        <w:lastRenderedPageBreak/>
        <w:drawing>
          <wp:inline distT="0" distB="0" distL="0" distR="0">
            <wp:extent cx="5829300" cy="5819775"/>
            <wp:effectExtent l="0" t="0" r="0" b="0"/>
            <wp:docPr id="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29300" cy="58197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6.6</w:t>
      </w:r>
      <w:r w:rsidRPr="0014009B">
        <w:t>.</w:t>
      </w:r>
      <w:proofErr w:type="gramEnd"/>
      <w:r w:rsidRPr="0014009B">
        <w:t xml:space="preserve">  </w:t>
      </w:r>
      <w:proofErr w:type="gramStart"/>
      <w:r w:rsidRPr="0014009B">
        <w:t>The Larson Siler survival curve with Kaplan-Meier plot for mortality based on the Transition-dental dataset.</w:t>
      </w:r>
      <w:proofErr w:type="gramEnd"/>
      <w:r w:rsidRPr="0014009B">
        <w:t xml:space="preserve">  Red is Kaplan-Meier, Blue is fitted survivor curve.</w:t>
      </w:r>
    </w:p>
    <w:p w:rsidR="001C002A" w:rsidRPr="0014009B" w:rsidRDefault="00C90CC6" w:rsidP="001C002A">
      <w:pPr>
        <w:spacing w:line="480" w:lineRule="auto"/>
        <w:jc w:val="center"/>
      </w:pPr>
      <w:r>
        <w:rPr>
          <w:noProof/>
        </w:rPr>
        <w:lastRenderedPageBreak/>
        <w:drawing>
          <wp:inline distT="0" distB="0" distL="0" distR="0">
            <wp:extent cx="5734050" cy="5715000"/>
            <wp:effectExtent l="0" t="0" r="0" b="0"/>
            <wp:docPr id="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5715000"/>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6.7</w:t>
      </w:r>
      <w:r w:rsidRPr="0014009B">
        <w:t>.</w:t>
      </w:r>
      <w:proofErr w:type="gramEnd"/>
      <w:r w:rsidRPr="0014009B">
        <w:t xml:space="preserve">  </w:t>
      </w:r>
      <w:proofErr w:type="gramStart"/>
      <w:r w:rsidRPr="0014009B">
        <w:t>The risk of death, hazard curve for the Larson site based on the Transition-dental dataset.</w:t>
      </w:r>
      <w:proofErr w:type="gramEnd"/>
    </w:p>
    <w:p w:rsidR="001C002A" w:rsidRPr="0014009B" w:rsidRDefault="00C90CC6" w:rsidP="001C002A">
      <w:pPr>
        <w:spacing w:line="480" w:lineRule="auto"/>
      </w:pPr>
      <w:r>
        <w:rPr>
          <w:noProof/>
        </w:rPr>
        <w:lastRenderedPageBreak/>
        <w:drawing>
          <wp:inline distT="0" distB="0" distL="0" distR="0">
            <wp:extent cx="5838825" cy="5819775"/>
            <wp:effectExtent l="0" t="0" r="0" b="0"/>
            <wp:docPr id="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38825" cy="58197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6.8</w:t>
      </w:r>
      <w:r w:rsidRPr="0014009B">
        <w:t>.</w:t>
      </w:r>
      <w:proofErr w:type="gramEnd"/>
      <w:r>
        <w:t xml:space="preserve"> </w:t>
      </w:r>
      <w:r w:rsidRPr="0014009B">
        <w:t xml:space="preserve"> Probability Density Function (PDF) for the Larson site based on the Transition-dental dataset.</w:t>
      </w:r>
    </w:p>
    <w:p w:rsidR="001C002A" w:rsidRDefault="001C002A" w:rsidP="001C002A">
      <w:pPr>
        <w:spacing w:line="480" w:lineRule="auto"/>
      </w:pPr>
    </w:p>
    <w:p w:rsidR="001C002A" w:rsidRDefault="001C002A" w:rsidP="001C002A">
      <w:pPr>
        <w:spacing w:line="480" w:lineRule="auto"/>
      </w:pPr>
    </w:p>
    <w:p w:rsidR="001C002A" w:rsidRPr="0014009B" w:rsidRDefault="001C002A" w:rsidP="001C002A">
      <w:pPr>
        <w:spacing w:line="480" w:lineRule="auto"/>
      </w:pPr>
    </w:p>
    <w:p w:rsidR="001C002A" w:rsidRPr="0014009B" w:rsidRDefault="001C002A" w:rsidP="001C002A">
      <w:pPr>
        <w:spacing w:line="480" w:lineRule="auto"/>
      </w:pPr>
    </w:p>
    <w:p w:rsidR="001C002A" w:rsidRPr="003F58AD" w:rsidRDefault="001C002A" w:rsidP="001C002A">
      <w:pPr>
        <w:spacing w:line="480" w:lineRule="auto"/>
        <w:rPr>
          <w:i/>
        </w:rPr>
      </w:pPr>
      <w:r w:rsidRPr="003F58AD">
        <w:rPr>
          <w:i/>
        </w:rPr>
        <w:lastRenderedPageBreak/>
        <w:t>Multifactorial-Skeletal Age Dataset</w:t>
      </w:r>
    </w:p>
    <w:p w:rsidR="001C002A" w:rsidRPr="0014009B" w:rsidRDefault="001C002A" w:rsidP="001C002A">
      <w:pPr>
        <w:spacing w:line="480" w:lineRule="auto"/>
        <w:ind w:firstLine="720"/>
      </w:pPr>
      <w:r w:rsidRPr="0014009B">
        <w:t>Table</w:t>
      </w:r>
      <w:r>
        <w:t xml:space="preserve"> 6.6</w:t>
      </w:r>
      <w:r w:rsidRPr="0014009B">
        <w:t xml:space="preserve"> presents the parameter estimates and corresponding log-likelihood values for the Gompertz, Gompertz-Makeham, </w:t>
      </w:r>
      <w:proofErr w:type="gramStart"/>
      <w:r w:rsidRPr="0014009B">
        <w:t>Siler</w:t>
      </w:r>
      <w:proofErr w:type="gramEnd"/>
      <w:r w:rsidRPr="0014009B">
        <w:t xml:space="preserve"> with the α</w:t>
      </w:r>
      <w:r w:rsidRPr="0014009B">
        <w:rPr>
          <w:vertAlign w:val="subscript"/>
        </w:rPr>
        <w:t>2</w:t>
      </w:r>
      <w:r w:rsidRPr="0014009B">
        <w:t xml:space="preserve"> parameter, and the Siler without the α</w:t>
      </w:r>
      <w:r w:rsidRPr="0014009B">
        <w:rPr>
          <w:vertAlign w:val="subscript"/>
        </w:rPr>
        <w:t>2</w:t>
      </w:r>
      <w:r w:rsidRPr="0014009B">
        <w:t xml:space="preserve"> parameter for the Transition-Skeletal dataset.  The Siler model with and without the α</w:t>
      </w:r>
      <w:r w:rsidRPr="0014009B">
        <w:rPr>
          <w:vertAlign w:val="subscript"/>
        </w:rPr>
        <w:t xml:space="preserve">2 </w:t>
      </w:r>
      <w:r w:rsidRPr="0014009B">
        <w:t>are not significantly different with a asymptotic Chi-square X</w:t>
      </w:r>
      <w:r w:rsidRPr="0014009B">
        <w:rPr>
          <w:vertAlign w:val="superscript"/>
        </w:rPr>
        <w:t>2</w:t>
      </w:r>
      <w:r w:rsidRPr="0014009B">
        <w:t xml:space="preserve"> value of -1.636, which is below the 3.841 critical value for a 95% distribution. </w:t>
      </w:r>
      <w:r>
        <w:t xml:space="preserve"> </w:t>
      </w:r>
      <w:r w:rsidRPr="0014009B">
        <w:t xml:space="preserve">The smaller, more parsimonious model is the best model and its parameters were used to compute the survivorship, hazard, probability density functions. </w:t>
      </w:r>
      <w:r>
        <w:t>The Kaplan-Meier age-at-death distribution, seen in Figure 6.9, has a step around 15 years of age that is even more significant than that which is seen in the Transition datasets.  This drop is lightly a result of age lumping caused by the application of the multifactorial adult age estimation method</w:t>
      </w:r>
      <w:r w:rsidRPr="0014009B">
        <w:t>.</w:t>
      </w:r>
      <w:r>
        <w:t xml:space="preserve"> </w:t>
      </w:r>
      <w:r w:rsidRPr="0014009B">
        <w:t xml:space="preserve"> This step causes slight variation between the fitted Siler model and the Kaplan-Meier curve </w:t>
      </w:r>
      <w:r>
        <w:t>as is seen in Figure 6.10</w:t>
      </w:r>
      <w:r w:rsidRPr="0014009B">
        <w:t>.</w:t>
      </w:r>
      <w:r>
        <w:t xml:space="preserve"> </w:t>
      </w:r>
      <w:r w:rsidRPr="0014009B">
        <w:t xml:space="preserve"> The hazard</w:t>
      </w:r>
      <w:r>
        <w:t xml:space="preserve"> curve in Figure 6.11</w:t>
      </w:r>
      <w:r w:rsidRPr="0014009B">
        <w:t xml:space="preserve"> reflects a high infant mortality rate that drops by </w:t>
      </w:r>
      <w:r>
        <w:t>0</w:t>
      </w:r>
      <w:r w:rsidRPr="0014009B">
        <w:t>.06 from 0 to 5 years.</w:t>
      </w:r>
      <w:r>
        <w:t xml:space="preserve"> </w:t>
      </w:r>
      <w:r w:rsidRPr="0014009B">
        <w:t xml:space="preserve"> A slower, decreasing rate is seen until age 10 at which time </w:t>
      </w:r>
      <w:r>
        <w:t xml:space="preserve">the </w:t>
      </w:r>
      <w:r w:rsidRPr="0014009B">
        <w:t>Larson</w:t>
      </w:r>
      <w:r>
        <w:t xml:space="preserve"> site has</w:t>
      </w:r>
      <w:r w:rsidRPr="0014009B">
        <w:t xml:space="preserve"> the lowest risk of death.  From 10 years onward the risk of death steadily increases with a spike at age 60.  The increase in the risk of death around age 60 and beyond relates to the terminal age category for the underlying methods within the </w:t>
      </w:r>
      <w:r>
        <w:t xml:space="preserve">adult component of the dataset based on the </w:t>
      </w:r>
      <w:r w:rsidRPr="0014009B">
        <w:t>Multifactorial approach.  Overall, the pattern of mortality follows a typical pattern</w:t>
      </w:r>
      <w:r>
        <w:t xml:space="preserve"> for pre-industrial populations</w:t>
      </w:r>
      <w:r w:rsidRPr="0014009B">
        <w:t>.</w:t>
      </w:r>
      <w:r>
        <w:t xml:space="preserve"> </w:t>
      </w:r>
      <w:r w:rsidRPr="0014009B">
        <w:t xml:space="preserve"> The PDF curve </w:t>
      </w:r>
      <w:r>
        <w:t>seen in Figure 6.12 does not have an expected older age jump as would be expected if there is a spike in the hazard curve</w:t>
      </w:r>
      <w:r w:rsidRPr="0014009B">
        <w:t xml:space="preserve">.  The theoretical age distribution demonstrates a large number of infants, a decreasing number of children and adolescents, and smaller, fairly consistent distribution of all adults.     </w:t>
      </w:r>
    </w:p>
    <w:p w:rsidR="001C002A" w:rsidRDefault="001C002A" w:rsidP="001C002A">
      <w:pPr>
        <w:spacing w:line="480" w:lineRule="auto"/>
      </w:pPr>
    </w:p>
    <w:p w:rsidR="001C002A" w:rsidRPr="0014009B" w:rsidRDefault="001C002A" w:rsidP="001C002A">
      <w:proofErr w:type="gramStart"/>
      <w:r w:rsidRPr="0014009B">
        <w:lastRenderedPageBreak/>
        <w:t>Table</w:t>
      </w:r>
      <w:r>
        <w:t xml:space="preserve"> 6.6.</w:t>
      </w:r>
      <w:proofErr w:type="gramEnd"/>
      <w:r>
        <w:t xml:space="preserve"> </w:t>
      </w:r>
      <w:r w:rsidRPr="0014009B">
        <w:t xml:space="preserve"> </w:t>
      </w:r>
      <w:proofErr w:type="gramStart"/>
      <w:r w:rsidRPr="0014009B">
        <w:t>Larson site multifactorial-skeletal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proofErr w:type="gramEnd"/>
    </w:p>
    <w:bookmarkStart w:id="46" w:name="_MON_1423582416"/>
    <w:bookmarkEnd w:id="46"/>
    <w:p w:rsidR="001C002A" w:rsidRPr="0014009B" w:rsidRDefault="001C002A" w:rsidP="001C002A">
      <w:r w:rsidRPr="0014009B">
        <w:object w:dxaOrig="9585" w:dyaOrig="1472">
          <v:shape id="_x0000_i1030" type="#_x0000_t75" style="width:478.5pt;height:73.5pt" o:ole="">
            <v:imagedata r:id="rId32" o:title=""/>
          </v:shape>
          <o:OLEObject Type="Embed" ProgID="Excel.Sheet.12" ShapeID="_x0000_i1030" DrawAspect="Content" ObjectID="_1423600828" r:id="rId33"/>
        </w:object>
      </w:r>
      <w:r>
        <w:t>*</w:t>
      </w:r>
      <w:r w:rsidRPr="0014009B">
        <w:t>best-fitting model</w:t>
      </w:r>
      <w:r>
        <w:t xml:space="preserve"> in bold</w:t>
      </w:r>
    </w:p>
    <w:p w:rsidR="001C002A" w:rsidRDefault="001C002A" w:rsidP="001C002A">
      <w:pPr>
        <w:spacing w:line="480" w:lineRule="auto"/>
      </w:pPr>
    </w:p>
    <w:p w:rsidR="001C002A" w:rsidRDefault="001C002A" w:rsidP="001C002A">
      <w:pPr>
        <w:spacing w:line="480" w:lineRule="auto"/>
      </w:pPr>
    </w:p>
    <w:p w:rsidR="001C002A" w:rsidRPr="0014009B" w:rsidRDefault="00C90CC6" w:rsidP="001C002A">
      <w:pPr>
        <w:spacing w:line="480" w:lineRule="auto"/>
        <w:jc w:val="center"/>
      </w:pPr>
      <w:r>
        <w:rPr>
          <w:noProof/>
        </w:rPr>
        <w:drawing>
          <wp:inline distT="0" distB="0" distL="0" distR="0">
            <wp:extent cx="4876800" cy="4867275"/>
            <wp:effectExtent l="0" t="0" r="0" b="0"/>
            <wp:docPr id="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76800" cy="48672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6.9.</w:t>
      </w:r>
      <w:proofErr w:type="gramEnd"/>
      <w:r>
        <w:t xml:space="preserve"> </w:t>
      </w:r>
      <w:r w:rsidRPr="0014009B">
        <w:t xml:space="preserve"> </w:t>
      </w:r>
      <w:proofErr w:type="gramStart"/>
      <w:r w:rsidRPr="0014009B">
        <w:t>Kaplan-Meier survival curve for mortality of the Larson site using the Multifactorial-skeletal dataset.</w:t>
      </w:r>
      <w:proofErr w:type="gramEnd"/>
    </w:p>
    <w:p w:rsidR="001C002A" w:rsidRPr="0014009B" w:rsidRDefault="00C90CC6" w:rsidP="001C002A">
      <w:pPr>
        <w:spacing w:line="480" w:lineRule="auto"/>
        <w:jc w:val="center"/>
      </w:pPr>
      <w:r>
        <w:rPr>
          <w:noProof/>
        </w:rPr>
        <w:lastRenderedPageBreak/>
        <w:drawing>
          <wp:inline distT="0" distB="0" distL="0" distR="0">
            <wp:extent cx="5695950" cy="5686425"/>
            <wp:effectExtent l="0" t="0" r="0" b="0"/>
            <wp:docPr id="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95950" cy="56864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6.10</w:t>
      </w:r>
      <w:r w:rsidRPr="0014009B">
        <w:t>.</w:t>
      </w:r>
      <w:proofErr w:type="gramEnd"/>
      <w:r>
        <w:t xml:space="preserve"> </w:t>
      </w:r>
      <w:r w:rsidRPr="0014009B">
        <w:t xml:space="preserve"> </w:t>
      </w:r>
      <w:proofErr w:type="gramStart"/>
      <w:r w:rsidRPr="0014009B">
        <w:t>The Larson Siler survival curve with Kaplan-Meier plot for mortality based on the Multifactorial-skeletal dataset.</w:t>
      </w:r>
      <w:proofErr w:type="gramEnd"/>
      <w:r w:rsidRPr="0014009B">
        <w:t xml:space="preserve">  Red is Kaplan-Meier, Blue is fitted survivor curve.</w:t>
      </w:r>
    </w:p>
    <w:p w:rsidR="001C002A" w:rsidRPr="0014009B" w:rsidRDefault="00C90CC6" w:rsidP="001C002A">
      <w:pPr>
        <w:spacing w:line="480" w:lineRule="auto"/>
        <w:jc w:val="center"/>
      </w:pPr>
      <w:r>
        <w:rPr>
          <w:noProof/>
        </w:rPr>
        <w:lastRenderedPageBreak/>
        <w:drawing>
          <wp:inline distT="0" distB="0" distL="0" distR="0">
            <wp:extent cx="5838825" cy="5819775"/>
            <wp:effectExtent l="0" t="0" r="0" b="0"/>
            <wp:docPr id="8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38825" cy="58197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6.11</w:t>
      </w:r>
      <w:r w:rsidRPr="0014009B">
        <w:t>.</w:t>
      </w:r>
      <w:proofErr w:type="gramEnd"/>
      <w:r w:rsidRPr="0014009B">
        <w:t xml:space="preserve">  </w:t>
      </w:r>
      <w:proofErr w:type="gramStart"/>
      <w:r w:rsidRPr="0014009B">
        <w:t>The risk of death, hazard curve for the Larson site based on the Multifactorial-skeletal dataset.</w:t>
      </w:r>
      <w:proofErr w:type="gramEnd"/>
    </w:p>
    <w:p w:rsidR="001C002A" w:rsidRPr="0014009B" w:rsidRDefault="00C90CC6" w:rsidP="001C002A">
      <w:pPr>
        <w:spacing w:line="480" w:lineRule="auto"/>
      </w:pPr>
      <w:r>
        <w:rPr>
          <w:noProof/>
        </w:rPr>
        <w:lastRenderedPageBreak/>
        <w:drawing>
          <wp:inline distT="0" distB="0" distL="0" distR="0">
            <wp:extent cx="5876925" cy="5867400"/>
            <wp:effectExtent l="0" t="0" r="0" b="0"/>
            <wp:docPr id="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76925" cy="5867400"/>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6.12</w:t>
      </w:r>
      <w:r w:rsidRPr="0014009B">
        <w:t>.</w:t>
      </w:r>
      <w:proofErr w:type="gramEnd"/>
      <w:r>
        <w:t xml:space="preserve"> </w:t>
      </w:r>
      <w:r w:rsidRPr="0014009B">
        <w:t xml:space="preserve"> Probability Density Function (PDF) for the Larson site based on the Multifactorial-skeletal dataset.</w:t>
      </w:r>
    </w:p>
    <w:p w:rsidR="001C002A"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3F58AD" w:rsidRDefault="003F58AD" w:rsidP="001C002A">
      <w:pPr>
        <w:spacing w:line="480" w:lineRule="auto"/>
      </w:pPr>
    </w:p>
    <w:p w:rsidR="001C002A" w:rsidRPr="003F58AD" w:rsidRDefault="001C002A" w:rsidP="001C002A">
      <w:pPr>
        <w:spacing w:line="480" w:lineRule="auto"/>
        <w:rPr>
          <w:i/>
        </w:rPr>
      </w:pPr>
      <w:r w:rsidRPr="003F58AD">
        <w:rPr>
          <w:i/>
        </w:rPr>
        <w:lastRenderedPageBreak/>
        <w:t>Multifactorial-Dental Dataset</w:t>
      </w:r>
    </w:p>
    <w:p w:rsidR="001C002A" w:rsidRPr="0014009B" w:rsidRDefault="001C002A" w:rsidP="003F58AD">
      <w:pPr>
        <w:spacing w:line="480" w:lineRule="auto"/>
        <w:ind w:firstLine="720"/>
      </w:pPr>
      <w:r w:rsidRPr="0014009B">
        <w:t xml:space="preserve">Table </w:t>
      </w:r>
      <w:r>
        <w:t>6.7</w:t>
      </w:r>
      <w:r w:rsidRPr="0014009B">
        <w:t xml:space="preserve"> presents the parameter estimates and corresponding log-likelihood values for the Gompertz, Gompertz-Makeham, </w:t>
      </w:r>
      <w:proofErr w:type="gramStart"/>
      <w:r w:rsidRPr="0014009B">
        <w:t>Siler</w:t>
      </w:r>
      <w:proofErr w:type="gramEnd"/>
      <w:r w:rsidRPr="0014009B">
        <w:t xml:space="preserve"> with the α</w:t>
      </w:r>
      <w:r w:rsidRPr="0014009B">
        <w:rPr>
          <w:vertAlign w:val="subscript"/>
        </w:rPr>
        <w:t>2</w:t>
      </w:r>
      <w:r w:rsidRPr="0014009B">
        <w:t xml:space="preserve"> parameter, and the Siler without the α</w:t>
      </w:r>
      <w:r w:rsidRPr="0014009B">
        <w:rPr>
          <w:vertAlign w:val="subscript"/>
        </w:rPr>
        <w:t>2</w:t>
      </w:r>
      <w:r w:rsidRPr="0014009B">
        <w:t xml:space="preserve"> parameter for the Transition-Skeletal dataset.  The Siler model with and without the α</w:t>
      </w:r>
      <w:r w:rsidRPr="0014009B">
        <w:rPr>
          <w:vertAlign w:val="subscript"/>
        </w:rPr>
        <w:t xml:space="preserve">2 </w:t>
      </w:r>
      <w:r w:rsidRPr="0014009B">
        <w:t xml:space="preserve">are not significantly different with </w:t>
      </w:r>
      <w:proofErr w:type="gramStart"/>
      <w:r w:rsidRPr="0014009B">
        <w:t>a</w:t>
      </w:r>
      <w:proofErr w:type="gramEnd"/>
      <w:r w:rsidRPr="0014009B">
        <w:t xml:space="preserve"> asymptotic Chi-square X</w:t>
      </w:r>
      <w:r w:rsidRPr="0014009B">
        <w:rPr>
          <w:vertAlign w:val="superscript"/>
        </w:rPr>
        <w:t>2</w:t>
      </w:r>
      <w:r w:rsidRPr="0014009B">
        <w:t xml:space="preserve"> value of -.171, which is below the 3.841 critical value for a 95% distribution. </w:t>
      </w:r>
      <w:r>
        <w:t xml:space="preserve"> </w:t>
      </w:r>
      <w:r w:rsidRPr="0014009B">
        <w:t xml:space="preserve">The smaller, more parsimonious model is the best model and its parameters were used to compute the survivorship, hazard, probability density functions. The Kaplan-Meier plot </w:t>
      </w:r>
      <w:r>
        <w:t>in Figure 6.13</w:t>
      </w:r>
      <w:r w:rsidRPr="0014009B">
        <w:t xml:space="preserve"> follows a consistent pattern of survivorship, but with a significant downward </w:t>
      </w:r>
      <w:r>
        <w:t xml:space="preserve">step </w:t>
      </w:r>
      <w:r w:rsidRPr="0014009B">
        <w:t xml:space="preserve">around the age 15.  When looking at the dataset, the Multifactorial maximum likelihood estimates had a number of individuals with ages at 15.75. </w:t>
      </w:r>
      <w:r>
        <w:t xml:space="preserve"> </w:t>
      </w:r>
      <w:r w:rsidRPr="0014009B">
        <w:t xml:space="preserve">This is consistent with the other datasets that indicate several young adults, but the grouping in the dataset is affecting the survivor curve.  This age differential is visible when the Siler survivor curve is fitted to the Kaplan-Meier plot </w:t>
      </w:r>
      <w:r>
        <w:t>as seen in Figure 6.14</w:t>
      </w:r>
      <w:r w:rsidRPr="0014009B">
        <w:t>.</w:t>
      </w:r>
      <w:r>
        <w:t xml:space="preserve"> </w:t>
      </w:r>
      <w:r w:rsidRPr="0014009B">
        <w:t xml:space="preserve"> The Siler model fits well, but exhibits variation between the Kaplan-Meier and the Siler curve in early adulthood.</w:t>
      </w:r>
      <w:r>
        <w:t xml:space="preserve"> </w:t>
      </w:r>
      <w:r w:rsidRPr="0014009B">
        <w:t xml:space="preserve"> Another slight difference is the Siler </w:t>
      </w:r>
      <w:r>
        <w:t xml:space="preserve">model </w:t>
      </w:r>
      <w:r w:rsidRPr="0014009B">
        <w:t xml:space="preserve">underestimating in the 35-50 age ranges. </w:t>
      </w:r>
      <w:r>
        <w:t xml:space="preserve"> </w:t>
      </w:r>
      <w:r w:rsidRPr="0014009B">
        <w:t>The hazard curve</w:t>
      </w:r>
      <w:r>
        <w:t xml:space="preserve"> in Figure 6.15 co</w:t>
      </w:r>
      <w:r w:rsidRPr="0014009B">
        <w:t xml:space="preserve">rresponds well with the survival curve.  The hazard curve demonstrates a high risk of death for infants, albeit slightly less compared to the Multifactorial-skeletal dataset, a decreasing hazard with age until it levels at the lowest risk of death at age 10, and starts to increase consistently until age 60. </w:t>
      </w:r>
      <w:r>
        <w:t xml:space="preserve"> </w:t>
      </w:r>
      <w:r w:rsidRPr="0014009B">
        <w:t xml:space="preserve">At age 60 it significantly increases, but does not exceed the rate of decline in the juvenile component. </w:t>
      </w:r>
      <w:r>
        <w:t xml:space="preserve"> </w:t>
      </w:r>
      <w:r w:rsidRPr="0014009B">
        <w:t xml:space="preserve">The PDF curve </w:t>
      </w:r>
      <w:r>
        <w:t xml:space="preserve">in Figure 6.15 </w:t>
      </w:r>
      <w:r w:rsidRPr="0014009B">
        <w:t>also highlights the large number of infants in the dataset, which drops very quickly with the rest of the sample having a fairly even distribu</w:t>
      </w:r>
      <w:r>
        <w:t>tion across the ages</w:t>
      </w:r>
      <w:r w:rsidRPr="0014009B">
        <w:t xml:space="preserve">.  </w:t>
      </w:r>
    </w:p>
    <w:p w:rsidR="001C002A" w:rsidRPr="0014009B" w:rsidRDefault="001C002A" w:rsidP="001C002A">
      <w:proofErr w:type="gramStart"/>
      <w:r w:rsidRPr="0014009B">
        <w:lastRenderedPageBreak/>
        <w:t>Table</w:t>
      </w:r>
      <w:r>
        <w:t xml:space="preserve"> 6.7</w:t>
      </w:r>
      <w:r w:rsidRPr="0014009B">
        <w:t>.</w:t>
      </w:r>
      <w:proofErr w:type="gramEnd"/>
      <w:r>
        <w:t xml:space="preserve"> </w:t>
      </w:r>
      <w:r w:rsidRPr="0014009B">
        <w:t xml:space="preserve"> </w:t>
      </w:r>
      <w:proofErr w:type="gramStart"/>
      <w:r w:rsidRPr="0014009B">
        <w:t>Larson site multifactorial-dental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proofErr w:type="gramEnd"/>
    </w:p>
    <w:bookmarkStart w:id="47" w:name="_MON_1423582944"/>
    <w:bookmarkEnd w:id="47"/>
    <w:p w:rsidR="001C002A" w:rsidRPr="0014009B" w:rsidRDefault="001C002A" w:rsidP="001C002A">
      <w:r w:rsidRPr="0014009B">
        <w:object w:dxaOrig="9585" w:dyaOrig="1472">
          <v:shape id="_x0000_i1031" type="#_x0000_t75" style="width:478.5pt;height:73.5pt" o:ole="">
            <v:imagedata r:id="rId38" o:title=""/>
          </v:shape>
          <o:OLEObject Type="Embed" ProgID="Excel.Sheet.12" ShapeID="_x0000_i1031" DrawAspect="Content" ObjectID="_1423600829" r:id="rId39"/>
        </w:object>
      </w:r>
      <w:r w:rsidRPr="0014009B">
        <w:t>*</w:t>
      </w:r>
      <w:r>
        <w:t>best</w:t>
      </w:r>
      <w:r w:rsidRPr="0014009B">
        <w:t>-fitting model</w:t>
      </w:r>
      <w:r>
        <w:t xml:space="preserve"> in bold</w:t>
      </w:r>
    </w:p>
    <w:p w:rsidR="001C002A" w:rsidRPr="0014009B" w:rsidRDefault="001C002A" w:rsidP="001C002A">
      <w:pPr>
        <w:spacing w:line="480" w:lineRule="auto"/>
      </w:pPr>
    </w:p>
    <w:p w:rsidR="001C002A" w:rsidRPr="0014009B" w:rsidRDefault="00C90CC6" w:rsidP="001C002A">
      <w:pPr>
        <w:jc w:val="center"/>
      </w:pPr>
      <w:r>
        <w:rPr>
          <w:b/>
          <w:noProof/>
        </w:rPr>
        <w:drawing>
          <wp:inline distT="0" distB="0" distL="0" distR="0">
            <wp:extent cx="5133975" cy="5124450"/>
            <wp:effectExtent l="0" t="0" r="0" b="0"/>
            <wp:docPr id="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33975" cy="5124450"/>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6.13</w:t>
      </w:r>
      <w:r w:rsidRPr="0014009B">
        <w:t>.</w:t>
      </w:r>
      <w:proofErr w:type="gramEnd"/>
      <w:r w:rsidRPr="0014009B">
        <w:t xml:space="preserve">  </w:t>
      </w:r>
      <w:proofErr w:type="gramStart"/>
      <w:r w:rsidRPr="0014009B">
        <w:t>Kaplan-Meier survival curve for mortality of the Larson site using the Multifactorial-dental dataset.</w:t>
      </w:r>
      <w:proofErr w:type="gramEnd"/>
    </w:p>
    <w:p w:rsidR="001C002A" w:rsidRPr="0014009B" w:rsidRDefault="001C002A" w:rsidP="001C002A">
      <w:pPr>
        <w:spacing w:line="480" w:lineRule="auto"/>
      </w:pPr>
    </w:p>
    <w:p w:rsidR="001C002A" w:rsidRPr="0014009B" w:rsidRDefault="00C90CC6" w:rsidP="001C002A">
      <w:pPr>
        <w:jc w:val="center"/>
      </w:pPr>
      <w:r>
        <w:rPr>
          <w:noProof/>
        </w:rPr>
        <w:lastRenderedPageBreak/>
        <w:drawing>
          <wp:inline distT="0" distB="0" distL="0" distR="0">
            <wp:extent cx="5629275" cy="5610225"/>
            <wp:effectExtent l="0" t="0" r="0" b="0"/>
            <wp:docPr id="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29275" cy="56102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6.14</w:t>
      </w:r>
      <w:r w:rsidRPr="0014009B">
        <w:t>.</w:t>
      </w:r>
      <w:proofErr w:type="gramEnd"/>
      <w:r w:rsidRPr="0014009B">
        <w:t xml:space="preserve">  </w:t>
      </w:r>
      <w:proofErr w:type="gramStart"/>
      <w:r w:rsidRPr="0014009B">
        <w:t>The Larson Siler survival curve with Kaplan-Meier plot for mortality based on the Multifactorial-dental dataset.</w:t>
      </w:r>
      <w:proofErr w:type="gramEnd"/>
      <w:r w:rsidRPr="0014009B">
        <w:t xml:space="preserve">  Red is Kaplan-Meier, Blue is fitted survivor curve.</w:t>
      </w:r>
    </w:p>
    <w:p w:rsidR="001C002A" w:rsidRPr="0014009B" w:rsidRDefault="00C90CC6" w:rsidP="001C002A">
      <w:pPr>
        <w:spacing w:line="480" w:lineRule="auto"/>
        <w:jc w:val="center"/>
      </w:pPr>
      <w:r>
        <w:rPr>
          <w:noProof/>
        </w:rPr>
        <w:lastRenderedPageBreak/>
        <w:drawing>
          <wp:inline distT="0" distB="0" distL="0" distR="0">
            <wp:extent cx="5848350" cy="5838825"/>
            <wp:effectExtent l="0" t="0" r="0" b="0"/>
            <wp:docPr id="7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48350" cy="58388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6.15</w:t>
      </w:r>
      <w:r w:rsidRPr="0014009B">
        <w:t>.</w:t>
      </w:r>
      <w:proofErr w:type="gramEnd"/>
      <w:r w:rsidRPr="0014009B">
        <w:t xml:space="preserve">  </w:t>
      </w:r>
      <w:proofErr w:type="gramStart"/>
      <w:r w:rsidRPr="0014009B">
        <w:t>The risk of death, hazard curve for the Larson site based on the Multifactorial-dental dataset.</w:t>
      </w:r>
      <w:proofErr w:type="gramEnd"/>
    </w:p>
    <w:p w:rsidR="001C002A" w:rsidRPr="0014009B" w:rsidRDefault="00C90CC6" w:rsidP="001C002A">
      <w:pPr>
        <w:spacing w:line="480" w:lineRule="auto"/>
        <w:jc w:val="center"/>
      </w:pPr>
      <w:r>
        <w:rPr>
          <w:noProof/>
        </w:rPr>
        <w:lastRenderedPageBreak/>
        <w:drawing>
          <wp:inline distT="0" distB="0" distL="0" distR="0">
            <wp:extent cx="5943600" cy="5934075"/>
            <wp:effectExtent l="0" t="0" r="0" b="0"/>
            <wp:docPr id="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59340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6.16</w:t>
      </w:r>
      <w:r w:rsidRPr="0014009B">
        <w:t>.</w:t>
      </w:r>
      <w:proofErr w:type="gramEnd"/>
      <w:r>
        <w:t xml:space="preserve"> </w:t>
      </w:r>
      <w:r w:rsidRPr="0014009B">
        <w:t xml:space="preserve"> Probability Density Function (PDF) for the Larson site based on the Multifactorial-dental dataset.</w:t>
      </w:r>
    </w:p>
    <w:p w:rsidR="001C002A" w:rsidRPr="0014009B" w:rsidRDefault="001C002A" w:rsidP="001C002A">
      <w:pPr>
        <w:spacing w:line="480" w:lineRule="auto"/>
      </w:pPr>
    </w:p>
    <w:p w:rsidR="001C002A" w:rsidRPr="0014009B" w:rsidRDefault="001C002A" w:rsidP="001C002A">
      <w:pPr>
        <w:spacing w:line="480" w:lineRule="auto"/>
      </w:pPr>
    </w:p>
    <w:p w:rsidR="001C002A" w:rsidRDefault="001C002A" w:rsidP="001C002A">
      <w:pPr>
        <w:spacing w:line="480" w:lineRule="auto"/>
      </w:pPr>
    </w:p>
    <w:p w:rsidR="003F58AD" w:rsidRPr="0014009B" w:rsidRDefault="003F58AD" w:rsidP="001C002A">
      <w:pPr>
        <w:spacing w:line="480" w:lineRule="auto"/>
      </w:pPr>
    </w:p>
    <w:p w:rsidR="001C002A" w:rsidRPr="003F58AD" w:rsidRDefault="001C002A" w:rsidP="001C002A">
      <w:pPr>
        <w:spacing w:line="480" w:lineRule="auto"/>
        <w:rPr>
          <w:i/>
        </w:rPr>
      </w:pPr>
      <w:r w:rsidRPr="003F58AD">
        <w:rPr>
          <w:i/>
        </w:rPr>
        <w:lastRenderedPageBreak/>
        <w:t>Owsley Dataset</w:t>
      </w:r>
    </w:p>
    <w:p w:rsidR="001C002A" w:rsidRPr="0014009B" w:rsidRDefault="001C002A" w:rsidP="001C002A">
      <w:pPr>
        <w:spacing w:line="480" w:lineRule="auto"/>
        <w:ind w:firstLine="720"/>
      </w:pPr>
      <w:r w:rsidRPr="0014009B">
        <w:t xml:space="preserve">Table </w:t>
      </w:r>
      <w:r>
        <w:t>6.8</w:t>
      </w:r>
      <w:r w:rsidRPr="0014009B">
        <w:t xml:space="preserve"> presents the parameter estimates and corresponding log-likelihood values for the Gompertz, Gompertz-Makeham, </w:t>
      </w:r>
      <w:proofErr w:type="gramStart"/>
      <w:r w:rsidRPr="0014009B">
        <w:t>Siler</w:t>
      </w:r>
      <w:proofErr w:type="gramEnd"/>
      <w:r w:rsidRPr="0014009B">
        <w:t xml:space="preserve"> with the α</w:t>
      </w:r>
      <w:r w:rsidRPr="0014009B">
        <w:rPr>
          <w:vertAlign w:val="subscript"/>
        </w:rPr>
        <w:t>2</w:t>
      </w:r>
      <w:r w:rsidRPr="0014009B">
        <w:t xml:space="preserve"> parameter, and the Siler without the α</w:t>
      </w:r>
      <w:r w:rsidRPr="0014009B">
        <w:rPr>
          <w:vertAlign w:val="subscript"/>
        </w:rPr>
        <w:t>2</w:t>
      </w:r>
      <w:r w:rsidRPr="0014009B">
        <w:t xml:space="preserve"> parameter for the Transition-Skeletal dataset.  The Siler model with and without the α</w:t>
      </w:r>
      <w:r w:rsidRPr="0014009B">
        <w:rPr>
          <w:vertAlign w:val="subscript"/>
        </w:rPr>
        <w:t xml:space="preserve">2 </w:t>
      </w:r>
      <w:r w:rsidRPr="0014009B">
        <w:t xml:space="preserve">are not significantly different with </w:t>
      </w:r>
      <w:proofErr w:type="gramStart"/>
      <w:r w:rsidRPr="0014009B">
        <w:t>a</w:t>
      </w:r>
      <w:proofErr w:type="gramEnd"/>
      <w:r w:rsidRPr="0014009B">
        <w:t xml:space="preserve"> asymptotic Chi-square X</w:t>
      </w:r>
      <w:r w:rsidRPr="0014009B">
        <w:rPr>
          <w:vertAlign w:val="superscript"/>
        </w:rPr>
        <w:t>2</w:t>
      </w:r>
      <w:r w:rsidRPr="0014009B">
        <w:t xml:space="preserve"> value of -.522, which is below the 3.841 critical value for a 95% distribution. </w:t>
      </w:r>
      <w:r>
        <w:t xml:space="preserve"> </w:t>
      </w:r>
      <w:r w:rsidR="003F58AD">
        <w:t>Thus, the four-parameter Siler was chosen to computer th</w:t>
      </w:r>
      <w:r w:rsidRPr="0014009B">
        <w:t>e the survivorship, hazard,</w:t>
      </w:r>
      <w:r w:rsidR="003F58AD">
        <w:t xml:space="preserve"> and</w:t>
      </w:r>
      <w:r w:rsidRPr="0014009B">
        <w:t xml:space="preserve"> probability density functions.  The overall Kaplan-Meier survivor curve</w:t>
      </w:r>
      <w:r>
        <w:t xml:space="preserve"> in Figure 6.17 </w:t>
      </w:r>
      <w:r w:rsidRPr="0014009B">
        <w:t>follows a pattern fairly consistent with a typical human age pattern of mortality.  However, the curve is more stepped than the other datasets.  The age-at-death estimates in the Owsley dataset ha</w:t>
      </w:r>
      <w:r>
        <w:t>ve a pattern often seen in</w:t>
      </w:r>
      <w:r w:rsidRPr="0014009B">
        <w:t xml:space="preserve"> </w:t>
      </w:r>
      <w:r>
        <w:t>bioarchaeological literatu</w:t>
      </w:r>
      <w:r w:rsidR="003F58AD">
        <w:t>re, in which</w:t>
      </w:r>
      <w:r w:rsidRPr="0014009B">
        <w:t xml:space="preserve"> ages have five to ten year spans with most ages being rounded to the nearest 5 or 10, which when plotted exaggerate the step-nature of the survivor curve.  The Siler smoothed and fit the dataset well</w:t>
      </w:r>
      <w:r>
        <w:t>, as seen in Figure 6.18</w:t>
      </w:r>
      <w:r w:rsidRPr="0014009B">
        <w:t>, but it does display some differences between the fitted and the Kaplan-Meier survival plot for the older child and adolescent ages</w:t>
      </w:r>
      <w:r w:rsidR="003F58AD">
        <w:t>.</w:t>
      </w:r>
      <w:r w:rsidRPr="0014009B">
        <w:t xml:space="preserve">  The hazard curve</w:t>
      </w:r>
      <w:r>
        <w:t xml:space="preserve"> in Figure 6.19</w:t>
      </w:r>
      <w:r w:rsidRPr="0014009B">
        <w:t xml:space="preserve"> supports the expected pattern for mortality in most known pre-industrial populations, which have a ‘boat-shaped’ hazard curve.  The hazard curve indicates a high infant mortality, relatively low mortality for adolescents and young adults, and an very high risk of death for individuals over 40 years of age.  This is supported by the PDF curve for the Owsley dataset</w:t>
      </w:r>
      <w:r>
        <w:t xml:space="preserve"> in Figure 6.20 and</w:t>
      </w:r>
      <w:r w:rsidRPr="0014009B">
        <w:t xml:space="preserve"> demonstrates a high number of infants and young children compared to the rest of the sample and a slightly higher number of individuals in between 30 and 40 years of age.</w:t>
      </w:r>
      <w:r>
        <w:t xml:space="preserve"> </w:t>
      </w:r>
      <w:r w:rsidRPr="0014009B">
        <w:t xml:space="preserve"> After the age 45 the PDF is nearly zero.</w:t>
      </w:r>
      <w:r>
        <w:t xml:space="preserve">  Unlike the other datasets an older age hump was clearly visible, albeit small.</w:t>
      </w:r>
    </w:p>
    <w:p w:rsidR="001C002A" w:rsidRPr="0014009B" w:rsidRDefault="001C002A" w:rsidP="001C002A">
      <w:proofErr w:type="gramStart"/>
      <w:r w:rsidRPr="0014009B">
        <w:lastRenderedPageBreak/>
        <w:t>Table</w:t>
      </w:r>
      <w:r>
        <w:t xml:space="preserve"> 6.8</w:t>
      </w:r>
      <w:r w:rsidRPr="0014009B">
        <w:t>.</w:t>
      </w:r>
      <w:proofErr w:type="gramEnd"/>
      <w:r>
        <w:t xml:space="preserve"> </w:t>
      </w:r>
      <w:r w:rsidRPr="0014009B">
        <w:t xml:space="preserve"> Larson site Owsley dataset Siler with α</w:t>
      </w:r>
      <w:r w:rsidRPr="0014009B">
        <w:rPr>
          <w:vertAlign w:val="subscript"/>
        </w:rPr>
        <w:t>2</w:t>
      </w:r>
      <w:r w:rsidRPr="0014009B">
        <w:t>, Siler without α</w:t>
      </w:r>
      <w:r w:rsidRPr="0014009B">
        <w:rPr>
          <w:vertAlign w:val="subscript"/>
        </w:rPr>
        <w:t>2</w:t>
      </w:r>
      <w:r w:rsidRPr="0014009B">
        <w:t>, Gompterz, and Gompertz-Makeham hazard model parameters.</w:t>
      </w:r>
    </w:p>
    <w:p w:rsidR="001C002A" w:rsidRPr="0014009B" w:rsidRDefault="001C002A" w:rsidP="001C002A">
      <w:r w:rsidRPr="0014009B">
        <w:object w:dxaOrig="9585" w:dyaOrig="1472">
          <v:shape id="_x0000_i1032" type="#_x0000_t75" style="width:478.5pt;height:73.5pt" o:ole="">
            <v:imagedata r:id="rId44" o:title=""/>
          </v:shape>
          <o:OLEObject Type="Embed" ProgID="Excel.Sheet.12" ShapeID="_x0000_i1032" DrawAspect="Content" ObjectID="_1423600830" r:id="rId45"/>
        </w:object>
      </w:r>
      <w:r w:rsidRPr="0014009B">
        <w:t>*best-fitting model</w:t>
      </w:r>
      <w:r>
        <w:t xml:space="preserve"> in bold</w:t>
      </w:r>
    </w:p>
    <w:p w:rsidR="001C002A" w:rsidRDefault="003F58AD" w:rsidP="003F58AD">
      <w:pPr>
        <w:tabs>
          <w:tab w:val="left" w:pos="3720"/>
        </w:tabs>
        <w:spacing w:line="480" w:lineRule="auto"/>
      </w:pPr>
      <w:r>
        <w:tab/>
      </w:r>
    </w:p>
    <w:p w:rsidR="003F58AD" w:rsidRDefault="003F58AD" w:rsidP="003F58AD">
      <w:pPr>
        <w:tabs>
          <w:tab w:val="left" w:pos="3720"/>
        </w:tabs>
        <w:spacing w:line="480" w:lineRule="auto"/>
      </w:pPr>
    </w:p>
    <w:p w:rsidR="003F58AD" w:rsidRPr="0014009B" w:rsidRDefault="003F58AD" w:rsidP="003F58AD">
      <w:pPr>
        <w:tabs>
          <w:tab w:val="left" w:pos="3720"/>
        </w:tabs>
        <w:spacing w:line="480" w:lineRule="auto"/>
      </w:pPr>
    </w:p>
    <w:p w:rsidR="001C002A" w:rsidRPr="0014009B" w:rsidRDefault="00C90CC6" w:rsidP="001C002A">
      <w:pPr>
        <w:spacing w:line="480" w:lineRule="auto"/>
        <w:jc w:val="center"/>
      </w:pPr>
      <w:r>
        <w:rPr>
          <w:b/>
          <w:noProof/>
        </w:rPr>
        <w:drawing>
          <wp:inline distT="0" distB="0" distL="0" distR="0">
            <wp:extent cx="5181600" cy="4733925"/>
            <wp:effectExtent l="0" t="0" r="0" b="0"/>
            <wp:docPr id="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t="8302"/>
                    <a:stretch>
                      <a:fillRect/>
                    </a:stretch>
                  </pic:blipFill>
                  <pic:spPr bwMode="auto">
                    <a:xfrm>
                      <a:off x="0" y="0"/>
                      <a:ext cx="5181600" cy="47339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6.17.</w:t>
      </w:r>
      <w:proofErr w:type="gramEnd"/>
      <w:r>
        <w:t xml:space="preserve"> </w:t>
      </w:r>
      <w:r w:rsidRPr="0014009B">
        <w:t xml:space="preserve"> </w:t>
      </w:r>
      <w:proofErr w:type="gramStart"/>
      <w:r w:rsidRPr="0014009B">
        <w:t>Kaplan-Meier survival curve for mortality of the Larson site using the Owsley dataset.</w:t>
      </w:r>
      <w:proofErr w:type="gramEnd"/>
    </w:p>
    <w:p w:rsidR="001C002A" w:rsidRPr="0014009B" w:rsidRDefault="00C90CC6" w:rsidP="001C002A">
      <w:pPr>
        <w:spacing w:line="480" w:lineRule="auto"/>
        <w:jc w:val="center"/>
      </w:pPr>
      <w:r>
        <w:rPr>
          <w:noProof/>
        </w:rPr>
        <w:lastRenderedPageBreak/>
        <w:drawing>
          <wp:inline distT="0" distB="0" distL="0" distR="0">
            <wp:extent cx="5648325" cy="5638800"/>
            <wp:effectExtent l="0" t="0" r="0" b="0"/>
            <wp:docPr id="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48325" cy="5638800"/>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6.18</w:t>
      </w:r>
      <w:r w:rsidRPr="0014009B">
        <w:t>.</w:t>
      </w:r>
      <w:proofErr w:type="gramEnd"/>
      <w:r w:rsidRPr="0014009B">
        <w:t xml:space="preserve">  </w:t>
      </w:r>
      <w:proofErr w:type="gramStart"/>
      <w:r w:rsidRPr="0014009B">
        <w:t>The Larson Siler survival curve with Kaplan-Meier plot for mortality based on the Owsley dataset.</w:t>
      </w:r>
      <w:proofErr w:type="gramEnd"/>
      <w:r w:rsidRPr="0014009B">
        <w:t xml:space="preserve">  Red is Kaplan-Meier, Blue is fitted survivor curve.</w:t>
      </w:r>
    </w:p>
    <w:p w:rsidR="001C002A" w:rsidRPr="0014009B" w:rsidRDefault="00C90CC6" w:rsidP="001C002A">
      <w:pPr>
        <w:spacing w:line="480" w:lineRule="auto"/>
        <w:jc w:val="center"/>
      </w:pPr>
      <w:r>
        <w:rPr>
          <w:noProof/>
        </w:rPr>
        <w:lastRenderedPageBreak/>
        <w:drawing>
          <wp:inline distT="0" distB="0" distL="0" distR="0">
            <wp:extent cx="5410200" cy="5400675"/>
            <wp:effectExtent l="0" t="0" r="0" b="0"/>
            <wp:docPr id="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10200" cy="5400675"/>
                    </a:xfrm>
                    <a:prstGeom prst="rect">
                      <a:avLst/>
                    </a:prstGeom>
                    <a:noFill/>
                    <a:ln>
                      <a:noFill/>
                    </a:ln>
                  </pic:spPr>
                </pic:pic>
              </a:graphicData>
            </a:graphic>
          </wp:inline>
        </w:drawing>
      </w:r>
    </w:p>
    <w:p w:rsidR="001C002A" w:rsidRPr="0014009B" w:rsidRDefault="001C002A" w:rsidP="001C002A">
      <w:pPr>
        <w:spacing w:line="480" w:lineRule="auto"/>
      </w:pPr>
      <w:proofErr w:type="gramStart"/>
      <w:r w:rsidRPr="0014009B">
        <w:t xml:space="preserve">Figure </w:t>
      </w:r>
      <w:r>
        <w:t>6.19</w:t>
      </w:r>
      <w:r w:rsidRPr="0014009B">
        <w:t>.</w:t>
      </w:r>
      <w:proofErr w:type="gramEnd"/>
      <w:r w:rsidRPr="0014009B">
        <w:t xml:space="preserve">  </w:t>
      </w:r>
      <w:proofErr w:type="gramStart"/>
      <w:r w:rsidRPr="0014009B">
        <w:t>The risk of death, hazard curve for the Larson site based on the Owsley dataset.</w:t>
      </w:r>
      <w:proofErr w:type="gramEnd"/>
    </w:p>
    <w:p w:rsidR="001C002A" w:rsidRPr="0014009B" w:rsidRDefault="001C002A" w:rsidP="001C002A">
      <w:pPr>
        <w:spacing w:line="480" w:lineRule="auto"/>
      </w:pPr>
    </w:p>
    <w:p w:rsidR="001C002A" w:rsidRPr="0014009B" w:rsidRDefault="00C90CC6" w:rsidP="001C002A">
      <w:pPr>
        <w:spacing w:line="480" w:lineRule="auto"/>
        <w:jc w:val="center"/>
      </w:pPr>
      <w:r>
        <w:rPr>
          <w:noProof/>
        </w:rPr>
        <w:lastRenderedPageBreak/>
        <w:drawing>
          <wp:inline distT="0" distB="0" distL="0" distR="0">
            <wp:extent cx="5695950" cy="5686425"/>
            <wp:effectExtent l="0" t="0" r="0" b="0"/>
            <wp:docPr id="5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95950" cy="56864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6.20</w:t>
      </w:r>
      <w:r w:rsidRPr="0014009B">
        <w:t>.</w:t>
      </w:r>
      <w:proofErr w:type="gramEnd"/>
      <w:r>
        <w:t xml:space="preserve"> </w:t>
      </w:r>
      <w:r w:rsidRPr="0014009B">
        <w:t xml:space="preserve"> Probability Density Function (PDF) for the Larson site based on the Owsley dataset.</w:t>
      </w:r>
    </w:p>
    <w:p w:rsidR="001C002A"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3F58AD" w:rsidRDefault="003F58AD" w:rsidP="001C002A">
      <w:pPr>
        <w:spacing w:line="480" w:lineRule="auto"/>
      </w:pPr>
    </w:p>
    <w:p w:rsidR="001C002A" w:rsidRPr="003F58AD" w:rsidRDefault="001C002A" w:rsidP="003F58AD">
      <w:pPr>
        <w:pStyle w:val="Heading3"/>
        <w:rPr>
          <w:rFonts w:ascii="Times New Roman" w:hAnsi="Times New Roman" w:cs="Times New Roman"/>
        </w:rPr>
      </w:pPr>
      <w:bookmarkStart w:id="48" w:name="_Toc349858154"/>
      <w:r w:rsidRPr="003F58AD">
        <w:rPr>
          <w:rFonts w:ascii="Times New Roman" w:hAnsi="Times New Roman" w:cs="Times New Roman"/>
        </w:rPr>
        <w:lastRenderedPageBreak/>
        <w:t>Demographic Measures</w:t>
      </w:r>
      <w:bookmarkEnd w:id="48"/>
      <w:r w:rsidRPr="003F58AD">
        <w:rPr>
          <w:rFonts w:ascii="Times New Roman" w:hAnsi="Times New Roman" w:cs="Times New Roman"/>
        </w:rPr>
        <w:t xml:space="preserve"> </w:t>
      </w:r>
    </w:p>
    <w:p w:rsidR="001C002A" w:rsidRPr="0014009B" w:rsidRDefault="001C002A" w:rsidP="001C002A">
      <w:pPr>
        <w:spacing w:line="480" w:lineRule="auto"/>
        <w:ind w:firstLine="720"/>
      </w:pPr>
      <w:r w:rsidRPr="0014009B">
        <w:t>The best-fitting four-parameter Siler model was used to calculate basic summary demographic measures such as mean-at-death, mean age of the living, and crude birth rate (which also implies crude death rate).</w:t>
      </w:r>
      <w:r>
        <w:t xml:space="preserve"> </w:t>
      </w:r>
      <w:r w:rsidRPr="0014009B">
        <w:t xml:space="preserve"> Table </w:t>
      </w:r>
      <w:r>
        <w:t>6.9</w:t>
      </w:r>
      <w:r w:rsidRPr="0014009B">
        <w:t xml:space="preserve"> provides the summary statistics for these measures for each of the datasets and also includes the mean age-at-death and crude birth rate calculated by Owsley (1975) and published in Owsley and Bass (1979).  The mean age-at-death for all datasets is fairly low implying a young population.</w:t>
      </w:r>
      <w:r>
        <w:t xml:space="preserve"> </w:t>
      </w:r>
      <w:r w:rsidRPr="0014009B">
        <w:t xml:space="preserve"> The Owsley dataset had the highest mean age-at-death, while the Multifactorial-skeletal had the lowest.  Interestingly, the mean age of the living was different. </w:t>
      </w:r>
      <w:r>
        <w:t xml:space="preserve"> </w:t>
      </w:r>
      <w:r w:rsidRPr="0014009B">
        <w:t xml:space="preserve">The Transition-dental dataset produced the highest mean age of the living </w:t>
      </w:r>
      <w:r>
        <w:t>at</w:t>
      </w:r>
      <w:r w:rsidRPr="0014009B">
        <w:t xml:space="preserve"> 20.78 years and the Multifactorial-dental </w:t>
      </w:r>
      <w:r>
        <w:t xml:space="preserve">dataset </w:t>
      </w:r>
      <w:r w:rsidRPr="0014009B">
        <w:t>produced the lowest at 14.29 years.  The dataset did significantly impact the demographic measures derived from the model.  The multifactorial based datasets produced results similar to the Owsley dataset and the published measures (Owsley and Bass 1979).</w:t>
      </w:r>
      <w:r>
        <w:t xml:space="preserve"> </w:t>
      </w:r>
      <w:r w:rsidRPr="0014009B">
        <w:t xml:space="preserve"> The Transition Analysis based datasets </w:t>
      </w:r>
      <w:r>
        <w:t>suggest</w:t>
      </w:r>
      <w:r w:rsidRPr="0014009B">
        <w:t xml:space="preserve"> a slightly older but still young population.  The lower mean ages for the living and deceased corresponds to the relatively high crude death rate.  The crude death rate figures range from 6% to near 10%. Correspondingly, the crude birth rate also ranges from 6% to 10%.</w:t>
      </w:r>
      <w:r>
        <w:t xml:space="preserve"> </w:t>
      </w:r>
      <w:r w:rsidRPr="0014009B">
        <w:t xml:space="preserve"> Either this population is significantly decreasing or increasing. </w:t>
      </w:r>
      <w:r>
        <w:t xml:space="preserve"> </w:t>
      </w:r>
      <w:r w:rsidRPr="0014009B">
        <w:t xml:space="preserve">Thus, models that do not assume stationarity like that used in this research need to be utilized to better understand the demographic patterns within the Larson site. </w:t>
      </w:r>
    </w:p>
    <w:p w:rsidR="001C002A"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1C002A" w:rsidRPr="0014009B" w:rsidRDefault="001C002A" w:rsidP="001C002A">
      <w:pPr>
        <w:spacing w:line="480" w:lineRule="auto"/>
      </w:pPr>
    </w:p>
    <w:p w:rsidR="001C002A" w:rsidRPr="0014009B" w:rsidRDefault="001C002A" w:rsidP="001C002A">
      <w:proofErr w:type="gramStart"/>
      <w:r w:rsidRPr="0014009B">
        <w:lastRenderedPageBreak/>
        <w:t xml:space="preserve">Table </w:t>
      </w:r>
      <w:r>
        <w:t>6.9</w:t>
      </w:r>
      <w:r w:rsidRPr="0014009B">
        <w:t>.</w:t>
      </w:r>
      <w:proofErr w:type="gramEnd"/>
      <w:r w:rsidRPr="0014009B">
        <w:t xml:space="preserve"> </w:t>
      </w:r>
      <w:r>
        <w:t xml:space="preserve"> </w:t>
      </w:r>
      <w:r w:rsidRPr="0014009B">
        <w:t>Summary demographic measures based on the Siler model for each Larson dataset.</w:t>
      </w:r>
    </w:p>
    <w:bookmarkStart w:id="49" w:name="_MON_1423291795"/>
    <w:bookmarkEnd w:id="49"/>
    <w:p w:rsidR="001C002A" w:rsidRPr="0014009B" w:rsidRDefault="001C002A" w:rsidP="001C002A">
      <w:pPr>
        <w:spacing w:line="480" w:lineRule="auto"/>
        <w:jc w:val="center"/>
      </w:pPr>
      <w:r w:rsidRPr="0014009B">
        <w:object w:dxaOrig="8209" w:dyaOrig="2344">
          <v:shape id="_x0000_i1033" type="#_x0000_t75" style="width:410.25pt;height:117pt" o:ole="">
            <v:imagedata r:id="rId50" o:title=""/>
          </v:shape>
          <o:OLEObject Type="Embed" ProgID="Excel.Sheet.12" ShapeID="_x0000_i1033" DrawAspect="Content" ObjectID="_1423600831" r:id="rId51"/>
        </w:object>
      </w:r>
    </w:p>
    <w:p w:rsidR="001C002A" w:rsidRDefault="001C002A" w:rsidP="001C002A">
      <w:pPr>
        <w:spacing w:line="480" w:lineRule="auto"/>
      </w:pPr>
    </w:p>
    <w:p w:rsidR="003F58AD" w:rsidRDefault="003F58AD" w:rsidP="001C002A">
      <w:pPr>
        <w:spacing w:line="480" w:lineRule="auto"/>
      </w:pPr>
    </w:p>
    <w:p w:rsidR="003F58AD" w:rsidRPr="0014009B" w:rsidRDefault="003F58AD" w:rsidP="001C002A">
      <w:pPr>
        <w:spacing w:line="480" w:lineRule="auto"/>
      </w:pPr>
    </w:p>
    <w:p w:rsidR="001C002A" w:rsidRPr="0014009B" w:rsidRDefault="001C002A" w:rsidP="001C002A">
      <w:pPr>
        <w:spacing w:line="480" w:lineRule="auto"/>
        <w:ind w:firstLine="720"/>
      </w:pPr>
      <w:r w:rsidRPr="0014009B">
        <w:t>The four-parameter Siler model was the best fitting model for all datasets and modeled the data well.  The age-independent, residual, parameter did not improve the models significantly.  A timing and rate of decline in the juvenile component between the different datasets is apparent.  The datasets that included juveniles aged through dentition had a lower initial risk of death and a less-steep curve associated with infant survivorship.  The datasets that integrate</w:t>
      </w:r>
      <w:r>
        <w:t>d</w:t>
      </w:r>
      <w:r w:rsidRPr="0014009B">
        <w:t xml:space="preserve"> skeletal ages for juveniles have a much higher initial risk of death with a very steep and rapid decline in survivorship.  The juveniles with skeletal-based ages appeared to have a greater risk of death than the juveniles with dental-based ages.</w:t>
      </w:r>
      <w:r>
        <w:t xml:space="preserve"> </w:t>
      </w:r>
      <w:r w:rsidRPr="0014009B">
        <w:t xml:space="preserve"> Also, the datasets with dental ages had a lower survivorship and PDF for the younger age groups compared to those with skeletal ages.  The datasets with dental ages had fewer juvenile individuals overall, which could be causing this pattern. </w:t>
      </w:r>
      <w:r>
        <w:t xml:space="preserve"> </w:t>
      </w:r>
      <w:r w:rsidRPr="0014009B">
        <w:t>Likewise, the timing and rate of decrease in older adult survivorship and the increase in risk of death were affected by the age-at-death estimation method.  Transition Analysis age-at-death methods extended the estimated ages at death for most adults beyond what the traditional age-at-death method</w:t>
      </w:r>
      <w:r>
        <w:t>s</w:t>
      </w:r>
      <w:r w:rsidRPr="0014009B">
        <w:t xml:space="preserve"> could.</w:t>
      </w:r>
      <w:r>
        <w:t xml:space="preserve"> </w:t>
      </w:r>
      <w:r w:rsidRPr="0014009B">
        <w:t xml:space="preserve"> As a result, the hazards increased, but not to the </w:t>
      </w:r>
      <w:r w:rsidRPr="0014009B">
        <w:lastRenderedPageBreak/>
        <w:t xml:space="preserve">significant levels causing the right side of the expected ‘bathtub’ shaped hazard curve to be almost non-existent.  The Multifactorial datasets and the Owsley dataset exhibit the relative steep increase with the advancing age, the right side of the ‘bathtub’, which would be expected based on the literature (Wood </w:t>
      </w:r>
      <w:r w:rsidRPr="00860D30">
        <w:rPr>
          <w:i/>
        </w:rPr>
        <w:t>et al</w:t>
      </w:r>
      <w:r w:rsidRPr="0014009B">
        <w:t>.</w:t>
      </w:r>
      <w:r>
        <w:t>,</w:t>
      </w:r>
      <w:r w:rsidRPr="0014009B">
        <w:t xml:space="preserve"> 2002). </w:t>
      </w:r>
      <w:r>
        <w:t xml:space="preserve"> </w:t>
      </w:r>
      <w:r w:rsidRPr="0014009B">
        <w:t>Regardless of the method used to estimate age, a few overall trends can be seen for the Larson site.  There is a high infant mortality rate in which children under the age of 5 years had a high risk of death.  This risk of death rapidly decreased where those that lived beyond age 10 years had a similar risk of death into adulthood.</w:t>
      </w:r>
      <w:r>
        <w:t xml:space="preserve"> </w:t>
      </w:r>
      <w:r w:rsidRPr="0014009B">
        <w:t xml:space="preserve"> This was followed by a small increase in risk with advancing years.  The fact that the probability density functions, which relates to the expected age-at-death distributions, are very similar from adolescence through late adulthood indicates that some force of mortality is affecting the population in a similar way that may not be age-related. </w:t>
      </w:r>
      <w:r>
        <w:t xml:space="preserve"> </w:t>
      </w:r>
      <w:r w:rsidRPr="0014009B">
        <w:t>The Larson cemetery represents a young population if mean age-at-death and mean age of the living are considered.  Transition Analysis datasets suggested an older age for the living population compared to the other datasets.</w:t>
      </w:r>
      <w:r>
        <w:t xml:space="preserve"> </w:t>
      </w:r>
      <w:r w:rsidRPr="0014009B">
        <w:t xml:space="preserve"> High crude and death rates are seen across all datasets indicating that </w:t>
      </w:r>
      <w:r>
        <w:t>the population dynamics of the Larson village are more complex than would be assumed</w:t>
      </w:r>
      <w:r w:rsidRPr="0014009B">
        <w:t xml:space="preserve">. </w:t>
      </w:r>
    </w:p>
    <w:p w:rsidR="001C002A" w:rsidRPr="0014009B" w:rsidRDefault="001C002A" w:rsidP="001C002A">
      <w:pPr>
        <w:spacing w:line="480" w:lineRule="auto"/>
      </w:pPr>
      <w:r w:rsidRPr="0014009B">
        <w:t xml:space="preserve">  </w:t>
      </w:r>
    </w:p>
    <w:p w:rsidR="001C002A" w:rsidRPr="003F58AD" w:rsidRDefault="001C002A" w:rsidP="003F58AD">
      <w:pPr>
        <w:pStyle w:val="Heading3"/>
        <w:rPr>
          <w:rFonts w:ascii="Times New Roman" w:hAnsi="Times New Roman" w:cs="Times New Roman"/>
        </w:rPr>
      </w:pPr>
      <w:bookmarkStart w:id="50" w:name="_Toc349858155"/>
      <w:r w:rsidRPr="003F58AD">
        <w:rPr>
          <w:rFonts w:ascii="Times New Roman" w:hAnsi="Times New Roman" w:cs="Times New Roman"/>
        </w:rPr>
        <w:t>Sex-Specific Mortality in the Larson site.</w:t>
      </w:r>
      <w:bookmarkEnd w:id="50"/>
    </w:p>
    <w:p w:rsidR="001C002A" w:rsidRPr="0014009B" w:rsidRDefault="001C002A" w:rsidP="001C002A">
      <w:pPr>
        <w:spacing w:line="480" w:lineRule="auto"/>
        <w:ind w:firstLine="720"/>
      </w:pPr>
      <w:r w:rsidRPr="0014009B">
        <w:t xml:space="preserve">The Kaplan-Meier models for the adult mortality consistently demonstrated a difference in the male and females regardless of the age-at-death estimation method. </w:t>
      </w:r>
      <w:r>
        <w:t xml:space="preserve"> </w:t>
      </w:r>
      <w:r w:rsidRPr="0014009B">
        <w:t>The survival curves indicate females had a lower average age at death.</w:t>
      </w:r>
      <w:r>
        <w:t xml:space="preserve"> </w:t>
      </w:r>
      <w:r w:rsidRPr="0014009B">
        <w:t xml:space="preserve"> However, the significance between male and female average age-at-deaths vary depending on the age-at-death method used to create the dataset. </w:t>
      </w:r>
      <w:r>
        <w:t xml:space="preserve"> </w:t>
      </w:r>
      <w:r w:rsidRPr="0014009B">
        <w:t xml:space="preserve">Overall, it appears that females had an increase in risk of death in early adult hood, but </w:t>
      </w:r>
      <w:r w:rsidRPr="0014009B">
        <w:lastRenderedPageBreak/>
        <w:t xml:space="preserve">females that survived to older age had a lower risk of death compared to their male counterpart.  Significant overlap exists between the male and female confidence intervals, but a trend in a sex differential in mortality is visible. </w:t>
      </w:r>
    </w:p>
    <w:p w:rsidR="001C002A" w:rsidRPr="0014009B" w:rsidRDefault="001C002A" w:rsidP="001C002A">
      <w:pPr>
        <w:spacing w:line="480" w:lineRule="auto"/>
        <w:ind w:firstLine="720"/>
      </w:pPr>
      <w:r w:rsidRPr="0014009B">
        <w:t>The Gompertz and Gompertz-Makeham models were fitted to the adult component for each of the Transition Analysis, Multifactorial, and Owsley datasets in order to determine if any sex differentials in mortality existed within the population.  The results from the Transition dataset will be the focus in the discussion section</w:t>
      </w:r>
      <w:r w:rsidR="002426F8">
        <w:t>.</w:t>
      </w:r>
      <w:r>
        <w:t xml:space="preserve"> </w:t>
      </w:r>
      <w:r w:rsidRPr="0014009B">
        <w:t xml:space="preserve"> Table </w:t>
      </w:r>
      <w:r>
        <w:t xml:space="preserve">6.10 </w:t>
      </w:r>
      <w:r w:rsidRPr="0014009B">
        <w:t xml:space="preserve">presents the results from Gompertz and Gompertz-Makeham for the adults within the Larson site. </w:t>
      </w:r>
      <w:r>
        <w:t xml:space="preserve"> </w:t>
      </w:r>
      <w:r w:rsidRPr="0014009B">
        <w:t>The Gompterz model fit well for all three datasets for male groups and was significant for the Transition Analysis and Owsley datasets for females.  The Gompterz-Makeham was the better model for the Multifactorial females.</w:t>
      </w:r>
    </w:p>
    <w:p w:rsidR="002426F8" w:rsidRDefault="001C002A" w:rsidP="002426F8">
      <w:pPr>
        <w:spacing w:line="480" w:lineRule="auto"/>
        <w:ind w:firstLine="720"/>
      </w:pPr>
      <w:r w:rsidRPr="0014009B">
        <w:t xml:space="preserve">Figure </w:t>
      </w:r>
      <w:r>
        <w:t>6.21</w:t>
      </w:r>
      <w:r w:rsidRPr="0014009B">
        <w:t xml:space="preserve"> and Figure </w:t>
      </w:r>
      <w:r>
        <w:t>6.22</w:t>
      </w:r>
      <w:r w:rsidRPr="0014009B">
        <w:t xml:space="preserve"> display the Kaplan-Meier </w:t>
      </w:r>
      <w:r>
        <w:t xml:space="preserve">survival </w:t>
      </w:r>
      <w:r w:rsidRPr="0014009B">
        <w:t>curve</w:t>
      </w:r>
      <w:r>
        <w:t>s</w:t>
      </w:r>
      <w:r w:rsidRPr="0014009B">
        <w:t xml:space="preserve"> for the combined dataset and the </w:t>
      </w:r>
      <w:r>
        <w:t xml:space="preserve">Kaplan-Meier survival </w:t>
      </w:r>
      <w:r w:rsidRPr="0014009B">
        <w:t xml:space="preserve">curve by sex for the Transition Analysis dataset. </w:t>
      </w:r>
      <w:r>
        <w:t xml:space="preserve"> </w:t>
      </w:r>
      <w:r w:rsidRPr="0014009B">
        <w:t xml:space="preserve">Males have a higher survivorship compared to females prior to age 40, but after age 40 females have a slightly higher survivorship. </w:t>
      </w:r>
      <w:r>
        <w:t xml:space="preserve"> </w:t>
      </w:r>
      <w:r w:rsidRPr="0014009B">
        <w:t>The life-expectancy at age 15, based on the Gompertz parameters is 34.9 years for males and 33.5 years for females.</w:t>
      </w:r>
      <w:r>
        <w:t xml:space="preserve"> </w:t>
      </w:r>
      <w:r w:rsidRPr="0014009B">
        <w:t xml:space="preserve"> Even though a variation in survivorship exists between males and females the overall estimated life expectancy was not significantly different. </w:t>
      </w:r>
    </w:p>
    <w:p w:rsidR="001C002A" w:rsidRPr="0014009B" w:rsidRDefault="001C002A" w:rsidP="002426F8">
      <w:pPr>
        <w:spacing w:line="480" w:lineRule="auto"/>
        <w:ind w:firstLine="720"/>
      </w:pPr>
      <w:r>
        <w:t>The survivorship pattern derived from the Gompertz model for males as seen in Figure 6.23</w:t>
      </w:r>
      <w:r w:rsidRPr="0014009B">
        <w:t xml:space="preserve"> and females</w:t>
      </w:r>
      <w:r>
        <w:t xml:space="preserve"> as seen in Figure 6.24 displays a slight difference in the overall pattern but the differences are not significant. </w:t>
      </w:r>
      <w:r w:rsidRPr="0014009B">
        <w:t xml:space="preserve"> Survivorship for females declines steeply from age 15 to age 30 and then declines at a slightly slow pace. </w:t>
      </w:r>
      <w:r>
        <w:t xml:space="preserve"> </w:t>
      </w:r>
      <w:r w:rsidRPr="0014009B">
        <w:t>Male survivorship declines steadily from age 15 to 40 at which point it starts to level and decrease at a much slower pace.</w:t>
      </w:r>
    </w:p>
    <w:p w:rsidR="001C002A" w:rsidRPr="0014009B" w:rsidRDefault="001C002A" w:rsidP="001C002A">
      <w:proofErr w:type="gramStart"/>
      <w:r w:rsidRPr="0014009B">
        <w:lastRenderedPageBreak/>
        <w:t xml:space="preserve">Table </w:t>
      </w:r>
      <w:r>
        <w:t>6.10.</w:t>
      </w:r>
      <w:proofErr w:type="gramEnd"/>
      <w:r>
        <w:t xml:space="preserve"> </w:t>
      </w:r>
      <w:r w:rsidRPr="0014009B">
        <w:t xml:space="preserve"> </w:t>
      </w:r>
      <w:proofErr w:type="gramStart"/>
      <w:r w:rsidRPr="0014009B">
        <w:t>Larson site sex-specific Gompterz and Gompertz-Makeham hazard model parameters for adults from the Transition, Multifactorial, and Owsley datasets.</w:t>
      </w:r>
      <w:proofErr w:type="gramEnd"/>
    </w:p>
    <w:bookmarkStart w:id="51" w:name="_MON_1423584203"/>
    <w:bookmarkEnd w:id="51"/>
    <w:p w:rsidR="001C002A" w:rsidRPr="0014009B" w:rsidRDefault="001C002A" w:rsidP="001C002A">
      <w:pPr>
        <w:spacing w:line="480" w:lineRule="auto"/>
        <w:jc w:val="center"/>
      </w:pPr>
      <w:r w:rsidRPr="0014009B">
        <w:object w:dxaOrig="7421" w:dyaOrig="6119">
          <v:shape id="_x0000_i1034" type="#_x0000_t75" style="width:371.25pt;height:306pt" o:ole="">
            <v:imagedata r:id="rId52" o:title=""/>
          </v:shape>
          <o:OLEObject Type="Embed" ProgID="Excel.Sheet.12" ShapeID="_x0000_i1034" DrawAspect="Content" ObjectID="_1423600832" r:id="rId53"/>
        </w:object>
      </w:r>
    </w:p>
    <w:p w:rsidR="001C002A" w:rsidRPr="0014009B" w:rsidRDefault="001C002A" w:rsidP="001C002A">
      <w:pPr>
        <w:spacing w:line="480" w:lineRule="auto"/>
      </w:pPr>
    </w:p>
    <w:p w:rsidR="001C002A" w:rsidRPr="0014009B"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1C002A" w:rsidRDefault="001C002A" w:rsidP="001C002A">
      <w:pPr>
        <w:spacing w:line="480" w:lineRule="auto"/>
      </w:pPr>
    </w:p>
    <w:p w:rsidR="001C002A" w:rsidRPr="0014009B" w:rsidRDefault="00C90CC6" w:rsidP="001C002A">
      <w:pPr>
        <w:spacing w:line="480" w:lineRule="auto"/>
        <w:jc w:val="center"/>
      </w:pPr>
      <w:r>
        <w:rPr>
          <w:noProof/>
        </w:rPr>
        <w:lastRenderedPageBreak/>
        <w:drawing>
          <wp:inline distT="0" distB="0" distL="0" distR="0">
            <wp:extent cx="5743575" cy="5743575"/>
            <wp:effectExtent l="0" t="0" r="0" b="0"/>
            <wp:docPr id="5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43575" cy="57435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6.21</w:t>
      </w:r>
      <w:r w:rsidRPr="0014009B">
        <w:t>.</w:t>
      </w:r>
      <w:proofErr w:type="gramEnd"/>
      <w:r>
        <w:t xml:space="preserve"> </w:t>
      </w:r>
      <w:r w:rsidRPr="0014009B">
        <w:t xml:space="preserve"> </w:t>
      </w:r>
      <w:proofErr w:type="gramStart"/>
      <w:r w:rsidRPr="0014009B">
        <w:t>Combined, adult Kaplan-Meier survival curve for the Larson site</w:t>
      </w:r>
      <w:r>
        <w:t xml:space="preserve"> based on the Transition Analysis dataset.</w:t>
      </w:r>
      <w:proofErr w:type="gramEnd"/>
    </w:p>
    <w:p w:rsidR="001C002A" w:rsidRDefault="001C002A" w:rsidP="001C002A">
      <w:pPr>
        <w:spacing w:line="480" w:lineRule="auto"/>
      </w:pPr>
    </w:p>
    <w:p w:rsidR="001C002A" w:rsidRDefault="001C002A" w:rsidP="001C002A">
      <w:pPr>
        <w:spacing w:line="480" w:lineRule="auto"/>
      </w:pPr>
    </w:p>
    <w:p w:rsidR="001C002A" w:rsidRPr="0014009B" w:rsidRDefault="001C002A" w:rsidP="001C002A">
      <w:pPr>
        <w:spacing w:line="480" w:lineRule="auto"/>
      </w:pPr>
    </w:p>
    <w:p w:rsidR="001C002A" w:rsidRPr="0014009B" w:rsidRDefault="00C90CC6" w:rsidP="001C002A">
      <w:pPr>
        <w:spacing w:line="480" w:lineRule="auto"/>
        <w:jc w:val="center"/>
      </w:pPr>
      <w:r>
        <w:rPr>
          <w:noProof/>
        </w:rPr>
        <w:lastRenderedPageBreak/>
        <w:drawing>
          <wp:inline distT="0" distB="0" distL="0" distR="0">
            <wp:extent cx="5905500" cy="5895975"/>
            <wp:effectExtent l="0" t="0" r="0" b="0"/>
            <wp:docPr id="5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05500" cy="58959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6.22.</w:t>
      </w:r>
      <w:proofErr w:type="gramEnd"/>
      <w:r>
        <w:t xml:space="preserve">  </w:t>
      </w:r>
      <w:r w:rsidRPr="0014009B">
        <w:t>Sex specific Kaplan-Meier survival curve for the Larson site.</w:t>
      </w:r>
    </w:p>
    <w:p w:rsidR="001C002A" w:rsidRPr="0014009B" w:rsidRDefault="001C002A" w:rsidP="001C002A">
      <w:pPr>
        <w:tabs>
          <w:tab w:val="left" w:pos="2837"/>
        </w:tabs>
        <w:spacing w:line="480" w:lineRule="auto"/>
      </w:pPr>
      <w:r w:rsidRPr="0014009B">
        <w:tab/>
      </w:r>
    </w:p>
    <w:p w:rsidR="001C002A" w:rsidRDefault="001C002A" w:rsidP="001C002A">
      <w:pPr>
        <w:spacing w:line="480" w:lineRule="auto"/>
      </w:pPr>
    </w:p>
    <w:p w:rsidR="001C002A" w:rsidRDefault="001C002A" w:rsidP="001C002A">
      <w:pPr>
        <w:spacing w:line="480" w:lineRule="auto"/>
      </w:pPr>
    </w:p>
    <w:p w:rsidR="001C002A" w:rsidRPr="0014009B" w:rsidRDefault="001C002A" w:rsidP="001C002A">
      <w:pPr>
        <w:spacing w:line="480" w:lineRule="auto"/>
      </w:pPr>
    </w:p>
    <w:p w:rsidR="001C002A" w:rsidRPr="0014009B" w:rsidRDefault="00C90CC6" w:rsidP="001C002A">
      <w:pPr>
        <w:jc w:val="center"/>
      </w:pPr>
      <w:r>
        <w:rPr>
          <w:noProof/>
        </w:rPr>
        <w:lastRenderedPageBreak/>
        <w:drawing>
          <wp:inline distT="0" distB="0" distL="0" distR="0">
            <wp:extent cx="3505200" cy="3114675"/>
            <wp:effectExtent l="0" t="0" r="0" b="0"/>
            <wp:docPr id="5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t="11066"/>
                    <a:stretch>
                      <a:fillRect/>
                    </a:stretch>
                  </pic:blipFill>
                  <pic:spPr bwMode="auto">
                    <a:xfrm>
                      <a:off x="0" y="0"/>
                      <a:ext cx="3505200" cy="311467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6.23</w:t>
      </w:r>
      <w:r w:rsidRPr="0014009B">
        <w:t>.</w:t>
      </w:r>
      <w:proofErr w:type="gramEnd"/>
      <w:r>
        <w:t xml:space="preserve"> </w:t>
      </w:r>
      <w:r w:rsidRPr="0014009B">
        <w:t xml:space="preserve"> </w:t>
      </w:r>
      <w:proofErr w:type="gramStart"/>
      <w:r w:rsidRPr="0014009B">
        <w:t>Gompertz survival curve for adult males from the Larson site using the Transition dataset.</w:t>
      </w:r>
      <w:proofErr w:type="gramEnd"/>
    </w:p>
    <w:p w:rsidR="001C002A" w:rsidRDefault="001C002A" w:rsidP="001C002A"/>
    <w:p w:rsidR="002426F8" w:rsidRDefault="002426F8" w:rsidP="001C002A"/>
    <w:p w:rsidR="002426F8" w:rsidRDefault="002426F8" w:rsidP="001C002A"/>
    <w:p w:rsidR="002426F8" w:rsidRDefault="002426F8" w:rsidP="001C002A"/>
    <w:p w:rsidR="002426F8" w:rsidRDefault="002426F8" w:rsidP="001C002A"/>
    <w:p w:rsidR="002426F8" w:rsidRDefault="002426F8" w:rsidP="001C002A"/>
    <w:p w:rsidR="001C002A" w:rsidRPr="0014009B" w:rsidRDefault="00C90CC6" w:rsidP="001C002A">
      <w:pPr>
        <w:jc w:val="center"/>
      </w:pPr>
      <w:r>
        <w:rPr>
          <w:noProof/>
        </w:rPr>
        <w:drawing>
          <wp:inline distT="0" distB="0" distL="0" distR="0">
            <wp:extent cx="3476625" cy="3019425"/>
            <wp:effectExtent l="0" t="0" r="0" b="0"/>
            <wp:docPr id="5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t="13242"/>
                    <a:stretch>
                      <a:fillRect/>
                    </a:stretch>
                  </pic:blipFill>
                  <pic:spPr bwMode="auto">
                    <a:xfrm>
                      <a:off x="0" y="0"/>
                      <a:ext cx="3476625" cy="30194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6.24</w:t>
      </w:r>
      <w:r w:rsidRPr="0014009B">
        <w:t>.</w:t>
      </w:r>
      <w:proofErr w:type="gramEnd"/>
      <w:r>
        <w:t xml:space="preserve"> </w:t>
      </w:r>
      <w:r w:rsidRPr="0014009B">
        <w:t xml:space="preserve"> </w:t>
      </w:r>
      <w:proofErr w:type="gramStart"/>
      <w:r w:rsidRPr="0014009B">
        <w:t>Gompertz survival curve for adult females from the Larson site using the Transition dataset.</w:t>
      </w:r>
      <w:proofErr w:type="gramEnd"/>
    </w:p>
    <w:p w:rsidR="001C002A" w:rsidRPr="0014009B" w:rsidRDefault="001C002A" w:rsidP="001C002A">
      <w:pPr>
        <w:spacing w:line="480" w:lineRule="auto"/>
        <w:ind w:firstLine="720"/>
      </w:pPr>
      <w:r w:rsidRPr="0014009B">
        <w:lastRenderedPageBreak/>
        <w:t>The Multifactorial dataset indicated a clear sex dif</w:t>
      </w:r>
      <w:r>
        <w:t xml:space="preserve">ferential in the Larson site.  </w:t>
      </w:r>
      <w:r w:rsidRPr="0014009B">
        <w:t xml:space="preserve">The Gompertz-Makeham model fit better than the Gompertz model for females, which suggests that some outside, age-independent factor is affecting the females.  The Gompertz fit well for the males.  </w:t>
      </w:r>
      <w:r>
        <w:t xml:space="preserve">The sex-specific Kaplan-Meier survival curve in </w:t>
      </w:r>
      <w:r w:rsidRPr="0014009B">
        <w:t xml:space="preserve">Figure </w:t>
      </w:r>
      <w:r>
        <w:t>6.25 demonstrates this difference.</w:t>
      </w:r>
      <w:r w:rsidRPr="0014009B">
        <w:t xml:space="preserve"> </w:t>
      </w:r>
      <w:r>
        <w:t xml:space="preserve"> </w:t>
      </w:r>
      <w:r w:rsidRPr="0014009B">
        <w:t xml:space="preserve">The life expectancy at adulthood for males within this dataset was 28.0 years, while life expectancy for females was 18.9 years. </w:t>
      </w:r>
      <w:r>
        <w:t xml:space="preserve"> </w:t>
      </w:r>
      <w:r w:rsidRPr="0014009B">
        <w:t>The same pattern is visible on the survivor curve as that seen in the Transition Analysis dataset.  Males have a higher survivorship in early adulthood and females have a slightly higher survivorship after age 40.</w:t>
      </w:r>
    </w:p>
    <w:p w:rsidR="001C002A" w:rsidRPr="0014009B" w:rsidRDefault="001C002A" w:rsidP="001C002A">
      <w:pPr>
        <w:spacing w:line="480" w:lineRule="auto"/>
        <w:ind w:firstLine="720"/>
      </w:pPr>
      <w:r w:rsidRPr="0014009B">
        <w:t>Adults experience</w:t>
      </w:r>
      <w:r>
        <w:t>d</w:t>
      </w:r>
      <w:r w:rsidRPr="0014009B">
        <w:t xml:space="preserve"> a high level of survivorship over juveniles regardless of the dataset.  This trend is most apparent in the Owsley dataset.  A sex difference is suggested </w:t>
      </w:r>
      <w:r>
        <w:t>in</w:t>
      </w:r>
      <w:r w:rsidRPr="0014009B">
        <w:t xml:space="preserve"> the sex-specific Kaplan-Meier survival curve </w:t>
      </w:r>
      <w:r>
        <w:t>for the Owsley dataset as shown in Figure 3.26.  H</w:t>
      </w:r>
      <w:r w:rsidRPr="0014009B">
        <w:t xml:space="preserve">owever, like the Transiton Analysis dataset, no difference was found </w:t>
      </w:r>
      <w:r>
        <w:t>between t</w:t>
      </w:r>
      <w:r w:rsidRPr="0014009B">
        <w:t>he life expectanc</w:t>
      </w:r>
      <w:r>
        <w:t>ies</w:t>
      </w:r>
      <w:r w:rsidRPr="0014009B">
        <w:t>.</w:t>
      </w:r>
      <w:r>
        <w:t xml:space="preserve"> </w:t>
      </w:r>
      <w:r w:rsidRPr="0014009B">
        <w:t xml:space="preserve"> Owsley females’ expected age at</w:t>
      </w:r>
      <w:r>
        <w:t xml:space="preserve"> death</w:t>
      </w:r>
      <w:r w:rsidRPr="0014009B">
        <w:t xml:space="preserve"> is 33.3 and males’ is 33.4.  </w:t>
      </w:r>
    </w:p>
    <w:p w:rsidR="001C002A" w:rsidRPr="0014009B" w:rsidRDefault="001C002A" w:rsidP="001C002A">
      <w:pPr>
        <w:spacing w:line="480" w:lineRule="auto"/>
        <w:ind w:firstLine="720"/>
      </w:pPr>
      <w:r w:rsidRPr="0014009B">
        <w:t>Males and females within the Larson site did not experience the sex differential in adult age at death</w:t>
      </w:r>
      <w:r>
        <w:t>s</w:t>
      </w:r>
      <w:r w:rsidRPr="0014009B">
        <w:t xml:space="preserve"> as has been suggested in the literature.  A difference only existed in the multifactorial dataset, which could be the result of less adults overall a</w:t>
      </w:r>
      <w:r>
        <w:t xml:space="preserve">nd the lack of females with </w:t>
      </w:r>
      <w:r w:rsidRPr="0014009B">
        <w:t xml:space="preserve">age-indicators available to score. </w:t>
      </w:r>
      <w:r>
        <w:t xml:space="preserve"> </w:t>
      </w:r>
      <w:r w:rsidRPr="0014009B">
        <w:t>The Transition Analysis and Owsley dataset produced very similar results, which supports the hypot</w:t>
      </w:r>
      <w:r>
        <w:t xml:space="preserve">hesis that there is no age-independent sex differential in mortality. </w:t>
      </w:r>
      <w:r w:rsidRPr="0014009B">
        <w:t xml:space="preserve"> </w:t>
      </w:r>
    </w:p>
    <w:p w:rsidR="001C002A" w:rsidRPr="0014009B" w:rsidRDefault="001C002A" w:rsidP="001C002A">
      <w:pPr>
        <w:spacing w:line="480" w:lineRule="auto"/>
      </w:pPr>
    </w:p>
    <w:p w:rsidR="001C002A" w:rsidRPr="0014009B" w:rsidRDefault="001C002A" w:rsidP="001C002A">
      <w:pPr>
        <w:spacing w:line="480" w:lineRule="auto"/>
      </w:pPr>
    </w:p>
    <w:p w:rsidR="001C002A" w:rsidRPr="0014009B" w:rsidRDefault="001C002A" w:rsidP="001C002A"/>
    <w:p w:rsidR="001C002A" w:rsidRPr="0014009B" w:rsidRDefault="00C90CC6" w:rsidP="001C002A">
      <w:pPr>
        <w:jc w:val="center"/>
      </w:pPr>
      <w:r>
        <w:rPr>
          <w:noProof/>
        </w:rPr>
        <w:lastRenderedPageBreak/>
        <w:drawing>
          <wp:inline distT="0" distB="0" distL="0" distR="0">
            <wp:extent cx="5429250" cy="4914900"/>
            <wp:effectExtent l="0" t="0" r="0" b="0"/>
            <wp:docPr id="4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14:useLocalDpi xmlns:a14="http://schemas.microsoft.com/office/drawing/2010/main" val="0"/>
                        </a:ext>
                      </a:extLst>
                    </a:blip>
                    <a:srcRect t="9355"/>
                    <a:stretch>
                      <a:fillRect/>
                    </a:stretch>
                  </pic:blipFill>
                  <pic:spPr bwMode="auto">
                    <a:xfrm>
                      <a:off x="0" y="0"/>
                      <a:ext cx="5429250" cy="4914900"/>
                    </a:xfrm>
                    <a:prstGeom prst="rect">
                      <a:avLst/>
                    </a:prstGeom>
                    <a:noFill/>
                    <a:ln>
                      <a:noFill/>
                    </a:ln>
                  </pic:spPr>
                </pic:pic>
              </a:graphicData>
            </a:graphic>
          </wp:inline>
        </w:drawing>
      </w:r>
    </w:p>
    <w:p w:rsidR="001C002A" w:rsidRDefault="001C002A" w:rsidP="001C002A">
      <w:proofErr w:type="gramStart"/>
      <w:r w:rsidRPr="0014009B">
        <w:t xml:space="preserve">Figure </w:t>
      </w:r>
      <w:r>
        <w:t>3.25</w:t>
      </w:r>
      <w:r w:rsidRPr="0014009B">
        <w:t>.</w:t>
      </w:r>
      <w:proofErr w:type="gramEnd"/>
      <w:r>
        <w:t xml:space="preserve"> </w:t>
      </w:r>
      <w:r w:rsidRPr="0014009B">
        <w:t xml:space="preserve"> Sex specific Kaplan-Meier survival curve for the Larson site using the Multifactorial dataset.</w:t>
      </w:r>
    </w:p>
    <w:p w:rsidR="001C002A" w:rsidRPr="0014009B" w:rsidRDefault="00C90CC6" w:rsidP="001C002A">
      <w:pPr>
        <w:jc w:val="center"/>
      </w:pPr>
      <w:r>
        <w:rPr>
          <w:noProof/>
        </w:rPr>
        <w:lastRenderedPageBreak/>
        <w:drawing>
          <wp:inline distT="0" distB="0" distL="0" distR="0">
            <wp:extent cx="5476875" cy="5038725"/>
            <wp:effectExtent l="0" t="0" r="0" b="0"/>
            <wp:docPr id="4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14:useLocalDpi xmlns:a14="http://schemas.microsoft.com/office/drawing/2010/main" val="0"/>
                        </a:ext>
                      </a:extLst>
                    </a:blip>
                    <a:srcRect t="7755"/>
                    <a:stretch>
                      <a:fillRect/>
                    </a:stretch>
                  </pic:blipFill>
                  <pic:spPr bwMode="auto">
                    <a:xfrm>
                      <a:off x="0" y="0"/>
                      <a:ext cx="5476875" cy="5038725"/>
                    </a:xfrm>
                    <a:prstGeom prst="rect">
                      <a:avLst/>
                    </a:prstGeom>
                    <a:noFill/>
                    <a:ln>
                      <a:noFill/>
                    </a:ln>
                  </pic:spPr>
                </pic:pic>
              </a:graphicData>
            </a:graphic>
          </wp:inline>
        </w:drawing>
      </w:r>
    </w:p>
    <w:p w:rsidR="001C002A" w:rsidRPr="0014009B" w:rsidRDefault="001C002A" w:rsidP="001C002A">
      <w:proofErr w:type="gramStart"/>
      <w:r w:rsidRPr="0014009B">
        <w:t xml:space="preserve">Figure </w:t>
      </w:r>
      <w:r>
        <w:t>6.26</w:t>
      </w:r>
      <w:r w:rsidRPr="0014009B">
        <w:t>.</w:t>
      </w:r>
      <w:proofErr w:type="gramEnd"/>
      <w:r>
        <w:t xml:space="preserve"> </w:t>
      </w:r>
      <w:r w:rsidRPr="0014009B">
        <w:t xml:space="preserve"> Sex specific Kaplan-Meier survival curve for the Larson site using the Owsley dataset.</w:t>
      </w:r>
    </w:p>
    <w:p w:rsidR="003D07AE" w:rsidRPr="002426F8" w:rsidRDefault="001C002A" w:rsidP="002426F8">
      <w:pPr>
        <w:pStyle w:val="Heading1"/>
        <w:jc w:val="center"/>
        <w:rPr>
          <w:rFonts w:ascii="Times New Roman" w:hAnsi="Times New Roman"/>
        </w:rPr>
      </w:pPr>
      <w:r>
        <w:br w:type="page"/>
      </w:r>
      <w:bookmarkStart w:id="52" w:name="_Toc349858156"/>
      <w:r w:rsidR="00FD4855" w:rsidRPr="002426F8">
        <w:rPr>
          <w:rFonts w:ascii="Times New Roman" w:hAnsi="Times New Roman"/>
        </w:rPr>
        <w:lastRenderedPageBreak/>
        <w:t>Chapter 7</w:t>
      </w:r>
      <w:bookmarkEnd w:id="52"/>
    </w:p>
    <w:p w:rsidR="00FD4855" w:rsidRPr="002426F8" w:rsidRDefault="00FD4855" w:rsidP="002426F8">
      <w:pPr>
        <w:pStyle w:val="Heading1"/>
        <w:jc w:val="center"/>
        <w:rPr>
          <w:rFonts w:ascii="Times New Roman" w:hAnsi="Times New Roman"/>
        </w:rPr>
      </w:pPr>
      <w:bookmarkStart w:id="53" w:name="_Toc349858157"/>
      <w:r w:rsidRPr="002426F8">
        <w:rPr>
          <w:rFonts w:ascii="Times New Roman" w:hAnsi="Times New Roman"/>
        </w:rPr>
        <w:t>Discussion</w:t>
      </w:r>
      <w:bookmarkEnd w:id="53"/>
    </w:p>
    <w:p w:rsidR="00FD4855" w:rsidRPr="00FD4855" w:rsidRDefault="00FD4855" w:rsidP="00FD4855"/>
    <w:p w:rsidR="00FD4855" w:rsidRDefault="00FD4855" w:rsidP="00FD4855"/>
    <w:p w:rsidR="00FD4855" w:rsidRPr="00B735D1" w:rsidRDefault="00FD4855" w:rsidP="00FD4855">
      <w:pPr>
        <w:spacing w:line="480" w:lineRule="auto"/>
        <w:ind w:firstLine="720"/>
      </w:pPr>
      <w:r w:rsidRPr="00B735D1">
        <w:t xml:space="preserve">The goal of this analysis was 1) to determine if hazard methodology would be significantly different than that which is published for the Larson site by Owsley and Bass (1979), which utilized life table methodology to obtain parameter estimates and 2) to determine if new age-at-death methods developed after the initial analysis of the Larson village in the early 1970s impact the mortality profile of the population and any subsequent interpretations. </w:t>
      </w:r>
    </w:p>
    <w:p w:rsidR="00FD4855" w:rsidRPr="00FD4855" w:rsidRDefault="00FD4855" w:rsidP="00FD4855">
      <w:pPr>
        <w:pStyle w:val="Heading3"/>
        <w:rPr>
          <w:rFonts w:ascii="Times New Roman" w:hAnsi="Times New Roman" w:cs="Times New Roman"/>
        </w:rPr>
      </w:pPr>
      <w:bookmarkStart w:id="54" w:name="_Toc349858158"/>
      <w:r w:rsidRPr="00FD4855">
        <w:rPr>
          <w:rFonts w:ascii="Times New Roman" w:hAnsi="Times New Roman" w:cs="Times New Roman"/>
        </w:rPr>
        <w:t>Age-at-death distributions</w:t>
      </w:r>
      <w:bookmarkEnd w:id="54"/>
    </w:p>
    <w:p w:rsidR="00FD4855" w:rsidRPr="00B735D1" w:rsidRDefault="00FD4855" w:rsidP="00FD4855">
      <w:pPr>
        <w:spacing w:line="480" w:lineRule="auto"/>
        <w:ind w:firstLine="720"/>
      </w:pPr>
      <w:r w:rsidRPr="00B735D1">
        <w:t xml:space="preserve">Although age-at-death distributions are not a recommended approach for analysis the age-at-death distributions from each dataset was made to allow for comparability with previous research. </w:t>
      </w:r>
      <w:r>
        <w:t xml:space="preserve"> </w:t>
      </w:r>
      <w:r w:rsidRPr="00B735D1">
        <w:t xml:space="preserve">The pattern of mortality is very similar between the datasets.  The age-at-death distributions for each dataset can be found in Appendix 1.  The reason why a major difference is not apparent in the age-at-death distributions is that these distributions are using individual ages, which omits the error associated with the estimate. </w:t>
      </w:r>
      <w:r>
        <w:t xml:space="preserve"> </w:t>
      </w:r>
      <w:r w:rsidRPr="00B735D1">
        <w:t xml:space="preserve">When a Siler or similar fitted age-at-death distribution is calculated it accounts for the error.  The differences seen in the age distributions are blurred when the estimate’s error is accounted for.  Traditional methods provide little information about inherent error in distributions of individual age estimates, so give the appearance of being much cleaner. </w:t>
      </w:r>
    </w:p>
    <w:p w:rsidR="00FD4855" w:rsidRPr="00B735D1" w:rsidRDefault="00FD4855" w:rsidP="00FD4855">
      <w:pPr>
        <w:spacing w:line="480" w:lineRule="auto"/>
        <w:ind w:firstLine="720"/>
      </w:pPr>
      <w:r w:rsidRPr="00B735D1">
        <w:t>Datasets that used dentition as the age-at-death estimation method for juveniles produced higher mean age-at-death estimates, but did not have the same effect on the mean age of the living.</w:t>
      </w:r>
      <w:r>
        <w:t xml:space="preserve"> </w:t>
      </w:r>
      <w:r w:rsidRPr="00B735D1">
        <w:t xml:space="preserve"> The dental ages were consistently older than the skeletal ages, especially for the very young.  When these ages were incorporated into the hazard models, the survivorship curve for </w:t>
      </w:r>
      <w:r w:rsidRPr="00B735D1">
        <w:lastRenderedPageBreak/>
        <w:t>individuals with dental ages started out lower than those with skeletal ages.  More juveniles were incorporated into the skeletal dataset with many of these reflecting the neonatal component of the skeletal assemblage, which did not have teeth associated with the remains.</w:t>
      </w:r>
      <w:r>
        <w:t xml:space="preserve"> </w:t>
      </w:r>
      <w:r w:rsidRPr="00B735D1">
        <w:t xml:space="preserve"> The fact that the teeth represented slightly older individuals and there were fewer individuals with teeth caused the shift in the survival curves.  The transition- dental, multifactorial-dental, and Owsley datasets produced similar survivorship and hazard curves for the juvenile component.  Dental ages for Arikara indicate a lower starting survivorship and a less steep slope in the decrease in survivorship within the first year of life.  </w:t>
      </w:r>
    </w:p>
    <w:p w:rsidR="00FD4855" w:rsidRPr="00B735D1" w:rsidRDefault="00FD4855" w:rsidP="00FD4855">
      <w:pPr>
        <w:spacing w:line="480" w:lineRule="auto"/>
        <w:ind w:firstLine="720"/>
      </w:pPr>
      <w:r w:rsidRPr="00B735D1">
        <w:t xml:space="preserve">The most significant difference between the hazards was in the adult age component of the mortality curves.  As this research demonstrates, the age-at-death estimation method utilized impacts demographic parameter estimates.  The dataset that incorporated Transition Analysis produced mortality curves that extended well into older adulthood and well beyond that which was produced from the Owsley or the Multifactorial-based datasets. </w:t>
      </w:r>
    </w:p>
    <w:p w:rsidR="00FD4855" w:rsidRPr="00B735D1" w:rsidRDefault="00FD4855" w:rsidP="00FD4855">
      <w:pPr>
        <w:spacing w:line="480" w:lineRule="auto"/>
        <w:ind w:firstLine="720"/>
      </w:pPr>
      <w:r w:rsidRPr="00B735D1">
        <w:t xml:space="preserve"> The survivor and the hazard curve for the Owsley dataset, which used Todd (1920) standards to produce the adult age-at-death estimates displayed several distinct steps in the survivor curve.  These steps reflect the lumping common in older age at death methods in which the ages were rounded to end in a 5 or 0.  Also the Owsley curves displayed a steep drop in survivorship and a sudden, spike in hazard of death at the age of 45 years.  This corresponds with the aging method’s terminal phase of 50+ years.  The hazard curve implies that the population did not contain individuals beyond this age, which is unrealistic. </w:t>
      </w:r>
      <w:r>
        <w:t xml:space="preserve"> </w:t>
      </w:r>
      <w:r w:rsidRPr="00B735D1">
        <w:t xml:space="preserve">Also, the rate of the hazard at the terminal phase is greater than that of the juvenile component.  This has been indicated a normal appearance to a pre-industrial population based on model life tables (Coale and Demeny, </w:t>
      </w:r>
      <w:r w:rsidRPr="00B735D1">
        <w:lastRenderedPageBreak/>
        <w:t>1983), but the hazard is more parabolic than hyperbolic.</w:t>
      </w:r>
      <w:r>
        <w:t xml:space="preserve"> </w:t>
      </w:r>
      <w:r w:rsidRPr="00B735D1">
        <w:t xml:space="preserve"> A hyperbolic curve to the adult hazard would be more congruent with a living population.</w:t>
      </w:r>
    </w:p>
    <w:p w:rsidR="00FD4855" w:rsidRPr="00B735D1" w:rsidRDefault="00FD4855" w:rsidP="00FD4855">
      <w:pPr>
        <w:spacing w:line="480" w:lineRule="auto"/>
        <w:ind w:firstLine="720"/>
      </w:pPr>
      <w:r w:rsidRPr="00B735D1">
        <w:t xml:space="preserve"> The multifactorial datasets, which incorporated multiple phase-based approaches through maximum-likelihood, improved the adult component of the hazard and survivor curves.  The multifactorial had a greater shift in survivorship rates in the late adolescent/ young adult period.  This was the result of many of the age estimates having point estimates approximately 15 years.  The method caused a lumping in the younger adult age category that was not as significant in the other datasets.  The multifactorial also saw a lumping in the older age range, which was a product of the underlying age-at-death methods used.  The terminal age range for the multifactorial ages was 60+, which corresponds to the slope of the hazard curve increasing at 60 years.  The multifactorial method alleviates some of the reference sample bias obvious in the Owsley dataset, because it extends the curve outward and those improves the interpretability of the older ages.  Even though the multifactorial method proposed by Uhl (2013) can benefit the forensic community by providing prediction intervals for combined skeletal indicators, it does not improve paleodemographic analysis to the extent that Transition Analysis methods have.</w:t>
      </w:r>
    </w:p>
    <w:p w:rsidR="00FD4855" w:rsidRPr="00B735D1" w:rsidRDefault="00FD4855" w:rsidP="00FD4855">
      <w:pPr>
        <w:spacing w:line="480" w:lineRule="auto"/>
        <w:ind w:firstLine="720"/>
      </w:pPr>
      <w:r w:rsidRPr="00B735D1">
        <w:t xml:space="preserve">The Transition Analysis datasets show the most promise for paleodemography.  The foundation for Transition analysis follows the Rostock protocols, eliminates much of the inherent reference sample bias, and can utilize the maximum amount of data compared to the other methods in this research.  Since Transition Analysis datasets did not mimic the reference sample distribution, the Siler survivorship and hazard curves had a much different appearance than the Owsley or Multifactorial datasets.  In particular, the hazard curve extended farther and had a much smaller slope.  An increase in the hazard is apparent after the age of 40, which implies an </w:t>
      </w:r>
      <w:r w:rsidRPr="00B735D1">
        <w:lastRenderedPageBreak/>
        <w:t>increase in risk of death with advancing age, but does not indicate a complete dying-off of the population.</w:t>
      </w:r>
      <w:r>
        <w:t xml:space="preserve"> </w:t>
      </w:r>
      <w:r w:rsidRPr="00B735D1">
        <w:t xml:space="preserve"> Transition Analysis through the computer program ADBOU, produced age estimates in the 80 and 90 year range, which neither of the other methods could.  Also, the Transition Analysis datasets incorporated more adult individuals, which was a major limitation of the Multifactorial methods that require complete skeletal indicators for scoring. </w:t>
      </w:r>
    </w:p>
    <w:p w:rsidR="00FD4855" w:rsidRPr="00FD4855" w:rsidRDefault="00FD4855" w:rsidP="00FD4855">
      <w:pPr>
        <w:pStyle w:val="Heading3"/>
        <w:rPr>
          <w:rFonts w:ascii="Times New Roman" w:hAnsi="Times New Roman" w:cs="Times New Roman"/>
          <w:szCs w:val="24"/>
        </w:rPr>
      </w:pPr>
      <w:bookmarkStart w:id="55" w:name="_Toc349858159"/>
      <w:r w:rsidRPr="00FD4855">
        <w:rPr>
          <w:rFonts w:ascii="Times New Roman" w:hAnsi="Times New Roman" w:cs="Times New Roman"/>
        </w:rPr>
        <w:t xml:space="preserve">Mortality in the </w:t>
      </w:r>
      <w:r w:rsidRPr="00FD4855">
        <w:rPr>
          <w:rFonts w:ascii="Times New Roman" w:hAnsi="Times New Roman" w:cs="Times New Roman"/>
          <w:szCs w:val="24"/>
        </w:rPr>
        <w:t>Larson</w:t>
      </w:r>
      <w:r w:rsidRPr="00FD4855">
        <w:rPr>
          <w:rFonts w:ascii="Times New Roman" w:hAnsi="Times New Roman" w:cs="Times New Roman"/>
        </w:rPr>
        <w:t xml:space="preserve"> site</w:t>
      </w:r>
      <w:bookmarkEnd w:id="55"/>
      <w:r w:rsidRPr="00FD4855">
        <w:rPr>
          <w:rFonts w:ascii="Times New Roman" w:hAnsi="Times New Roman" w:cs="Times New Roman"/>
          <w:szCs w:val="24"/>
        </w:rPr>
        <w:t xml:space="preserve">   </w:t>
      </w:r>
    </w:p>
    <w:p w:rsidR="00FD4855" w:rsidRPr="00B735D1" w:rsidRDefault="00FD4855" w:rsidP="00FD4855">
      <w:pPr>
        <w:spacing w:line="480" w:lineRule="auto"/>
        <w:ind w:firstLine="720"/>
      </w:pPr>
      <w:r w:rsidRPr="00B735D1">
        <w:t>It is nearly impossible to find a perfect model to fit all of the patterns of human mortality.</w:t>
      </w:r>
      <w:r>
        <w:t xml:space="preserve"> </w:t>
      </w:r>
      <w:r w:rsidRPr="00B735D1">
        <w:t xml:space="preserve"> A plethora of models have been suggested, but tend to not fit the entire mortality pattern, are over-parameterized, or lack interpretability (Gage and Mode, 1993).  The Siler model used in this analysis provided an excellent fit to all of the different age-at-death datasets without compromising utility in understanding the overall pattern of mortality.  The Goodness of fit test, through qualitative assessment of the survival curves and quantitative analysis of the likelihood ratio, indicated that the four-parameter Siler model performed better than the five-parameter Siler model.  This suggests that the addition of the age-independent residual rate associated with adult mortality is not a factor within the Larson site. </w:t>
      </w:r>
    </w:p>
    <w:p w:rsidR="00FD4855" w:rsidRPr="00B735D1" w:rsidRDefault="00FD4855" w:rsidP="00FD4855">
      <w:pPr>
        <w:spacing w:line="480" w:lineRule="auto"/>
        <w:ind w:firstLine="720"/>
      </w:pPr>
      <w:r w:rsidRPr="00B735D1">
        <w:t xml:space="preserve">Consistent with previous analyses, the Larson Site had a high number of infants and young children. </w:t>
      </w:r>
      <w:r>
        <w:t xml:space="preserve"> </w:t>
      </w:r>
      <w:r w:rsidRPr="00B735D1">
        <w:t xml:space="preserve">The under -five age category comprises almost one-third of the entire dataset.  An overall increase proportion of juveniles decreased the mean-at-death.  Life expectancies derived from all datasets were low, ranging from 10 to 16 years.  A lower mean age-at-death has been interpreted as an elevated juvenile mortality level and a general decline in health (Goodman </w:t>
      </w:r>
      <w:r w:rsidRPr="00B735D1">
        <w:rPr>
          <w:i/>
        </w:rPr>
        <w:t>et al</w:t>
      </w:r>
      <w:r w:rsidRPr="00B735D1">
        <w:t xml:space="preserve">., 1984; Goodman </w:t>
      </w:r>
      <w:r w:rsidRPr="00B735D1">
        <w:rPr>
          <w:i/>
        </w:rPr>
        <w:t>et al</w:t>
      </w:r>
      <w:r w:rsidRPr="00B735D1">
        <w:t xml:space="preserve">., 2002). Others have argued that mean age-at-death is not a good indicator of population health due to sample bias, as this could be the result of the poor </w:t>
      </w:r>
      <w:r w:rsidRPr="00B735D1">
        <w:lastRenderedPageBreak/>
        <w:t xml:space="preserve">preservation of adult skeletal material. Gurven and Kaplan (2007) demonstrate that infant mortality values account for 56% of the variation in life expectancy at one and 52% in the age-independent category, so demographic analysis cannot stop with life expectancy tabulations. Regardless, examination of the juvenile proportion (Buikstra </w:t>
      </w:r>
      <w:r w:rsidRPr="00B735D1">
        <w:rPr>
          <w:i/>
        </w:rPr>
        <w:t>et al</w:t>
      </w:r>
      <w:r w:rsidRPr="00B735D1">
        <w:t>.</w:t>
      </w:r>
      <w:r>
        <w:t>,</w:t>
      </w:r>
      <w:r w:rsidRPr="00B735D1">
        <w:t xml:space="preserve"> 1986) supports a high proportion of juveniles, not just those younger than five. In fact the juvenile index for all datasets was relatively high and approached the approximate 75% level that implies high levels of mortality for early childhood.  </w:t>
      </w:r>
    </w:p>
    <w:p w:rsidR="00FD4855" w:rsidRPr="00B735D1" w:rsidRDefault="00FD4855" w:rsidP="00FD4855">
      <w:pPr>
        <w:spacing w:line="480" w:lineRule="auto"/>
        <w:ind w:firstLine="720"/>
      </w:pPr>
      <w:r w:rsidRPr="00B735D1">
        <w:t xml:space="preserve">The availability of resources could explain much of the juvenile component.  Nutrition, resource acquisition, and overall food supply are considered to be a major factor in patterns of mortality overtime (Gage and O’Connor, 1994).  Food and nutrition have are believed to be the cause for the historical decline in mortality and the epidemiological transition in causes of death from infectious disease to degenerative disease.  Also, this idea also serves as the basis for the increase in population size associated with the transition to agriculture, because the greater access to food permitted population growth.  Nutrition </w:t>
      </w:r>
      <w:proofErr w:type="gramStart"/>
      <w:r w:rsidRPr="00B735D1">
        <w:t>It</w:t>
      </w:r>
      <w:proofErr w:type="gramEnd"/>
      <w:r w:rsidRPr="00B735D1">
        <w:t xml:space="preserve"> can also be used to explain the short life expectancies and the high risk of death for pre-industrial horticultural populations.  These populations were greatly affected by seasonal changes and resource changes.  Archaeological evidence indicates the Arikara moved approximately every 30 years when local resources would have been diminished (Ewers, 1968).</w:t>
      </w:r>
      <w:r>
        <w:t xml:space="preserve"> </w:t>
      </w:r>
      <w:r w:rsidRPr="00B735D1">
        <w:t xml:space="preserve"> Records indicate that the Arikara were nutritional deficient due to crop failure just prior to the small-pox epidemic in 1837-1838 (Trimble, 1994).  The late 18</w:t>
      </w:r>
      <w:r w:rsidRPr="00B735D1">
        <w:rPr>
          <w:vertAlign w:val="superscript"/>
        </w:rPr>
        <w:t>th</w:t>
      </w:r>
      <w:r w:rsidRPr="00B735D1">
        <w:t xml:space="preserve"> century Arikara at Larson could have had diminished nutritional resources that would have affected their risk of death during an infectious disease epidemic.</w:t>
      </w:r>
      <w:r>
        <w:t xml:space="preserve"> </w:t>
      </w:r>
      <w:r w:rsidRPr="00B735D1">
        <w:t xml:space="preserve"> Also, several researchers have noted skeletal indicators of respiratory illnesses in different Arikara sites with many of the </w:t>
      </w:r>
      <w:r w:rsidRPr="00B735D1">
        <w:lastRenderedPageBreak/>
        <w:t xml:space="preserve">affected skeletons being juveniles (Palkovich, 1983; Kelley </w:t>
      </w:r>
      <w:r w:rsidRPr="00B735D1">
        <w:rPr>
          <w:i/>
        </w:rPr>
        <w:t>et al</w:t>
      </w:r>
      <w:r w:rsidRPr="00B735D1">
        <w:t xml:space="preserve">., 1994). </w:t>
      </w:r>
      <w:r>
        <w:t xml:space="preserve"> </w:t>
      </w:r>
      <w:r w:rsidRPr="00B735D1">
        <w:t xml:space="preserve">Kelley </w:t>
      </w:r>
      <w:r w:rsidRPr="00B735D1">
        <w:rPr>
          <w:i/>
        </w:rPr>
        <w:t>et al</w:t>
      </w:r>
      <w:r w:rsidRPr="00B735D1">
        <w:t>. (1994) analysis on the rate and patterning of periostitis on the visceral surface of the ribs in the Larson, Sully, Mobridge, and Leavenworth suggests tuberculosis and/or pneumonia were prevalent in the 18</w:t>
      </w:r>
      <w:r w:rsidRPr="00B735D1">
        <w:rPr>
          <w:vertAlign w:val="superscript"/>
        </w:rPr>
        <w:t>th</w:t>
      </w:r>
      <w:r w:rsidRPr="00B735D1">
        <w:t xml:space="preserve"> century along with the smallpox, measles, and treponemal infections.</w:t>
      </w:r>
    </w:p>
    <w:p w:rsidR="00FD4855" w:rsidRPr="00B735D1" w:rsidRDefault="00FD4855" w:rsidP="00FD4855">
      <w:pPr>
        <w:spacing w:line="480" w:lineRule="auto"/>
        <w:ind w:firstLine="720"/>
      </w:pPr>
      <w:r w:rsidRPr="00B735D1">
        <w:t>Utilizing the transition analysis-dental dataset as the basis for this discussion would suggest that the mean age at death for the Larson population was 16.6 years and the mean age of the living was 20.8 years.  This is much higher than the 13.2 life expectancy value suggested by Owsley and Bass (1979).  The higher life expectancy value is a primary result of the age at death methods.</w:t>
      </w:r>
      <w:r>
        <w:t xml:space="preserve"> </w:t>
      </w:r>
      <w:r w:rsidRPr="00B735D1">
        <w:t xml:space="preserve"> Transition Analysis performs well for estimating ages of older individuals, which extends the mortality curve beyond what was possible with traditional methods.  Also, the crude death rate is 60 per 1000 whereas Owsley and Bass (1979) suggested a crude death rate of 76.  They state that the crude death rate is in accordance with the archaeological literature that the Arikara experienced a rapid decline during the post-contact period.  The crude death rate calculated in this research is closer to that of Leavenworth’s rate of 63, which is a population known to have been in decline.  Prior research suggested that the death rate exceeded the fertility rate, which this research does not support. McCaa (2002) study using data available through the Western Hemisphere database suggests that fertility rates were high for most populations into the 19</w:t>
      </w:r>
      <w:r w:rsidRPr="00B735D1">
        <w:rPr>
          <w:vertAlign w:val="superscript"/>
        </w:rPr>
        <w:t>th</w:t>
      </w:r>
      <w:r w:rsidRPr="00B735D1">
        <w:t xml:space="preserve"> century, but a demographic transformation began 500 years ago in the Americas with the intrusion of the Old World into the New World. The data presented indicates a relatively high fertility rate, which is in line with comparable Native American populations in the New World (Bocquet-Appel and Naji, 2006).  In a low fertility population, the average age in the population </w:t>
      </w:r>
      <w:r w:rsidRPr="00B735D1">
        <w:lastRenderedPageBreak/>
        <w:t>will be higher and the pyramid will have a rectangular shape instead of the pyramid (McCaa</w:t>
      </w:r>
      <w:r>
        <w:t>,</w:t>
      </w:r>
      <w:r w:rsidRPr="00B735D1">
        <w:t xml:space="preserve"> 2002), which is not being seen in the Larson site.</w:t>
      </w:r>
    </w:p>
    <w:p w:rsidR="00FD4855" w:rsidRPr="00B735D1" w:rsidRDefault="00FD4855" w:rsidP="00FD4855">
      <w:pPr>
        <w:spacing w:line="480" w:lineRule="auto"/>
        <w:ind w:firstLine="720"/>
      </w:pPr>
      <w:r w:rsidRPr="00B735D1">
        <w:t xml:space="preserve">  The basic demographic statistics outlines here do not indicate a population in decline, but one that is similar to neighboring Arikiara groups and other Native American populations.  The Larson village may have been affected by the increase in European presence, but the documented decline in numbers cannot be explained through the crude fertility or death rates.  Other evidence of population decline is found archaeologically (Holder, 1970).  The post-contact Arikara sites of the late 17</w:t>
      </w:r>
      <w:r w:rsidRPr="00B735D1">
        <w:rPr>
          <w:vertAlign w:val="superscript"/>
        </w:rPr>
        <w:t>th</w:t>
      </w:r>
      <w:r w:rsidRPr="00B735D1">
        <w:t xml:space="preserve"> and 18</w:t>
      </w:r>
      <w:r w:rsidRPr="00B735D1">
        <w:rPr>
          <w:vertAlign w:val="superscript"/>
        </w:rPr>
        <w:t>th</w:t>
      </w:r>
      <w:r w:rsidRPr="00B735D1">
        <w:t xml:space="preserve"> centuries demonstrate a reduction in house size and shifting of the fortification ditches to smaller spaces (Holder, 1970). </w:t>
      </w:r>
      <w:r>
        <w:t xml:space="preserve"> </w:t>
      </w:r>
      <w:r w:rsidRPr="00B735D1">
        <w:t>The short length of the Larson village occupation may be obscuring temporal trends found at the multi-component sites of Sully and Mobridge</w:t>
      </w:r>
      <w:r>
        <w:t xml:space="preserve">, which have </w:t>
      </w:r>
      <w:r w:rsidRPr="00B735D1">
        <w:t>longer village occupation lengths.</w:t>
      </w:r>
      <w:r>
        <w:t xml:space="preserve"> </w:t>
      </w:r>
      <w:r w:rsidRPr="00B735D1">
        <w:t xml:space="preserve"> The high number of juvenile indicates a high fertility rate.  If the population was in decline, the expected model would have fewer juveniles than older adults.  Either way, models like the one utilized in this research that assumes a stationary population may not be appropriate.  Other models that incorporate growth and decline should be examined.  </w:t>
      </w:r>
    </w:p>
    <w:p w:rsidR="00FD4855" w:rsidRPr="00B735D1" w:rsidRDefault="00FD4855" w:rsidP="00FD4855">
      <w:pPr>
        <w:spacing w:line="480" w:lineRule="auto"/>
        <w:ind w:firstLine="720"/>
      </w:pPr>
      <w:r w:rsidRPr="00B735D1">
        <w:t>Palkovich (1981) indicates that the Arikara were hit by smallpox epidemics during the early 18</w:t>
      </w:r>
      <w:r w:rsidRPr="00B735D1">
        <w:rPr>
          <w:vertAlign w:val="superscript"/>
        </w:rPr>
        <w:t>th</w:t>
      </w:r>
      <w:r w:rsidRPr="00B735D1">
        <w:t xml:space="preserve"> century, but little demographic evidence for population decline exists between 1680 and 1740 (Johansson and Owsley</w:t>
      </w:r>
      <w:r>
        <w:t>,</w:t>
      </w:r>
      <w:r w:rsidRPr="00B735D1">
        <w:t xml:space="preserve"> 2002).  Johansson and Owsley (2002) used 273 Arikara skeletons from 5 sites dating </w:t>
      </w:r>
      <w:proofErr w:type="gramStart"/>
      <w:r w:rsidRPr="00B735D1">
        <w:t>between 1250 to 1750,</w:t>
      </w:r>
      <w:proofErr w:type="gramEnd"/>
      <w:r w:rsidRPr="00B735D1">
        <w:t xml:space="preserve"> but did not include the Larson site because of the large number of juveniles.  The mean age-at-death for the collection was 19 years, which would have decreased to 13.2 years if Larson was incorporated into the sample.  The data from this research indicates the mean age-at-death is much closer to the 19 years from the other sites. </w:t>
      </w:r>
      <w:r w:rsidRPr="00B735D1">
        <w:lastRenderedPageBreak/>
        <w:t xml:space="preserve">They state that Archaeological data indicates that initial contact with European traders in the Upper Missouri improved the Native American welfare and stimulated population growth.  Johansson and Owsley argue that intertribal conflict created by expansion of the Europeans, caused the major population decline in the Upper Plains instead of the exposure to pathogens.  Johansson and Owsley (2002) contend that after 1740 inter-tribal conflict increased, with evidence from the Larson village (Owsley </w:t>
      </w:r>
      <w:r w:rsidRPr="00B735D1">
        <w:rPr>
          <w:i/>
        </w:rPr>
        <w:t>et al</w:t>
      </w:r>
      <w:r w:rsidRPr="00B735D1">
        <w:t>.</w:t>
      </w:r>
      <w:r>
        <w:t>,</w:t>
      </w:r>
      <w:r w:rsidRPr="00B735D1">
        <w:t xml:space="preserve"> 1979), which was a major cause of the population decline.  Furthermore, they imply that the in the beginning of the 18</w:t>
      </w:r>
      <w:r w:rsidRPr="00B735D1">
        <w:rPr>
          <w:vertAlign w:val="superscript"/>
        </w:rPr>
        <w:t>th</w:t>
      </w:r>
      <w:r w:rsidRPr="00B735D1">
        <w:t xml:space="preserve"> century the Arikara were increasing in size based on village size, midden deposits, and food storage facilities (Owsley, 1994), and that evidence for population decline is not supported archaeology until 1760-1780.  Written descriptions support this decline in the late 18</w:t>
      </w:r>
      <w:r w:rsidRPr="00B735D1">
        <w:rPr>
          <w:vertAlign w:val="superscript"/>
        </w:rPr>
        <w:t>th</w:t>
      </w:r>
      <w:r w:rsidRPr="00B735D1">
        <w:t xml:space="preserve"> century. </w:t>
      </w:r>
      <w:r>
        <w:t xml:space="preserve"> </w:t>
      </w:r>
      <w:r w:rsidRPr="00B735D1">
        <w:t>References state that only seven remaining villages containing about 900 warriors, which translates to approximately 3600 to 4500 individuals (Owsley and Bass</w:t>
      </w:r>
      <w:r>
        <w:t>,</w:t>
      </w:r>
      <w:r w:rsidRPr="00B735D1">
        <w:t xml:space="preserve"> 1979). </w:t>
      </w:r>
    </w:p>
    <w:p w:rsidR="00FD4855" w:rsidRPr="00B735D1" w:rsidRDefault="00FD4855" w:rsidP="00FD4855">
      <w:pPr>
        <w:spacing w:line="480" w:lineRule="auto"/>
        <w:ind w:firstLine="720"/>
      </w:pPr>
      <w:r w:rsidRPr="00B735D1">
        <w:t xml:space="preserve">Additionally, Owsley (1975) stated that the demographic data support a hypothesis that the population was infected by smallpox and that the error from the normal population vital stats is caused by the inclusion of epidemic-produced mortality.  Trimble (1994) provides a good historical correlate to what may have occurred in the 1870-1871 time period.  The smallpox epidemic of 1837-1838 completely de-stabilized the Native American populations of the Upper Missouri river in which one half of the Arikara were believed to have died (Abel, 1932). </w:t>
      </w:r>
      <w:r>
        <w:t xml:space="preserve"> </w:t>
      </w:r>
      <w:r w:rsidRPr="00B735D1">
        <w:t xml:space="preserve">Observations of the living conditions of the semi-sedentary tribes described them as crowded and unsanitary, which increased the virulence of the disease compared to their more nomadic counterparts.  The epidemic completely destabilized the socio-political structure and </w:t>
      </w:r>
      <w:r w:rsidRPr="00B735D1">
        <w:lastRenderedPageBreak/>
        <w:t>permanently altered the culture of the Northern Plains Indians and led to the coalescence of the remaining horticultural peoples from the Hidatsa, Mandan, and Arikara (Trimble</w:t>
      </w:r>
      <w:r>
        <w:t>,</w:t>
      </w:r>
      <w:r w:rsidRPr="00B735D1">
        <w:t xml:space="preserve"> 1994). </w:t>
      </w:r>
    </w:p>
    <w:p w:rsidR="00FD4855" w:rsidRPr="00B735D1" w:rsidRDefault="00FD4855" w:rsidP="00FD4855">
      <w:pPr>
        <w:spacing w:line="480" w:lineRule="auto"/>
        <w:ind w:firstLine="720"/>
      </w:pPr>
      <w:r w:rsidRPr="00B735D1">
        <w:t>The Larson Site cemetery could very easily represent an epidemic population.  Epidemic populations have a very similar age distribution to that of the living.</w:t>
      </w:r>
      <w:r>
        <w:t xml:space="preserve"> </w:t>
      </w:r>
      <w:r w:rsidRPr="00B735D1">
        <w:t xml:space="preserve"> Signoli </w:t>
      </w:r>
      <w:r w:rsidRPr="00B735D1">
        <w:rPr>
          <w:i/>
        </w:rPr>
        <w:t>et al</w:t>
      </w:r>
      <w:r w:rsidRPr="00B735D1">
        <w:t>. (2002) examined the remains from a cemetery in Southern France that was associated with the 1722 plague outbreak and found in their research that the skeletal based demographic profile was similar to 18</w:t>
      </w:r>
      <w:r w:rsidRPr="00B735D1">
        <w:rPr>
          <w:vertAlign w:val="superscript"/>
        </w:rPr>
        <w:t>th</w:t>
      </w:r>
      <w:r w:rsidRPr="00B735D1">
        <w:t xml:space="preserve"> century census documents.  Others have indicated that an epidemic that is not selective in sex or age would produce a skeletal assemblage that reflects a normal living population (DeWitte, 2009).  In fact, mortality is selective, so a normal cemetery population should reflect those with the highest level of frailty (Vaupel, 1979). </w:t>
      </w:r>
      <w:r>
        <w:t xml:space="preserve"> </w:t>
      </w:r>
      <w:r w:rsidRPr="00B735D1">
        <w:t xml:space="preserve">Individuals that are young, old, malnourished, or diseased have a greatest risk of death and are more likely to be found in a normal cemetery population.  It would be expected to find mostly the young and old in a cemetery with a few individuals representing the age-independent accident-related deaths. </w:t>
      </w:r>
      <w:r>
        <w:t xml:space="preserve"> </w:t>
      </w:r>
      <w:r w:rsidRPr="00B735D1">
        <w:t>Also, according to enthographic data the Arikara left the village for long period of time throughout the year for hunting and trading leaving the young, old, and incapacitated in villages (Hurt, 1969).</w:t>
      </w:r>
      <w:r>
        <w:t xml:space="preserve"> </w:t>
      </w:r>
      <w:r w:rsidRPr="00B735D1">
        <w:t xml:space="preserve"> In reality, a normal mortality scheme for the Larson cemetery should not reflect a living population.  The Larson site does reflect a normal living age distribution, which raises etiological questions that can only be answered through the incorporation of multi-state models of morbidity and mortality.  Mortality profiles alone will not elucidate the underlying selective pressures causing death in the Larson site. </w:t>
      </w:r>
    </w:p>
    <w:p w:rsidR="00FD4855" w:rsidRDefault="00FD4855" w:rsidP="00FD4855">
      <w:pPr>
        <w:spacing w:line="480" w:lineRule="auto"/>
      </w:pPr>
    </w:p>
    <w:p w:rsidR="00FD4855" w:rsidRDefault="00FD4855" w:rsidP="00FD4855">
      <w:pPr>
        <w:spacing w:line="480" w:lineRule="auto"/>
      </w:pPr>
    </w:p>
    <w:p w:rsidR="00FD4855" w:rsidRPr="00FD4855" w:rsidRDefault="00FD4855" w:rsidP="00FD4855">
      <w:pPr>
        <w:pStyle w:val="Heading3"/>
        <w:rPr>
          <w:rFonts w:ascii="Times New Roman" w:hAnsi="Times New Roman" w:cs="Times New Roman"/>
          <w:szCs w:val="24"/>
        </w:rPr>
      </w:pPr>
      <w:bookmarkStart w:id="56" w:name="_Toc349858160"/>
      <w:r w:rsidRPr="00FD4855">
        <w:rPr>
          <w:rFonts w:ascii="Times New Roman" w:hAnsi="Times New Roman" w:cs="Times New Roman"/>
        </w:rPr>
        <w:lastRenderedPageBreak/>
        <w:t>Sex specific mortality</w:t>
      </w:r>
      <w:bookmarkEnd w:id="56"/>
    </w:p>
    <w:p w:rsidR="00FD4855" w:rsidRPr="00B735D1" w:rsidRDefault="00FD4855" w:rsidP="00FD4855">
      <w:pPr>
        <w:spacing w:line="480" w:lineRule="auto"/>
        <w:ind w:firstLine="720"/>
      </w:pPr>
      <w:r w:rsidRPr="00B735D1">
        <w:t xml:space="preserve">Analysis of the adult sex-specific mortality profile lays the ground work to examine the paleopathological underpinnings associated with hypotheses as to why the Larson males and females may have a differential sex-specific risk of death.  Acsadi and Nemereski (1970) found lower life expectancies and disproportionate older juvenile and young adult females skeletons in their samples and attributed this to child-bearing consequences. </w:t>
      </w:r>
      <w:r>
        <w:t xml:space="preserve"> </w:t>
      </w:r>
      <w:r w:rsidRPr="00B735D1">
        <w:t>Similar findings  have been suggested for skeletal assemblages from Medieval Europe (Weise and Boldsen</w:t>
      </w:r>
      <w:r>
        <w:t>,</w:t>
      </w:r>
      <w:r w:rsidRPr="00B735D1">
        <w:t xml:space="preserve"> 2002), prehistoric Illinois (Wilson and Steadman</w:t>
      </w:r>
      <w:r>
        <w:t>,</w:t>
      </w:r>
      <w:r w:rsidRPr="00B735D1">
        <w:t xml:space="preserve"> 2008), and protohistoric Upper Great Plains (Owsley and Bass 1979)  Otherwise, reports of differential mortality between sexes has been inconsistent in the literature. A lower survivorship and higher risk of death trend is visible throughout all datasets, but overall this research does not support a sex-specific mortality pattern.  </w:t>
      </w:r>
    </w:p>
    <w:p w:rsidR="00FD4855" w:rsidRPr="00B735D1" w:rsidRDefault="00FD4855" w:rsidP="00FD4855">
      <w:pPr>
        <w:spacing w:line="480" w:lineRule="auto"/>
        <w:ind w:firstLine="720"/>
      </w:pPr>
      <w:r w:rsidRPr="00B735D1">
        <w:t>The Siler survival curves indicate a lower survivorship and thus a higher risk of death for young adults with females having a slightly higher risk in the 15 to 25 age group.  Females maintained a higher risk of death than males until later adulthood.  Owsley and Bass (1979) noted sex differences in the distribution of deaths through life table calculations.  Owsley and Bradtmiller (1983) argue that the high number of neonatal deaths combined with the larger number of young females support complications from pregnancy as a cause of death for the Larson Arikara females and the differential in the sex-specific mortality.  Furthermore, their survey of the field notes found one female in the Larson site that had a fetus within the pelvic cavity (Owsley and Bradtmiller</w:t>
      </w:r>
      <w:r>
        <w:t>,</w:t>
      </w:r>
      <w:r w:rsidRPr="00B735D1">
        <w:t xml:space="preserve"> 1983).</w:t>
      </w:r>
      <w:r>
        <w:t xml:space="preserve"> </w:t>
      </w:r>
      <w:r w:rsidRPr="00B735D1">
        <w:t xml:space="preserve"> However, this female individual did not have any skeletal stress markers to indicate a pregnancy related death. </w:t>
      </w:r>
      <w:r>
        <w:t xml:space="preserve"> </w:t>
      </w:r>
      <w:r w:rsidRPr="00B735D1">
        <w:t xml:space="preserve">According to Wells (1975) complications of pregnancy were uncommon among the Arikara.  This research confirms the high number of fetal and neonatal individuals and was the impetus for incorporating conception </w:t>
      </w:r>
      <w:r w:rsidRPr="00B735D1">
        <w:lastRenderedPageBreak/>
        <w:t xml:space="preserve">corrected age-at-death estimates into the mortality models. </w:t>
      </w:r>
      <w:r>
        <w:t xml:space="preserve"> </w:t>
      </w:r>
      <w:r w:rsidRPr="00B735D1">
        <w:t>Even though a consistent pattern of multiple burials that contained infants with female skeletons exists (Bass and Rucker</w:t>
      </w:r>
      <w:r>
        <w:t>,</w:t>
      </w:r>
      <w:r w:rsidRPr="00B735D1">
        <w:t xml:space="preserve"> 1976), no pathological link can be made to support the pregnancy hypothesis for the sex differential.  </w:t>
      </w:r>
    </w:p>
    <w:p w:rsidR="00FD4855" w:rsidRPr="00B735D1" w:rsidRDefault="00FD4855" w:rsidP="00FD4855">
      <w:pPr>
        <w:spacing w:line="480" w:lineRule="auto"/>
        <w:ind w:firstLine="720"/>
      </w:pPr>
      <w:r w:rsidRPr="00B735D1">
        <w:t>Upon further inspection, the confidence intervals for the male and female survival curves overlap significantly.</w:t>
      </w:r>
      <w:r>
        <w:t xml:space="preserve"> </w:t>
      </w:r>
      <w:r w:rsidRPr="00B735D1">
        <w:t xml:space="preserve"> Also, the mean age-at-deaths for males and females are not significantly different. </w:t>
      </w:r>
      <w:r>
        <w:t xml:space="preserve"> </w:t>
      </w:r>
      <w:r w:rsidRPr="00B735D1">
        <w:t xml:space="preserve">The change in the mortality pattern for old adults could be obscuring significance of the earlier pattern, but in the comparison of models, the Gompertz-Makeham model was not the best fitting model.  </w:t>
      </w:r>
      <w:proofErr w:type="gramStart"/>
      <w:r w:rsidRPr="00B735D1">
        <w:t>An  age</w:t>
      </w:r>
      <w:proofErr w:type="gramEnd"/>
      <w:r w:rsidRPr="00B735D1">
        <w:t xml:space="preserve">-independent component, is not an underlying cause to an increase in mortality for young adult females. </w:t>
      </w:r>
      <w:r>
        <w:t xml:space="preserve"> </w:t>
      </w:r>
      <w:r w:rsidRPr="00B735D1">
        <w:t xml:space="preserve">Also, pregnancy as a risk factor cannot be separated from age.  Clinical literature has established that the risk of pregnancy-related complications increases with age. </w:t>
      </w:r>
      <w:r>
        <w:t xml:space="preserve"> </w:t>
      </w:r>
      <w:r w:rsidRPr="00B735D1">
        <w:t>The combination of pregnancy and an increase in infectious disease would be more realistic.  Pregnancy is physiologically taxing on the body, which could make a female more susceptible to infection.  However, the current evidence does not support a sex-specific adult mortality bias.</w:t>
      </w:r>
    </w:p>
    <w:p w:rsidR="00FD4855" w:rsidRPr="00FD4855" w:rsidRDefault="00FD4855" w:rsidP="00FD4855"/>
    <w:p w:rsidR="003D07AE" w:rsidRPr="001B0005" w:rsidRDefault="003D07AE" w:rsidP="001B0005">
      <w:pPr>
        <w:pStyle w:val="StyleHeading1Centered"/>
        <w:rPr>
          <w:rFonts w:ascii="Times New Roman" w:hAnsi="Times New Roman"/>
        </w:rPr>
      </w:pPr>
      <w:r>
        <w:rPr>
          <w:rFonts w:ascii="Times New Roman" w:hAnsi="Times New Roman"/>
          <w:b w:val="0"/>
          <w:sz w:val="24"/>
        </w:rPr>
        <w:br w:type="page"/>
      </w:r>
      <w:bookmarkStart w:id="57" w:name="_Toc349858161"/>
      <w:r w:rsidR="001B0005" w:rsidRPr="001B0005">
        <w:rPr>
          <w:rFonts w:ascii="Times New Roman" w:hAnsi="Times New Roman"/>
        </w:rPr>
        <w:lastRenderedPageBreak/>
        <w:t>Chapter 8</w:t>
      </w:r>
      <w:bookmarkEnd w:id="57"/>
    </w:p>
    <w:p w:rsidR="001B0005" w:rsidRDefault="003D63DF" w:rsidP="001B0005">
      <w:pPr>
        <w:pStyle w:val="StyleHeading1Centered"/>
      </w:pPr>
      <w:bookmarkStart w:id="58" w:name="_Toc349858162"/>
      <w:r w:rsidRPr="001B0005">
        <w:rPr>
          <w:rFonts w:ascii="Times New Roman" w:hAnsi="Times New Roman"/>
        </w:rPr>
        <w:t xml:space="preserve">Conclusions and </w:t>
      </w:r>
      <w:r w:rsidR="00FD4855">
        <w:rPr>
          <w:rFonts w:ascii="Times New Roman" w:hAnsi="Times New Roman"/>
        </w:rPr>
        <w:t>Future Considerations</w:t>
      </w:r>
      <w:bookmarkEnd w:id="58"/>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rPr>
      </w:pPr>
    </w:p>
    <w:p w:rsidR="001B0005" w:rsidRPr="00866909" w:rsidRDefault="001B0005" w:rsidP="001B0005">
      <w:pPr>
        <w:spacing w:line="480" w:lineRule="auto"/>
        <w:ind w:firstLine="720"/>
      </w:pPr>
      <w:r w:rsidRPr="00866909">
        <w:t>As Wood et al. (2002b) state, parametric hazard models are only as good as the model used to estimate the age-at-death distribution.  The introduction of age-at-death methods that do not have the inherent reference sample biases and that conform to the Rostock protocols have enabled researchers to start examining other variables affecting mortality without having to focus on the appropriate age-at-death estimation method.  This research has demonstrated that Transition Analysis is a viable option for estimated adult ages in paleodemography and provide</w:t>
      </w:r>
      <w:r>
        <w:t>s</w:t>
      </w:r>
      <w:r w:rsidRPr="00866909">
        <w:t xml:space="preserve"> many advantages over traditional approaches.  Also, it may not be appropriate to substitute long bone skeletal ages for missing dental ages for juvenile individuals, especially for Native American skeletal material.  Dental ages, are more evolutionary stable and are not</w:t>
      </w:r>
      <w:r>
        <w:t xml:space="preserve"> as</w:t>
      </w:r>
      <w:r w:rsidRPr="00866909">
        <w:t xml:space="preserve"> susceptible to external pressures as skeletal development.  The methodological advances in dental age-at-death estimations (e.g., Shackelford et al., 2012) encourage the use of teeth and support it has the preferred method for paleodemography. </w:t>
      </w:r>
    </w:p>
    <w:p w:rsidR="001B0005" w:rsidRPr="00866909" w:rsidRDefault="001B0005" w:rsidP="001B0005">
      <w:pPr>
        <w:spacing w:line="480" w:lineRule="auto"/>
        <w:ind w:firstLine="720"/>
      </w:pPr>
      <w:r w:rsidRPr="00866909">
        <w:t xml:space="preserve">The examination of the mortality profile of the Larson site demonstrates the utility of the Siler model as a parsimonious parametric model for understanding the demography of a past population.  It was the best model for all datasets and was able to capture both the juvenile and adult mortality patterns.  The results from this model indicate a population that has a high juvenile mortality, a relatively low adolescent and young adult mortality, and an increasing mortality with advanced age.  The normalcy of the mortality pattern raises questions as to the cemetery’s etiology.  The mortality pattern compares well with what is expected for pre-industrial populations, but has a fairly even dispersal of individuals across age categories.  The </w:t>
      </w:r>
      <w:r w:rsidRPr="00866909">
        <w:lastRenderedPageBreak/>
        <w:t xml:space="preserve">Larson site may represent a non-attritional regime, but more research needs to be conducted prior to stating any conclusions.  </w:t>
      </w:r>
    </w:p>
    <w:p w:rsidR="001B0005" w:rsidRPr="00866909" w:rsidRDefault="001B0005" w:rsidP="001B0005">
      <w:pPr>
        <w:spacing w:line="480" w:lineRule="auto"/>
        <w:ind w:firstLine="720"/>
      </w:pPr>
      <w:r w:rsidRPr="00866909">
        <w:t xml:space="preserve">Analysis of the adult mortality did not find any statistically significant sex-specific mortality like which has been hypothesized.  Differences in the adult mean age-at-death for males and females is negligible. </w:t>
      </w:r>
      <w:r>
        <w:t xml:space="preserve"> </w:t>
      </w:r>
      <w:r w:rsidRPr="00866909">
        <w:t>However, a trend exists that could be affecting significance of the model.</w:t>
      </w:r>
      <w:r>
        <w:t xml:space="preserve"> </w:t>
      </w:r>
      <w:r w:rsidRPr="00866909">
        <w:t xml:space="preserve"> Females have a higher mortality in early adulthood and a lower mortality in late adulthood.    </w:t>
      </w:r>
    </w:p>
    <w:p w:rsidR="001B0005" w:rsidRPr="00866909" w:rsidRDefault="001B0005" w:rsidP="001B0005">
      <w:pPr>
        <w:spacing w:line="480" w:lineRule="auto"/>
        <w:ind w:firstLine="720"/>
      </w:pPr>
      <w:r w:rsidRPr="00866909">
        <w:t xml:space="preserve"> I believe there is also an underlying heterogeneity in risk of death, which is outside the scope of this research and needs to be explored further.</w:t>
      </w:r>
      <w:r>
        <w:t xml:space="preserve"> </w:t>
      </w:r>
      <w:r w:rsidRPr="00866909">
        <w:t xml:space="preserve"> </w:t>
      </w:r>
      <w:proofErr w:type="gramStart"/>
      <w:r w:rsidRPr="00866909">
        <w:t>Investigations into heterogeneity requires</w:t>
      </w:r>
      <w:proofErr w:type="gramEnd"/>
      <w:r w:rsidRPr="00866909">
        <w:t xml:space="preserve"> examination of the pathology and assessing health within the population in conjunction with the demographic patterns, which still needs to be completed.  I suggest a complex of bio</w:t>
      </w:r>
      <w:r>
        <w:t>-</w:t>
      </w:r>
      <w:r w:rsidRPr="00866909">
        <w:t>cultural changes associated with the</w:t>
      </w:r>
      <w:r>
        <w:t xml:space="preserve"> disintegration of the socio-po</w:t>
      </w:r>
      <w:r w:rsidRPr="00866909">
        <w:t xml:space="preserve">litical scheme, the increased competition for resources with other Native American tribes, and the growing daily interactions with Europeans rather than just the 1780-1781 smallpox </w:t>
      </w:r>
      <w:proofErr w:type="gramStart"/>
      <w:r w:rsidRPr="00866909">
        <w:t>epidemic</w:t>
      </w:r>
      <w:proofErr w:type="gramEnd"/>
      <w:r w:rsidRPr="00866909">
        <w:t xml:space="preserve"> as the cause for the divergence of the demographic pattern from expected norms.</w:t>
      </w: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8F60C3" w:rsidRDefault="008F60C3" w:rsidP="000166A9">
      <w:pPr>
        <w:pStyle w:val="StyleHeading1Centered"/>
      </w:pPr>
      <w:r>
        <w:br w:type="page"/>
      </w: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8F60C3" w:rsidRDefault="008F60C3" w:rsidP="000166A9">
      <w:pPr>
        <w:pStyle w:val="StyleHeading1Centered"/>
      </w:pPr>
    </w:p>
    <w:p w:rsidR="00236E6D" w:rsidRDefault="00236E6D" w:rsidP="000166A9">
      <w:pPr>
        <w:pStyle w:val="StyleHeading1Centered"/>
      </w:pPr>
      <w:bookmarkStart w:id="59" w:name="_Toc349858163"/>
      <w:r>
        <w:t>LIST OF REFERENCES</w:t>
      </w:r>
      <w:bookmarkEnd w:id="59"/>
    </w:p>
    <w:p w:rsidR="00715402" w:rsidRPr="00AC78CD" w:rsidRDefault="00715402" w:rsidP="00715402">
      <w:r>
        <w:rPr>
          <w:rFonts w:ascii="Arial" w:hAnsi="Arial" w:cs="Arial"/>
          <w:sz w:val="28"/>
          <w:szCs w:val="28"/>
        </w:rPr>
        <w:br w:type="page"/>
      </w:r>
      <w:r w:rsidRPr="00AC78CD">
        <w:lastRenderedPageBreak/>
        <w:t xml:space="preserve">Acsadi G, Nemeskeri J. 1970.  </w:t>
      </w:r>
      <w:proofErr w:type="gramStart"/>
      <w:r w:rsidRPr="00AC78CD">
        <w:t>History of Human Life Span and Mortality.</w:t>
      </w:r>
      <w:proofErr w:type="gramEnd"/>
      <w:r w:rsidRPr="00AC78CD">
        <w:t xml:space="preserve"> Akademiai Kiado, Budapest.</w:t>
      </w:r>
    </w:p>
    <w:p w:rsidR="00715402" w:rsidRPr="00AC78CD" w:rsidRDefault="00715402" w:rsidP="00715402"/>
    <w:p w:rsidR="00715402" w:rsidRPr="00AC78CD" w:rsidRDefault="00715402" w:rsidP="00715402">
      <w:r w:rsidRPr="00AC78CD">
        <w:t xml:space="preserve">Alesan A, Malgosa A, Simo C. 1999. </w:t>
      </w:r>
      <w:proofErr w:type="gramStart"/>
      <w:r w:rsidRPr="00AC78CD">
        <w:t>Looking into the demography of an Iron Age population in the western Mediterranean (1): mortality.</w:t>
      </w:r>
      <w:proofErr w:type="gramEnd"/>
      <w:r w:rsidRPr="00AC78CD">
        <w:t xml:space="preserve"> </w:t>
      </w:r>
      <w:r w:rsidRPr="00AC78CD">
        <w:rPr>
          <w:i/>
        </w:rPr>
        <w:t xml:space="preserve">American Journal of Physical Anthropology </w:t>
      </w:r>
      <w:r w:rsidRPr="00AC78CD">
        <w:t>110:285-301.</w:t>
      </w:r>
    </w:p>
    <w:p w:rsidR="00715402" w:rsidRPr="00AC78CD" w:rsidRDefault="00715402" w:rsidP="00715402"/>
    <w:p w:rsidR="00715402" w:rsidRPr="00AC78CD" w:rsidRDefault="00715402" w:rsidP="00715402">
      <w:r w:rsidRPr="00AC78CD">
        <w:t xml:space="preserve">Armelagos GJ, Van Gerven DP. 2003. A century of skeletal biology and paleopathology: contrasts, contradictions, and conflicts. </w:t>
      </w:r>
      <w:r w:rsidRPr="00AC78CD">
        <w:rPr>
          <w:i/>
          <w:iCs/>
        </w:rPr>
        <w:t xml:space="preserve">American Anthropologist </w:t>
      </w:r>
      <w:r w:rsidRPr="00AC78CD">
        <w:t>105(1):53-64.</w:t>
      </w:r>
    </w:p>
    <w:p w:rsidR="00715402" w:rsidRPr="00AC78CD" w:rsidRDefault="00715402" w:rsidP="00715402"/>
    <w:p w:rsidR="00715402" w:rsidRPr="00AC78CD" w:rsidRDefault="00715402" w:rsidP="00715402">
      <w:r w:rsidRPr="00AC78CD">
        <w:t xml:space="preserve">Angel, JL. 1969. The bases of paleodemography. </w:t>
      </w:r>
      <w:r w:rsidRPr="00AC78CD">
        <w:rPr>
          <w:i/>
        </w:rPr>
        <w:t xml:space="preserve">American Journal of Physical Anthropology </w:t>
      </w:r>
      <w:r w:rsidRPr="00AC78CD">
        <w:t>30: 427-438.</w:t>
      </w:r>
    </w:p>
    <w:p w:rsidR="00715402" w:rsidRPr="00AC78CD" w:rsidRDefault="00715402" w:rsidP="00715402"/>
    <w:p w:rsidR="00715402" w:rsidRPr="00AC78CD" w:rsidRDefault="00715402" w:rsidP="00715402">
      <w:r w:rsidRPr="00AC78CD">
        <w:t xml:space="preserve">Aykroyd RG, Lucy GD, Pollard AM, Solheim T. 1997. </w:t>
      </w:r>
      <w:proofErr w:type="gramStart"/>
      <w:r w:rsidRPr="00AC78CD">
        <w:t>Regression analysis in adult age estimation.</w:t>
      </w:r>
      <w:proofErr w:type="gramEnd"/>
      <w:r w:rsidRPr="00AC78CD">
        <w:t xml:space="preserve"> </w:t>
      </w:r>
      <w:r w:rsidRPr="00AC78CD">
        <w:rPr>
          <w:i/>
        </w:rPr>
        <w:t xml:space="preserve">American Journal of Physical Anthropology </w:t>
      </w:r>
      <w:r w:rsidRPr="00AC78CD">
        <w:t>104:259-265.</w:t>
      </w:r>
    </w:p>
    <w:p w:rsidR="00715402" w:rsidRPr="00AC78CD" w:rsidRDefault="00715402" w:rsidP="00715402"/>
    <w:p w:rsidR="00715402" w:rsidRPr="00AC78CD" w:rsidRDefault="00715402" w:rsidP="00715402">
      <w:r w:rsidRPr="00AC78CD">
        <w:t xml:space="preserve">Aykroyd RG, Lucy D, Pollard MA, Roberts CA. 1999. Nasty, brutish, but not necessarily short: reconsideration of the statistical methods used to calculate age at death from adult human skeletal and dental age indicators. </w:t>
      </w:r>
      <w:r w:rsidRPr="00AC78CD">
        <w:rPr>
          <w:i/>
        </w:rPr>
        <w:t xml:space="preserve">American Antiquity </w:t>
      </w:r>
      <w:r w:rsidRPr="00AC78CD">
        <w:t>64:55-70.</w:t>
      </w:r>
    </w:p>
    <w:p w:rsidR="00715402" w:rsidRPr="00AC78CD" w:rsidRDefault="00715402" w:rsidP="00715402"/>
    <w:p w:rsidR="00715402" w:rsidRPr="00AC78CD" w:rsidRDefault="00715402" w:rsidP="00715402">
      <w:r w:rsidRPr="00AC78CD">
        <w:t xml:space="preserve">Baccino E, Ubelaker DH, Hayek L, Zerilli A. 1999. </w:t>
      </w:r>
      <w:proofErr w:type="gramStart"/>
      <w:r w:rsidRPr="00AC78CD">
        <w:t>Evaluation of seven methods of estimating age at death from mature human skeletal remains.</w:t>
      </w:r>
      <w:proofErr w:type="gramEnd"/>
      <w:r w:rsidRPr="00AC78CD">
        <w:t xml:space="preserve"> </w:t>
      </w:r>
      <w:r w:rsidRPr="00AC78CD">
        <w:rPr>
          <w:i/>
        </w:rPr>
        <w:t xml:space="preserve">Journal of Forensic </w:t>
      </w:r>
      <w:proofErr w:type="gramStart"/>
      <w:r w:rsidRPr="00AC78CD">
        <w:rPr>
          <w:i/>
        </w:rPr>
        <w:t xml:space="preserve">Sciences </w:t>
      </w:r>
      <w:r w:rsidRPr="00AC78CD">
        <w:t xml:space="preserve"> 44:259</w:t>
      </w:r>
      <w:proofErr w:type="gramEnd"/>
      <w:r w:rsidRPr="00AC78CD">
        <w:t>-265.</w:t>
      </w:r>
    </w:p>
    <w:p w:rsidR="00715402" w:rsidRPr="00AC78CD" w:rsidRDefault="00715402" w:rsidP="00715402"/>
    <w:p w:rsidR="00715402" w:rsidRPr="00AC78CD" w:rsidRDefault="00715402" w:rsidP="00715402">
      <w:r w:rsidRPr="00AC78CD">
        <w:t xml:space="preserve">Bass WM. 1964. </w:t>
      </w:r>
      <w:proofErr w:type="gramStart"/>
      <w:r w:rsidRPr="00AC78CD">
        <w:t>The variation in physical types of the prehistoric Plains Indians.</w:t>
      </w:r>
      <w:proofErr w:type="gramEnd"/>
      <w:r w:rsidRPr="00AC78CD">
        <w:t xml:space="preserve"> </w:t>
      </w:r>
      <w:r w:rsidRPr="00AC78CD">
        <w:rPr>
          <w:i/>
        </w:rPr>
        <w:t xml:space="preserve">Plains </w:t>
      </w:r>
      <w:proofErr w:type="gramStart"/>
      <w:r w:rsidRPr="00AC78CD">
        <w:rPr>
          <w:i/>
        </w:rPr>
        <w:t>Anthropologist  Memoir</w:t>
      </w:r>
      <w:proofErr w:type="gramEnd"/>
      <w:r w:rsidRPr="00AC78CD">
        <w:rPr>
          <w:i/>
        </w:rPr>
        <w:t xml:space="preserve"> 1</w:t>
      </w:r>
      <w:r w:rsidRPr="00AC78CD">
        <w:t>. 9(24):65-145.</w:t>
      </w:r>
    </w:p>
    <w:p w:rsidR="00715402" w:rsidRPr="00AC78CD" w:rsidRDefault="00715402" w:rsidP="00715402"/>
    <w:p w:rsidR="00715402" w:rsidRPr="00AC78CD" w:rsidRDefault="00715402" w:rsidP="00715402">
      <w:r w:rsidRPr="00AC78CD">
        <w:t xml:space="preserve">Bass WM. 1966. </w:t>
      </w:r>
      <w:proofErr w:type="gramStart"/>
      <w:r w:rsidRPr="00AC78CD">
        <w:t>The excavation of Arikara burials from Leavenworth Site, 39CO9, Corson County, South Dakota.</w:t>
      </w:r>
      <w:proofErr w:type="gramEnd"/>
      <w:r w:rsidRPr="00AC78CD">
        <w:t xml:space="preserve"> </w:t>
      </w:r>
      <w:r w:rsidRPr="00AC78CD">
        <w:rPr>
          <w:i/>
        </w:rPr>
        <w:t xml:space="preserve">Plains </w:t>
      </w:r>
      <w:proofErr w:type="gramStart"/>
      <w:r w:rsidRPr="00AC78CD">
        <w:rPr>
          <w:i/>
        </w:rPr>
        <w:t xml:space="preserve">Anthropologist </w:t>
      </w:r>
      <w:r w:rsidRPr="00AC78CD">
        <w:t xml:space="preserve"> 11:162</w:t>
      </w:r>
      <w:proofErr w:type="gramEnd"/>
      <w:r w:rsidRPr="00AC78CD">
        <w:t>.</w:t>
      </w:r>
    </w:p>
    <w:p w:rsidR="00715402" w:rsidRPr="00AC78CD" w:rsidRDefault="00715402" w:rsidP="00715402"/>
    <w:p w:rsidR="00715402" w:rsidRPr="00AC78CD" w:rsidRDefault="00715402" w:rsidP="00715402">
      <w:r w:rsidRPr="00AC78CD">
        <w:t xml:space="preserve">Bass WM. 1981. Skeletal biology of the United States Great Plains: A history and personal narrative. </w:t>
      </w:r>
      <w:r w:rsidRPr="00AC78CD">
        <w:rPr>
          <w:i/>
        </w:rPr>
        <w:t xml:space="preserve">The Plains </w:t>
      </w:r>
      <w:proofErr w:type="gramStart"/>
      <w:r w:rsidRPr="00AC78CD">
        <w:rPr>
          <w:i/>
        </w:rPr>
        <w:t xml:space="preserve">Anthropologist </w:t>
      </w:r>
      <w:r w:rsidRPr="00AC78CD">
        <w:t xml:space="preserve"> Memoir</w:t>
      </w:r>
      <w:proofErr w:type="gramEnd"/>
      <w:r w:rsidRPr="00AC78CD">
        <w:t xml:space="preserve"> 17: Progress in skeletal biology of Plains populations 26(94):3-18.</w:t>
      </w:r>
    </w:p>
    <w:p w:rsidR="00715402" w:rsidRPr="00AC78CD" w:rsidRDefault="00715402" w:rsidP="00715402"/>
    <w:p w:rsidR="00715402" w:rsidRPr="00AC78CD" w:rsidRDefault="00715402" w:rsidP="00715402">
      <w:proofErr w:type="gramStart"/>
      <w:r w:rsidRPr="00AC78CD">
        <w:t>Bass (n.d.) Burial Records for the Larson Site, 39WW2.</w:t>
      </w:r>
      <w:proofErr w:type="gramEnd"/>
      <w:r w:rsidRPr="00AC78CD">
        <w:t xml:space="preserve"> Unpublished field notes on file in Department of Anthropology, University of Tennessee, </w:t>
      </w:r>
      <w:proofErr w:type="gramStart"/>
      <w:r w:rsidRPr="00AC78CD">
        <w:t>Knoxville</w:t>
      </w:r>
      <w:proofErr w:type="gramEnd"/>
      <w:r w:rsidRPr="00AC78CD">
        <w:t>.</w:t>
      </w:r>
    </w:p>
    <w:p w:rsidR="00715402" w:rsidRPr="00AC78CD" w:rsidRDefault="00715402" w:rsidP="00715402"/>
    <w:p w:rsidR="00715402" w:rsidRPr="00AC78CD" w:rsidRDefault="00715402" w:rsidP="00715402">
      <w:r w:rsidRPr="00AC78CD">
        <w:t xml:space="preserve">Bass WM, Rucker MD. 1976. Preliminary investigation of artifact association in an Arikara cemetery (Larson Site), Walworth County, South Dakota. </w:t>
      </w:r>
      <w:proofErr w:type="gramStart"/>
      <w:r w:rsidRPr="00AC78CD">
        <w:rPr>
          <w:i/>
        </w:rPr>
        <w:t>National Geographic Society Research Report.</w:t>
      </w:r>
      <w:proofErr w:type="gramEnd"/>
      <w:r w:rsidRPr="00AC78CD">
        <w:rPr>
          <w:i/>
        </w:rPr>
        <w:t xml:space="preserve"> 1968 Projects</w:t>
      </w:r>
      <w:proofErr w:type="gramStart"/>
      <w:r w:rsidRPr="00AC78CD">
        <w:t>:33</w:t>
      </w:r>
      <w:proofErr w:type="gramEnd"/>
      <w:r w:rsidRPr="00AC78CD">
        <w:t>-48.</w:t>
      </w:r>
    </w:p>
    <w:p w:rsidR="00715402" w:rsidRPr="00AC78CD" w:rsidRDefault="00715402" w:rsidP="00715402"/>
    <w:p w:rsidR="00715402" w:rsidRPr="00AC78CD" w:rsidRDefault="00715402" w:rsidP="00715402">
      <w:proofErr w:type="gramStart"/>
      <w:r w:rsidRPr="00AC78CD">
        <w:t>Bass WM, Evans DR, Jantz RL.</w:t>
      </w:r>
      <w:proofErr w:type="gramEnd"/>
      <w:r w:rsidRPr="00AC78CD">
        <w:t xml:space="preserve"> 1971. The Leavenworth Site Cemetery: Archaeology and Physical Anthropology. </w:t>
      </w:r>
      <w:proofErr w:type="gramStart"/>
      <w:r w:rsidRPr="00AC78CD">
        <w:t>University of Kansas Publications in Anthropology No. 2.</w:t>
      </w:r>
      <w:proofErr w:type="gramEnd"/>
      <w:r w:rsidRPr="00AC78CD">
        <w:t xml:space="preserve"> Lawrence, KS.</w:t>
      </w:r>
    </w:p>
    <w:p w:rsidR="00715402" w:rsidRPr="00AC78CD" w:rsidRDefault="00715402" w:rsidP="00715402"/>
    <w:p w:rsidR="00715402" w:rsidRPr="00AC78CD" w:rsidRDefault="00715402" w:rsidP="00715402">
      <w:r w:rsidRPr="00AC78CD">
        <w:lastRenderedPageBreak/>
        <w:t xml:space="preserve">Binford LR, Bertram JB. 1977. Bone Frequencies and attritional processes. </w:t>
      </w:r>
      <w:proofErr w:type="gramStart"/>
      <w:r w:rsidRPr="00AC78CD">
        <w:t xml:space="preserve">In </w:t>
      </w:r>
      <w:r w:rsidRPr="00AC78CD">
        <w:rPr>
          <w:i/>
        </w:rPr>
        <w:t>Theory Building in Archaeology</w:t>
      </w:r>
      <w:r w:rsidRPr="00AC78CD">
        <w:t xml:space="preserve">, edited by LR Binford, </w:t>
      </w:r>
      <w:r>
        <w:t>Pp.</w:t>
      </w:r>
      <w:r w:rsidRPr="00AC78CD">
        <w:t xml:space="preserve"> 77-153.</w:t>
      </w:r>
      <w:proofErr w:type="gramEnd"/>
      <w:r w:rsidRPr="00AC78CD">
        <w:t xml:space="preserve"> Academic Press, New York.</w:t>
      </w:r>
    </w:p>
    <w:p w:rsidR="00715402" w:rsidRPr="00AC78CD" w:rsidRDefault="00715402" w:rsidP="00715402"/>
    <w:p w:rsidR="00715402" w:rsidRPr="00AC78CD" w:rsidRDefault="00715402" w:rsidP="00715402">
      <w:r w:rsidRPr="00AC78CD">
        <w:t xml:space="preserve">Blakeslee DL. 1994. The Archaeological context of Human Skeletons in the Northern and Central Plains. In </w:t>
      </w:r>
      <w:r w:rsidRPr="00AC78CD">
        <w:rPr>
          <w:i/>
        </w:rPr>
        <w:t>Skeletal Biology in the Great Plains:  Migration, Warfare, Health, and Subsistence,</w:t>
      </w:r>
      <w:r w:rsidRPr="00AC78CD">
        <w:t xml:space="preserve"> edited by DW Owsley and RL Jantz, </w:t>
      </w:r>
      <w:r>
        <w:t>Pp.</w:t>
      </w:r>
      <w:r w:rsidRPr="00AC78CD">
        <w:t xml:space="preserve"> 9-32. Smithsonian Institution Press, Washington. </w:t>
      </w:r>
    </w:p>
    <w:p w:rsidR="00715402" w:rsidRPr="00AC78CD" w:rsidRDefault="00715402" w:rsidP="00715402"/>
    <w:p w:rsidR="00715402" w:rsidRPr="00AC78CD" w:rsidRDefault="00715402" w:rsidP="00715402">
      <w:r w:rsidRPr="00AC78CD">
        <w:t xml:space="preserve">Bocquet-Appel JP. 2008. Recent Advances in Paleodemography: Data, Techniques, Patterns. </w:t>
      </w:r>
      <w:proofErr w:type="gramStart"/>
      <w:r w:rsidRPr="00AC78CD">
        <w:t>Springer, Dordrecht.</w:t>
      </w:r>
      <w:proofErr w:type="gramEnd"/>
    </w:p>
    <w:p w:rsidR="00715402" w:rsidRPr="00AC78CD" w:rsidRDefault="00715402" w:rsidP="00715402"/>
    <w:p w:rsidR="00715402" w:rsidRPr="00AC78CD" w:rsidRDefault="00715402" w:rsidP="00715402">
      <w:pPr>
        <w:rPr>
          <w:i/>
        </w:rPr>
      </w:pPr>
      <w:r w:rsidRPr="00AC78CD">
        <w:t xml:space="preserve">Bocquet-Appel JP, Masset C. 1982. </w:t>
      </w:r>
      <w:proofErr w:type="gramStart"/>
      <w:r w:rsidRPr="00AC78CD">
        <w:t>Farwell to Paleodemography.</w:t>
      </w:r>
      <w:proofErr w:type="gramEnd"/>
      <w:r w:rsidRPr="00AC78CD">
        <w:t xml:space="preserve"> </w:t>
      </w:r>
      <w:r w:rsidRPr="00AC78CD">
        <w:rPr>
          <w:i/>
        </w:rPr>
        <w:t xml:space="preserve">Journal of Human Evolution </w:t>
      </w:r>
    </w:p>
    <w:p w:rsidR="00715402" w:rsidRPr="00AC78CD" w:rsidRDefault="00715402" w:rsidP="00715402">
      <w:r w:rsidRPr="00AC78CD">
        <w:t>11:321-333.</w:t>
      </w:r>
    </w:p>
    <w:p w:rsidR="00715402" w:rsidRPr="00AC78CD" w:rsidRDefault="00715402" w:rsidP="00715402"/>
    <w:p w:rsidR="00715402" w:rsidRPr="00AC78CD" w:rsidRDefault="00715402" w:rsidP="00715402">
      <w:r w:rsidRPr="00AC78CD">
        <w:t xml:space="preserve">Bocquet-Appel JP, Masset C. 1985. Paleodemography: Resurrection or ghost? </w:t>
      </w:r>
      <w:r w:rsidRPr="00AC78CD">
        <w:rPr>
          <w:i/>
        </w:rPr>
        <w:t xml:space="preserve">Journal of Human Evolution </w:t>
      </w:r>
      <w:r w:rsidRPr="00AC78CD">
        <w:t>14:107-111.</w:t>
      </w:r>
    </w:p>
    <w:p w:rsidR="00715402" w:rsidRPr="00AC78CD" w:rsidRDefault="00715402" w:rsidP="00715402"/>
    <w:p w:rsidR="00715402" w:rsidRPr="00AC78CD" w:rsidRDefault="00715402" w:rsidP="00715402">
      <w:r w:rsidRPr="00AC78CD">
        <w:t xml:space="preserve">Bocquet-Appel JP, Masset C. 1996. Paleodemography: Expectancy and False Hope. </w:t>
      </w:r>
      <w:r w:rsidRPr="00AC78CD">
        <w:rPr>
          <w:i/>
        </w:rPr>
        <w:t xml:space="preserve">Journal of Physical Anthropology </w:t>
      </w:r>
      <w:r w:rsidRPr="00AC78CD">
        <w:t>99:571-583.</w:t>
      </w:r>
    </w:p>
    <w:p w:rsidR="00715402" w:rsidRPr="00AC78CD" w:rsidRDefault="00715402" w:rsidP="00715402"/>
    <w:p w:rsidR="00715402" w:rsidRPr="00AC78CD" w:rsidRDefault="00715402" w:rsidP="00715402">
      <w:r w:rsidRPr="00AC78CD">
        <w:t xml:space="preserve">Bocquet-Appel JP, Naji S. 2006. </w:t>
      </w:r>
      <w:proofErr w:type="gramStart"/>
      <w:r w:rsidRPr="00AC78CD">
        <w:t>Testing the hypothesis of a worldwide Neolithic demographic transition.</w:t>
      </w:r>
      <w:proofErr w:type="gramEnd"/>
      <w:r w:rsidRPr="00AC78CD">
        <w:t xml:space="preserve"> </w:t>
      </w:r>
      <w:r w:rsidRPr="00AC78CD">
        <w:rPr>
          <w:i/>
          <w:iCs/>
        </w:rPr>
        <w:t xml:space="preserve">Current Anthropology </w:t>
      </w:r>
      <w:r w:rsidRPr="00AC78CD">
        <w:t>47(2):341-65.</w:t>
      </w:r>
    </w:p>
    <w:p w:rsidR="00715402" w:rsidRPr="00AC78CD" w:rsidRDefault="00715402" w:rsidP="00715402"/>
    <w:p w:rsidR="00715402" w:rsidRPr="00AC78CD" w:rsidRDefault="00715402" w:rsidP="00715402">
      <w:r w:rsidRPr="00AC78CD">
        <w:t xml:space="preserve">Boldsen JL. 1988. Two methods for reconstruction of the empirical mortality profile. </w:t>
      </w:r>
      <w:r w:rsidRPr="00AC78CD">
        <w:rPr>
          <w:i/>
          <w:iCs/>
        </w:rPr>
        <w:t xml:space="preserve">Human Evolution </w:t>
      </w:r>
      <w:r w:rsidRPr="00AC78CD">
        <w:t>12:321-333.</w:t>
      </w:r>
    </w:p>
    <w:p w:rsidR="00715402" w:rsidRPr="00AC78CD" w:rsidRDefault="00715402" w:rsidP="00715402"/>
    <w:p w:rsidR="00715402" w:rsidRPr="00AC78CD" w:rsidRDefault="00715402" w:rsidP="00715402">
      <w:pPr>
        <w:pStyle w:val="Default"/>
      </w:pPr>
      <w:r w:rsidRPr="00AC78CD">
        <w:t xml:space="preserve">Boldsen JL. 1997. Estimating patterns of disease and mortality in a medieval Danish village. In </w:t>
      </w:r>
      <w:r w:rsidRPr="00AC78CD">
        <w:rPr>
          <w:i/>
          <w:iCs/>
        </w:rPr>
        <w:t>Integrating Archaeological Demography: Multidisciplinary Approaches to Prehistoric Population</w:t>
      </w:r>
      <w:r w:rsidRPr="00AC78CD">
        <w:t>, edited by RR Paine, pp 229-41. Center for Archaeological Investigations: Southern Illinois University Occasional Paper No. 24.</w:t>
      </w:r>
    </w:p>
    <w:p w:rsidR="00715402" w:rsidRPr="00AC78CD" w:rsidRDefault="00715402" w:rsidP="00715402"/>
    <w:p w:rsidR="00715402" w:rsidRPr="00AC78CD" w:rsidRDefault="00715402" w:rsidP="00715402">
      <w:r w:rsidRPr="00AC78CD">
        <w:t xml:space="preserve">Boldsen Jl. 2005. </w:t>
      </w:r>
      <w:proofErr w:type="gramStart"/>
      <w:r w:rsidRPr="00AC78CD">
        <w:t>Analysis of dental attrition and mortality in the medieval village of Tirup, Denmark.</w:t>
      </w:r>
      <w:proofErr w:type="gramEnd"/>
      <w:r w:rsidRPr="00AC78CD">
        <w:t xml:space="preserve"> </w:t>
      </w:r>
      <w:r w:rsidRPr="00AC78CD">
        <w:rPr>
          <w:i/>
        </w:rPr>
        <w:t xml:space="preserve">American Journal of Physical Anthropology </w:t>
      </w:r>
      <w:r w:rsidRPr="00AC78CD">
        <w:t>126:169-176.</w:t>
      </w:r>
    </w:p>
    <w:p w:rsidR="00715402" w:rsidRPr="00AC78CD" w:rsidRDefault="00715402" w:rsidP="00715402"/>
    <w:p w:rsidR="00715402" w:rsidRPr="00AC78CD" w:rsidRDefault="00715402" w:rsidP="00715402">
      <w:r w:rsidRPr="00AC78CD">
        <w:t xml:space="preserve">Boldsen JL. 2007. Early childhood stress and adult age mortality- A study of dental enamel hypoplasia in the Medieval Danish village of Tirup. </w:t>
      </w:r>
      <w:r w:rsidRPr="00AC78CD">
        <w:rPr>
          <w:i/>
          <w:iCs/>
        </w:rPr>
        <w:t xml:space="preserve">American Journal of Physical Anthropology </w:t>
      </w:r>
      <w:r w:rsidRPr="00AC78CD">
        <w:t>132: 59-66.</w:t>
      </w:r>
    </w:p>
    <w:p w:rsidR="00715402" w:rsidRPr="00AC78CD" w:rsidRDefault="00715402" w:rsidP="00715402"/>
    <w:p w:rsidR="00715402" w:rsidRPr="00AC78CD" w:rsidRDefault="00715402" w:rsidP="00715402">
      <w:r w:rsidRPr="00AC78CD">
        <w:t xml:space="preserve">Boldsen JL, GR Milner, LW Konigsberg, and JW Wood (2002) Transition Analysis: A New </w:t>
      </w:r>
    </w:p>
    <w:p w:rsidR="00715402" w:rsidRPr="00AC78CD" w:rsidRDefault="00715402" w:rsidP="00715402">
      <w:proofErr w:type="gramStart"/>
      <w:r w:rsidRPr="00AC78CD">
        <w:t>Method for Estimating Age Indicator Methods.</w:t>
      </w:r>
      <w:proofErr w:type="gramEnd"/>
      <w:r w:rsidRPr="00AC78CD">
        <w:t xml:space="preserve"> In </w:t>
      </w:r>
      <w:r w:rsidRPr="00AC78CD">
        <w:rPr>
          <w:i/>
        </w:rPr>
        <w:t xml:space="preserve">Paleodemography: Age Distributions from Skeletal Samples, </w:t>
      </w:r>
      <w:r w:rsidRPr="00AC78CD">
        <w:t xml:space="preserve">edited by RD Hoppa and JW Vaupel, </w:t>
      </w:r>
      <w:r>
        <w:t>Pp.</w:t>
      </w:r>
      <w:r w:rsidRPr="00AC78CD">
        <w:t xml:space="preserve"> 73-106, Cambridge University Press, New York.</w:t>
      </w:r>
    </w:p>
    <w:p w:rsidR="00715402" w:rsidRPr="00AC78CD" w:rsidRDefault="00715402" w:rsidP="00715402"/>
    <w:p w:rsidR="00715402" w:rsidRPr="00AC78CD" w:rsidRDefault="00715402" w:rsidP="00715402">
      <w:r w:rsidRPr="00AC78CD">
        <w:t xml:space="preserve">Bonneuil N. 2005. </w:t>
      </w:r>
      <w:proofErr w:type="gramStart"/>
      <w:r w:rsidRPr="00AC78CD">
        <w:t>Fitting to a distribution of deaths by age with application to paleodemography: The route closest to a stable population.</w:t>
      </w:r>
      <w:proofErr w:type="gramEnd"/>
      <w:r w:rsidRPr="00AC78CD">
        <w:t xml:space="preserve"> </w:t>
      </w:r>
      <w:r w:rsidRPr="00AC78CD">
        <w:rPr>
          <w:i/>
          <w:iCs/>
        </w:rPr>
        <w:t xml:space="preserve">Current Anthropology </w:t>
      </w:r>
      <w:r w:rsidRPr="00AC78CD">
        <w:t>46: S29-S45.</w:t>
      </w:r>
    </w:p>
    <w:p w:rsidR="00715402" w:rsidRPr="00AC78CD" w:rsidRDefault="00715402" w:rsidP="00715402"/>
    <w:p w:rsidR="00715402" w:rsidRPr="00AC78CD" w:rsidRDefault="00715402" w:rsidP="00715402">
      <w:r w:rsidRPr="00AC78CD">
        <w:t xml:space="preserve">Bowers, AW. 1967 Field Report: 1964 Excavations of the Davis and Larson Sites, Near Mobridge, South Dakota. </w:t>
      </w:r>
      <w:r w:rsidRPr="00AC78CD">
        <w:rPr>
          <w:i/>
        </w:rPr>
        <w:t xml:space="preserve">Plains </w:t>
      </w:r>
      <w:proofErr w:type="gramStart"/>
      <w:r w:rsidRPr="00AC78CD">
        <w:rPr>
          <w:i/>
        </w:rPr>
        <w:t xml:space="preserve">Anthropologist </w:t>
      </w:r>
      <w:r w:rsidRPr="00AC78CD">
        <w:t xml:space="preserve"> 12:204</w:t>
      </w:r>
      <w:proofErr w:type="gramEnd"/>
      <w:r w:rsidRPr="00AC78CD">
        <w:t>-205.</w:t>
      </w:r>
    </w:p>
    <w:p w:rsidR="00715402" w:rsidRPr="00AC78CD" w:rsidRDefault="00715402" w:rsidP="00715402"/>
    <w:p w:rsidR="00715402" w:rsidRPr="00AC78CD" w:rsidRDefault="00715402" w:rsidP="00715402">
      <w:proofErr w:type="gramStart"/>
      <w:r w:rsidRPr="00AC78CD">
        <w:t>Bradtmiller, B. 1984.</w:t>
      </w:r>
      <w:proofErr w:type="gramEnd"/>
      <w:r w:rsidRPr="00AC78CD">
        <w:t xml:space="preserve"> </w:t>
      </w:r>
      <w:proofErr w:type="gramStart"/>
      <w:r w:rsidRPr="00AC78CD">
        <w:t>Congenital anomalies of the lower spine in two Arikara skeletal series.</w:t>
      </w:r>
      <w:proofErr w:type="gramEnd"/>
      <w:r w:rsidRPr="00AC78CD">
        <w:t xml:space="preserve"> </w:t>
      </w:r>
      <w:r w:rsidRPr="00AC78CD">
        <w:rPr>
          <w:i/>
        </w:rPr>
        <w:t xml:space="preserve">Plains </w:t>
      </w:r>
      <w:proofErr w:type="gramStart"/>
      <w:r w:rsidRPr="00AC78CD">
        <w:rPr>
          <w:i/>
        </w:rPr>
        <w:t xml:space="preserve">Anthropologist </w:t>
      </w:r>
      <w:r w:rsidRPr="00AC78CD">
        <w:t xml:space="preserve"> 29</w:t>
      </w:r>
      <w:proofErr w:type="gramEnd"/>
      <w:r w:rsidRPr="00AC78CD">
        <w:t>: 327-333.</w:t>
      </w:r>
    </w:p>
    <w:p w:rsidR="00715402" w:rsidRPr="00AC78CD" w:rsidRDefault="00715402" w:rsidP="00715402">
      <w:pPr>
        <w:pStyle w:val="NormalWeb"/>
      </w:pPr>
      <w:r w:rsidRPr="00AC78CD">
        <w:t xml:space="preserve">Brooks S. 1955. Skeletal age at death: the reliability of cranial and pubic indicators. </w:t>
      </w:r>
      <w:r w:rsidRPr="00AC78CD">
        <w:rPr>
          <w:i/>
        </w:rPr>
        <w:t xml:space="preserve">American Journal of Physical Anthropology </w:t>
      </w:r>
      <w:r w:rsidRPr="00AC78CD">
        <w:t xml:space="preserve">13:567-597. </w:t>
      </w:r>
    </w:p>
    <w:p w:rsidR="00715402" w:rsidRPr="00AC78CD" w:rsidRDefault="00715402" w:rsidP="00715402">
      <w:r w:rsidRPr="00AC78CD">
        <w:t xml:space="preserve">Brooks S, Suchey JM. 1990. Skeletal age determination based on the os pubis: a comparison of the Acsadi-Nemeskeri and Suchey-Brooks methods. </w:t>
      </w:r>
      <w:r w:rsidRPr="00AC78CD">
        <w:rPr>
          <w:i/>
        </w:rPr>
        <w:t>Human Evolution</w:t>
      </w:r>
      <w:r w:rsidRPr="00AC78CD">
        <w:t xml:space="preserve"> 5:227-238.</w:t>
      </w:r>
    </w:p>
    <w:p w:rsidR="00715402" w:rsidRPr="00AC78CD" w:rsidRDefault="00715402" w:rsidP="00715402"/>
    <w:p w:rsidR="00715402" w:rsidRPr="00AC78CD" w:rsidRDefault="00715402" w:rsidP="00715402">
      <w:r w:rsidRPr="00AC78CD">
        <w:t xml:space="preserve">Byrd JE, Jantz RL. 1994. Osteological Evidence for Distinct Social Groups at the Leavenworth Site. In </w:t>
      </w:r>
      <w:r w:rsidRPr="00AC78CD">
        <w:rPr>
          <w:i/>
        </w:rPr>
        <w:t xml:space="preserve">Skeletal Biology in the Great Plains:  Migration, Warfare, Health, and Subsistence. </w:t>
      </w:r>
      <w:proofErr w:type="gramStart"/>
      <w:r w:rsidRPr="00AC78CD">
        <w:t xml:space="preserve">Edited by DW Owsley and RL Jantz, </w:t>
      </w:r>
      <w:r>
        <w:t>Pp.</w:t>
      </w:r>
      <w:r w:rsidRPr="00AC78CD">
        <w:t xml:space="preserve"> 203-208, Smithsonian Institution Press, Washington.</w:t>
      </w:r>
      <w:proofErr w:type="gramEnd"/>
    </w:p>
    <w:p w:rsidR="00715402" w:rsidRPr="00AC78CD" w:rsidRDefault="00715402" w:rsidP="00715402"/>
    <w:p w:rsidR="00715402" w:rsidRPr="00AC78CD" w:rsidRDefault="00715402" w:rsidP="00715402">
      <w:r w:rsidRPr="00AC78CD">
        <w:t xml:space="preserve">Buckberry JL, Chamberlian AT. 2002. Age estimation from the auricular surface of the ilium: a revised method. </w:t>
      </w:r>
      <w:r w:rsidRPr="00AC78CD">
        <w:rPr>
          <w:i/>
        </w:rPr>
        <w:t xml:space="preserve">American Journal of Physical Anthropology </w:t>
      </w:r>
      <w:r w:rsidRPr="00AC78CD">
        <w:t>119:231-239.</w:t>
      </w:r>
    </w:p>
    <w:p w:rsidR="00715402" w:rsidRPr="00AC78CD" w:rsidRDefault="00715402" w:rsidP="00715402"/>
    <w:p w:rsidR="00715402" w:rsidRPr="00AC78CD" w:rsidRDefault="00715402" w:rsidP="00715402">
      <w:r w:rsidRPr="00AC78CD">
        <w:t xml:space="preserve">Buikstra JE. 2006. Repatriation and bioarchaeology: challenges and opportunities. In </w:t>
      </w:r>
      <w:r w:rsidRPr="00AC78CD">
        <w:rPr>
          <w:i/>
          <w:iCs/>
        </w:rPr>
        <w:t>Bioarchaeology: The Contextual Analysis of Human Remains</w:t>
      </w:r>
      <w:r w:rsidRPr="00AC78CD">
        <w:t xml:space="preserve">. </w:t>
      </w:r>
      <w:proofErr w:type="gramStart"/>
      <w:r w:rsidRPr="00AC78CD">
        <w:t xml:space="preserve">Edited by JE Buikstra and LA Beck,   </w:t>
      </w:r>
      <w:r>
        <w:t>Pp.</w:t>
      </w:r>
      <w:r w:rsidRPr="00AC78CD">
        <w:t xml:space="preserve"> 389-416, Academic Press, New York.</w:t>
      </w:r>
      <w:proofErr w:type="gramEnd"/>
    </w:p>
    <w:p w:rsidR="00715402" w:rsidRPr="00AC78CD" w:rsidRDefault="00715402" w:rsidP="00715402"/>
    <w:p w:rsidR="00715402" w:rsidRPr="00AC78CD" w:rsidRDefault="00715402" w:rsidP="00715402">
      <w:proofErr w:type="gramStart"/>
      <w:r w:rsidRPr="00AC78CD">
        <w:t>Buikstra JE, Beck LA.</w:t>
      </w:r>
      <w:proofErr w:type="gramEnd"/>
      <w:r w:rsidRPr="00AC78CD">
        <w:t xml:space="preserve"> 2006. </w:t>
      </w:r>
      <w:r w:rsidRPr="00AC78CD">
        <w:rPr>
          <w:i/>
          <w:iCs/>
        </w:rPr>
        <w:t>Bioarchaeology: The Contextual Analysis of Human Remains</w:t>
      </w:r>
      <w:r w:rsidRPr="00AC78CD">
        <w:t>. New York: Academic Press.</w:t>
      </w:r>
    </w:p>
    <w:p w:rsidR="00715402" w:rsidRPr="00AC78CD" w:rsidRDefault="00715402" w:rsidP="00715402"/>
    <w:p w:rsidR="00715402" w:rsidRPr="00AC78CD" w:rsidRDefault="00715402" w:rsidP="00715402">
      <w:pPr>
        <w:rPr>
          <w:i/>
        </w:rPr>
      </w:pPr>
      <w:proofErr w:type="gramStart"/>
      <w:r w:rsidRPr="00AC78CD">
        <w:t>Buikstra JE, Cook DC.</w:t>
      </w:r>
      <w:proofErr w:type="gramEnd"/>
      <w:r w:rsidRPr="00AC78CD">
        <w:t xml:space="preserve"> 1980. Paleopathology: An American account. </w:t>
      </w:r>
      <w:r w:rsidRPr="00AC78CD">
        <w:rPr>
          <w:i/>
        </w:rPr>
        <w:t xml:space="preserve">Annual </w:t>
      </w:r>
    </w:p>
    <w:p w:rsidR="00715402" w:rsidRPr="00AC78CD" w:rsidRDefault="00715402" w:rsidP="00715402">
      <w:r w:rsidRPr="00AC78CD">
        <w:rPr>
          <w:i/>
        </w:rPr>
        <w:t>Review of Physical Anthropology</w:t>
      </w:r>
      <w:r w:rsidRPr="00AC78CD">
        <w:t xml:space="preserve"> </w:t>
      </w:r>
      <w:r w:rsidRPr="00AC78CD">
        <w:rPr>
          <w:i/>
        </w:rPr>
        <w:t>9</w:t>
      </w:r>
      <w:r w:rsidRPr="00AC78CD">
        <w:t>:433-470.</w:t>
      </w:r>
    </w:p>
    <w:p w:rsidR="00715402" w:rsidRPr="00AC78CD" w:rsidRDefault="00715402" w:rsidP="00715402"/>
    <w:p w:rsidR="00715402" w:rsidRPr="00AC78CD" w:rsidRDefault="00715402" w:rsidP="00715402">
      <w:proofErr w:type="gramStart"/>
      <w:r w:rsidRPr="00AC78CD">
        <w:t>Buikstra JE, Konigsberg LW.</w:t>
      </w:r>
      <w:proofErr w:type="gramEnd"/>
      <w:r w:rsidRPr="00AC78CD">
        <w:t xml:space="preserve"> 1985. Paleodemography: critiques and controversies. </w:t>
      </w:r>
      <w:r w:rsidRPr="00AC78CD">
        <w:rPr>
          <w:i/>
        </w:rPr>
        <w:t>American Anthropologist</w:t>
      </w:r>
      <w:r w:rsidRPr="00AC78CD">
        <w:t xml:space="preserve"> 87:316-334.</w:t>
      </w:r>
    </w:p>
    <w:p w:rsidR="00715402" w:rsidRPr="00AC78CD" w:rsidRDefault="00715402" w:rsidP="00715402"/>
    <w:p w:rsidR="00715402" w:rsidRPr="00AC78CD" w:rsidRDefault="00715402" w:rsidP="00715402">
      <w:proofErr w:type="gramStart"/>
      <w:r w:rsidRPr="00AC78CD">
        <w:t>Buikstra JE, Konigsberg LW, Bullington J. 1986.</w:t>
      </w:r>
      <w:proofErr w:type="gramEnd"/>
      <w:r w:rsidRPr="00AC78CD">
        <w:t xml:space="preserve"> </w:t>
      </w:r>
      <w:proofErr w:type="gramStart"/>
      <w:r w:rsidRPr="00AC78CD">
        <w:t>Fertility and the development of agriculture in the prehistoric Midwest.</w:t>
      </w:r>
      <w:proofErr w:type="gramEnd"/>
      <w:r w:rsidRPr="00AC78CD">
        <w:t xml:space="preserve"> </w:t>
      </w:r>
      <w:r w:rsidRPr="00AC78CD">
        <w:rPr>
          <w:i/>
        </w:rPr>
        <w:t xml:space="preserve">American Antiquity </w:t>
      </w:r>
      <w:r w:rsidRPr="00AC78CD">
        <w:t>51(3):528-546.</w:t>
      </w:r>
    </w:p>
    <w:p w:rsidR="00715402" w:rsidRPr="00AC78CD" w:rsidRDefault="00715402" w:rsidP="00715402"/>
    <w:p w:rsidR="00715402" w:rsidRPr="00AC78CD" w:rsidRDefault="00715402" w:rsidP="00715402">
      <w:r w:rsidRPr="00AC78CD">
        <w:t>Buikstra JE, Ubelaker DH. 1994. Standards for Data Collection from Human Skeletal Remains. Fayetteville, AK: Arkansas Archaeological Survey.</w:t>
      </w:r>
    </w:p>
    <w:p w:rsidR="00715402" w:rsidRPr="00AC78CD" w:rsidRDefault="00715402" w:rsidP="00715402"/>
    <w:p w:rsidR="00715402" w:rsidRPr="00AC78CD" w:rsidRDefault="00715402" w:rsidP="00715402">
      <w:r w:rsidRPr="00AC78CD">
        <w:t xml:space="preserve">Calce SE. 2012. </w:t>
      </w:r>
      <w:proofErr w:type="gramStart"/>
      <w:r w:rsidRPr="00AC78CD">
        <w:t>A new method to estimate adult age-at-death using the acetabulum.</w:t>
      </w:r>
      <w:proofErr w:type="gramEnd"/>
      <w:r w:rsidRPr="00AC78CD">
        <w:t xml:space="preserve"> </w:t>
      </w:r>
      <w:r w:rsidRPr="00AC78CD">
        <w:rPr>
          <w:i/>
        </w:rPr>
        <w:t xml:space="preserve">American Journal of Physical Anthropology </w:t>
      </w:r>
      <w:r w:rsidRPr="00AC78CD">
        <w:t>148 (1):11-23.</w:t>
      </w:r>
    </w:p>
    <w:p w:rsidR="00715402" w:rsidRPr="00AC78CD" w:rsidRDefault="00715402" w:rsidP="00715402"/>
    <w:p w:rsidR="00715402" w:rsidRPr="00AC78CD" w:rsidRDefault="00715402" w:rsidP="00715402">
      <w:r w:rsidRPr="00AC78CD">
        <w:t xml:space="preserve">Cameron N. 2002. </w:t>
      </w:r>
      <w:proofErr w:type="gramStart"/>
      <w:r w:rsidRPr="00AC78CD">
        <w:t>Human Growth and Development.</w:t>
      </w:r>
      <w:proofErr w:type="gramEnd"/>
      <w:r w:rsidRPr="00AC78CD">
        <w:t xml:space="preserve"> </w:t>
      </w:r>
      <w:proofErr w:type="gramStart"/>
      <w:r w:rsidRPr="00AC78CD">
        <w:t>Academic Press, San Diego, CA.</w:t>
      </w:r>
      <w:proofErr w:type="gramEnd"/>
    </w:p>
    <w:p w:rsidR="00715402" w:rsidRPr="00AC78CD" w:rsidRDefault="00715402" w:rsidP="00715402"/>
    <w:p w:rsidR="00715402" w:rsidRPr="00AC78CD" w:rsidRDefault="00715402" w:rsidP="00715402">
      <w:r w:rsidRPr="00AC78CD">
        <w:lastRenderedPageBreak/>
        <w:t xml:space="preserve">Cardoso HFV. 2007. Environmental effects on skeletal versus dental development: Using a documented subadult skeletal sample to test a basic assumption in human osteological research. </w:t>
      </w:r>
      <w:r w:rsidRPr="00AC78CD">
        <w:rPr>
          <w:i/>
        </w:rPr>
        <w:t xml:space="preserve">American Journal of Physical Anthropology </w:t>
      </w:r>
      <w:r w:rsidRPr="00AC78CD">
        <w:t>132: 223-233.</w:t>
      </w:r>
    </w:p>
    <w:p w:rsidR="00715402" w:rsidRPr="00AC78CD" w:rsidRDefault="00715402" w:rsidP="00715402"/>
    <w:p w:rsidR="00715402" w:rsidRPr="00AC78CD" w:rsidRDefault="00715402" w:rsidP="00715402">
      <w:r w:rsidRPr="00AC78CD">
        <w:t xml:space="preserve">Chamberlain A. 2006. </w:t>
      </w:r>
      <w:proofErr w:type="gramStart"/>
      <w:r w:rsidRPr="00AC78CD">
        <w:rPr>
          <w:i/>
          <w:iCs/>
        </w:rPr>
        <w:t>Demography in Archaeology</w:t>
      </w:r>
      <w:r w:rsidRPr="00AC78CD">
        <w:t>.</w:t>
      </w:r>
      <w:proofErr w:type="gramEnd"/>
      <w:r w:rsidRPr="00AC78CD">
        <w:t xml:space="preserve"> Cambridge: Cambridge University Press.</w:t>
      </w:r>
    </w:p>
    <w:p w:rsidR="00715402" w:rsidRPr="00AC78CD" w:rsidRDefault="00715402" w:rsidP="00715402"/>
    <w:p w:rsidR="00715402" w:rsidRPr="00AC78CD" w:rsidRDefault="00715402" w:rsidP="00715402">
      <w:r w:rsidRPr="00AC78CD">
        <w:t xml:space="preserve">Coale AJ, Demeny P. 1983. </w:t>
      </w:r>
      <w:proofErr w:type="gramStart"/>
      <w:r w:rsidRPr="00AC78CD">
        <w:t>Regional Model Life Tables and Stable Populations.</w:t>
      </w:r>
      <w:proofErr w:type="gramEnd"/>
      <w:r w:rsidRPr="00AC78CD">
        <w:t xml:space="preserve"> Academic Press, New York.</w:t>
      </w:r>
    </w:p>
    <w:p w:rsidR="00715402" w:rsidRPr="00AC78CD" w:rsidRDefault="00715402" w:rsidP="00715402"/>
    <w:p w:rsidR="00715402" w:rsidRPr="00AC78CD" w:rsidRDefault="00715402" w:rsidP="00715402">
      <w:r w:rsidRPr="00AC78CD">
        <w:t xml:space="preserve">Cockburn A. 1971. </w:t>
      </w:r>
      <w:proofErr w:type="gramStart"/>
      <w:r w:rsidRPr="00AC78CD">
        <w:t>Infectious Diseases in Ancient Populations.</w:t>
      </w:r>
      <w:proofErr w:type="gramEnd"/>
      <w:r w:rsidRPr="00AC78CD">
        <w:t xml:space="preserve"> </w:t>
      </w:r>
      <w:r w:rsidRPr="00AC78CD">
        <w:rPr>
          <w:i/>
        </w:rPr>
        <w:t>Current Anthropology</w:t>
      </w:r>
      <w:r w:rsidRPr="00AC78CD">
        <w:t xml:space="preserve"> 12:42-54.</w:t>
      </w:r>
    </w:p>
    <w:p w:rsidR="00715402" w:rsidRPr="00AC78CD" w:rsidRDefault="00715402" w:rsidP="00715402"/>
    <w:p w:rsidR="00715402" w:rsidRPr="00AC78CD" w:rsidRDefault="00715402" w:rsidP="00715402">
      <w:r w:rsidRPr="00AC78CD">
        <w:t xml:space="preserve">Cohen MN. 1994. The osteological paradox reconsidered. </w:t>
      </w:r>
      <w:r w:rsidRPr="00AC78CD">
        <w:rPr>
          <w:i/>
          <w:iCs/>
        </w:rPr>
        <w:t xml:space="preserve">Current Anthropology </w:t>
      </w:r>
      <w:r w:rsidRPr="00AC78CD">
        <w:t>35(5):629-31.</w:t>
      </w:r>
    </w:p>
    <w:p w:rsidR="00715402" w:rsidRPr="00AC78CD" w:rsidRDefault="00715402" w:rsidP="00715402"/>
    <w:p w:rsidR="00715402" w:rsidRPr="00AC78CD" w:rsidRDefault="00715402" w:rsidP="00715402">
      <w:proofErr w:type="gramStart"/>
      <w:r w:rsidRPr="00AC78CD">
        <w:t>Cook DC, Buikstra JE.</w:t>
      </w:r>
      <w:proofErr w:type="gramEnd"/>
      <w:r w:rsidRPr="00AC78CD">
        <w:t xml:space="preserve"> 1979. Health and Differential Survival in Prehistoric Populations: Prenatal Dental Defects. </w:t>
      </w:r>
      <w:r w:rsidRPr="00AC78CD">
        <w:rPr>
          <w:i/>
        </w:rPr>
        <w:t xml:space="preserve">American Journal of Physical Anthropology </w:t>
      </w:r>
      <w:r w:rsidRPr="00AC78CD">
        <w:t>51:649-664.</w:t>
      </w:r>
    </w:p>
    <w:p w:rsidR="00715402" w:rsidRPr="00AC78CD" w:rsidRDefault="00715402" w:rsidP="00715402"/>
    <w:p w:rsidR="00715402" w:rsidRPr="00AC78CD" w:rsidRDefault="00715402" w:rsidP="00715402">
      <w:r w:rsidRPr="00AC78CD">
        <w:t xml:space="preserve">DeWitte SN. 2009. The effect of sex on risk of mortality during the black death in London, AD 139-1350. </w:t>
      </w:r>
      <w:r w:rsidRPr="00AC78CD">
        <w:rPr>
          <w:i/>
        </w:rPr>
        <w:t xml:space="preserve">American Journal of Physical Anthropology </w:t>
      </w:r>
      <w:r w:rsidRPr="00AC78CD">
        <w:t>139:222-234.</w:t>
      </w:r>
    </w:p>
    <w:p w:rsidR="00715402" w:rsidRPr="00AC78CD" w:rsidRDefault="00715402" w:rsidP="00715402"/>
    <w:p w:rsidR="00715402" w:rsidRPr="00AC78CD" w:rsidRDefault="00715402" w:rsidP="00715402">
      <w:r w:rsidRPr="00AC78CD">
        <w:t>DeWitte SN, Wood JW. 2008. Selectivity of the Black Death with respect to preexisting health, Proceedings from the National Academy of Science USA 105:1436-1441.</w:t>
      </w:r>
    </w:p>
    <w:p w:rsidR="00715402" w:rsidRPr="00AC78CD" w:rsidRDefault="00715402" w:rsidP="00715402"/>
    <w:p w:rsidR="00715402" w:rsidRPr="00AC78CD" w:rsidRDefault="00715402" w:rsidP="00715402">
      <w:proofErr w:type="gramStart"/>
      <w:r w:rsidRPr="00AC78CD">
        <w:t>DiGangi EA, Bethard JD, Kimmerle EH, Konigsberg LW.</w:t>
      </w:r>
      <w:proofErr w:type="gramEnd"/>
      <w:r w:rsidRPr="00AC78CD">
        <w:t xml:space="preserve"> 2009. A new method for estimating age-at-death from the first rib. </w:t>
      </w:r>
      <w:r w:rsidRPr="00AC78CD">
        <w:rPr>
          <w:i/>
        </w:rPr>
        <w:t xml:space="preserve">American Journal of Physical Anthropology </w:t>
      </w:r>
      <w:r w:rsidRPr="00AC78CD">
        <w:t>138:164-176.</w:t>
      </w:r>
    </w:p>
    <w:p w:rsidR="00715402" w:rsidRPr="00AC78CD" w:rsidRDefault="00715402" w:rsidP="00715402"/>
    <w:p w:rsidR="00715402" w:rsidRPr="00AC78CD" w:rsidRDefault="00715402" w:rsidP="00715402">
      <w:r w:rsidRPr="00AC78CD">
        <w:t xml:space="preserve">Eshed V, Gopher A, Gage TB, Hershkovitz I. 2004. Has the transition to agriculture reshaped the demographic structure of prehistoric populations? </w:t>
      </w:r>
      <w:proofErr w:type="gramStart"/>
      <w:r w:rsidRPr="00AC78CD">
        <w:t>New evidence from the Levant.</w:t>
      </w:r>
      <w:proofErr w:type="gramEnd"/>
      <w:r w:rsidRPr="00AC78CD">
        <w:t xml:space="preserve"> </w:t>
      </w:r>
      <w:r w:rsidRPr="00AC78CD">
        <w:rPr>
          <w:i/>
          <w:iCs/>
        </w:rPr>
        <w:t xml:space="preserve">American Journal of Physical Anthropology </w:t>
      </w:r>
      <w:r w:rsidRPr="00AC78CD">
        <w:t>124(4):315-29.</w:t>
      </w:r>
    </w:p>
    <w:p w:rsidR="00715402" w:rsidRPr="00AC78CD" w:rsidRDefault="00715402" w:rsidP="00715402"/>
    <w:p w:rsidR="00715402" w:rsidRPr="00AC78CD" w:rsidRDefault="00715402" w:rsidP="00715402">
      <w:proofErr w:type="gramStart"/>
      <w:r w:rsidRPr="00AC78CD">
        <w:t>Ewers J. 1961.</w:t>
      </w:r>
      <w:proofErr w:type="gramEnd"/>
      <w:r w:rsidRPr="00AC78CD">
        <w:t xml:space="preserve"> </w:t>
      </w:r>
      <w:proofErr w:type="gramStart"/>
      <w:r w:rsidRPr="00AC78CD">
        <w:t>Five Indian Tribes of the Upper Missouri.</w:t>
      </w:r>
      <w:proofErr w:type="gramEnd"/>
      <w:r w:rsidRPr="00AC78CD">
        <w:t xml:space="preserve"> </w:t>
      </w:r>
      <w:proofErr w:type="gramStart"/>
      <w:r w:rsidRPr="00AC78CD">
        <w:t>University of Oklahoma Press, Norman.</w:t>
      </w:r>
      <w:proofErr w:type="gramEnd"/>
    </w:p>
    <w:p w:rsidR="00715402" w:rsidRPr="00AC78CD" w:rsidRDefault="00715402" w:rsidP="00715402"/>
    <w:p w:rsidR="00715402" w:rsidRPr="00AC78CD" w:rsidRDefault="00715402" w:rsidP="00715402">
      <w:r w:rsidRPr="00AC78CD">
        <w:t xml:space="preserve">Fazekas IG, Kosa F. 1978. </w:t>
      </w:r>
      <w:proofErr w:type="gramStart"/>
      <w:r w:rsidRPr="00AC78CD">
        <w:t>Forensic Fetal Osteology.</w:t>
      </w:r>
      <w:proofErr w:type="gramEnd"/>
      <w:r w:rsidRPr="00AC78CD">
        <w:t xml:space="preserve"> Akademiai Kiado, Budapest.</w:t>
      </w:r>
    </w:p>
    <w:p w:rsidR="00715402" w:rsidRPr="00AC78CD" w:rsidRDefault="00715402" w:rsidP="00715402"/>
    <w:p w:rsidR="00715402" w:rsidRPr="00AC78CD" w:rsidRDefault="00715402" w:rsidP="00715402">
      <w:proofErr w:type="gramStart"/>
      <w:r w:rsidRPr="00AC78CD">
        <w:t>Frankenberg SR, Konigsberg LW.</w:t>
      </w:r>
      <w:proofErr w:type="gramEnd"/>
      <w:r w:rsidRPr="00AC78CD">
        <w:t xml:space="preserve"> 2006. A Brief History of Paleodemography from Hooton to Hazard Analysis. In Bioarchaeology: The contextual analysis of Human Remains. </w:t>
      </w:r>
      <w:proofErr w:type="gramStart"/>
      <w:r w:rsidRPr="00AC78CD">
        <w:t xml:space="preserve">Edited by JE Buikstra and LA Beck, </w:t>
      </w:r>
      <w:r>
        <w:t>Pp.</w:t>
      </w:r>
      <w:r w:rsidRPr="00AC78CD">
        <w:t xml:space="preserve"> 227-262, Academic Press, New York.</w:t>
      </w:r>
      <w:proofErr w:type="gramEnd"/>
    </w:p>
    <w:p w:rsidR="00715402" w:rsidRPr="00AC78CD" w:rsidRDefault="00715402" w:rsidP="00715402"/>
    <w:p w:rsidR="00715402" w:rsidRPr="00AC78CD" w:rsidRDefault="00715402" w:rsidP="00715402">
      <w:r w:rsidRPr="00AC78CD">
        <w:t xml:space="preserve">Gage T. 1988. Mathematical hazard models of mortality: an alternative to model life tables. </w:t>
      </w:r>
      <w:r w:rsidRPr="00AC78CD">
        <w:rPr>
          <w:i/>
        </w:rPr>
        <w:t xml:space="preserve">American Journal of Physical Anthropology </w:t>
      </w:r>
      <w:r w:rsidRPr="00AC78CD">
        <w:t>76:429-441.</w:t>
      </w:r>
    </w:p>
    <w:p w:rsidR="00715402" w:rsidRPr="00AC78CD" w:rsidRDefault="00715402" w:rsidP="00715402"/>
    <w:p w:rsidR="00715402" w:rsidRPr="00AC78CD" w:rsidRDefault="00715402" w:rsidP="00715402">
      <w:r w:rsidRPr="00AC78CD">
        <w:t>Gage T. 1989. Bio-mathematical approaches to the study of human variation in mortality. Yearbook of Physical Anthropology 32:185-214.</w:t>
      </w:r>
    </w:p>
    <w:p w:rsidR="00715402" w:rsidRPr="00AC78CD" w:rsidRDefault="00715402" w:rsidP="00715402"/>
    <w:p w:rsidR="00715402" w:rsidRPr="00AC78CD" w:rsidRDefault="00715402" w:rsidP="00715402">
      <w:r w:rsidRPr="00AC78CD">
        <w:lastRenderedPageBreak/>
        <w:t xml:space="preserve">Gage T. 1990. Variation and classification of human age patterns of mortality: Analysis using competing hazard models. </w:t>
      </w:r>
      <w:r w:rsidRPr="00AC78CD">
        <w:rPr>
          <w:i/>
        </w:rPr>
        <w:t>Human Biology</w:t>
      </w:r>
      <w:r w:rsidRPr="00AC78CD">
        <w:t xml:space="preserve"> 62:589-614.</w:t>
      </w:r>
    </w:p>
    <w:p w:rsidR="00715402" w:rsidRPr="00AC78CD" w:rsidRDefault="00715402" w:rsidP="00715402"/>
    <w:p w:rsidR="00715402" w:rsidRPr="00AC78CD" w:rsidRDefault="00715402" w:rsidP="00715402">
      <w:r w:rsidRPr="00AC78CD">
        <w:t xml:space="preserve">Gage T. 1991. </w:t>
      </w:r>
      <w:proofErr w:type="gramStart"/>
      <w:r w:rsidRPr="00AC78CD">
        <w:t>Causes of death and components of mortality: Testing the biological interpretations of competing hazards models.</w:t>
      </w:r>
      <w:proofErr w:type="gramEnd"/>
      <w:r w:rsidRPr="00AC78CD">
        <w:rPr>
          <w:i/>
        </w:rPr>
        <w:t xml:space="preserve"> American Journal of Human Biology</w:t>
      </w:r>
      <w:r w:rsidRPr="00AC78CD">
        <w:t xml:space="preserve"> 3:289-300.</w:t>
      </w:r>
    </w:p>
    <w:p w:rsidR="00715402" w:rsidRPr="00AC78CD" w:rsidRDefault="00715402" w:rsidP="00715402"/>
    <w:p w:rsidR="00715402" w:rsidRPr="00AC78CD" w:rsidRDefault="00715402" w:rsidP="00715402">
      <w:r w:rsidRPr="00AC78CD">
        <w:t xml:space="preserve">Gage T. 2000. </w:t>
      </w:r>
      <w:proofErr w:type="gramStart"/>
      <w:r w:rsidRPr="00AC78CD">
        <w:t>Demography.</w:t>
      </w:r>
      <w:proofErr w:type="gramEnd"/>
      <w:r w:rsidRPr="00AC78CD">
        <w:t xml:space="preserve">  </w:t>
      </w:r>
      <w:r w:rsidRPr="00AC78CD">
        <w:rPr>
          <w:i/>
        </w:rPr>
        <w:t>In Human Biology: An Evolutionary and Biocultural Perspective</w:t>
      </w:r>
      <w:r w:rsidRPr="00AC78CD">
        <w:t xml:space="preserve">. Edited by S Stinson, B Bogin, and R. Huss-Ashmore, D </w:t>
      </w:r>
      <w:proofErr w:type="gramStart"/>
      <w:r w:rsidRPr="00AC78CD">
        <w:t>O’Rourke.,</w:t>
      </w:r>
      <w:proofErr w:type="gramEnd"/>
      <w:r w:rsidRPr="00AC78CD">
        <w:t xml:space="preserve"> </w:t>
      </w:r>
      <w:r>
        <w:t>Pp.</w:t>
      </w:r>
      <w:r w:rsidRPr="00AC78CD">
        <w:t xml:space="preserve"> 507-551, New York, Wiley Blackwell.</w:t>
      </w:r>
    </w:p>
    <w:p w:rsidR="00715402" w:rsidRPr="00AC78CD" w:rsidRDefault="00715402" w:rsidP="00715402"/>
    <w:p w:rsidR="00715402" w:rsidRPr="00AC78CD" w:rsidRDefault="00715402" w:rsidP="00715402">
      <w:r w:rsidRPr="00AC78CD">
        <w:t xml:space="preserve">Gage T. 2005. Are modern environments really bad for us? </w:t>
      </w:r>
      <w:proofErr w:type="gramStart"/>
      <w:r w:rsidRPr="00AC78CD">
        <w:t>Revisiting the demographic and epidemiologic transitions.</w:t>
      </w:r>
      <w:proofErr w:type="gramEnd"/>
      <w:r w:rsidRPr="00AC78CD">
        <w:t xml:space="preserve"> </w:t>
      </w:r>
      <w:r w:rsidRPr="00AC78CD">
        <w:rPr>
          <w:i/>
        </w:rPr>
        <w:t xml:space="preserve">American Journal of Physical Anthropology </w:t>
      </w:r>
      <w:r w:rsidRPr="00AC78CD">
        <w:t>Supplement 41: 96-117.</w:t>
      </w:r>
    </w:p>
    <w:p w:rsidR="00715402" w:rsidRPr="00AC78CD" w:rsidRDefault="00715402" w:rsidP="00715402"/>
    <w:p w:rsidR="00715402" w:rsidRPr="00AC78CD" w:rsidRDefault="00715402" w:rsidP="00715402">
      <w:r w:rsidRPr="00AC78CD">
        <w:t xml:space="preserve">Gage T. 2010. Demographic Estimation:  Indirect Techniques for Anthropological Populations. </w:t>
      </w:r>
      <w:proofErr w:type="gramStart"/>
      <w:r w:rsidRPr="00AC78CD">
        <w:t xml:space="preserve">In </w:t>
      </w:r>
      <w:r w:rsidRPr="00AC78CD">
        <w:rPr>
          <w:i/>
        </w:rPr>
        <w:t>A Companion to Biological Anthropology.</w:t>
      </w:r>
      <w:proofErr w:type="gramEnd"/>
      <w:r w:rsidRPr="00AC78CD">
        <w:rPr>
          <w:i/>
        </w:rPr>
        <w:t xml:space="preserve"> </w:t>
      </w:r>
      <w:r w:rsidRPr="00AC78CD">
        <w:t>Edited by CS Larsen, 179-193, New York</w:t>
      </w:r>
      <w:proofErr w:type="gramStart"/>
      <w:r w:rsidRPr="00AC78CD">
        <w:t>,Wiley</w:t>
      </w:r>
      <w:proofErr w:type="gramEnd"/>
      <w:r w:rsidRPr="00AC78CD">
        <w:t>-Blackwell.</w:t>
      </w:r>
    </w:p>
    <w:p w:rsidR="00715402" w:rsidRPr="00AC78CD" w:rsidRDefault="00715402" w:rsidP="00715402"/>
    <w:p w:rsidR="00715402" w:rsidRPr="00AC78CD" w:rsidRDefault="00715402" w:rsidP="00715402">
      <w:r w:rsidRPr="00AC78CD">
        <w:t xml:space="preserve">Gage T, and Dyke B. 1986. Parameterizing abridged mortality tables: The Siler three-component hazard model. </w:t>
      </w:r>
      <w:r w:rsidRPr="00AC78CD">
        <w:rPr>
          <w:i/>
        </w:rPr>
        <w:t>Human Biology</w:t>
      </w:r>
      <w:r w:rsidRPr="00AC78CD">
        <w:t xml:space="preserve"> 58:275-291.</w:t>
      </w:r>
    </w:p>
    <w:p w:rsidR="00715402" w:rsidRPr="00AC78CD" w:rsidRDefault="00715402" w:rsidP="00715402"/>
    <w:p w:rsidR="00715402" w:rsidRPr="00AC78CD" w:rsidRDefault="00715402" w:rsidP="00715402">
      <w:r w:rsidRPr="00AC78CD">
        <w:t xml:space="preserve">Gage TB, Mode CJ. 1993. Some law of mortality: how well do they fit? </w:t>
      </w:r>
      <w:r w:rsidRPr="00AC78CD">
        <w:rPr>
          <w:i/>
        </w:rPr>
        <w:t>Human Biology</w:t>
      </w:r>
      <w:r w:rsidRPr="00AC78CD">
        <w:t xml:space="preserve"> 65(3): 445-461</w:t>
      </w:r>
    </w:p>
    <w:p w:rsidR="00715402" w:rsidRPr="00AC78CD" w:rsidRDefault="00715402" w:rsidP="00715402"/>
    <w:p w:rsidR="00715402" w:rsidRPr="00AC78CD" w:rsidRDefault="00715402" w:rsidP="00715402">
      <w:r w:rsidRPr="00AC78CD">
        <w:t xml:space="preserve">Gage TB, O’Connor K. 1994. </w:t>
      </w:r>
      <w:proofErr w:type="gramStart"/>
      <w:r w:rsidRPr="00AC78CD">
        <w:t>Nutrition and the variation in level and age patterns of mortality.</w:t>
      </w:r>
      <w:proofErr w:type="gramEnd"/>
      <w:r w:rsidRPr="00AC78CD">
        <w:t xml:space="preserve"> Human Biology 66(1):77-103.</w:t>
      </w:r>
    </w:p>
    <w:p w:rsidR="00715402" w:rsidRPr="00AC78CD" w:rsidRDefault="00715402" w:rsidP="00715402"/>
    <w:p w:rsidR="00715402" w:rsidRPr="00AC78CD" w:rsidRDefault="00715402" w:rsidP="00715402">
      <w:r w:rsidRPr="00AC78CD">
        <w:t xml:space="preserve">Garvin HM, Passalacqua NV. 2012. Current practices of forensic anthropologists in adult skeletal age estimation. </w:t>
      </w:r>
      <w:r w:rsidRPr="00AC78CD">
        <w:rPr>
          <w:i/>
        </w:rPr>
        <w:t xml:space="preserve">Journal of Forensic </w:t>
      </w:r>
      <w:proofErr w:type="gramStart"/>
      <w:r w:rsidRPr="00AC78CD">
        <w:rPr>
          <w:i/>
        </w:rPr>
        <w:t xml:space="preserve">Sciences </w:t>
      </w:r>
      <w:r w:rsidRPr="00AC78CD">
        <w:t xml:space="preserve"> 57:427</w:t>
      </w:r>
      <w:proofErr w:type="gramEnd"/>
      <w:r w:rsidRPr="00AC78CD">
        <w:t>-433.</w:t>
      </w:r>
    </w:p>
    <w:p w:rsidR="00715402" w:rsidRPr="00AC78CD" w:rsidRDefault="00715402" w:rsidP="00715402"/>
    <w:p w:rsidR="00715402" w:rsidRPr="00AC78CD" w:rsidRDefault="00715402" w:rsidP="00715402">
      <w:r w:rsidRPr="00AC78CD">
        <w:t xml:space="preserve">Garvin HM, Passalacqua NV, Ulh NM, Gipson DR, Overbury RS, Cabo LL. 2012. Developments in Forensic Anthropology: Age-at-Death Estimation. </w:t>
      </w:r>
      <w:proofErr w:type="gramStart"/>
      <w:r w:rsidRPr="00AC78CD">
        <w:t xml:space="preserve">In </w:t>
      </w:r>
      <w:r w:rsidRPr="00AC78CD">
        <w:rPr>
          <w:i/>
        </w:rPr>
        <w:t xml:space="preserve">Companion to forensic anthropology, </w:t>
      </w:r>
      <w:r w:rsidRPr="00AC78CD">
        <w:t xml:space="preserve">edited by DC Dirkmaat, </w:t>
      </w:r>
      <w:r>
        <w:t>Pp.</w:t>
      </w:r>
      <w:r w:rsidRPr="00AC78CD">
        <w:t xml:space="preserve"> 202-237.</w:t>
      </w:r>
      <w:proofErr w:type="gramEnd"/>
      <w:r w:rsidRPr="00AC78CD">
        <w:t xml:space="preserve"> Oxford: Blackwell Publishing Ltd.</w:t>
      </w:r>
    </w:p>
    <w:p w:rsidR="00715402" w:rsidRPr="00AC78CD" w:rsidRDefault="00715402" w:rsidP="00715402"/>
    <w:p w:rsidR="00715402" w:rsidRPr="00AC78CD" w:rsidRDefault="00715402" w:rsidP="00715402">
      <w:r w:rsidRPr="00AC78CD">
        <w:t xml:space="preserve">Gilbert BM, Bass WM. 1967. </w:t>
      </w:r>
      <w:proofErr w:type="gramStart"/>
      <w:r w:rsidRPr="00AC78CD">
        <w:t>Seasonal dating of burials from the presence of fly pupae.</w:t>
      </w:r>
      <w:proofErr w:type="gramEnd"/>
      <w:r w:rsidRPr="00AC78CD">
        <w:t xml:space="preserve"> </w:t>
      </w:r>
      <w:r w:rsidRPr="00AC78CD">
        <w:rPr>
          <w:i/>
        </w:rPr>
        <w:t xml:space="preserve">American Antiquity </w:t>
      </w:r>
      <w:r w:rsidRPr="00AC78CD">
        <w:t>32:534-535.</w:t>
      </w:r>
    </w:p>
    <w:p w:rsidR="00715402" w:rsidRPr="00AC78CD" w:rsidRDefault="00715402" w:rsidP="00715402"/>
    <w:p w:rsidR="00715402" w:rsidRPr="00AC78CD" w:rsidRDefault="00715402" w:rsidP="00715402">
      <w:r w:rsidRPr="00AC78CD">
        <w:t xml:space="preserve">Gilbert BM, McKern TW. 1973. A method for aging the female OS Pubis. </w:t>
      </w:r>
      <w:r w:rsidRPr="00AC78CD">
        <w:rPr>
          <w:i/>
        </w:rPr>
        <w:t xml:space="preserve">American Journal of Physical Anthropology </w:t>
      </w:r>
      <w:r w:rsidRPr="00AC78CD">
        <w:t>38:31-38.</w:t>
      </w:r>
    </w:p>
    <w:p w:rsidR="00715402" w:rsidRDefault="00715402" w:rsidP="00715402"/>
    <w:p w:rsidR="00715402" w:rsidRDefault="00715402" w:rsidP="00715402">
      <w:pPr>
        <w:pStyle w:val="Default"/>
        <w:rPr>
          <w:sz w:val="23"/>
          <w:szCs w:val="23"/>
        </w:rPr>
      </w:pPr>
      <w:proofErr w:type="gramStart"/>
      <w:r>
        <w:rPr>
          <w:sz w:val="23"/>
          <w:szCs w:val="23"/>
        </w:rPr>
        <w:t>Goodman AH, Lallo J, Armelagos GJ, Rose JC.</w:t>
      </w:r>
      <w:proofErr w:type="gramEnd"/>
      <w:r>
        <w:rPr>
          <w:sz w:val="23"/>
          <w:szCs w:val="23"/>
        </w:rPr>
        <w:t xml:space="preserve"> 1984. Health changes at Dickson Mounds, Illinois (A.D. 950-1300). </w:t>
      </w:r>
      <w:proofErr w:type="gramStart"/>
      <w:r>
        <w:rPr>
          <w:sz w:val="23"/>
          <w:szCs w:val="23"/>
        </w:rPr>
        <w:t xml:space="preserve">In </w:t>
      </w:r>
      <w:r>
        <w:rPr>
          <w:i/>
          <w:iCs/>
          <w:sz w:val="23"/>
          <w:szCs w:val="23"/>
        </w:rPr>
        <w:t>Paleopathology at the Origins of Agriculture</w:t>
      </w:r>
      <w:r>
        <w:rPr>
          <w:sz w:val="23"/>
          <w:szCs w:val="23"/>
        </w:rPr>
        <w:t>, edited by MN Cohen and GJ Armelagos, Pp. 271-305.</w:t>
      </w:r>
      <w:proofErr w:type="gramEnd"/>
      <w:r>
        <w:rPr>
          <w:sz w:val="23"/>
          <w:szCs w:val="23"/>
        </w:rPr>
        <w:t xml:space="preserve"> New York: Academic Press. </w:t>
      </w:r>
    </w:p>
    <w:p w:rsidR="00715402" w:rsidRDefault="00715402" w:rsidP="00715402">
      <w:pPr>
        <w:rPr>
          <w:sz w:val="23"/>
          <w:szCs w:val="23"/>
        </w:rPr>
      </w:pPr>
    </w:p>
    <w:p w:rsidR="00715402" w:rsidRPr="00AC78CD" w:rsidRDefault="00715402" w:rsidP="00715402">
      <w:proofErr w:type="gramStart"/>
      <w:r>
        <w:rPr>
          <w:sz w:val="23"/>
          <w:szCs w:val="23"/>
        </w:rPr>
        <w:t>Goodman AH, Martin DL.</w:t>
      </w:r>
      <w:proofErr w:type="gramEnd"/>
      <w:r>
        <w:rPr>
          <w:sz w:val="23"/>
          <w:szCs w:val="23"/>
        </w:rPr>
        <w:t xml:space="preserve"> 2002. Reconstructing health profiles from skeletal remains. In </w:t>
      </w:r>
      <w:r>
        <w:rPr>
          <w:i/>
          <w:iCs/>
          <w:sz w:val="23"/>
          <w:szCs w:val="23"/>
        </w:rPr>
        <w:t>The Backbone of History: Health and Nutrition in the Western Hemisphere</w:t>
      </w:r>
      <w:r>
        <w:rPr>
          <w:sz w:val="23"/>
          <w:szCs w:val="23"/>
        </w:rPr>
        <w:t>, edited by RH Steckel and JC Rose, Pp. 11-60. Cambridge: Cambridge University Press.</w:t>
      </w:r>
    </w:p>
    <w:p w:rsidR="00715402" w:rsidRDefault="00715402" w:rsidP="00715402"/>
    <w:p w:rsidR="00715402" w:rsidRPr="00AC78CD" w:rsidRDefault="00715402" w:rsidP="00715402">
      <w:r w:rsidRPr="00AC78CD">
        <w:t xml:space="preserve">Gompertz B. 1825. </w:t>
      </w:r>
      <w:proofErr w:type="gramStart"/>
      <w:r w:rsidRPr="00AC78CD">
        <w:t>On the nature of the function expressive of the law of human mortality, and on a new mode of determining the value of life contingencies.</w:t>
      </w:r>
      <w:proofErr w:type="gramEnd"/>
      <w:r w:rsidRPr="00AC78CD">
        <w:t xml:space="preserve"> </w:t>
      </w:r>
      <w:proofErr w:type="gramStart"/>
      <w:r w:rsidRPr="00AC78CD">
        <w:rPr>
          <w:i/>
        </w:rPr>
        <w:t>Philosophical Transactions of the Royal Society of London (Series A)</w:t>
      </w:r>
      <w:r w:rsidRPr="00AC78CD">
        <w:t xml:space="preserve"> 115:513-585.</w:t>
      </w:r>
      <w:proofErr w:type="gramEnd"/>
    </w:p>
    <w:p w:rsidR="00715402" w:rsidRPr="00AC78CD" w:rsidRDefault="00715402" w:rsidP="00715402"/>
    <w:p w:rsidR="00715402" w:rsidRPr="00AC78CD" w:rsidRDefault="00715402" w:rsidP="00715402">
      <w:r w:rsidRPr="00AC78CD">
        <w:t xml:space="preserve">Gordon CG, Buikstra JE. 1981. Soil pH, bone preservation and sample bias at mortuary sites. </w:t>
      </w:r>
      <w:r w:rsidRPr="00AC78CD">
        <w:rPr>
          <w:i/>
        </w:rPr>
        <w:t xml:space="preserve">American Antiquity </w:t>
      </w:r>
      <w:r w:rsidRPr="00AC78CD">
        <w:t>46:566-571.</w:t>
      </w:r>
    </w:p>
    <w:p w:rsidR="00715402" w:rsidRPr="00AC78CD" w:rsidRDefault="00715402" w:rsidP="00715402"/>
    <w:p w:rsidR="00715402" w:rsidRPr="00AC78CD" w:rsidRDefault="00715402" w:rsidP="00715402">
      <w:r w:rsidRPr="00AC78CD">
        <w:t xml:space="preserve">Gowland RL, Chamberlain AT. 2005. Detecting plague: paleodemographic characterization of a catastrophic death assemblage. </w:t>
      </w:r>
      <w:r w:rsidRPr="00AC78CD">
        <w:rPr>
          <w:i/>
          <w:iCs/>
        </w:rPr>
        <w:t xml:space="preserve">Antiquity </w:t>
      </w:r>
      <w:r w:rsidRPr="00AC78CD">
        <w:t>79:146-157.</w:t>
      </w:r>
    </w:p>
    <w:p w:rsidR="00715402" w:rsidRPr="00AC78CD" w:rsidRDefault="00715402" w:rsidP="00715402"/>
    <w:p w:rsidR="00715402" w:rsidRPr="00AC78CD" w:rsidRDefault="00715402" w:rsidP="00715402">
      <w:r w:rsidRPr="00AC78CD">
        <w:t xml:space="preserve">Gregg JB, Steele JP, Clifford S. 1965. </w:t>
      </w:r>
      <w:proofErr w:type="gramStart"/>
      <w:r w:rsidRPr="00AC78CD">
        <w:t>Ear disease from the Sully burial site.</w:t>
      </w:r>
      <w:proofErr w:type="gramEnd"/>
      <w:r w:rsidRPr="00AC78CD">
        <w:t xml:space="preserve"> </w:t>
      </w:r>
      <w:r w:rsidRPr="00AC78CD">
        <w:rPr>
          <w:i/>
        </w:rPr>
        <w:t>Plains Anthropologist</w:t>
      </w:r>
      <w:r w:rsidRPr="00AC78CD">
        <w:t xml:space="preserve"> 10:233-239.</w:t>
      </w:r>
    </w:p>
    <w:p w:rsidR="00715402" w:rsidRPr="00AC78CD" w:rsidRDefault="00715402" w:rsidP="00715402"/>
    <w:p w:rsidR="00715402" w:rsidRPr="00AC78CD" w:rsidRDefault="00715402" w:rsidP="00715402">
      <w:r w:rsidRPr="00AC78CD">
        <w:t xml:space="preserve">Gustafson G. 1950. </w:t>
      </w:r>
      <w:proofErr w:type="gramStart"/>
      <w:r w:rsidRPr="00AC78CD">
        <w:t>Age determinations on teeth</w:t>
      </w:r>
      <w:r w:rsidRPr="00AC78CD">
        <w:rPr>
          <w:i/>
        </w:rPr>
        <w:t>.</w:t>
      </w:r>
      <w:proofErr w:type="gramEnd"/>
      <w:r w:rsidRPr="00AC78CD">
        <w:rPr>
          <w:i/>
        </w:rPr>
        <w:t xml:space="preserve"> Journal of American Dental Association</w:t>
      </w:r>
      <w:r w:rsidRPr="00AC78CD">
        <w:t xml:space="preserve"> 41: 45-54.</w:t>
      </w:r>
    </w:p>
    <w:p w:rsidR="00715402" w:rsidRDefault="00715402" w:rsidP="00715402"/>
    <w:p w:rsidR="00715402" w:rsidRDefault="00715402" w:rsidP="00715402">
      <w:pPr>
        <w:rPr>
          <w:sz w:val="23"/>
          <w:szCs w:val="23"/>
        </w:rPr>
      </w:pPr>
      <w:r>
        <w:rPr>
          <w:sz w:val="23"/>
          <w:szCs w:val="23"/>
        </w:rPr>
        <w:t>Gurven M, Kaplan H. 2007. Longevity among hunter-gatherers: A cross-cultural examination</w:t>
      </w:r>
      <w:r>
        <w:rPr>
          <w:i/>
          <w:iCs/>
          <w:sz w:val="23"/>
          <w:szCs w:val="23"/>
        </w:rPr>
        <w:t xml:space="preserve">. Population and Development Review </w:t>
      </w:r>
      <w:r>
        <w:rPr>
          <w:sz w:val="23"/>
          <w:szCs w:val="23"/>
        </w:rPr>
        <w:t>33(2): 321-365.</w:t>
      </w:r>
    </w:p>
    <w:p w:rsidR="00715402" w:rsidRPr="00AC78CD" w:rsidRDefault="00715402" w:rsidP="00715402"/>
    <w:p w:rsidR="00715402" w:rsidRPr="00AC78CD" w:rsidRDefault="00715402" w:rsidP="00715402">
      <w:r w:rsidRPr="00AC78CD">
        <w:t xml:space="preserve">Guy H, Masset C, Baud CA. 1997. </w:t>
      </w:r>
      <w:proofErr w:type="gramStart"/>
      <w:r w:rsidRPr="00AC78CD">
        <w:t xml:space="preserve">Infant </w:t>
      </w:r>
      <w:r>
        <w:t>T</w:t>
      </w:r>
      <w:r w:rsidRPr="00AC78CD">
        <w:t>aphonomy.</w:t>
      </w:r>
      <w:proofErr w:type="gramEnd"/>
      <w:r w:rsidRPr="00AC78CD">
        <w:t xml:space="preserve"> </w:t>
      </w:r>
      <w:r w:rsidRPr="00AC78CD">
        <w:rPr>
          <w:i/>
        </w:rPr>
        <w:t>International Journal of Osteoarchaeology</w:t>
      </w:r>
      <w:r w:rsidRPr="00AC78CD">
        <w:t xml:space="preserve"> 7:221-229.</w:t>
      </w:r>
    </w:p>
    <w:p w:rsidR="00715402" w:rsidRPr="00AC78CD" w:rsidRDefault="00715402" w:rsidP="00715402"/>
    <w:p w:rsidR="00715402" w:rsidRPr="00AC78CD" w:rsidRDefault="00715402" w:rsidP="00715402">
      <w:r w:rsidRPr="00AC78CD">
        <w:t xml:space="preserve">Hartnett, KM. 2010. Analysis of age-at-death estimation using data from a new, modern autopsy sample- part I: pubic bone. </w:t>
      </w:r>
      <w:r w:rsidRPr="00AC78CD">
        <w:rPr>
          <w:i/>
        </w:rPr>
        <w:t xml:space="preserve">Journal of Forensic Sciences </w:t>
      </w:r>
      <w:r w:rsidRPr="00AC78CD">
        <w:t>55:1145-1151.</w:t>
      </w:r>
    </w:p>
    <w:p w:rsidR="00715402" w:rsidRPr="00AC78CD" w:rsidRDefault="00715402" w:rsidP="00715402"/>
    <w:p w:rsidR="00715402" w:rsidRPr="00AC78CD" w:rsidRDefault="00715402" w:rsidP="00715402">
      <w:proofErr w:type="gramStart"/>
      <w:r w:rsidRPr="00AC78CD">
        <w:t>Herrmann NP, Konigsberg LW.</w:t>
      </w:r>
      <w:proofErr w:type="gramEnd"/>
      <w:r w:rsidRPr="00AC78CD">
        <w:t xml:space="preserve"> 2002. A re-examination of the age-at-death distribution of Indian Knoll. In Paleodemography: age distributions from skeletal samples, edited by RD Hoppa and JW Vaupel, </w:t>
      </w:r>
      <w:r>
        <w:t>Pp.</w:t>
      </w:r>
      <w:r w:rsidRPr="00AC78CD">
        <w:t>243-257, New York: Cambridge University Press7.</w:t>
      </w:r>
    </w:p>
    <w:p w:rsidR="00715402" w:rsidRPr="00AC78CD" w:rsidRDefault="00715402" w:rsidP="00715402"/>
    <w:p w:rsidR="00715402" w:rsidRPr="00AC78CD" w:rsidRDefault="00715402" w:rsidP="00715402">
      <w:r w:rsidRPr="00AC78CD">
        <w:t xml:space="preserve">Hobbs NT, Hilborn R. 2006. Alternatives to statistical hypothesis testing in ecology:  a guide to self-teaching. </w:t>
      </w:r>
      <w:r w:rsidRPr="00AC78CD">
        <w:rPr>
          <w:i/>
        </w:rPr>
        <w:t>Contemporary Statistics and Ecology</w:t>
      </w:r>
      <w:r w:rsidRPr="00AC78CD">
        <w:t xml:space="preserve"> 16(1):5-19.</w:t>
      </w:r>
    </w:p>
    <w:p w:rsidR="00715402" w:rsidRPr="00AC78CD" w:rsidRDefault="00715402" w:rsidP="00715402"/>
    <w:p w:rsidR="00715402" w:rsidRPr="00AC78CD" w:rsidRDefault="00715402" w:rsidP="00715402">
      <w:proofErr w:type="gramStart"/>
      <w:r w:rsidRPr="00AC78CD">
        <w:t>Holder P. 1970.</w:t>
      </w:r>
      <w:proofErr w:type="gramEnd"/>
      <w:r w:rsidRPr="00AC78CD">
        <w:t xml:space="preserve"> </w:t>
      </w:r>
      <w:r w:rsidRPr="00AC78CD">
        <w:rPr>
          <w:i/>
        </w:rPr>
        <w:t>The Hoe and the Horse on the Plains: A Study of the Cultural Development among North American Indians</w:t>
      </w:r>
      <w:r w:rsidRPr="00AC78CD">
        <w:t>. Lincoln: University of Nebraska Press.</w:t>
      </w:r>
    </w:p>
    <w:p w:rsidR="00715402" w:rsidRPr="00AC78CD" w:rsidRDefault="00715402" w:rsidP="00715402"/>
    <w:p w:rsidR="00715402" w:rsidRPr="00AC78CD" w:rsidRDefault="00715402" w:rsidP="00715402">
      <w:r w:rsidRPr="00AC78CD">
        <w:t>Holman DJ, O’Connor KA, Wood JW. 1997</w:t>
      </w:r>
      <w:r>
        <w:t>.</w:t>
      </w:r>
      <w:r w:rsidRPr="00AC78CD">
        <w:t xml:space="preserve"> Correcting for Nonstationarity in </w:t>
      </w:r>
    </w:p>
    <w:p w:rsidR="00715402" w:rsidRPr="00AC78CD" w:rsidRDefault="00715402" w:rsidP="00715402">
      <w:proofErr w:type="gramStart"/>
      <w:r w:rsidRPr="00AC78CD">
        <w:t>Paleodemographic Mortality Models.</w:t>
      </w:r>
      <w:proofErr w:type="gramEnd"/>
      <w:r w:rsidRPr="00AC78CD">
        <w:t xml:space="preserve"> </w:t>
      </w:r>
      <w:r w:rsidRPr="00AC78CD">
        <w:rPr>
          <w:i/>
        </w:rPr>
        <w:t xml:space="preserve">American Journal of Physical Anthropology </w:t>
      </w:r>
      <w:r w:rsidRPr="00AC78CD">
        <w:t xml:space="preserve">Supplement </w:t>
      </w:r>
      <w:r w:rsidRPr="00AC78CD">
        <w:rPr>
          <w:i/>
        </w:rPr>
        <w:t>24</w:t>
      </w:r>
      <w:r w:rsidRPr="00AC78CD">
        <w:t xml:space="preserve">: 132. </w:t>
      </w:r>
    </w:p>
    <w:p w:rsidR="00715402" w:rsidRPr="00AC78CD" w:rsidRDefault="00715402" w:rsidP="00715402"/>
    <w:p w:rsidR="00715402" w:rsidRPr="00AC78CD" w:rsidRDefault="00715402" w:rsidP="00715402">
      <w:r w:rsidRPr="00AC78CD">
        <w:t xml:space="preserve">Hooten EA. 1920. </w:t>
      </w:r>
      <w:proofErr w:type="gramStart"/>
      <w:r w:rsidRPr="00AC78CD">
        <w:t>Indian Village Site and Cemetery near Madisonville, Ohio.</w:t>
      </w:r>
      <w:proofErr w:type="gramEnd"/>
      <w:r w:rsidRPr="00AC78CD">
        <w:t xml:space="preserve"> Vol.8, </w:t>
      </w:r>
      <w:r w:rsidRPr="00AC78CD">
        <w:rPr>
          <w:i/>
        </w:rPr>
        <w:t>Papers of the Peabody Museum of American Archaeology and Ethnology</w:t>
      </w:r>
      <w:r w:rsidRPr="00AC78CD">
        <w:t>, Cambridge, MA: Peabody Museum of American Archaeology and Ethnology, Harvard University.</w:t>
      </w:r>
    </w:p>
    <w:p w:rsidR="00715402" w:rsidRPr="00AC78CD" w:rsidRDefault="00715402" w:rsidP="00715402"/>
    <w:p w:rsidR="00715402" w:rsidRPr="00AC78CD" w:rsidRDefault="00715402" w:rsidP="00715402">
      <w:r w:rsidRPr="00AC78CD">
        <w:t xml:space="preserve">Hooten EA. 1930. The Indians of Pecos Pueblo:  A Study of Their Skeletal Remains. Vol 4, </w:t>
      </w:r>
      <w:r w:rsidRPr="00AC78CD">
        <w:rPr>
          <w:i/>
        </w:rPr>
        <w:t>Papers of the Southwestern Expedition</w:t>
      </w:r>
      <w:r w:rsidRPr="00AC78CD">
        <w:t>. New Haven: Yale University Press.</w:t>
      </w:r>
    </w:p>
    <w:p w:rsidR="00715402" w:rsidRPr="00AC78CD" w:rsidRDefault="00715402" w:rsidP="00715402"/>
    <w:p w:rsidR="00715402" w:rsidRPr="00AC78CD" w:rsidRDefault="00715402" w:rsidP="00715402">
      <w:pPr>
        <w:pStyle w:val="Default"/>
      </w:pPr>
      <w:r w:rsidRPr="00AC78CD">
        <w:t xml:space="preserve">Hoppa RD. 1996. Representativeness and bias in cemetery samples: Implications for the paleodemographic reconstruction of past populations. </w:t>
      </w:r>
      <w:r w:rsidRPr="00AC78CD">
        <w:rPr>
          <w:i/>
          <w:iCs/>
        </w:rPr>
        <w:t>Ph.D. Dissertation</w:t>
      </w:r>
      <w:r w:rsidRPr="00AC78CD">
        <w:t xml:space="preserve">, McMaster University, Hamilton, Ontario.623 </w:t>
      </w:r>
    </w:p>
    <w:p w:rsidR="00715402" w:rsidRPr="00AC78CD" w:rsidRDefault="00715402" w:rsidP="00715402">
      <w:pPr>
        <w:pStyle w:val="Default"/>
      </w:pPr>
    </w:p>
    <w:p w:rsidR="00715402" w:rsidRPr="00AC78CD" w:rsidRDefault="00715402" w:rsidP="00715402">
      <w:pPr>
        <w:pStyle w:val="Default"/>
      </w:pPr>
      <w:r w:rsidRPr="00AC78CD">
        <w:t xml:space="preserve">Hoppa RD. 2002. Paleodemography: looking back and thinking ahead. In </w:t>
      </w:r>
      <w:r w:rsidRPr="00AC78CD">
        <w:rPr>
          <w:i/>
          <w:iCs/>
        </w:rPr>
        <w:t>Paleodemography: Age distributions from skeletal samples</w:t>
      </w:r>
      <w:r w:rsidRPr="00AC78CD">
        <w:t xml:space="preserve">, edited by RD Hoppa and JW Vaupel, </w:t>
      </w:r>
      <w:r>
        <w:t>Pp.</w:t>
      </w:r>
      <w:r w:rsidRPr="00AC78CD">
        <w:t xml:space="preserve"> 9-28. Cambridge: Cambridge University Press. </w:t>
      </w:r>
    </w:p>
    <w:p w:rsidR="00715402" w:rsidRPr="00AC78CD" w:rsidRDefault="00715402" w:rsidP="00715402">
      <w:pPr>
        <w:pStyle w:val="Default"/>
      </w:pPr>
    </w:p>
    <w:p w:rsidR="00715402" w:rsidRPr="00AC78CD" w:rsidRDefault="00715402" w:rsidP="00715402">
      <w:pPr>
        <w:pStyle w:val="Default"/>
      </w:pPr>
      <w:r w:rsidRPr="00AC78CD">
        <w:t xml:space="preserve">Hoppa RD, Saunders SR. 1998. The MAD legacy: How meaningful is mean age-at-death in skeletal samples? </w:t>
      </w:r>
      <w:r w:rsidRPr="00AC78CD">
        <w:rPr>
          <w:i/>
          <w:iCs/>
        </w:rPr>
        <w:t xml:space="preserve">Human Evolution </w:t>
      </w:r>
      <w:r w:rsidRPr="00AC78CD">
        <w:t xml:space="preserve">13:1-14. </w:t>
      </w:r>
    </w:p>
    <w:p w:rsidR="00715402" w:rsidRPr="00AC78CD" w:rsidRDefault="00715402" w:rsidP="00715402">
      <w:pPr>
        <w:pStyle w:val="Default"/>
      </w:pPr>
    </w:p>
    <w:p w:rsidR="00715402" w:rsidRPr="00AC78CD" w:rsidRDefault="00715402" w:rsidP="00715402">
      <w:pPr>
        <w:pStyle w:val="Default"/>
      </w:pPr>
      <w:proofErr w:type="gramStart"/>
      <w:r w:rsidRPr="00AC78CD">
        <w:t>Hoppa RD, Vaupel JW, editors.</w:t>
      </w:r>
      <w:proofErr w:type="gramEnd"/>
      <w:r w:rsidRPr="00AC78CD">
        <w:t xml:space="preserve"> 2002a. </w:t>
      </w:r>
      <w:r w:rsidRPr="00AC78CD">
        <w:rPr>
          <w:i/>
          <w:iCs/>
        </w:rPr>
        <w:t>Paleodemography: Age distributions from skeletal samples</w:t>
      </w:r>
      <w:r w:rsidRPr="00AC78CD">
        <w:t xml:space="preserve">. Cambridge: Cambridge University Press. </w:t>
      </w:r>
    </w:p>
    <w:p w:rsidR="00715402" w:rsidRPr="00AC78CD" w:rsidRDefault="00715402" w:rsidP="00715402"/>
    <w:p w:rsidR="00715402" w:rsidRPr="00AC78CD" w:rsidRDefault="00715402" w:rsidP="00715402">
      <w:proofErr w:type="gramStart"/>
      <w:r w:rsidRPr="00AC78CD">
        <w:t>Hoppa RD, Vaupel JW.</w:t>
      </w:r>
      <w:proofErr w:type="gramEnd"/>
      <w:r w:rsidRPr="00AC78CD">
        <w:t xml:space="preserve"> 2002b. The Rostock manifesto for paleodemography: the way from stage to age. In </w:t>
      </w:r>
      <w:r w:rsidRPr="00AC78CD">
        <w:rPr>
          <w:i/>
          <w:iCs/>
        </w:rPr>
        <w:t>Paleodemography: Age distributions from skeletal samples</w:t>
      </w:r>
      <w:r w:rsidRPr="00AC78CD">
        <w:t xml:space="preserve">, edited by RD Hoppa and JW Vaupel, </w:t>
      </w:r>
      <w:r>
        <w:t>Pp.</w:t>
      </w:r>
      <w:r w:rsidRPr="00AC78CD">
        <w:t xml:space="preserve"> 1-8. Cambridge: Cambridge University Press. </w:t>
      </w:r>
    </w:p>
    <w:p w:rsidR="00715402" w:rsidRPr="00AC78CD" w:rsidRDefault="00715402" w:rsidP="00715402"/>
    <w:p w:rsidR="00715402" w:rsidRPr="00AC78CD" w:rsidRDefault="00715402" w:rsidP="00715402">
      <w:r w:rsidRPr="00AC78CD">
        <w:t xml:space="preserve">Howell N. 1976. Toward </w:t>
      </w:r>
      <w:proofErr w:type="gramStart"/>
      <w:r w:rsidRPr="00AC78CD">
        <w:t>a</w:t>
      </w:r>
      <w:proofErr w:type="gramEnd"/>
      <w:r w:rsidRPr="00AC78CD">
        <w:t xml:space="preserve"> uniformitarian theory of human Paleodemography. </w:t>
      </w:r>
      <w:proofErr w:type="gramStart"/>
      <w:r w:rsidRPr="00AC78CD">
        <w:t xml:space="preserve">In </w:t>
      </w:r>
      <w:r w:rsidRPr="00AC78CD">
        <w:rPr>
          <w:i/>
        </w:rPr>
        <w:t>The Demographic Evolution of Human Populations</w:t>
      </w:r>
      <w:r w:rsidRPr="00AC78CD">
        <w:t xml:space="preserve">, edited by RH Ward and KM Weiss, </w:t>
      </w:r>
      <w:r>
        <w:t>Pp.</w:t>
      </w:r>
      <w:r w:rsidRPr="00AC78CD">
        <w:t xml:space="preserve"> 25-40.</w:t>
      </w:r>
      <w:proofErr w:type="gramEnd"/>
      <w:r w:rsidRPr="00AC78CD">
        <w:t xml:space="preserve"> New York: Academic Press.</w:t>
      </w:r>
    </w:p>
    <w:p w:rsidR="00715402" w:rsidRPr="00AC78CD" w:rsidRDefault="00715402" w:rsidP="00715402"/>
    <w:p w:rsidR="00715402" w:rsidRPr="00AC78CD" w:rsidRDefault="00715402" w:rsidP="00715402">
      <w:r w:rsidRPr="00AC78CD">
        <w:t xml:space="preserve">Howell H. 1982. Village composition implied by the paleodemographic life table: The Libben site. </w:t>
      </w:r>
      <w:r w:rsidRPr="00AC78CD">
        <w:rPr>
          <w:i/>
        </w:rPr>
        <w:t xml:space="preserve">American Journal of Physical Anthropology </w:t>
      </w:r>
      <w:r w:rsidRPr="00AC78CD">
        <w:t>59:263-269.</w:t>
      </w:r>
    </w:p>
    <w:p w:rsidR="00715402" w:rsidRPr="00AC78CD" w:rsidRDefault="00715402" w:rsidP="00715402"/>
    <w:p w:rsidR="00715402" w:rsidRPr="00AC78CD" w:rsidRDefault="00715402" w:rsidP="00715402">
      <w:r w:rsidRPr="00AC78CD">
        <w:t xml:space="preserve">Howell N. 1986. </w:t>
      </w:r>
      <w:proofErr w:type="gramStart"/>
      <w:r w:rsidRPr="00AC78CD">
        <w:t>Demographic anthropology.</w:t>
      </w:r>
      <w:proofErr w:type="gramEnd"/>
      <w:r w:rsidRPr="00AC78CD">
        <w:t xml:space="preserve"> </w:t>
      </w:r>
      <w:r w:rsidRPr="00AC78CD">
        <w:rPr>
          <w:i/>
        </w:rPr>
        <w:t>Annual Review of Anthropology</w:t>
      </w:r>
      <w:r w:rsidRPr="00AC78CD">
        <w:t xml:space="preserve"> 15:219-246.</w:t>
      </w:r>
    </w:p>
    <w:p w:rsidR="00715402" w:rsidRPr="00AC78CD" w:rsidRDefault="00715402" w:rsidP="00715402">
      <w:r w:rsidRPr="00AC78CD">
        <w:t xml:space="preserve"> </w:t>
      </w:r>
    </w:p>
    <w:p w:rsidR="00715402" w:rsidRPr="00AC78CD" w:rsidRDefault="00715402" w:rsidP="00715402">
      <w:pPr>
        <w:rPr>
          <w:i/>
        </w:rPr>
      </w:pPr>
      <w:r w:rsidRPr="00AC78CD">
        <w:t xml:space="preserve">Igarashi Y, Uesu K, Wakebe T, Kanazawa E. 2005. </w:t>
      </w:r>
      <w:proofErr w:type="gramStart"/>
      <w:r w:rsidRPr="00AC78CD">
        <w:t>New method for estimation of adult skeletal age at death from the morphology of the auricular surface of the ilium.</w:t>
      </w:r>
      <w:proofErr w:type="gramEnd"/>
      <w:r w:rsidRPr="00AC78CD">
        <w:t xml:space="preserve"> </w:t>
      </w:r>
      <w:r w:rsidRPr="00AC78CD">
        <w:rPr>
          <w:i/>
        </w:rPr>
        <w:t xml:space="preserve">American Journal of Physical Anthropology </w:t>
      </w:r>
      <w:r w:rsidRPr="00AC78CD">
        <w:t>110 341-349</w:t>
      </w:r>
      <w:r w:rsidRPr="00AC78CD">
        <w:rPr>
          <w:i/>
        </w:rPr>
        <w:t>.</w:t>
      </w:r>
    </w:p>
    <w:p w:rsidR="00715402" w:rsidRPr="00AC78CD" w:rsidRDefault="00715402" w:rsidP="00715402"/>
    <w:p w:rsidR="00715402" w:rsidRPr="00AC78CD" w:rsidRDefault="00715402" w:rsidP="00715402">
      <w:proofErr w:type="gramStart"/>
      <w:r w:rsidRPr="00AC78CD">
        <w:t>Iscan MY, Loth SR, Wright RK.</w:t>
      </w:r>
      <w:proofErr w:type="gramEnd"/>
      <w:r w:rsidRPr="00AC78CD">
        <w:t xml:space="preserve"> 1984. Estimation from the rib by phase analysis: white males. </w:t>
      </w:r>
      <w:r w:rsidRPr="00AC78CD">
        <w:rPr>
          <w:i/>
        </w:rPr>
        <w:t xml:space="preserve">Journal of Forensic Sciences </w:t>
      </w:r>
      <w:r w:rsidRPr="00AC78CD">
        <w:t>29:1094-1104</w:t>
      </w:r>
    </w:p>
    <w:p w:rsidR="00715402" w:rsidRPr="00AC78CD" w:rsidRDefault="00715402" w:rsidP="00715402"/>
    <w:p w:rsidR="00715402" w:rsidRPr="00AC78CD" w:rsidRDefault="00715402" w:rsidP="00715402">
      <w:proofErr w:type="gramStart"/>
      <w:r w:rsidRPr="00AC78CD">
        <w:t>Iscan MY, Loth SR, Wright RK.</w:t>
      </w:r>
      <w:proofErr w:type="gramEnd"/>
      <w:r w:rsidRPr="00AC78CD">
        <w:t xml:space="preserve"> 1985. Estimation from the rib by phase analysis: white females. </w:t>
      </w:r>
      <w:r w:rsidRPr="00AC78CD">
        <w:rPr>
          <w:i/>
        </w:rPr>
        <w:t xml:space="preserve">Journal of Forensic Sciences </w:t>
      </w:r>
      <w:r w:rsidRPr="00AC78CD">
        <w:t>30:853-863.</w:t>
      </w:r>
    </w:p>
    <w:p w:rsidR="00715402" w:rsidRPr="00AC78CD" w:rsidRDefault="00715402" w:rsidP="00715402">
      <w:pPr>
        <w:pStyle w:val="Default"/>
      </w:pPr>
    </w:p>
    <w:p w:rsidR="00715402" w:rsidRPr="00AC78CD" w:rsidRDefault="00715402" w:rsidP="00715402">
      <w:pPr>
        <w:pStyle w:val="Default"/>
      </w:pPr>
      <w:r w:rsidRPr="00AC78CD">
        <w:t xml:space="preserve">Jackes M. 1992. Paleodemography: problems and techniques. </w:t>
      </w:r>
      <w:proofErr w:type="gramStart"/>
      <w:r w:rsidRPr="00AC78CD">
        <w:t>In The Skeletal Biology of Past Peoples.</w:t>
      </w:r>
      <w:proofErr w:type="gramEnd"/>
      <w:r w:rsidRPr="00AC78CD">
        <w:t xml:space="preserve"> Edited by S </w:t>
      </w:r>
      <w:proofErr w:type="gramStart"/>
      <w:r w:rsidRPr="00AC78CD">
        <w:t>Saunders  and</w:t>
      </w:r>
      <w:proofErr w:type="gramEnd"/>
      <w:r w:rsidRPr="00AC78CD">
        <w:t xml:space="preserve"> MA Katzenberg, </w:t>
      </w:r>
      <w:r>
        <w:t>Pp.</w:t>
      </w:r>
      <w:r w:rsidRPr="00AC78CD">
        <w:t xml:space="preserve"> 189-224. New York</w:t>
      </w:r>
      <w:proofErr w:type="gramStart"/>
      <w:r w:rsidRPr="00AC78CD">
        <w:t>:Wiley</w:t>
      </w:r>
      <w:proofErr w:type="gramEnd"/>
      <w:r w:rsidRPr="00AC78CD">
        <w:t>-Liss</w:t>
      </w:r>
    </w:p>
    <w:p w:rsidR="00715402" w:rsidRPr="00AC78CD" w:rsidRDefault="00715402" w:rsidP="00715402">
      <w:pPr>
        <w:pStyle w:val="Default"/>
      </w:pPr>
    </w:p>
    <w:p w:rsidR="00715402" w:rsidRPr="00AC78CD" w:rsidRDefault="00715402" w:rsidP="00715402">
      <w:pPr>
        <w:pStyle w:val="Default"/>
      </w:pPr>
      <w:r w:rsidRPr="00AC78CD">
        <w:t xml:space="preserve">Jackes M. 1993. </w:t>
      </w:r>
      <w:proofErr w:type="gramStart"/>
      <w:r w:rsidRPr="00AC78CD">
        <w:t>On paradox and osteology.</w:t>
      </w:r>
      <w:proofErr w:type="gramEnd"/>
      <w:r w:rsidRPr="00AC78CD">
        <w:t xml:space="preserve"> </w:t>
      </w:r>
      <w:r w:rsidRPr="00AC78CD">
        <w:rPr>
          <w:i/>
          <w:iCs/>
        </w:rPr>
        <w:t xml:space="preserve">Current Anthropology </w:t>
      </w:r>
      <w:r w:rsidRPr="00AC78CD">
        <w:t xml:space="preserve">34(4): 434-39. </w:t>
      </w:r>
    </w:p>
    <w:p w:rsidR="00715402" w:rsidRPr="00AC78CD" w:rsidRDefault="00715402" w:rsidP="00715402"/>
    <w:p w:rsidR="00715402" w:rsidRPr="00AC78CD" w:rsidRDefault="00715402" w:rsidP="00715402">
      <w:proofErr w:type="gramStart"/>
      <w:r w:rsidRPr="00AC78CD">
        <w:lastRenderedPageBreak/>
        <w:t>Jackes MK 2000.</w:t>
      </w:r>
      <w:proofErr w:type="gramEnd"/>
      <w:r w:rsidRPr="00AC78CD">
        <w:t xml:space="preserve"> </w:t>
      </w:r>
      <w:proofErr w:type="gramStart"/>
      <w:r w:rsidRPr="00AC78CD">
        <w:t>Building the bases for paleodemographic analysis:  Adult Age estimation.</w:t>
      </w:r>
      <w:proofErr w:type="gramEnd"/>
      <w:r w:rsidRPr="00AC78CD">
        <w:t xml:space="preserve">  </w:t>
      </w:r>
      <w:proofErr w:type="gramStart"/>
      <w:r w:rsidRPr="00AC78CD">
        <w:t xml:space="preserve">In Biological Anthropology of the Human Skeleton, Edited by MA Katzenberg and SR Saunders, </w:t>
      </w:r>
      <w:r>
        <w:t>Pp.</w:t>
      </w:r>
      <w:r w:rsidRPr="00AC78CD">
        <w:t xml:space="preserve"> 417-466.</w:t>
      </w:r>
      <w:proofErr w:type="gramEnd"/>
      <w:r w:rsidRPr="00AC78CD">
        <w:t xml:space="preserve"> New York: Wiley-Liss.</w:t>
      </w:r>
    </w:p>
    <w:p w:rsidR="00715402" w:rsidRPr="00AC78CD" w:rsidRDefault="00715402" w:rsidP="00715402"/>
    <w:p w:rsidR="00715402" w:rsidRPr="00AC78CD" w:rsidRDefault="00715402" w:rsidP="00715402">
      <w:r w:rsidRPr="00AC78CD">
        <w:t xml:space="preserve">Jackes M. 2003. </w:t>
      </w:r>
      <w:proofErr w:type="gramStart"/>
      <w:r w:rsidRPr="00AC78CD">
        <w:t>Testing a method: paleodemography and proportional fitting.</w:t>
      </w:r>
      <w:proofErr w:type="gramEnd"/>
      <w:r w:rsidRPr="00AC78CD">
        <w:t xml:space="preserve"> </w:t>
      </w:r>
      <w:r w:rsidRPr="00AC78CD">
        <w:rPr>
          <w:i/>
          <w:iCs/>
        </w:rPr>
        <w:t xml:space="preserve">American Journal of Physical Anthropology </w:t>
      </w:r>
      <w:r w:rsidRPr="00AC78CD">
        <w:t>121:385-386.</w:t>
      </w:r>
    </w:p>
    <w:p w:rsidR="00715402" w:rsidRPr="00AC78CD" w:rsidRDefault="00715402" w:rsidP="00715402">
      <w:r w:rsidRPr="00AC78CD">
        <w:t xml:space="preserve"> </w:t>
      </w:r>
    </w:p>
    <w:p w:rsidR="00715402" w:rsidRPr="00AC78CD" w:rsidRDefault="00715402" w:rsidP="00715402">
      <w:r w:rsidRPr="00AC78CD">
        <w:t xml:space="preserve">Jantz RL. 1972. Cranial Variation and microevolution in Arikara Skeletal Populations. </w:t>
      </w:r>
      <w:r w:rsidRPr="00AC78CD">
        <w:rPr>
          <w:i/>
        </w:rPr>
        <w:t xml:space="preserve">Plains Anthropologist </w:t>
      </w:r>
      <w:r w:rsidRPr="00AC78CD">
        <w:t>17:20-35.</w:t>
      </w:r>
    </w:p>
    <w:p w:rsidR="00715402" w:rsidRPr="00AC78CD" w:rsidRDefault="00715402" w:rsidP="00715402"/>
    <w:p w:rsidR="00715402" w:rsidRPr="00AC78CD" w:rsidRDefault="00715402" w:rsidP="00715402">
      <w:r w:rsidRPr="00AC78CD">
        <w:t xml:space="preserve">Jantz RL. 1973. Microevolutionary Change in Arikara Crania: A Multivariate Analysis. </w:t>
      </w:r>
      <w:r w:rsidRPr="00AC78CD">
        <w:rPr>
          <w:i/>
        </w:rPr>
        <w:t xml:space="preserve">American Journal of Physical Anthropology </w:t>
      </w:r>
      <w:r w:rsidRPr="00AC78CD">
        <w:t>38:15-26.</w:t>
      </w:r>
    </w:p>
    <w:p w:rsidR="00715402" w:rsidRPr="00AC78CD" w:rsidRDefault="00715402" w:rsidP="00715402"/>
    <w:p w:rsidR="00715402" w:rsidRPr="00AC78CD" w:rsidRDefault="00715402" w:rsidP="00715402">
      <w:r w:rsidRPr="00AC78CD">
        <w:t xml:space="preserve">Jantz RL. 1974. The Redbird Focus: cranial evidence in tribal identification. </w:t>
      </w:r>
      <w:r w:rsidRPr="00AC78CD">
        <w:rPr>
          <w:i/>
        </w:rPr>
        <w:t xml:space="preserve">Plains Anthropologist </w:t>
      </w:r>
      <w:r w:rsidRPr="00AC78CD">
        <w:t>19:5-13.</w:t>
      </w:r>
    </w:p>
    <w:p w:rsidR="00715402" w:rsidRPr="00AC78CD" w:rsidRDefault="00715402" w:rsidP="00715402"/>
    <w:p w:rsidR="00715402" w:rsidRPr="00AC78CD" w:rsidRDefault="00715402" w:rsidP="00715402">
      <w:r w:rsidRPr="00AC78CD">
        <w:t xml:space="preserve">Jantz RL. 1977. Craniometric relationships of Plains populations: historical and evolutionary implications: historical and evolutionary implications. In </w:t>
      </w:r>
      <w:r w:rsidRPr="00AC78CD">
        <w:rPr>
          <w:i/>
        </w:rPr>
        <w:t>Trends in Middle Missouri prehistory: A Feschrift Honoring the Contributions of Donald J. Lehmer</w:t>
      </w:r>
      <w:r w:rsidRPr="00AC78CD">
        <w:t xml:space="preserve">, edited by WR Wood, </w:t>
      </w:r>
      <w:r>
        <w:t>Pp.</w:t>
      </w:r>
      <w:r w:rsidRPr="00AC78CD">
        <w:t xml:space="preserve">162-176. </w:t>
      </w:r>
      <w:proofErr w:type="gramStart"/>
      <w:r w:rsidRPr="00AC78CD">
        <w:t>Plains Anthropologist Memoir 13.</w:t>
      </w:r>
      <w:proofErr w:type="gramEnd"/>
    </w:p>
    <w:p w:rsidR="00715402" w:rsidRPr="00AC78CD" w:rsidRDefault="00715402" w:rsidP="00715402"/>
    <w:p w:rsidR="00715402" w:rsidRPr="00AC78CD" w:rsidRDefault="00715402" w:rsidP="00715402">
      <w:r w:rsidRPr="00AC78CD">
        <w:t xml:space="preserve">Jantz RL, Owsley DW. 1984a. Temporal changes in limb proportionality among skeletal sampled of Arikara Indians. </w:t>
      </w:r>
      <w:r w:rsidRPr="00AC78CD">
        <w:rPr>
          <w:i/>
        </w:rPr>
        <w:t xml:space="preserve">Annals of Human Biology </w:t>
      </w:r>
      <w:r w:rsidRPr="00AC78CD">
        <w:t>11:157-163.</w:t>
      </w:r>
    </w:p>
    <w:p w:rsidR="00715402" w:rsidRPr="00AC78CD" w:rsidRDefault="00715402" w:rsidP="00715402"/>
    <w:p w:rsidR="00715402" w:rsidRPr="00AC78CD" w:rsidRDefault="00715402" w:rsidP="00715402">
      <w:r w:rsidRPr="00AC78CD">
        <w:t xml:space="preserve">Jantz RL, Owlsey DW. </w:t>
      </w:r>
      <w:proofErr w:type="gramStart"/>
      <w:r w:rsidRPr="00AC78CD">
        <w:t>1984b. Long bone growth variation among Arikara skeletal populations.</w:t>
      </w:r>
      <w:proofErr w:type="gramEnd"/>
      <w:r w:rsidRPr="00AC78CD">
        <w:t xml:space="preserve"> </w:t>
      </w:r>
      <w:r w:rsidRPr="00AC78CD">
        <w:rPr>
          <w:i/>
        </w:rPr>
        <w:t xml:space="preserve">American Journal of Physical Anthropology </w:t>
      </w:r>
      <w:r w:rsidRPr="00AC78CD">
        <w:t>63:13-20.</w:t>
      </w:r>
    </w:p>
    <w:p w:rsidR="00715402" w:rsidRPr="00AC78CD" w:rsidRDefault="00715402" w:rsidP="00715402"/>
    <w:p w:rsidR="00715402" w:rsidRPr="00AC78CD" w:rsidRDefault="00715402" w:rsidP="00715402">
      <w:r w:rsidRPr="00AC78CD">
        <w:t xml:space="preserve">Jantz RL, Owsley DW. 1994. Growth and Dental Development in Arikara Children. In </w:t>
      </w:r>
      <w:r w:rsidRPr="00AC78CD">
        <w:rPr>
          <w:i/>
        </w:rPr>
        <w:t>Skeletal Biology in the Great Plains:  Migration, Warfare, Health, and Subsistence</w:t>
      </w:r>
      <w:r w:rsidRPr="00AC78CD">
        <w:t xml:space="preserve">, edited by DW Owsley and RL Jantz, </w:t>
      </w:r>
      <w:r>
        <w:t>Pp.</w:t>
      </w:r>
      <w:r w:rsidRPr="00AC78CD">
        <w:t xml:space="preserve"> 247-260. Washington DC: Smithsonian Institution Press. </w:t>
      </w:r>
    </w:p>
    <w:p w:rsidR="00715402" w:rsidRPr="00AC78CD" w:rsidRDefault="00715402" w:rsidP="00715402"/>
    <w:p w:rsidR="00715402" w:rsidRPr="00AC78CD" w:rsidRDefault="00715402" w:rsidP="00715402">
      <w:r w:rsidRPr="00AC78CD">
        <w:t xml:space="preserve">Jantz RL, Owsley DW, Willey P. 1978. Craniometric relationships of Central Plains populations In </w:t>
      </w:r>
      <w:proofErr w:type="gramStart"/>
      <w:r w:rsidRPr="00AC78CD">
        <w:rPr>
          <w:i/>
        </w:rPr>
        <w:t>The</w:t>
      </w:r>
      <w:proofErr w:type="gramEnd"/>
      <w:r w:rsidRPr="00AC78CD">
        <w:rPr>
          <w:i/>
        </w:rPr>
        <w:t xml:space="preserve"> Central Plains Tradition: Internal Development and External Relationships.</w:t>
      </w:r>
      <w:r w:rsidRPr="00AC78CD">
        <w:t xml:space="preserve"> </w:t>
      </w:r>
      <w:proofErr w:type="gramStart"/>
      <w:r w:rsidRPr="00AC78CD">
        <w:t>Office of the State Archaeologist, University of Iowa, Report 11.</w:t>
      </w:r>
      <w:proofErr w:type="gramEnd"/>
    </w:p>
    <w:p w:rsidR="00715402" w:rsidRPr="00AC78CD" w:rsidRDefault="00715402" w:rsidP="00715402"/>
    <w:p w:rsidR="00715402" w:rsidRPr="00AC78CD" w:rsidRDefault="00715402" w:rsidP="00715402">
      <w:r w:rsidRPr="00AC78CD">
        <w:t xml:space="preserve">Johansson S, Horowitz S. 1986. </w:t>
      </w:r>
      <w:proofErr w:type="gramStart"/>
      <w:r w:rsidRPr="00AC78CD">
        <w:t>Estimating mortality in skeletal populations: influence of the growth rate on the interpretation of levels and trends during transition to agriculture.</w:t>
      </w:r>
      <w:proofErr w:type="gramEnd"/>
      <w:r w:rsidRPr="00AC78CD">
        <w:t xml:space="preserve"> </w:t>
      </w:r>
      <w:r w:rsidRPr="00AC78CD">
        <w:rPr>
          <w:i/>
        </w:rPr>
        <w:t xml:space="preserve">American Journal of Physical Anthropology </w:t>
      </w:r>
      <w:r w:rsidRPr="00AC78CD">
        <w:t>71:233-250.</w:t>
      </w:r>
    </w:p>
    <w:p w:rsidR="00715402" w:rsidRPr="00AC78CD" w:rsidRDefault="00715402" w:rsidP="00715402"/>
    <w:p w:rsidR="00715402" w:rsidRPr="00AC78CD" w:rsidRDefault="00715402" w:rsidP="00715402">
      <w:proofErr w:type="gramStart"/>
      <w:r w:rsidRPr="00AC78CD">
        <w:t>Johnston FE, Snow CE.</w:t>
      </w:r>
      <w:proofErr w:type="gramEnd"/>
      <w:r w:rsidRPr="00AC78CD">
        <w:t xml:space="preserve"> 1961. The reassessment of the age and sex of the Indian Knoll skeletal population: Demographic and methodological aspects. </w:t>
      </w:r>
      <w:r w:rsidRPr="00AC78CD">
        <w:rPr>
          <w:i/>
          <w:iCs/>
        </w:rPr>
        <w:t xml:space="preserve">American Journal of Physical Anthropology </w:t>
      </w:r>
      <w:r w:rsidRPr="00AC78CD">
        <w:t>19: 237-244.</w:t>
      </w:r>
    </w:p>
    <w:p w:rsidR="00715402" w:rsidRPr="00AC78CD" w:rsidRDefault="00715402" w:rsidP="00715402"/>
    <w:p w:rsidR="00715402" w:rsidRPr="00AC78CD" w:rsidRDefault="00715402" w:rsidP="00715402">
      <w:proofErr w:type="gramStart"/>
      <w:r w:rsidRPr="00AC78CD">
        <w:t>Johnston FE.</w:t>
      </w:r>
      <w:proofErr w:type="gramEnd"/>
      <w:r w:rsidRPr="00AC78CD">
        <w:t xml:space="preserve"> 1968. Growth of the skeleton in earlier peoples. </w:t>
      </w:r>
      <w:proofErr w:type="gramStart"/>
      <w:r w:rsidRPr="00AC78CD">
        <w:t xml:space="preserve">In </w:t>
      </w:r>
      <w:r w:rsidRPr="00AC78CD">
        <w:rPr>
          <w:i/>
          <w:iCs/>
        </w:rPr>
        <w:t>The Skeletal Biology of Earlier Human Populations</w:t>
      </w:r>
      <w:r w:rsidRPr="00AC78CD">
        <w:t xml:space="preserve">, edited by DR Brothwell, </w:t>
      </w:r>
      <w:r>
        <w:t>Pp.</w:t>
      </w:r>
      <w:r w:rsidRPr="00AC78CD">
        <w:t xml:space="preserve"> 57-66.</w:t>
      </w:r>
      <w:proofErr w:type="gramEnd"/>
      <w:r w:rsidRPr="00AC78CD">
        <w:t xml:space="preserve"> London: Pergamon Press.</w:t>
      </w:r>
    </w:p>
    <w:p w:rsidR="00715402" w:rsidRPr="00AC78CD" w:rsidRDefault="00715402" w:rsidP="00715402"/>
    <w:p w:rsidR="00715402" w:rsidRPr="00AC78CD" w:rsidRDefault="00715402" w:rsidP="00715402">
      <w:proofErr w:type="gramStart"/>
      <w:r w:rsidRPr="00AC78CD">
        <w:t>Johnston FE.</w:t>
      </w:r>
      <w:proofErr w:type="gramEnd"/>
      <w:r w:rsidRPr="00AC78CD">
        <w:t xml:space="preserve"> 1962. Growth of the long bones of infants and young children at Indian Knoll. </w:t>
      </w:r>
      <w:r w:rsidRPr="00AC78CD">
        <w:rPr>
          <w:i/>
        </w:rPr>
        <w:t xml:space="preserve">American Journal of Physical Anthropology </w:t>
      </w:r>
      <w:r w:rsidRPr="00AC78CD">
        <w:t>20: 249-254.</w:t>
      </w:r>
    </w:p>
    <w:p w:rsidR="00715402" w:rsidRPr="00AC78CD" w:rsidRDefault="00715402" w:rsidP="00715402"/>
    <w:p w:rsidR="00715402" w:rsidRPr="00AC78CD" w:rsidRDefault="00715402" w:rsidP="00715402">
      <w:r w:rsidRPr="00AC78CD">
        <w:t xml:space="preserve">Johnson, C. 1998. </w:t>
      </w:r>
      <w:proofErr w:type="gramStart"/>
      <w:r w:rsidRPr="00AC78CD">
        <w:t>The Coalescent Tradition.</w:t>
      </w:r>
      <w:proofErr w:type="gramEnd"/>
      <w:r w:rsidRPr="00AC78CD">
        <w:t xml:space="preserve"> </w:t>
      </w:r>
      <w:proofErr w:type="gramStart"/>
      <w:r w:rsidRPr="00AC78CD">
        <w:t xml:space="preserve">In </w:t>
      </w:r>
      <w:r w:rsidRPr="00AC78CD">
        <w:rPr>
          <w:i/>
        </w:rPr>
        <w:t>Archaeology on the Great Plains.</w:t>
      </w:r>
      <w:proofErr w:type="gramEnd"/>
      <w:r w:rsidRPr="00AC78CD">
        <w:t xml:space="preserve"> </w:t>
      </w:r>
      <w:proofErr w:type="gramStart"/>
      <w:r w:rsidRPr="00AC78CD">
        <w:t xml:space="preserve">Edited by WR Wood, </w:t>
      </w:r>
      <w:r>
        <w:t>Pp.</w:t>
      </w:r>
      <w:r w:rsidRPr="00AC78CD">
        <w:t xml:space="preserve"> 308-344.</w:t>
      </w:r>
      <w:proofErr w:type="gramEnd"/>
      <w:r w:rsidRPr="00AC78CD">
        <w:t xml:space="preserve">  Lawrence, Kansas: University Press of Kansas.</w:t>
      </w:r>
    </w:p>
    <w:p w:rsidR="00715402" w:rsidRPr="00AC78CD" w:rsidRDefault="00715402" w:rsidP="00715402"/>
    <w:p w:rsidR="00715402" w:rsidRPr="00AC78CD" w:rsidRDefault="00715402" w:rsidP="00715402">
      <w:r w:rsidRPr="00AC78CD">
        <w:t xml:space="preserve">Jones E, Ubelaker D. 2001. </w:t>
      </w:r>
      <w:proofErr w:type="gramStart"/>
      <w:r w:rsidRPr="00AC78CD">
        <w:t>Demographic analysis of the Voegtly cemetery sample, Pittsburgh, Pennsylvania.</w:t>
      </w:r>
      <w:proofErr w:type="gramEnd"/>
      <w:r w:rsidRPr="00AC78CD">
        <w:t xml:space="preserve"> </w:t>
      </w:r>
      <w:r w:rsidRPr="00AC78CD">
        <w:rPr>
          <w:i/>
        </w:rPr>
        <w:t>American Journal of Physical Anthropology</w:t>
      </w:r>
      <w:r w:rsidRPr="00AC78CD">
        <w:t xml:space="preserve"> S32:86.</w:t>
      </w:r>
    </w:p>
    <w:p w:rsidR="00715402" w:rsidRPr="00AC78CD" w:rsidRDefault="00715402" w:rsidP="00715402"/>
    <w:p w:rsidR="00715402" w:rsidRPr="00AC78CD" w:rsidRDefault="00715402" w:rsidP="00715402">
      <w:r w:rsidRPr="00AC78CD">
        <w:t xml:space="preserve">Katz D, Suchey JM. 1985. Age determinations of the male os pubis. </w:t>
      </w:r>
      <w:r w:rsidRPr="00AC78CD">
        <w:rPr>
          <w:i/>
        </w:rPr>
        <w:t xml:space="preserve">American Journal of Physical Anthropology </w:t>
      </w:r>
      <w:r w:rsidRPr="00AC78CD">
        <w:t>69: 427-435.</w:t>
      </w:r>
    </w:p>
    <w:p w:rsidR="00715402" w:rsidRPr="00AC78CD" w:rsidRDefault="00715402" w:rsidP="00715402"/>
    <w:p w:rsidR="00715402" w:rsidRPr="00AC78CD" w:rsidRDefault="00715402" w:rsidP="00715402">
      <w:r w:rsidRPr="00AC78CD">
        <w:t xml:space="preserve">Katzenberg MA, Saunders SR. 2008. </w:t>
      </w:r>
      <w:proofErr w:type="gramStart"/>
      <w:r w:rsidRPr="00AC78CD">
        <w:t>Biological Anthropology of the Human Skeleton, 2</w:t>
      </w:r>
      <w:r w:rsidRPr="00AC78CD">
        <w:rPr>
          <w:vertAlign w:val="superscript"/>
        </w:rPr>
        <w:t>nd</w:t>
      </w:r>
      <w:r w:rsidRPr="00AC78CD">
        <w:t xml:space="preserve"> Edition.</w:t>
      </w:r>
      <w:proofErr w:type="gramEnd"/>
      <w:r w:rsidRPr="00AC78CD">
        <w:t xml:space="preserve"> New York: Wiley-Liss.</w:t>
      </w:r>
    </w:p>
    <w:p w:rsidR="00715402" w:rsidRPr="00AC78CD" w:rsidRDefault="00715402" w:rsidP="00715402"/>
    <w:p w:rsidR="00715402" w:rsidRPr="00AC78CD" w:rsidRDefault="00715402" w:rsidP="00715402">
      <w:r w:rsidRPr="00AC78CD">
        <w:t xml:space="preserve">Keckler CNW. 1997. Catastrophic mortality in simulations of forgager age-at-death: where did all the humans go? </w:t>
      </w:r>
      <w:proofErr w:type="gramStart"/>
      <w:r w:rsidRPr="00AC78CD">
        <w:rPr>
          <w:i/>
        </w:rPr>
        <w:t>In Integrating Archaeological Demography:  Multidisciplinary Approaches to Prehistroic Population.</w:t>
      </w:r>
      <w:proofErr w:type="gramEnd"/>
      <w:r w:rsidRPr="00AC78CD">
        <w:t xml:space="preserve"> </w:t>
      </w:r>
      <w:proofErr w:type="gramStart"/>
      <w:r w:rsidRPr="00AC78CD">
        <w:t xml:space="preserve">Edited by RR Paine, </w:t>
      </w:r>
      <w:r>
        <w:t>Pp.</w:t>
      </w:r>
      <w:r w:rsidRPr="00AC78CD">
        <w:t xml:space="preserve"> 205-228.</w:t>
      </w:r>
      <w:proofErr w:type="gramEnd"/>
      <w:r w:rsidRPr="00AC78CD">
        <w:t xml:space="preserve"> Carbondale: Center for Archaeological Investigations.</w:t>
      </w:r>
    </w:p>
    <w:p w:rsidR="00715402" w:rsidRPr="00AC78CD" w:rsidRDefault="00715402" w:rsidP="00715402"/>
    <w:p w:rsidR="00715402" w:rsidRPr="00AC78CD" w:rsidRDefault="00715402" w:rsidP="00715402">
      <w:r w:rsidRPr="00AC78CD">
        <w:t xml:space="preserve">Kelley MA, Murphy SP, Levesque DR, Sledzik PS. 1994. </w:t>
      </w:r>
      <w:proofErr w:type="gramStart"/>
      <w:r w:rsidRPr="00AC78CD">
        <w:t>Respiratory disease among Protohistoric and Early Historic Plains Indians.</w:t>
      </w:r>
      <w:proofErr w:type="gramEnd"/>
      <w:r w:rsidRPr="00AC78CD">
        <w:t xml:space="preserve"> </w:t>
      </w:r>
      <w:r w:rsidRPr="00AC78CD">
        <w:rPr>
          <w:i/>
        </w:rPr>
        <w:t xml:space="preserve">In Skeletal Biology in the Great Plains:  Migration, Warfare, Health, and Subsistence, </w:t>
      </w:r>
      <w:r w:rsidRPr="00AC78CD">
        <w:t>Edited by DW Owsley and RL Jantz, pp 123-130. Washington D.C.</w:t>
      </w:r>
      <w:proofErr w:type="gramStart"/>
      <w:r w:rsidRPr="00AC78CD">
        <w:t>:Smithsonian</w:t>
      </w:r>
      <w:proofErr w:type="gramEnd"/>
      <w:r w:rsidRPr="00AC78CD">
        <w:t xml:space="preserve"> Institution Press.</w:t>
      </w:r>
    </w:p>
    <w:p w:rsidR="00715402" w:rsidRPr="00AC78CD" w:rsidRDefault="00715402" w:rsidP="00715402"/>
    <w:p w:rsidR="00715402" w:rsidRPr="00AC78CD" w:rsidRDefault="00715402" w:rsidP="00715402">
      <w:r w:rsidRPr="00AC78CD">
        <w:t xml:space="preserve">Kerley ER. 1965. The microscopic determination of age in human bone. </w:t>
      </w:r>
      <w:r w:rsidRPr="00AC78CD">
        <w:rPr>
          <w:i/>
        </w:rPr>
        <w:t xml:space="preserve">American Journal of Physical Anthropology </w:t>
      </w:r>
      <w:r w:rsidRPr="00AC78CD">
        <w:t>23:149-163.</w:t>
      </w:r>
    </w:p>
    <w:p w:rsidR="00715402" w:rsidRPr="00AC78CD" w:rsidRDefault="00715402" w:rsidP="00715402"/>
    <w:p w:rsidR="00715402" w:rsidRPr="00AC78CD" w:rsidRDefault="00715402" w:rsidP="00715402">
      <w:r w:rsidRPr="00AC78CD">
        <w:t xml:space="preserve">Kerley ER, Ubelaker DH. 1978. Revisions in the microscopic method of estimating age at death in human cortical bone. </w:t>
      </w:r>
      <w:proofErr w:type="gramStart"/>
      <w:r w:rsidRPr="00AC78CD">
        <w:rPr>
          <w:i/>
        </w:rPr>
        <w:t xml:space="preserve">American Journal of Physical Anthropology </w:t>
      </w:r>
      <w:r w:rsidRPr="00AC78CD">
        <w:t>49:545- 546.</w:t>
      </w:r>
      <w:proofErr w:type="gramEnd"/>
    </w:p>
    <w:p w:rsidR="00715402" w:rsidRPr="00AC78CD" w:rsidRDefault="00715402" w:rsidP="00715402"/>
    <w:p w:rsidR="00715402" w:rsidRPr="00AC78CD" w:rsidRDefault="00715402" w:rsidP="00715402">
      <w:r w:rsidRPr="00AC78CD">
        <w:t xml:space="preserve">Key PJ, Jantz RL. 1981. A multivariate Analysis of temporal change in Arikara craniometrics: A methodological Approach.  </w:t>
      </w:r>
      <w:r w:rsidRPr="00AC78CD">
        <w:rPr>
          <w:i/>
        </w:rPr>
        <w:t xml:space="preserve">American Journal of Physical Anthropology </w:t>
      </w:r>
      <w:r w:rsidRPr="00AC78CD">
        <w:t>55: 247-259.</w:t>
      </w:r>
    </w:p>
    <w:p w:rsidR="00715402" w:rsidRPr="00AC78CD" w:rsidRDefault="00715402" w:rsidP="00715402"/>
    <w:p w:rsidR="00715402" w:rsidRPr="00AC78CD" w:rsidRDefault="00715402" w:rsidP="00715402">
      <w:r w:rsidRPr="00AC78CD">
        <w:t xml:space="preserve">Kemkes-Grottenthaler A. 2002. Aging through the ages: historical perspectives on age indicator methods. In </w:t>
      </w:r>
      <w:r w:rsidRPr="00AC78CD">
        <w:rPr>
          <w:i/>
        </w:rPr>
        <w:t>Paleodemography: Age distributions from skeletal samples,</w:t>
      </w:r>
      <w:r w:rsidRPr="00AC78CD">
        <w:t xml:space="preserve"> edited by RD Hoppa and JW Vaupel, </w:t>
      </w:r>
      <w:r>
        <w:t>Pp.</w:t>
      </w:r>
      <w:r w:rsidRPr="00AC78CD">
        <w:t>48-72. Cambridge: Cambridge University Press.</w:t>
      </w:r>
    </w:p>
    <w:p w:rsidR="00715402" w:rsidRPr="00AC78CD" w:rsidRDefault="00715402" w:rsidP="00715402"/>
    <w:p w:rsidR="00715402" w:rsidRPr="00AC78CD" w:rsidRDefault="00715402" w:rsidP="00715402">
      <w:proofErr w:type="gramStart"/>
      <w:r w:rsidRPr="00AC78CD">
        <w:t>Konigsberg LW, Frankenberg SR. 1992.</w:t>
      </w:r>
      <w:proofErr w:type="gramEnd"/>
      <w:r w:rsidRPr="00AC78CD">
        <w:t xml:space="preserve"> Estimation of Age Structure in Anthropological </w:t>
      </w:r>
    </w:p>
    <w:p w:rsidR="00715402" w:rsidRPr="00AC78CD" w:rsidRDefault="00715402" w:rsidP="00715402">
      <w:proofErr w:type="gramStart"/>
      <w:r w:rsidRPr="00AC78CD">
        <w:t>Demography.</w:t>
      </w:r>
      <w:proofErr w:type="gramEnd"/>
      <w:r w:rsidRPr="00AC78CD">
        <w:t xml:space="preserve"> </w:t>
      </w:r>
      <w:r w:rsidRPr="00AC78CD">
        <w:rPr>
          <w:i/>
        </w:rPr>
        <w:t>American Journal of Physical Anthropology 89</w:t>
      </w:r>
      <w:r w:rsidRPr="00AC78CD">
        <w:t>:235-256.</w:t>
      </w:r>
    </w:p>
    <w:p w:rsidR="00715402" w:rsidRPr="00AC78CD" w:rsidRDefault="00715402" w:rsidP="00715402"/>
    <w:p w:rsidR="00715402" w:rsidRPr="00AC78CD" w:rsidRDefault="00715402" w:rsidP="00715402">
      <w:pPr>
        <w:rPr>
          <w:i/>
        </w:rPr>
      </w:pPr>
      <w:proofErr w:type="gramStart"/>
      <w:r w:rsidRPr="00AC78CD">
        <w:t>Konigsberg LW, Frankenberg SR. 1994.</w:t>
      </w:r>
      <w:proofErr w:type="gramEnd"/>
      <w:r w:rsidRPr="00AC78CD">
        <w:t xml:space="preserve"> Paleodemography: “Not quite dead”. </w:t>
      </w:r>
      <w:r w:rsidRPr="00AC78CD">
        <w:rPr>
          <w:i/>
        </w:rPr>
        <w:t xml:space="preserve">Evolutionary </w:t>
      </w:r>
    </w:p>
    <w:p w:rsidR="00715402" w:rsidRPr="00AC78CD" w:rsidRDefault="00715402" w:rsidP="00715402">
      <w:r w:rsidRPr="00AC78CD">
        <w:rPr>
          <w:i/>
        </w:rPr>
        <w:t>Anthropology</w:t>
      </w:r>
      <w:r w:rsidRPr="00AC78CD">
        <w:t xml:space="preserve"> </w:t>
      </w:r>
      <w:r w:rsidRPr="00AC78CD">
        <w:rPr>
          <w:i/>
        </w:rPr>
        <w:t>3</w:t>
      </w:r>
      <w:r w:rsidRPr="00AC78CD">
        <w:t>: 92-94.</w:t>
      </w:r>
    </w:p>
    <w:p w:rsidR="00715402" w:rsidRPr="00AC78CD" w:rsidRDefault="00715402" w:rsidP="00715402"/>
    <w:p w:rsidR="00715402" w:rsidRPr="00AC78CD" w:rsidRDefault="00715402" w:rsidP="00715402">
      <w:proofErr w:type="gramStart"/>
      <w:r w:rsidRPr="00AC78CD">
        <w:lastRenderedPageBreak/>
        <w:t>Konigsberg LW, Frankenberg SR. 2002.</w:t>
      </w:r>
      <w:proofErr w:type="gramEnd"/>
      <w:r w:rsidRPr="00AC78CD">
        <w:t xml:space="preserve"> </w:t>
      </w:r>
      <w:proofErr w:type="gramStart"/>
      <w:r w:rsidRPr="00AC78CD">
        <w:t>Deconstructing death in paleodemography.</w:t>
      </w:r>
      <w:proofErr w:type="gramEnd"/>
      <w:r w:rsidRPr="00AC78CD">
        <w:t xml:space="preserve"> </w:t>
      </w:r>
      <w:r w:rsidRPr="00AC78CD">
        <w:rPr>
          <w:i/>
        </w:rPr>
        <w:t xml:space="preserve">American Journal of Physical Anthropology </w:t>
      </w:r>
      <w:r w:rsidRPr="00AC78CD">
        <w:t>117:297-309.</w:t>
      </w:r>
    </w:p>
    <w:p w:rsidR="00715402" w:rsidRPr="00AC78CD" w:rsidRDefault="00715402" w:rsidP="00715402"/>
    <w:p w:rsidR="00715402" w:rsidRPr="00AC78CD" w:rsidRDefault="00715402" w:rsidP="00715402">
      <w:proofErr w:type="gramStart"/>
      <w:r w:rsidRPr="00AC78CD">
        <w:t>Konigsberg LW, Hermann NP.</w:t>
      </w:r>
      <w:proofErr w:type="gramEnd"/>
      <w:r w:rsidRPr="00AC78CD">
        <w:t xml:space="preserve"> 2002. Markov chain Monte Carlo estimation of hazard model parameters in paleodemography. </w:t>
      </w:r>
      <w:r w:rsidRPr="00AC78CD">
        <w:rPr>
          <w:i/>
        </w:rPr>
        <w:t xml:space="preserve">In </w:t>
      </w:r>
      <w:proofErr w:type="gramStart"/>
      <w:r w:rsidRPr="00AC78CD">
        <w:rPr>
          <w:i/>
        </w:rPr>
        <w:t>Paleodemography :</w:t>
      </w:r>
      <w:proofErr w:type="gramEnd"/>
      <w:r w:rsidRPr="00AC78CD">
        <w:rPr>
          <w:i/>
        </w:rPr>
        <w:t xml:space="preserve"> age distributions from skeletal samples,</w:t>
      </w:r>
      <w:r w:rsidRPr="00AC78CD">
        <w:t xml:space="preserve"> Edited by RD Hoppa and JW Vaupel, </w:t>
      </w:r>
      <w:r>
        <w:t>Pp.</w:t>
      </w:r>
      <w:r w:rsidRPr="00AC78CD">
        <w:t xml:space="preserve"> 222-242. Cambridge: Cambridge University Press.</w:t>
      </w:r>
    </w:p>
    <w:p w:rsidR="00715402" w:rsidRPr="00AC78CD" w:rsidRDefault="00715402" w:rsidP="00715402"/>
    <w:p w:rsidR="00715402" w:rsidRPr="00AC78CD" w:rsidRDefault="00715402" w:rsidP="00715402">
      <w:proofErr w:type="gramStart"/>
      <w:r w:rsidRPr="00AC78CD">
        <w:t>Konigsberg LW, Herrmann NP.</w:t>
      </w:r>
      <w:proofErr w:type="gramEnd"/>
      <w:r w:rsidRPr="00AC78CD">
        <w:t xml:space="preserve"> 2006. The osteological evidence for human longevity in the recent past. </w:t>
      </w:r>
      <w:r w:rsidRPr="00AC78CD">
        <w:rPr>
          <w:i/>
        </w:rPr>
        <w:t>In the Evolution of Human Life History</w:t>
      </w:r>
      <w:r w:rsidRPr="00AC78CD">
        <w:t xml:space="preserve">, edited by K Hawkes and PR Paine, </w:t>
      </w:r>
      <w:r>
        <w:t>Pp.</w:t>
      </w:r>
      <w:r w:rsidRPr="00AC78CD">
        <w:t xml:space="preserve"> 267-306. Santa Fe, NM: School of American Research Press. </w:t>
      </w:r>
    </w:p>
    <w:p w:rsidR="00715402" w:rsidRPr="00AC78CD" w:rsidRDefault="00715402" w:rsidP="00715402"/>
    <w:p w:rsidR="00715402" w:rsidRPr="00AC78CD" w:rsidRDefault="00715402" w:rsidP="00715402">
      <w:proofErr w:type="gramStart"/>
      <w:r w:rsidRPr="00AC78CD">
        <w:t>Konigsberg LW, Frankenberg SR, Walker RB.</w:t>
      </w:r>
      <w:proofErr w:type="gramEnd"/>
      <w:r w:rsidRPr="00AC78CD">
        <w:t xml:space="preserve"> 1997. Regress What on? In Integrating </w:t>
      </w:r>
    </w:p>
    <w:p w:rsidR="00715402" w:rsidRPr="00AC78CD" w:rsidRDefault="00715402" w:rsidP="00715402">
      <w:r w:rsidRPr="00AC78CD">
        <w:t xml:space="preserve">Archaeological Demography: Multidisciplinary Approaches to Prehistoric Population, Edited by RR Paine, </w:t>
      </w:r>
      <w:r>
        <w:t>Pp.</w:t>
      </w:r>
      <w:r w:rsidRPr="00AC78CD">
        <w:t xml:space="preserve"> 64-88. Carbondale, IL: Center for Archaeological Investigations, Occasional Papers 2.</w:t>
      </w:r>
    </w:p>
    <w:p w:rsidR="00715402" w:rsidRPr="00AC78CD" w:rsidRDefault="00715402" w:rsidP="00715402"/>
    <w:p w:rsidR="00715402" w:rsidRPr="00AC78CD" w:rsidRDefault="00715402" w:rsidP="00715402">
      <w:r w:rsidRPr="00AC78CD">
        <w:t xml:space="preserve">Krause RA. 1972. </w:t>
      </w:r>
      <w:r w:rsidRPr="00AC78CD">
        <w:rPr>
          <w:i/>
        </w:rPr>
        <w:t xml:space="preserve">The Leavenworth Site:  Archaeology of an Historic Arikara Community. </w:t>
      </w:r>
      <w:r w:rsidRPr="00AC78CD">
        <w:t xml:space="preserve"> </w:t>
      </w:r>
      <w:proofErr w:type="gramStart"/>
      <w:r w:rsidRPr="00AC78CD">
        <w:t>University of Kansas Publications in Anthropology 3.</w:t>
      </w:r>
      <w:proofErr w:type="gramEnd"/>
    </w:p>
    <w:p w:rsidR="00715402" w:rsidRPr="00AC78CD" w:rsidRDefault="00715402" w:rsidP="00715402"/>
    <w:p w:rsidR="00715402" w:rsidRPr="00AC78CD" w:rsidRDefault="00715402" w:rsidP="00715402">
      <w:proofErr w:type="gramStart"/>
      <w:r w:rsidRPr="00AC78CD">
        <w:t>Krogman WM, Iscan MY.</w:t>
      </w:r>
      <w:proofErr w:type="gramEnd"/>
      <w:r w:rsidRPr="00AC78CD">
        <w:t xml:space="preserve"> 1986. </w:t>
      </w:r>
      <w:r w:rsidRPr="00AC78CD">
        <w:rPr>
          <w:i/>
        </w:rPr>
        <w:t>The human Skeleton in Forensic Medicine.</w:t>
      </w:r>
      <w:r w:rsidRPr="00AC78CD">
        <w:t xml:space="preserve"> Springfield, IL: Charles C. Thomas.</w:t>
      </w:r>
    </w:p>
    <w:p w:rsidR="00715402" w:rsidRPr="00AC78CD" w:rsidRDefault="00715402" w:rsidP="00715402"/>
    <w:p w:rsidR="00715402" w:rsidRPr="00AC78CD" w:rsidRDefault="00715402" w:rsidP="00715402">
      <w:r w:rsidRPr="00AC78CD">
        <w:t xml:space="preserve">Lamendin H, Baccino E, Humbert JF, Tavernier JC, Nossintchouk RM, Zerille A. 1992. A simple technique for age estimation in adult corpses: the two criteria dental methods. </w:t>
      </w:r>
      <w:r w:rsidRPr="00AC78CD">
        <w:rPr>
          <w:i/>
        </w:rPr>
        <w:t xml:space="preserve">Journal of Forensic Sciences </w:t>
      </w:r>
      <w:r w:rsidRPr="00AC78CD">
        <w:t>37: 1373-1379.</w:t>
      </w:r>
    </w:p>
    <w:p w:rsidR="00715402" w:rsidRPr="00AC78CD" w:rsidRDefault="00715402" w:rsidP="00715402"/>
    <w:p w:rsidR="00715402" w:rsidRPr="00AC78CD" w:rsidRDefault="00715402" w:rsidP="00715402">
      <w:r w:rsidRPr="00AC78CD">
        <w:t xml:space="preserve">Langley-Shirley N, Jantz RL. 2010. A Bayesian approach to age estimation in modern Americans from the clavicle. </w:t>
      </w:r>
      <w:r w:rsidRPr="00AC78CD">
        <w:rPr>
          <w:i/>
        </w:rPr>
        <w:t xml:space="preserve">Journal of Forensic </w:t>
      </w:r>
      <w:proofErr w:type="gramStart"/>
      <w:r w:rsidRPr="00AC78CD">
        <w:rPr>
          <w:i/>
        </w:rPr>
        <w:t xml:space="preserve">Sciences </w:t>
      </w:r>
      <w:r w:rsidRPr="00AC78CD">
        <w:t xml:space="preserve"> 55</w:t>
      </w:r>
      <w:proofErr w:type="gramEnd"/>
      <w:r w:rsidRPr="00AC78CD">
        <w:t>: 571-583.</w:t>
      </w:r>
    </w:p>
    <w:p w:rsidR="00715402" w:rsidRPr="00AC78CD" w:rsidRDefault="00715402" w:rsidP="00715402"/>
    <w:p w:rsidR="00715402" w:rsidRPr="00AC78CD" w:rsidRDefault="00715402" w:rsidP="00715402">
      <w:r w:rsidRPr="00AC78CD">
        <w:rPr>
          <w:color w:val="000000"/>
          <w:shd w:val="clear" w:color="auto" w:fill="FFFFFF"/>
        </w:rPr>
        <w:t xml:space="preserve">Larson CS. 1997. </w:t>
      </w:r>
      <w:r w:rsidRPr="00AC78CD">
        <w:rPr>
          <w:rStyle w:val="apple-converted-space"/>
          <w:color w:val="000000"/>
          <w:shd w:val="clear" w:color="auto" w:fill="FFFFFF"/>
        </w:rPr>
        <w:t> </w:t>
      </w:r>
      <w:r w:rsidRPr="00AC78CD">
        <w:rPr>
          <w:i/>
          <w:iCs/>
          <w:color w:val="000000"/>
          <w:shd w:val="clear" w:color="auto" w:fill="FFFFFF"/>
        </w:rPr>
        <w:t>Bioarchaeology:  interpreting behavior from the human skeleton</w:t>
      </w:r>
      <w:r w:rsidRPr="00AC78CD">
        <w:rPr>
          <w:color w:val="000000"/>
          <w:shd w:val="clear" w:color="auto" w:fill="FFFFFF"/>
        </w:rPr>
        <w:t>. Cambridge: Cambridge University Press.</w:t>
      </w:r>
    </w:p>
    <w:p w:rsidR="00715402" w:rsidRPr="00AC78CD" w:rsidRDefault="00715402" w:rsidP="00715402"/>
    <w:p w:rsidR="00715402" w:rsidRPr="00AC78CD" w:rsidRDefault="00715402" w:rsidP="00715402">
      <w:r w:rsidRPr="00AC78CD">
        <w:t>Lehmer DJ. 1971.</w:t>
      </w:r>
      <w:r w:rsidRPr="00AC78CD">
        <w:rPr>
          <w:i/>
        </w:rPr>
        <w:t xml:space="preserve"> Middle Missouri Archaeology</w:t>
      </w:r>
      <w:r w:rsidRPr="00AC78CD">
        <w:t xml:space="preserve">. </w:t>
      </w:r>
      <w:proofErr w:type="gramStart"/>
      <w:r w:rsidRPr="00AC78CD">
        <w:t>National Park Service, Anthropological Papers 1.</w:t>
      </w:r>
      <w:proofErr w:type="gramEnd"/>
    </w:p>
    <w:p w:rsidR="00715402" w:rsidRPr="00AC78CD" w:rsidRDefault="00715402" w:rsidP="00715402"/>
    <w:p w:rsidR="00715402" w:rsidRPr="00AC78CD" w:rsidRDefault="00715402" w:rsidP="00715402">
      <w:proofErr w:type="gramStart"/>
      <w:r w:rsidRPr="00AC78CD">
        <w:t>Lehmer DJ, Caldwell WW.</w:t>
      </w:r>
      <w:proofErr w:type="gramEnd"/>
      <w:r w:rsidRPr="00AC78CD">
        <w:t xml:space="preserve"> 1966. Horizon and Tradition in the Northern Plains. </w:t>
      </w:r>
      <w:r w:rsidRPr="00AC78CD">
        <w:rPr>
          <w:i/>
        </w:rPr>
        <w:t xml:space="preserve">American Antiquity </w:t>
      </w:r>
      <w:r w:rsidRPr="00AC78CD">
        <w:t>31: 511-516.</w:t>
      </w:r>
    </w:p>
    <w:p w:rsidR="00715402" w:rsidRPr="00AC78CD" w:rsidRDefault="00715402" w:rsidP="00715402"/>
    <w:p w:rsidR="00715402" w:rsidRPr="00AC78CD" w:rsidRDefault="00715402" w:rsidP="00715402">
      <w:r w:rsidRPr="00AC78CD">
        <w:t>Lehmer DJ, Jones DT. 1968. Arikara archaeology:  The Bad River Phase. Smithsonian Institution River Basin Surveys, Publications in Salvage Archaeology, no. 7. Lincoln, NE</w:t>
      </w:r>
    </w:p>
    <w:p w:rsidR="00715402" w:rsidRPr="00AC78CD" w:rsidRDefault="00715402" w:rsidP="00715402"/>
    <w:p w:rsidR="00715402" w:rsidRPr="00AC78CD" w:rsidRDefault="00715402" w:rsidP="00715402">
      <w:r w:rsidRPr="00AC78CD">
        <w:t xml:space="preserve">Lewis AB, Garn SM. 1960. </w:t>
      </w:r>
      <w:proofErr w:type="gramStart"/>
      <w:r w:rsidRPr="00AC78CD">
        <w:t>The relationship between tooth formation and other maturational factors.</w:t>
      </w:r>
      <w:proofErr w:type="gramEnd"/>
      <w:r w:rsidRPr="00AC78CD">
        <w:t xml:space="preserve"> </w:t>
      </w:r>
      <w:r w:rsidRPr="00AC78CD">
        <w:rPr>
          <w:i/>
        </w:rPr>
        <w:t>Angle Orthodontist</w:t>
      </w:r>
      <w:r w:rsidRPr="00AC78CD">
        <w:t xml:space="preserve"> 30: 70-77.</w:t>
      </w:r>
    </w:p>
    <w:p w:rsidR="00715402" w:rsidRPr="00AC78CD" w:rsidRDefault="00715402" w:rsidP="00715402"/>
    <w:p w:rsidR="00715402" w:rsidRPr="00AC78CD" w:rsidRDefault="00715402" w:rsidP="00715402">
      <w:r w:rsidRPr="00AC78CD">
        <w:lastRenderedPageBreak/>
        <w:t xml:space="preserve">Lin, PM. 1973. </w:t>
      </w:r>
      <w:proofErr w:type="gramStart"/>
      <w:r w:rsidRPr="00AC78CD">
        <w:t>A Study of Arikara Skeletal Populations by Multivariate Analysis.</w:t>
      </w:r>
      <w:proofErr w:type="gramEnd"/>
      <w:r w:rsidRPr="00AC78CD">
        <w:t xml:space="preserve"> </w:t>
      </w:r>
      <w:proofErr w:type="gramStart"/>
      <w:r w:rsidRPr="00AC78CD">
        <w:t>Doctoral dissertation, University of Kansas, Lawrence, KS.</w:t>
      </w:r>
      <w:proofErr w:type="gramEnd"/>
    </w:p>
    <w:p w:rsidR="00715402" w:rsidRPr="00AC78CD" w:rsidRDefault="00715402" w:rsidP="00715402"/>
    <w:p w:rsidR="00715402" w:rsidRPr="00AC78CD" w:rsidRDefault="00715402" w:rsidP="00715402">
      <w:proofErr w:type="gramStart"/>
      <w:r w:rsidRPr="00AC78CD">
        <w:t>Liversidge HM. 2003</w:t>
      </w:r>
      <w:r>
        <w:t>.</w:t>
      </w:r>
      <w:proofErr w:type="gramEnd"/>
      <w:r w:rsidRPr="00AC78CD">
        <w:t xml:space="preserve"> </w:t>
      </w:r>
      <w:proofErr w:type="gramStart"/>
      <w:r w:rsidRPr="00AC78CD">
        <w:t>Variation in modern human dental development.</w:t>
      </w:r>
      <w:proofErr w:type="gramEnd"/>
      <w:r w:rsidRPr="00AC78CD">
        <w:t xml:space="preserve"> </w:t>
      </w:r>
      <w:proofErr w:type="gramStart"/>
      <w:r w:rsidRPr="00AC78CD">
        <w:t>In Patterns of Growth and Development in the Genus Homo.</w:t>
      </w:r>
      <w:proofErr w:type="gramEnd"/>
      <w:r w:rsidRPr="00AC78CD">
        <w:t xml:space="preserve"> </w:t>
      </w:r>
      <w:proofErr w:type="gramStart"/>
      <w:r w:rsidRPr="00AC78CD">
        <w:t xml:space="preserve">Edited by JL Thompson, GE Krovitz, and AL Nelson, </w:t>
      </w:r>
      <w:r>
        <w:t>Pp.</w:t>
      </w:r>
      <w:r w:rsidRPr="00AC78CD">
        <w:t xml:space="preserve"> 73-113, Cambridge: Cambridge University Press.</w:t>
      </w:r>
      <w:proofErr w:type="gramEnd"/>
    </w:p>
    <w:p w:rsidR="00715402" w:rsidRPr="00AC78CD" w:rsidRDefault="00715402" w:rsidP="00715402"/>
    <w:p w:rsidR="00715402" w:rsidRPr="00AC78CD" w:rsidRDefault="00715402" w:rsidP="00715402">
      <w:proofErr w:type="gramStart"/>
      <w:r w:rsidRPr="00AC78CD">
        <w:t>Liversidge HM. 2008.</w:t>
      </w:r>
      <w:proofErr w:type="gramEnd"/>
      <w:r w:rsidRPr="00AC78CD">
        <w:t xml:space="preserve"> Dental age revisited. </w:t>
      </w:r>
      <w:proofErr w:type="gramStart"/>
      <w:r w:rsidRPr="00AC78CD">
        <w:rPr>
          <w:i/>
        </w:rPr>
        <w:t>In Techniques and Application in Dental Anthropology</w:t>
      </w:r>
      <w:r w:rsidRPr="00AC78CD">
        <w:t>.</w:t>
      </w:r>
      <w:proofErr w:type="gramEnd"/>
      <w:r w:rsidRPr="00AC78CD">
        <w:t xml:space="preserve"> </w:t>
      </w:r>
      <w:proofErr w:type="gramStart"/>
      <w:r w:rsidRPr="00AC78CD">
        <w:t>Edited by JD Irish and GC Nelson.</w:t>
      </w:r>
      <w:proofErr w:type="gramEnd"/>
      <w:r w:rsidRPr="00AC78CD">
        <w:t xml:space="preserve"> </w:t>
      </w:r>
      <w:r>
        <w:t>Pp.</w:t>
      </w:r>
      <w:r w:rsidRPr="00AC78CD">
        <w:t>234-252. New York: Cambridge University Press.</w:t>
      </w:r>
    </w:p>
    <w:p w:rsidR="00715402" w:rsidRPr="00AC78CD" w:rsidRDefault="00715402" w:rsidP="00715402"/>
    <w:p w:rsidR="00715402" w:rsidRPr="00AC78CD" w:rsidRDefault="00715402" w:rsidP="00715402">
      <w:r w:rsidRPr="00AC78CD">
        <w:t xml:space="preserve">Liversidge HM, Molleson TI. 1999. Developing permanent tooth length as an estimate of age. </w:t>
      </w:r>
      <w:r w:rsidRPr="00AC78CD">
        <w:rPr>
          <w:i/>
        </w:rPr>
        <w:t xml:space="preserve">Journal of Forensic Sciences </w:t>
      </w:r>
      <w:r w:rsidRPr="00AC78CD">
        <w:t>44:917-920.</w:t>
      </w:r>
    </w:p>
    <w:p w:rsidR="00715402" w:rsidRPr="00AC78CD" w:rsidRDefault="00715402" w:rsidP="00715402"/>
    <w:p w:rsidR="00715402" w:rsidRPr="00AC78CD" w:rsidRDefault="00715402" w:rsidP="00715402">
      <w:r w:rsidRPr="00AC78CD">
        <w:t xml:space="preserve">Liversidge HM, Dean MC, Molleson TI. 1993. Increasing human tooth length between birth and 5.4 years. </w:t>
      </w:r>
      <w:r w:rsidRPr="00AC78CD">
        <w:rPr>
          <w:i/>
        </w:rPr>
        <w:t xml:space="preserve">American Journal of Physical Anthropology </w:t>
      </w:r>
      <w:r w:rsidRPr="00AC78CD">
        <w:t>90:307-313.</w:t>
      </w:r>
    </w:p>
    <w:p w:rsidR="00715402" w:rsidRPr="00AC78CD" w:rsidRDefault="00715402" w:rsidP="00715402"/>
    <w:p w:rsidR="00715402" w:rsidRPr="00AC78CD" w:rsidRDefault="00715402" w:rsidP="00715402">
      <w:r w:rsidRPr="00AC78CD">
        <w:t xml:space="preserve">Liversidge HM, Herdeg B, Rosing FW. 1998. Dental age estimation of non-adults: A review of methods and principles. </w:t>
      </w:r>
      <w:proofErr w:type="gramStart"/>
      <w:r w:rsidRPr="00AC78CD">
        <w:rPr>
          <w:i/>
        </w:rPr>
        <w:t>In Dental Anthropology.</w:t>
      </w:r>
      <w:proofErr w:type="gramEnd"/>
      <w:r w:rsidRPr="00AC78CD">
        <w:rPr>
          <w:i/>
        </w:rPr>
        <w:t xml:space="preserve"> </w:t>
      </w:r>
      <w:proofErr w:type="gramStart"/>
      <w:r w:rsidRPr="00AC78CD">
        <w:rPr>
          <w:i/>
        </w:rPr>
        <w:t>Fundamentals, Limits and Prospects</w:t>
      </w:r>
      <w:r w:rsidRPr="00AC78CD">
        <w:t>.</w:t>
      </w:r>
      <w:proofErr w:type="gramEnd"/>
      <w:r w:rsidRPr="00AC78CD">
        <w:t xml:space="preserve"> Edited by KW Alt, FW </w:t>
      </w:r>
      <w:proofErr w:type="gramStart"/>
      <w:r w:rsidRPr="00AC78CD">
        <w:t>Rosing ,</w:t>
      </w:r>
      <w:proofErr w:type="gramEnd"/>
      <w:r w:rsidRPr="00AC78CD">
        <w:t xml:space="preserve"> and Teschler-Nicola, </w:t>
      </w:r>
      <w:r>
        <w:t>Pp.</w:t>
      </w:r>
      <w:r w:rsidRPr="00AC78CD">
        <w:t xml:space="preserve"> 419-442. Vienna, Springer.</w:t>
      </w:r>
    </w:p>
    <w:p w:rsidR="00715402" w:rsidRPr="00AC78CD" w:rsidRDefault="00715402" w:rsidP="00715402"/>
    <w:p w:rsidR="00715402" w:rsidRPr="00AC78CD" w:rsidRDefault="00715402" w:rsidP="00715402">
      <w:r w:rsidRPr="00AC78CD">
        <w:t xml:space="preserve">Love B, Muller H. 2002. </w:t>
      </w:r>
      <w:proofErr w:type="gramStart"/>
      <w:r w:rsidRPr="00AC78CD">
        <w:t>A solution to the problem of obtaining a mortality schedule for paleodemographic data</w:t>
      </w:r>
      <w:r w:rsidRPr="00AC78CD">
        <w:rPr>
          <w:i/>
        </w:rPr>
        <w:t>.</w:t>
      </w:r>
      <w:proofErr w:type="gramEnd"/>
      <w:r w:rsidRPr="00AC78CD">
        <w:rPr>
          <w:i/>
        </w:rPr>
        <w:t xml:space="preserve"> In </w:t>
      </w:r>
      <w:proofErr w:type="gramStart"/>
      <w:r w:rsidRPr="00AC78CD">
        <w:rPr>
          <w:i/>
        </w:rPr>
        <w:t>Paleodemography :</w:t>
      </w:r>
      <w:proofErr w:type="gramEnd"/>
      <w:r w:rsidRPr="00AC78CD">
        <w:rPr>
          <w:i/>
        </w:rPr>
        <w:t xml:space="preserve"> age distributions from skeletal samples.</w:t>
      </w:r>
      <w:r w:rsidRPr="00AC78CD">
        <w:t xml:space="preserve"> </w:t>
      </w:r>
      <w:proofErr w:type="gramStart"/>
      <w:r w:rsidRPr="00AC78CD">
        <w:t xml:space="preserve">Edited by RD Hoppa and JW Vaupel, </w:t>
      </w:r>
      <w:r>
        <w:t>Pp.</w:t>
      </w:r>
      <w:r w:rsidRPr="00AC78CD">
        <w:t xml:space="preserve"> 181-192.</w:t>
      </w:r>
      <w:proofErr w:type="gramEnd"/>
      <w:r w:rsidRPr="00AC78CD">
        <w:t xml:space="preserve"> Cambridge: Cambridge University Press. </w:t>
      </w:r>
    </w:p>
    <w:p w:rsidR="00715402" w:rsidRPr="00AC78CD" w:rsidRDefault="00715402" w:rsidP="00715402"/>
    <w:p w:rsidR="00715402" w:rsidRPr="00AC78CD" w:rsidRDefault="00715402" w:rsidP="00715402">
      <w:proofErr w:type="gramStart"/>
      <w:r w:rsidRPr="00AC78CD">
        <w:t>Lovejoy CO, Meindl RS, Mensforth RP, Barton TJ, Heiple KG, Kotting D. 1977.</w:t>
      </w:r>
      <w:proofErr w:type="gramEnd"/>
      <w:r w:rsidRPr="00AC78CD">
        <w:t xml:space="preserve"> </w:t>
      </w:r>
      <w:proofErr w:type="gramStart"/>
      <w:r w:rsidRPr="00AC78CD">
        <w:t>Paleodemography of the Libben site, Ottawa County, Ohio.</w:t>
      </w:r>
      <w:proofErr w:type="gramEnd"/>
      <w:r w:rsidRPr="00AC78CD">
        <w:t xml:space="preserve"> </w:t>
      </w:r>
      <w:r w:rsidRPr="00AC78CD">
        <w:rPr>
          <w:i/>
          <w:iCs/>
        </w:rPr>
        <w:t xml:space="preserve">Science </w:t>
      </w:r>
      <w:r w:rsidRPr="00AC78CD">
        <w:t>198:291-293.</w:t>
      </w:r>
    </w:p>
    <w:p w:rsidR="00715402" w:rsidRPr="00AC78CD" w:rsidRDefault="00715402" w:rsidP="00715402"/>
    <w:p w:rsidR="00715402" w:rsidRPr="00AC78CD" w:rsidRDefault="00715402" w:rsidP="00715402">
      <w:proofErr w:type="gramStart"/>
      <w:r w:rsidRPr="00AC78CD">
        <w:t>Lovejoy CO, Meindl RS, Pryzbeck TR, Mensforth RP.</w:t>
      </w:r>
      <w:proofErr w:type="gramEnd"/>
      <w:r w:rsidRPr="00AC78CD">
        <w:t xml:space="preserve"> 1985a. Chronological metamorphosis of the auricular surface of the ilium: a new method for the determination of the adult skeletal age at death. </w:t>
      </w:r>
      <w:r w:rsidRPr="00AC78CD">
        <w:rPr>
          <w:i/>
        </w:rPr>
        <w:t xml:space="preserve">American Journal of Physical Anthropology </w:t>
      </w:r>
      <w:r w:rsidRPr="00AC78CD">
        <w:t>68:15-28.</w:t>
      </w:r>
    </w:p>
    <w:p w:rsidR="00715402" w:rsidRPr="00AC78CD" w:rsidRDefault="00715402" w:rsidP="00715402"/>
    <w:p w:rsidR="00715402" w:rsidRPr="00AC78CD" w:rsidRDefault="00715402" w:rsidP="00715402">
      <w:proofErr w:type="gramStart"/>
      <w:r w:rsidRPr="00AC78CD">
        <w:t>Lovejoy CO, Meindl RS, Mensforth RP, Barton TJ.</w:t>
      </w:r>
      <w:proofErr w:type="gramEnd"/>
      <w:r w:rsidRPr="00AC78CD">
        <w:t xml:space="preserve"> 1985b. Multifactorial determination of skeletal age at death: a method and blind tests of accuracy. </w:t>
      </w:r>
      <w:r w:rsidRPr="00AC78CD">
        <w:rPr>
          <w:i/>
        </w:rPr>
        <w:t xml:space="preserve">American Journal of Physical Anthropology </w:t>
      </w:r>
      <w:r w:rsidRPr="00AC78CD">
        <w:t>68:1-14.</w:t>
      </w:r>
    </w:p>
    <w:p w:rsidR="00715402" w:rsidRPr="00AC78CD" w:rsidRDefault="00715402" w:rsidP="00715402"/>
    <w:p w:rsidR="00715402" w:rsidRPr="00AC78CD" w:rsidRDefault="00715402" w:rsidP="00715402">
      <w:r w:rsidRPr="00AC78CD">
        <w:t xml:space="preserve">Maber M, Liversidge HM, Hector P. 2006. </w:t>
      </w:r>
      <w:proofErr w:type="gramStart"/>
      <w:r w:rsidRPr="00AC78CD">
        <w:t>Accuracy of age estimation of radiographic methods using developing teeth.</w:t>
      </w:r>
      <w:proofErr w:type="gramEnd"/>
      <w:r w:rsidRPr="00AC78CD">
        <w:t xml:space="preserve"> </w:t>
      </w:r>
      <w:r w:rsidRPr="00AC78CD">
        <w:rPr>
          <w:i/>
        </w:rPr>
        <w:t>Forensic Science International</w:t>
      </w:r>
      <w:r w:rsidRPr="00AC78CD">
        <w:t xml:space="preserve"> 159:68-73.</w:t>
      </w:r>
    </w:p>
    <w:p w:rsidR="00715402" w:rsidRPr="00AC78CD" w:rsidRDefault="00715402" w:rsidP="00715402">
      <w:pPr>
        <w:keepNext/>
      </w:pPr>
    </w:p>
    <w:p w:rsidR="00715402" w:rsidRPr="00AC78CD" w:rsidRDefault="00715402" w:rsidP="00715402">
      <w:pPr>
        <w:keepNext/>
      </w:pPr>
      <w:r w:rsidRPr="00AC78CD">
        <w:t xml:space="preserve">Makeham WM. 1860. </w:t>
      </w:r>
      <w:proofErr w:type="gramStart"/>
      <w:r w:rsidRPr="00AC78CD">
        <w:t>On the law of mortality.</w:t>
      </w:r>
      <w:proofErr w:type="gramEnd"/>
      <w:r w:rsidRPr="00AC78CD">
        <w:t xml:space="preserve"> </w:t>
      </w:r>
      <w:r w:rsidRPr="00AC78CD">
        <w:rPr>
          <w:i/>
        </w:rPr>
        <w:t>Journal of the Institute of Actuaries</w:t>
      </w:r>
      <w:r w:rsidRPr="00AC78CD">
        <w:t xml:space="preserve"> 13:325-358.</w:t>
      </w:r>
    </w:p>
    <w:p w:rsidR="00715402" w:rsidRPr="00AC78CD" w:rsidRDefault="00715402" w:rsidP="00715402"/>
    <w:p w:rsidR="00715402" w:rsidRPr="00AC78CD" w:rsidRDefault="00715402" w:rsidP="00715402">
      <w:r w:rsidRPr="00AC78CD">
        <w:t>Mann RW, Owsley DW, Reinhard KJ. 1994. Otitis Media, Mastoiditis, and infracranial lesions in two Plains Indian children. In</w:t>
      </w:r>
      <w:r w:rsidRPr="00AC78CD">
        <w:rPr>
          <w:i/>
        </w:rPr>
        <w:t xml:space="preserve"> Skeletal Biology in the Great Plains:  Migration, Warfare, Health, and Subsistence.</w:t>
      </w:r>
      <w:r w:rsidRPr="00AC78CD">
        <w:t xml:space="preserve"> </w:t>
      </w:r>
      <w:proofErr w:type="gramStart"/>
      <w:r w:rsidRPr="00AC78CD">
        <w:t xml:space="preserve">Edited by DW Owsley and RL Jantz, </w:t>
      </w:r>
      <w:r>
        <w:t>Pp.</w:t>
      </w:r>
      <w:r w:rsidRPr="00AC78CD">
        <w:t xml:space="preserve"> 131-146.</w:t>
      </w:r>
      <w:proofErr w:type="gramEnd"/>
      <w:r w:rsidRPr="00AC78CD">
        <w:t xml:space="preserve"> Washington DC: Smithsonian Institution Press.</w:t>
      </w:r>
    </w:p>
    <w:p w:rsidR="00715402" w:rsidRPr="00AC78CD" w:rsidRDefault="00715402" w:rsidP="00715402">
      <w:pPr>
        <w:keepNext/>
      </w:pPr>
    </w:p>
    <w:p w:rsidR="00715402" w:rsidRPr="00AC78CD" w:rsidRDefault="00715402" w:rsidP="00715402">
      <w:pPr>
        <w:keepNext/>
      </w:pPr>
      <w:r w:rsidRPr="00AC78CD">
        <w:t xml:space="preserve">Mann RW, Jantz RL, Bass WM, Willey PS. 1991. Maxillary suture obliteration:  A visual method for estimating skeletal age.  </w:t>
      </w:r>
      <w:r w:rsidRPr="00AC78CD">
        <w:rPr>
          <w:i/>
          <w:iCs/>
        </w:rPr>
        <w:t xml:space="preserve">Journal of Forensic Sciences </w:t>
      </w:r>
      <w:r w:rsidRPr="00AC78CD">
        <w:t xml:space="preserve">36:781-791. </w:t>
      </w:r>
    </w:p>
    <w:p w:rsidR="00715402" w:rsidRPr="00AC78CD" w:rsidRDefault="00715402" w:rsidP="00715402"/>
    <w:p w:rsidR="00715402" w:rsidRPr="00AC78CD" w:rsidRDefault="00715402" w:rsidP="00715402">
      <w:r w:rsidRPr="00AC78CD">
        <w:t xml:space="preserve">Margerison BJ, Knusel CJ. 2002. Paleodemographic comparison of a catastrophic and an attritional death assemblage. </w:t>
      </w:r>
      <w:r w:rsidRPr="00AC78CD">
        <w:rPr>
          <w:i/>
        </w:rPr>
        <w:t xml:space="preserve">American Journal of Physical Anthropology </w:t>
      </w:r>
      <w:r w:rsidRPr="00AC78CD">
        <w:t>119:134-143.</w:t>
      </w:r>
    </w:p>
    <w:p w:rsidR="00715402" w:rsidRPr="00AC78CD" w:rsidRDefault="00715402" w:rsidP="00715402">
      <w:pPr>
        <w:keepNext/>
      </w:pPr>
    </w:p>
    <w:p w:rsidR="00715402" w:rsidRPr="00AC78CD" w:rsidRDefault="00715402" w:rsidP="00715402">
      <w:proofErr w:type="gramStart"/>
      <w:r w:rsidRPr="00AC78CD">
        <w:t>MaplesWR.</w:t>
      </w:r>
      <w:proofErr w:type="gramEnd"/>
      <w:r w:rsidRPr="00AC78CD">
        <w:t xml:space="preserve"> 1989. The practical application of age-estimation techniques. </w:t>
      </w:r>
      <w:proofErr w:type="gramStart"/>
      <w:r w:rsidRPr="00AC78CD">
        <w:t xml:space="preserve">In </w:t>
      </w:r>
      <w:r w:rsidRPr="00AC78CD">
        <w:rPr>
          <w:i/>
        </w:rPr>
        <w:t>Age Markers in the Human Skeleton</w:t>
      </w:r>
      <w:r w:rsidRPr="00AC78CD">
        <w:t>.</w:t>
      </w:r>
      <w:proofErr w:type="gramEnd"/>
      <w:r w:rsidRPr="00AC78CD">
        <w:t xml:space="preserve"> </w:t>
      </w:r>
      <w:proofErr w:type="gramStart"/>
      <w:r w:rsidRPr="00AC78CD">
        <w:t>Edited by MY Iscan.</w:t>
      </w:r>
      <w:proofErr w:type="gramEnd"/>
      <w:r w:rsidRPr="00AC78CD">
        <w:t xml:space="preserve"> Pp. 319-324. Springfield, IL</w:t>
      </w:r>
      <w:proofErr w:type="gramStart"/>
      <w:r w:rsidRPr="00AC78CD">
        <w:t>:Charles</w:t>
      </w:r>
      <w:proofErr w:type="gramEnd"/>
      <w:r w:rsidRPr="00AC78CD">
        <w:t xml:space="preserve"> C. Thomas. </w:t>
      </w:r>
    </w:p>
    <w:p w:rsidR="00715402" w:rsidRPr="00AC78CD" w:rsidRDefault="00715402" w:rsidP="00715402"/>
    <w:p w:rsidR="00715402" w:rsidRPr="00AC78CD" w:rsidRDefault="00715402" w:rsidP="00715402">
      <w:r w:rsidRPr="00AC78CD">
        <w:t xml:space="preserve">Maresh MM. 1943. </w:t>
      </w:r>
      <w:proofErr w:type="gramStart"/>
      <w:r w:rsidRPr="00AC78CD">
        <w:t>Growth of major long bones in healthy children.</w:t>
      </w:r>
      <w:proofErr w:type="gramEnd"/>
      <w:r w:rsidRPr="00AC78CD">
        <w:t xml:space="preserve"> </w:t>
      </w:r>
      <w:r w:rsidRPr="00AC78CD">
        <w:rPr>
          <w:i/>
        </w:rPr>
        <w:t xml:space="preserve">American Journal of Diseases of Children </w:t>
      </w:r>
      <w:r w:rsidRPr="00AC78CD">
        <w:t>66:227-257.</w:t>
      </w:r>
    </w:p>
    <w:p w:rsidR="00715402" w:rsidRPr="00AC78CD" w:rsidRDefault="00715402" w:rsidP="00715402"/>
    <w:p w:rsidR="00715402" w:rsidRPr="00AC78CD" w:rsidRDefault="00715402" w:rsidP="00715402">
      <w:r w:rsidRPr="00AC78CD">
        <w:t xml:space="preserve">Maresh MM. 1955. </w:t>
      </w:r>
      <w:proofErr w:type="gramStart"/>
      <w:r w:rsidRPr="00AC78CD">
        <w:t>Linear growth of long bones of extremities from infancy through adolescence.</w:t>
      </w:r>
      <w:proofErr w:type="gramEnd"/>
      <w:r w:rsidRPr="00AC78CD">
        <w:t xml:space="preserve"> </w:t>
      </w:r>
      <w:r w:rsidRPr="00AC78CD">
        <w:rPr>
          <w:i/>
        </w:rPr>
        <w:t>American Journal of Diseases of Children</w:t>
      </w:r>
      <w:r w:rsidRPr="00AC78CD">
        <w:t xml:space="preserve"> 89:725-742.</w:t>
      </w:r>
    </w:p>
    <w:p w:rsidR="00715402" w:rsidRPr="00AC78CD" w:rsidRDefault="00715402" w:rsidP="00715402"/>
    <w:p w:rsidR="00715402" w:rsidRPr="00AC78CD" w:rsidRDefault="00715402" w:rsidP="00715402">
      <w:r w:rsidRPr="00AC78CD">
        <w:t xml:space="preserve">Maresh MM. 1972. </w:t>
      </w:r>
      <w:proofErr w:type="gramStart"/>
      <w:r w:rsidRPr="00AC78CD">
        <w:t>A forty-five year investigation for secular changes in physical maturation.</w:t>
      </w:r>
      <w:proofErr w:type="gramEnd"/>
      <w:r w:rsidRPr="00AC78CD">
        <w:t xml:space="preserve"> </w:t>
      </w:r>
      <w:r w:rsidRPr="00AC78CD">
        <w:rPr>
          <w:i/>
        </w:rPr>
        <w:t xml:space="preserve">American Journal of Physical Anthropology </w:t>
      </w:r>
      <w:r w:rsidRPr="00AC78CD">
        <w:t>36:103-109.</w:t>
      </w:r>
    </w:p>
    <w:p w:rsidR="00715402" w:rsidRPr="00AC78CD" w:rsidRDefault="00715402" w:rsidP="00715402"/>
    <w:p w:rsidR="00715402" w:rsidRPr="00AC78CD" w:rsidRDefault="00715402" w:rsidP="00715402">
      <w:proofErr w:type="gramStart"/>
      <w:r w:rsidRPr="00AC78CD">
        <w:t>Meindl RS, Lovejoy CO. 1985.</w:t>
      </w:r>
      <w:proofErr w:type="gramEnd"/>
      <w:r w:rsidRPr="00AC78CD">
        <w:t xml:space="preserve"> Ectocranial suture closure: a revised method for the determination of skeletal age at death based on lateral anterior sutures. </w:t>
      </w:r>
      <w:r w:rsidRPr="00AC78CD">
        <w:rPr>
          <w:i/>
        </w:rPr>
        <w:t xml:space="preserve">American Journal of Physical Anthropology </w:t>
      </w:r>
      <w:r w:rsidRPr="00AC78CD">
        <w:t>68 (1):57-66.</w:t>
      </w:r>
    </w:p>
    <w:p w:rsidR="00715402" w:rsidRPr="00AC78CD" w:rsidRDefault="00715402" w:rsidP="00715402"/>
    <w:p w:rsidR="00715402" w:rsidRPr="00AC78CD" w:rsidRDefault="00715402" w:rsidP="00715402">
      <w:proofErr w:type="gramStart"/>
      <w:r w:rsidRPr="00AC78CD">
        <w:t>Merchant VL, Ubelaker DH.</w:t>
      </w:r>
      <w:proofErr w:type="gramEnd"/>
      <w:r w:rsidRPr="00AC78CD">
        <w:t xml:space="preserve"> 1977. Skeletal growth of the protohistoric Arikara. </w:t>
      </w:r>
      <w:r w:rsidRPr="00AC78CD">
        <w:rPr>
          <w:i/>
        </w:rPr>
        <w:t>Journal of Physical Anthropology</w:t>
      </w:r>
      <w:r w:rsidRPr="00AC78CD">
        <w:t xml:space="preserve"> 46:61-72.</w:t>
      </w:r>
    </w:p>
    <w:p w:rsidR="00715402" w:rsidRPr="00AC78CD" w:rsidRDefault="00715402" w:rsidP="00715402"/>
    <w:p w:rsidR="00715402" w:rsidRPr="00AC78CD" w:rsidRDefault="00715402" w:rsidP="00715402">
      <w:r w:rsidRPr="00AC78CD">
        <w:t xml:space="preserve">McKern TW, Stewart TD. 1957. </w:t>
      </w:r>
      <w:r w:rsidRPr="00AC78CD">
        <w:rPr>
          <w:i/>
        </w:rPr>
        <w:t>Skeletal Age Changes in Young American Males Analyzed from the Standpoint of Age Identification.</w:t>
      </w:r>
      <w:r w:rsidRPr="00AC78CD">
        <w:t xml:space="preserve"> </w:t>
      </w:r>
      <w:proofErr w:type="gramStart"/>
      <w:r w:rsidRPr="00AC78CD">
        <w:t>Technical Report EP-45.</w:t>
      </w:r>
      <w:proofErr w:type="gramEnd"/>
      <w:r w:rsidRPr="00AC78CD">
        <w:t xml:space="preserve"> </w:t>
      </w:r>
      <w:proofErr w:type="gramStart"/>
      <w:r w:rsidRPr="00AC78CD">
        <w:t>Quartermaster Research and Development Command, Natick, MA.</w:t>
      </w:r>
      <w:proofErr w:type="gramEnd"/>
    </w:p>
    <w:p w:rsidR="00715402" w:rsidRPr="00AC78CD" w:rsidRDefault="00715402" w:rsidP="00715402"/>
    <w:p w:rsidR="00715402" w:rsidRPr="00AC78CD" w:rsidRDefault="00715402" w:rsidP="00715402">
      <w:r w:rsidRPr="00AC78CD">
        <w:t xml:space="preserve">Martrille L, Ubelaker DH, Cattaneo C, Seguret F, Tremblay M, Baccino. 2007. Comparison of four skeletal methods for the estimation of age at death on White and Black adults. </w:t>
      </w:r>
      <w:proofErr w:type="gramStart"/>
      <w:r w:rsidRPr="00AC78CD">
        <w:rPr>
          <w:i/>
        </w:rPr>
        <w:t xml:space="preserve">Journal of Forensic Sciences </w:t>
      </w:r>
      <w:r w:rsidRPr="00AC78CD">
        <w:t>52: 302- 307.</w:t>
      </w:r>
      <w:proofErr w:type="gramEnd"/>
    </w:p>
    <w:p w:rsidR="00715402" w:rsidRPr="00AC78CD" w:rsidRDefault="00715402" w:rsidP="00715402"/>
    <w:p w:rsidR="00715402" w:rsidRPr="00AC78CD" w:rsidRDefault="00715402" w:rsidP="00715402">
      <w:r>
        <w:t>McCaa R. 2002.</w:t>
      </w:r>
      <w:r w:rsidRPr="00AC78CD">
        <w:t xml:space="preserve"> Paleodemography of the Americas: From ancient timers to Colonialism and Beyond. In </w:t>
      </w:r>
      <w:r w:rsidRPr="00AC78CD">
        <w:rPr>
          <w:i/>
        </w:rPr>
        <w:t xml:space="preserve">Backbone of History: Health and nutrition in the Western Hemisphere. </w:t>
      </w:r>
      <w:proofErr w:type="gramStart"/>
      <w:r w:rsidRPr="00AC78CD">
        <w:t>Edited by</w:t>
      </w:r>
      <w:r w:rsidRPr="00AC78CD">
        <w:rPr>
          <w:i/>
        </w:rPr>
        <w:t xml:space="preserve"> </w:t>
      </w:r>
      <w:r w:rsidRPr="00AC78CD">
        <w:t xml:space="preserve">R Steckel and J Rose, </w:t>
      </w:r>
      <w:r>
        <w:t>Pp.</w:t>
      </w:r>
      <w:r w:rsidRPr="00AC78CD">
        <w:t xml:space="preserve"> 94-124.</w:t>
      </w:r>
      <w:proofErr w:type="gramEnd"/>
      <w:r w:rsidRPr="00AC78CD">
        <w:t xml:space="preserve"> New York: Cambridge University Press.</w:t>
      </w:r>
    </w:p>
    <w:p w:rsidR="00715402" w:rsidRPr="00AC78CD" w:rsidRDefault="00715402" w:rsidP="00715402"/>
    <w:p w:rsidR="00715402" w:rsidRPr="00AC78CD" w:rsidRDefault="00715402" w:rsidP="00715402">
      <w:r w:rsidRPr="00AC78CD">
        <w:t xml:space="preserve">Meindl, RS, Russell KF. 1998. Recent advances in method and theory in paleodemography. </w:t>
      </w:r>
      <w:r w:rsidRPr="00AC78CD">
        <w:rPr>
          <w:i/>
          <w:iCs/>
        </w:rPr>
        <w:t xml:space="preserve">Annual Review of Anthropology </w:t>
      </w:r>
      <w:r w:rsidRPr="00AC78CD">
        <w:t>27: 375-99.</w:t>
      </w:r>
    </w:p>
    <w:p w:rsidR="00715402" w:rsidRPr="00AC78CD" w:rsidRDefault="00715402" w:rsidP="00715402"/>
    <w:p w:rsidR="00715402" w:rsidRPr="00AC78CD" w:rsidRDefault="00715402" w:rsidP="00715402">
      <w:r w:rsidRPr="00AC78CD">
        <w:t xml:space="preserve">Mensforth RP. 1990. Paleodemography of the Carlston Annis (Bt-5) Late Archaic skeletal population. </w:t>
      </w:r>
      <w:r w:rsidRPr="00AC78CD">
        <w:rPr>
          <w:i/>
        </w:rPr>
        <w:t xml:space="preserve">American Journal of Physical Anthropology </w:t>
      </w:r>
      <w:r w:rsidRPr="00AC78CD">
        <w:t>82: 81-99.</w:t>
      </w:r>
    </w:p>
    <w:p w:rsidR="00715402" w:rsidRPr="00AC78CD" w:rsidRDefault="00715402" w:rsidP="00715402"/>
    <w:p w:rsidR="00715402" w:rsidRPr="00AC78CD" w:rsidRDefault="00715402" w:rsidP="00715402">
      <w:r w:rsidRPr="00AC78CD">
        <w:lastRenderedPageBreak/>
        <w:t xml:space="preserve">Milner GR, Wood JW, Boldsen JL. 2000. Paleodemography. </w:t>
      </w:r>
      <w:proofErr w:type="gramStart"/>
      <w:r w:rsidRPr="00AC78CD">
        <w:t xml:space="preserve">In </w:t>
      </w:r>
      <w:r w:rsidRPr="00AC78CD">
        <w:rPr>
          <w:i/>
        </w:rPr>
        <w:t>Biological Anthropology of the Human Skeleton.</w:t>
      </w:r>
      <w:r w:rsidRPr="00AC78CD">
        <w:t xml:space="preserve">Edited by MA Katzenberg and SR Saunders, </w:t>
      </w:r>
      <w:r>
        <w:t>Pp.</w:t>
      </w:r>
      <w:r w:rsidRPr="00AC78CD">
        <w:t xml:space="preserve"> 467-497.</w:t>
      </w:r>
      <w:proofErr w:type="gramEnd"/>
      <w:r w:rsidRPr="00AC78CD">
        <w:t xml:space="preserve"> New York: Wiley-Liss.</w:t>
      </w:r>
    </w:p>
    <w:p w:rsidR="00715402" w:rsidRPr="00AC78CD" w:rsidRDefault="00715402" w:rsidP="00715402"/>
    <w:p w:rsidR="00715402" w:rsidRPr="00AC78CD" w:rsidRDefault="00715402" w:rsidP="00715402">
      <w:r w:rsidRPr="00AC78CD">
        <w:t xml:space="preserve">Milner GR, Wood JW, Boldsen JL. 2008. Advances in paleodemography. In </w:t>
      </w:r>
      <w:r w:rsidRPr="00AC78CD">
        <w:rPr>
          <w:i/>
          <w:iCs/>
        </w:rPr>
        <w:t xml:space="preserve">Biological Anthropology of the Human Skeleton </w:t>
      </w:r>
      <w:r w:rsidRPr="00AC78CD">
        <w:t xml:space="preserve">(2nd Edition), Edited by MA Katzenberg and SR Saunders, </w:t>
      </w:r>
      <w:r>
        <w:t>Pp.</w:t>
      </w:r>
      <w:r w:rsidRPr="00AC78CD">
        <w:t xml:space="preserve"> 561-600. New York: Wiley-Liss.</w:t>
      </w:r>
    </w:p>
    <w:p w:rsidR="00715402" w:rsidRPr="00AC78CD" w:rsidRDefault="00715402" w:rsidP="00715402"/>
    <w:p w:rsidR="00715402" w:rsidRPr="00AC78CD" w:rsidRDefault="00715402" w:rsidP="00715402">
      <w:r w:rsidRPr="00AC78CD">
        <w:t xml:space="preserve">Milner GR, Boldsen JL. 2012a. Transition Analysis: A validation study with known-age modern American skeletons. </w:t>
      </w:r>
      <w:r w:rsidRPr="00AC78CD">
        <w:rPr>
          <w:i/>
        </w:rPr>
        <w:t xml:space="preserve">American Journal of Physical Anthropology </w:t>
      </w:r>
      <w:r w:rsidRPr="00AC78CD">
        <w:t>71: 233-250.</w:t>
      </w:r>
    </w:p>
    <w:p w:rsidR="00715402" w:rsidRPr="00AC78CD" w:rsidRDefault="00715402" w:rsidP="00715402"/>
    <w:p w:rsidR="00715402" w:rsidRPr="00AC78CD" w:rsidRDefault="00715402" w:rsidP="00715402">
      <w:r w:rsidRPr="00AC78CD">
        <w:t xml:space="preserve">Milner GR, Boldsen JL. 2012b. </w:t>
      </w:r>
      <w:proofErr w:type="gramStart"/>
      <w:r w:rsidRPr="00AC78CD">
        <w:t>Skeletal</w:t>
      </w:r>
      <w:proofErr w:type="gramEnd"/>
      <w:r w:rsidRPr="00AC78CD">
        <w:t xml:space="preserve"> age estimation: where we are and where we should go. </w:t>
      </w:r>
      <w:proofErr w:type="gramStart"/>
      <w:r w:rsidRPr="00AC78CD">
        <w:t xml:space="preserve">In </w:t>
      </w:r>
      <w:r w:rsidRPr="00AC78CD">
        <w:rPr>
          <w:i/>
        </w:rPr>
        <w:t xml:space="preserve">Companion to forensic anthropology, </w:t>
      </w:r>
      <w:r w:rsidRPr="00AC78CD">
        <w:t xml:space="preserve">edited by DC Dirkmaat, </w:t>
      </w:r>
      <w:r>
        <w:t>Pp.</w:t>
      </w:r>
      <w:r w:rsidRPr="00AC78CD">
        <w:t xml:space="preserve"> 224-238.</w:t>
      </w:r>
      <w:proofErr w:type="gramEnd"/>
      <w:r w:rsidRPr="00AC78CD">
        <w:t xml:space="preserve"> Oxford: Blackwell Publishing Ltd.</w:t>
      </w:r>
    </w:p>
    <w:p w:rsidR="00715402" w:rsidRPr="00AC78CD" w:rsidRDefault="00715402" w:rsidP="00715402"/>
    <w:p w:rsidR="00715402" w:rsidRPr="00AC78CD" w:rsidRDefault="00715402" w:rsidP="00715402">
      <w:proofErr w:type="gramStart"/>
      <w:r w:rsidRPr="00AC78CD">
        <w:t>Moore J, Swedlund A, and Armelagos GJ.</w:t>
      </w:r>
      <w:proofErr w:type="gramEnd"/>
      <w:r w:rsidRPr="00AC78CD">
        <w:t xml:space="preserve"> 1975 The use of life tables in paleodemography. </w:t>
      </w:r>
      <w:r w:rsidRPr="00AC78CD">
        <w:rPr>
          <w:i/>
        </w:rPr>
        <w:t>Memoir of the society for American Archaeology</w:t>
      </w:r>
      <w:r w:rsidRPr="00AC78CD">
        <w:t xml:space="preserve"> 40:57-70.</w:t>
      </w:r>
    </w:p>
    <w:p w:rsidR="00715402" w:rsidRPr="00AC78CD" w:rsidRDefault="00715402" w:rsidP="00715402"/>
    <w:p w:rsidR="00715402" w:rsidRPr="00AC78CD" w:rsidRDefault="00715402" w:rsidP="00715402">
      <w:r w:rsidRPr="00AC78CD">
        <w:t xml:space="preserve">Moorrees CF, Fanning EA, Hunt EE. 1963a. Age variation of formation stages for ten permanent teeth. </w:t>
      </w:r>
      <w:r w:rsidRPr="00AC78CD">
        <w:rPr>
          <w:i/>
        </w:rPr>
        <w:t>Journal of Dental Research</w:t>
      </w:r>
      <w:r w:rsidRPr="00AC78CD">
        <w:t xml:space="preserve"> 42(6):1490-1502</w:t>
      </w:r>
    </w:p>
    <w:p w:rsidR="00715402" w:rsidRPr="00AC78CD" w:rsidRDefault="00715402" w:rsidP="00715402"/>
    <w:p w:rsidR="00715402" w:rsidRPr="00AC78CD" w:rsidRDefault="00715402" w:rsidP="00715402">
      <w:r w:rsidRPr="00AC78CD">
        <w:t xml:space="preserve">Moorrees CF, Fanning EA, Hunt EE. </w:t>
      </w:r>
      <w:proofErr w:type="gramStart"/>
      <w:r w:rsidRPr="00AC78CD">
        <w:t>1963b. Formation and resorption of three deciduous teeth in children.</w:t>
      </w:r>
      <w:proofErr w:type="gramEnd"/>
      <w:r w:rsidRPr="00AC78CD">
        <w:t xml:space="preserve"> </w:t>
      </w:r>
      <w:r w:rsidRPr="00AC78CD">
        <w:rPr>
          <w:i/>
        </w:rPr>
        <w:t xml:space="preserve">American Journal of Physical Anthropology </w:t>
      </w:r>
      <w:r w:rsidRPr="00AC78CD">
        <w:t>21:205-213.</w:t>
      </w:r>
    </w:p>
    <w:p w:rsidR="00715402" w:rsidRPr="00AC78CD" w:rsidRDefault="00715402" w:rsidP="00715402"/>
    <w:p w:rsidR="00715402" w:rsidRPr="00AC78CD" w:rsidRDefault="00715402" w:rsidP="00715402">
      <w:proofErr w:type="gramStart"/>
      <w:r w:rsidRPr="00AC78CD">
        <w:t>Murray K, Murray Y. 1991.</w:t>
      </w:r>
      <w:proofErr w:type="gramEnd"/>
      <w:r w:rsidRPr="00AC78CD">
        <w:t xml:space="preserve"> </w:t>
      </w:r>
      <w:proofErr w:type="gramStart"/>
      <w:r w:rsidRPr="00AC78CD">
        <w:t>A test of the auricular surface aging technique.</w:t>
      </w:r>
      <w:proofErr w:type="gramEnd"/>
      <w:r w:rsidRPr="00AC78CD">
        <w:t xml:space="preserve"> </w:t>
      </w:r>
      <w:r w:rsidRPr="00AC78CD">
        <w:rPr>
          <w:i/>
        </w:rPr>
        <w:t xml:space="preserve">Journal of Forensic Sciences </w:t>
      </w:r>
      <w:r w:rsidRPr="00AC78CD">
        <w:t>36:1162-1169.</w:t>
      </w:r>
    </w:p>
    <w:p w:rsidR="00715402" w:rsidRPr="00AC78CD" w:rsidRDefault="00715402" w:rsidP="00715402"/>
    <w:p w:rsidR="00715402" w:rsidRPr="00AC78CD" w:rsidRDefault="00715402" w:rsidP="00715402">
      <w:r w:rsidRPr="00AC78CD">
        <w:t xml:space="preserve">Nagaka T, Hirata K, Yokta E, Matsu’ura S. 2006. Paleodemography </w:t>
      </w:r>
      <w:proofErr w:type="gramStart"/>
      <w:r w:rsidRPr="00AC78CD">
        <w:t>of  a</w:t>
      </w:r>
      <w:proofErr w:type="gramEnd"/>
      <w:r w:rsidRPr="00AC78CD">
        <w:t xml:space="preserve"> Medieval population in Japan:  Analysis of human skeletal remains from the Yuigahma-minami site. </w:t>
      </w:r>
      <w:r w:rsidRPr="00AC78CD">
        <w:rPr>
          <w:i/>
        </w:rPr>
        <w:t xml:space="preserve">American Journal of Physical Anthropology </w:t>
      </w:r>
      <w:r w:rsidRPr="00AC78CD">
        <w:t>131: 1-14.</w:t>
      </w:r>
    </w:p>
    <w:p w:rsidR="00715402" w:rsidRPr="00AC78CD" w:rsidRDefault="00715402" w:rsidP="00715402"/>
    <w:p w:rsidR="00715402" w:rsidRPr="00AC78CD" w:rsidRDefault="00715402" w:rsidP="00715402">
      <w:proofErr w:type="gramStart"/>
      <w:r w:rsidRPr="00AC78CD">
        <w:t>National Academy of Sciences.</w:t>
      </w:r>
      <w:proofErr w:type="gramEnd"/>
      <w:r w:rsidRPr="00AC78CD">
        <w:t xml:space="preserve"> 2009. Strengthening Forensic Science in the United States: A Path Forward. Washington DC: National Academic Press.</w:t>
      </w:r>
    </w:p>
    <w:p w:rsidR="00715402" w:rsidRDefault="00715402" w:rsidP="00715402"/>
    <w:p w:rsidR="00715402" w:rsidRPr="00AC78CD" w:rsidRDefault="00715402" w:rsidP="00715402">
      <w:r w:rsidRPr="00AC78CD">
        <w:t xml:space="preserve">Nawrocki SP. 1995. Taphonomic processes in historic cemeteries. </w:t>
      </w:r>
      <w:r w:rsidRPr="00AC78CD">
        <w:rPr>
          <w:i/>
        </w:rPr>
        <w:t xml:space="preserve">In Bodies of </w:t>
      </w:r>
      <w:proofErr w:type="gramStart"/>
      <w:r w:rsidRPr="00AC78CD">
        <w:rPr>
          <w:i/>
        </w:rPr>
        <w:t>Evidence  Reconstructing</w:t>
      </w:r>
      <w:proofErr w:type="gramEnd"/>
      <w:r w:rsidRPr="00AC78CD">
        <w:rPr>
          <w:i/>
        </w:rPr>
        <w:t xml:space="preserve"> History through Skeletal Analysis</w:t>
      </w:r>
      <w:r w:rsidRPr="00AC78CD">
        <w:t xml:space="preserve">. </w:t>
      </w:r>
      <w:proofErr w:type="gramStart"/>
      <w:r w:rsidRPr="00AC78CD">
        <w:t xml:space="preserve">Edited by AL Grauer, </w:t>
      </w:r>
      <w:r>
        <w:t>Pp.</w:t>
      </w:r>
      <w:r w:rsidRPr="00AC78CD">
        <w:t xml:space="preserve"> 49-68.</w:t>
      </w:r>
      <w:proofErr w:type="gramEnd"/>
      <w:r w:rsidRPr="00AC78CD">
        <w:t xml:space="preserve"> New York: Wiley-Liss.</w:t>
      </w:r>
    </w:p>
    <w:p w:rsidR="00715402" w:rsidRPr="00AC78CD" w:rsidRDefault="00715402" w:rsidP="00715402"/>
    <w:p w:rsidR="00715402" w:rsidRPr="00AC78CD" w:rsidRDefault="00715402" w:rsidP="00715402">
      <w:r w:rsidRPr="00AC78CD">
        <w:t xml:space="preserve">Nawrocki SP. 1998. </w:t>
      </w:r>
      <w:proofErr w:type="gramStart"/>
      <w:r w:rsidRPr="00AC78CD">
        <w:t>Regression formulae for the estimation of age from cranial suture closure.</w:t>
      </w:r>
      <w:proofErr w:type="gramEnd"/>
      <w:r w:rsidRPr="00AC78CD">
        <w:t xml:space="preserve"> In </w:t>
      </w:r>
      <w:r w:rsidRPr="00AC78CD">
        <w:rPr>
          <w:i/>
        </w:rPr>
        <w:t>Forensic Osteology: Advances in the Identification of Human Remains</w:t>
      </w:r>
      <w:r w:rsidRPr="00AC78CD">
        <w:t>, 2</w:t>
      </w:r>
      <w:r w:rsidRPr="00AC78CD">
        <w:rPr>
          <w:vertAlign w:val="superscript"/>
        </w:rPr>
        <w:t>nd</w:t>
      </w:r>
      <w:r w:rsidRPr="00AC78CD">
        <w:t xml:space="preserve"> ed. Edited by KJ Reichs. </w:t>
      </w:r>
      <w:r>
        <w:t>Pp.</w:t>
      </w:r>
      <w:r w:rsidRPr="00AC78CD">
        <w:t xml:space="preserve"> 276-292. Springfield, IL: Charles C. Thomas.</w:t>
      </w:r>
    </w:p>
    <w:p w:rsidR="00715402" w:rsidRPr="00AC78CD" w:rsidRDefault="00715402" w:rsidP="00715402"/>
    <w:p w:rsidR="00715402" w:rsidRPr="00AC78CD" w:rsidRDefault="00715402" w:rsidP="00715402">
      <w:r w:rsidRPr="00AC78CD">
        <w:t>O’Connor KA. 1995. The age pattern of mortality: a microanalysis of Tipu and a meta-analysis of twenty-ni</w:t>
      </w:r>
      <w:r>
        <w:t>n</w:t>
      </w:r>
      <w:r w:rsidRPr="00AC78CD">
        <w:t xml:space="preserve">e paleodemographic samples. </w:t>
      </w:r>
      <w:proofErr w:type="gramStart"/>
      <w:r w:rsidRPr="00AC78CD">
        <w:t>Doctoral dissertation, State University of New York, Albany, NY.</w:t>
      </w:r>
      <w:proofErr w:type="gramEnd"/>
    </w:p>
    <w:p w:rsidR="00715402" w:rsidRPr="00AC78CD" w:rsidRDefault="00715402" w:rsidP="00715402"/>
    <w:p w:rsidR="00715402" w:rsidRPr="00AC78CD" w:rsidRDefault="00715402" w:rsidP="00715402">
      <w:r w:rsidRPr="00AC78CD">
        <w:t xml:space="preserve">Ortner DJ. 1991. Theoretical and Methodological Issues in Paleopathology. In </w:t>
      </w:r>
      <w:r w:rsidRPr="00AC78CD">
        <w:rPr>
          <w:i/>
        </w:rPr>
        <w:t>Human Paleopathology: Current Syntheses and Future Options</w:t>
      </w:r>
      <w:r w:rsidRPr="00AC78CD">
        <w:t xml:space="preserve">. </w:t>
      </w:r>
      <w:proofErr w:type="gramStart"/>
      <w:r w:rsidRPr="00AC78CD">
        <w:t>Edited by DJ Ortner and AC Aufderheide.</w:t>
      </w:r>
      <w:proofErr w:type="gramEnd"/>
      <w:r w:rsidRPr="00AC78CD">
        <w:t xml:space="preserve"> Washington: Smithsonian Institution Press.</w:t>
      </w:r>
    </w:p>
    <w:p w:rsidR="00715402" w:rsidRPr="00AC78CD" w:rsidRDefault="00715402" w:rsidP="00715402"/>
    <w:p w:rsidR="00715402" w:rsidRPr="00AC78CD" w:rsidRDefault="00715402" w:rsidP="00715402">
      <w:r w:rsidRPr="00AC78CD">
        <w:t xml:space="preserve">Ortner DJ. 1994. Descriptive Methodology in Paleopathology. </w:t>
      </w:r>
      <w:r w:rsidRPr="00AC78CD">
        <w:rPr>
          <w:i/>
        </w:rPr>
        <w:t>In Skeletal Biology of the Great Plains: Migration, Warfare, Health, and Subsistence.</w:t>
      </w:r>
      <w:r w:rsidRPr="00AC78CD">
        <w:t xml:space="preserve"> </w:t>
      </w:r>
      <w:proofErr w:type="gramStart"/>
      <w:r w:rsidRPr="00AC78CD">
        <w:t>Edited by DW Owsley and RL Jantz, oo.</w:t>
      </w:r>
      <w:proofErr w:type="gramEnd"/>
      <w:r w:rsidRPr="00AC78CD">
        <w:t xml:space="preserve"> 73-80. Washington: Smithsonian Institution Press.</w:t>
      </w:r>
    </w:p>
    <w:p w:rsidR="00715402" w:rsidRPr="00AC78CD" w:rsidRDefault="00715402" w:rsidP="00715402"/>
    <w:p w:rsidR="00715402" w:rsidRPr="00AC78CD" w:rsidRDefault="00715402" w:rsidP="00715402">
      <w:r w:rsidRPr="00AC78CD">
        <w:t xml:space="preserve">Orser CE. 1980. </w:t>
      </w:r>
      <w:proofErr w:type="gramStart"/>
      <w:r w:rsidRPr="00AC78CD">
        <w:t>Toward</w:t>
      </w:r>
      <w:proofErr w:type="gramEnd"/>
      <w:r w:rsidRPr="00AC78CD">
        <w:t xml:space="preserve"> a partial understanding of the complexity in Arikara mortunary practice. </w:t>
      </w:r>
      <w:r w:rsidRPr="00AC78CD">
        <w:rPr>
          <w:i/>
        </w:rPr>
        <w:t xml:space="preserve">Plains Anthropologist </w:t>
      </w:r>
      <w:r w:rsidRPr="00AC78CD">
        <w:t>25(88): 113-120.</w:t>
      </w:r>
    </w:p>
    <w:p w:rsidR="00715402" w:rsidRPr="00AC78CD" w:rsidRDefault="00715402" w:rsidP="00715402"/>
    <w:p w:rsidR="00715402" w:rsidRPr="00AC78CD" w:rsidRDefault="00715402" w:rsidP="00715402">
      <w:pPr>
        <w:pStyle w:val="Header"/>
        <w:keepNext/>
        <w:tabs>
          <w:tab w:val="clear" w:pos="4320"/>
          <w:tab w:val="clear" w:pos="8640"/>
        </w:tabs>
        <w:rPr>
          <w:iCs/>
        </w:rPr>
      </w:pPr>
      <w:r w:rsidRPr="00AC78CD">
        <w:t xml:space="preserve">Osborne DL, Simmons TL, Nawrocki SP. 2004. </w:t>
      </w:r>
      <w:proofErr w:type="gramStart"/>
      <w:r w:rsidRPr="00AC78CD">
        <w:rPr>
          <w:iCs/>
        </w:rPr>
        <w:t>Reconsidering the auricular surface as an indicator of age at death.</w:t>
      </w:r>
      <w:proofErr w:type="gramEnd"/>
      <w:r w:rsidRPr="00AC78CD">
        <w:rPr>
          <w:iCs/>
        </w:rPr>
        <w:t xml:space="preserve">  </w:t>
      </w:r>
      <w:r w:rsidRPr="00AC78CD">
        <w:rPr>
          <w:i/>
          <w:iCs/>
        </w:rPr>
        <w:t xml:space="preserve">Journal of Forensic Sciences </w:t>
      </w:r>
      <w:r w:rsidRPr="00AC78CD">
        <w:rPr>
          <w:iCs/>
        </w:rPr>
        <w:t>49:905-911.</w:t>
      </w:r>
    </w:p>
    <w:p w:rsidR="00715402" w:rsidRPr="00AC78CD" w:rsidRDefault="00715402" w:rsidP="00715402"/>
    <w:p w:rsidR="00715402" w:rsidRPr="00AC78CD" w:rsidRDefault="00715402" w:rsidP="00715402">
      <w:proofErr w:type="gramStart"/>
      <w:r w:rsidRPr="00AC78CD">
        <w:t>Ousley SD, Billeck WT, Hollinger RE.</w:t>
      </w:r>
      <w:proofErr w:type="gramEnd"/>
      <w:r w:rsidRPr="00AC78CD">
        <w:t xml:space="preserve"> 2005. Federal repatriation legislation and the role of physical anthropology in repatriation. </w:t>
      </w:r>
      <w:r w:rsidRPr="00AC78CD">
        <w:rPr>
          <w:i/>
        </w:rPr>
        <w:t>Yearbook of Physical Anthropology</w:t>
      </w:r>
      <w:r w:rsidRPr="00AC78CD">
        <w:t xml:space="preserve"> 48:2-32.</w:t>
      </w:r>
    </w:p>
    <w:p w:rsidR="00715402" w:rsidRPr="00AC78CD" w:rsidRDefault="00715402" w:rsidP="00715402"/>
    <w:p w:rsidR="00715402" w:rsidRPr="00AC78CD" w:rsidRDefault="00715402" w:rsidP="00715402">
      <w:r w:rsidRPr="00AC78CD">
        <w:t xml:space="preserve">Owsley DW. 1975. A Demographic Analysis of Skeletons from the Larson site (39WW2) Walworth County, South Dakota. Thesis, </w:t>
      </w:r>
      <w:proofErr w:type="gramStart"/>
      <w:r w:rsidRPr="00AC78CD">
        <w:t>The</w:t>
      </w:r>
      <w:proofErr w:type="gramEnd"/>
      <w:r w:rsidRPr="00AC78CD">
        <w:t xml:space="preserve"> University of Tennessee, Knoxville, TN.</w:t>
      </w:r>
    </w:p>
    <w:p w:rsidR="00715402" w:rsidRPr="00AC78CD" w:rsidRDefault="00715402" w:rsidP="00715402"/>
    <w:p w:rsidR="00715402" w:rsidRPr="00AC78CD" w:rsidRDefault="00715402" w:rsidP="00715402">
      <w:r w:rsidRPr="00AC78CD">
        <w:t xml:space="preserve">Owsley DW, Bass WM. 1979. A Demographic Analysis of Skeletons from the Larson Site (39WW2), Walworth County, South Dakota: Vital Statistics. </w:t>
      </w:r>
      <w:r w:rsidRPr="00AC78CD">
        <w:rPr>
          <w:i/>
        </w:rPr>
        <w:t xml:space="preserve">American Journal of Physical Anthropology </w:t>
      </w:r>
      <w:r w:rsidRPr="00AC78CD">
        <w:t>51:145-154.</w:t>
      </w:r>
    </w:p>
    <w:p w:rsidR="00715402" w:rsidRPr="00AC78CD" w:rsidRDefault="00715402" w:rsidP="00715402"/>
    <w:p w:rsidR="00715402" w:rsidRPr="00AC78CD" w:rsidRDefault="00715402" w:rsidP="00715402">
      <w:r w:rsidRPr="00AC78CD">
        <w:t xml:space="preserve">Owsley DW, Bradtmiller. 1983. Mortality of pregnant females in Arikara villages:  Osteological evidence. </w:t>
      </w:r>
      <w:r w:rsidRPr="00AC78CD">
        <w:rPr>
          <w:i/>
        </w:rPr>
        <w:t xml:space="preserve">American Journal of Physical Anthropology </w:t>
      </w:r>
      <w:r w:rsidRPr="00AC78CD">
        <w:t>61:331-336.</w:t>
      </w:r>
    </w:p>
    <w:p w:rsidR="00715402" w:rsidRPr="00AC78CD" w:rsidRDefault="00715402" w:rsidP="00715402"/>
    <w:p w:rsidR="00715402" w:rsidRPr="00AC78CD" w:rsidRDefault="00715402" w:rsidP="00715402">
      <w:r w:rsidRPr="00AC78CD">
        <w:t xml:space="preserve">Owsley, DW, Jantz RL. 1978. Intracemetery morphological variation in Arikara crania from the Sully sites (39SL4), Sully County, South Dakota. </w:t>
      </w:r>
      <w:r w:rsidRPr="00AC78CD">
        <w:rPr>
          <w:i/>
        </w:rPr>
        <w:t xml:space="preserve">Plains </w:t>
      </w:r>
      <w:proofErr w:type="gramStart"/>
      <w:r w:rsidRPr="00AC78CD">
        <w:rPr>
          <w:i/>
        </w:rPr>
        <w:t xml:space="preserve">Anthropologist </w:t>
      </w:r>
      <w:r w:rsidRPr="00AC78CD">
        <w:t xml:space="preserve"> 23:139</w:t>
      </w:r>
      <w:proofErr w:type="gramEnd"/>
      <w:r w:rsidRPr="00AC78CD">
        <w:t>-147.</w:t>
      </w:r>
    </w:p>
    <w:p w:rsidR="00715402" w:rsidRPr="00AC78CD" w:rsidRDefault="00715402" w:rsidP="00715402"/>
    <w:p w:rsidR="00715402" w:rsidRPr="00AC78CD" w:rsidRDefault="00715402" w:rsidP="00715402">
      <w:proofErr w:type="gramStart"/>
      <w:r w:rsidRPr="00AC78CD">
        <w:t>Owsley DW and Jantz RL.</w:t>
      </w:r>
      <w:proofErr w:type="gramEnd"/>
      <w:r w:rsidRPr="00AC78CD">
        <w:t xml:space="preserve"> 1994. Skeletal Biology in the Great Plains:  Migration, Warfare, Health, and Subsistence. </w:t>
      </w:r>
      <w:proofErr w:type="gramStart"/>
      <w:r w:rsidRPr="00AC78CD">
        <w:t>Smithsonian Institution Press.</w:t>
      </w:r>
      <w:proofErr w:type="gramEnd"/>
      <w:r w:rsidRPr="00AC78CD">
        <w:t xml:space="preserve"> Washington.</w:t>
      </w:r>
    </w:p>
    <w:p w:rsidR="00715402" w:rsidRPr="00AC78CD" w:rsidRDefault="00715402" w:rsidP="00715402"/>
    <w:p w:rsidR="00715402" w:rsidRPr="00AC78CD" w:rsidRDefault="00715402" w:rsidP="00715402">
      <w:proofErr w:type="gramStart"/>
      <w:r w:rsidRPr="00AC78CD">
        <w:t>Owsley DW and Jantz RL.</w:t>
      </w:r>
      <w:proofErr w:type="gramEnd"/>
      <w:r w:rsidRPr="00AC78CD">
        <w:t xml:space="preserve"> 1994. An Integrative Approach to Great Plains Skeletal Biology. In </w:t>
      </w:r>
      <w:r w:rsidRPr="00AC78CD">
        <w:rPr>
          <w:i/>
        </w:rPr>
        <w:t>Skeletal Biology in the Great Plains:  Migration, Warfare, Health, and Subsistence.</w:t>
      </w:r>
      <w:r w:rsidRPr="00AC78CD">
        <w:t xml:space="preserve"> </w:t>
      </w:r>
      <w:proofErr w:type="gramStart"/>
      <w:r w:rsidRPr="00AC78CD">
        <w:t xml:space="preserve">Edited by DW Owsley and RL Jantz, </w:t>
      </w:r>
      <w:r>
        <w:t>Pp.</w:t>
      </w:r>
      <w:r w:rsidRPr="00AC78CD">
        <w:t>3-8.</w:t>
      </w:r>
      <w:proofErr w:type="gramEnd"/>
      <w:r w:rsidRPr="00AC78CD">
        <w:t xml:space="preserve"> Washington DC: Smithsonian Institution Press. </w:t>
      </w:r>
    </w:p>
    <w:p w:rsidR="00715402" w:rsidRPr="00AC78CD" w:rsidRDefault="00715402" w:rsidP="00715402"/>
    <w:p w:rsidR="00715402" w:rsidRPr="00AC78CD" w:rsidRDefault="00715402" w:rsidP="00715402">
      <w:r w:rsidRPr="00AC78CD">
        <w:t xml:space="preserve">Owsley, DW, Bennett SM, Jantz RL. 1982. Intercemetery morphological variation in Arikara crania from the Mobridge Site (39WW1). </w:t>
      </w:r>
      <w:r w:rsidRPr="00AC78CD">
        <w:rPr>
          <w:i/>
        </w:rPr>
        <w:t xml:space="preserve">American Journal of Physical Anthropology </w:t>
      </w:r>
      <w:r w:rsidRPr="00AC78CD">
        <w:t>58:179-185.</w:t>
      </w:r>
    </w:p>
    <w:p w:rsidR="00715402" w:rsidRPr="00AC78CD" w:rsidRDefault="00715402" w:rsidP="00715402"/>
    <w:p w:rsidR="00715402" w:rsidRPr="00AC78CD" w:rsidRDefault="00715402" w:rsidP="00715402">
      <w:r w:rsidRPr="00AC78CD">
        <w:t xml:space="preserve">Owsley DW, Berryman HE, Bass WM. 1977. </w:t>
      </w:r>
      <w:proofErr w:type="gramStart"/>
      <w:r w:rsidRPr="00AC78CD">
        <w:t>Demographic and osteological evidence for warfare at the Larson Site, South Dakota.</w:t>
      </w:r>
      <w:proofErr w:type="gramEnd"/>
      <w:r w:rsidRPr="00AC78CD">
        <w:t xml:space="preserve"> </w:t>
      </w:r>
      <w:r w:rsidRPr="00AC78CD">
        <w:rPr>
          <w:i/>
        </w:rPr>
        <w:t xml:space="preserve">Plains Anthropologist </w:t>
      </w:r>
      <w:r w:rsidRPr="00AC78CD">
        <w:t>22:119-131.</w:t>
      </w:r>
    </w:p>
    <w:p w:rsidR="00715402" w:rsidRPr="00AC78CD" w:rsidRDefault="00715402" w:rsidP="00715402"/>
    <w:p w:rsidR="00715402" w:rsidRPr="00AC78CD" w:rsidRDefault="00715402" w:rsidP="00715402">
      <w:r w:rsidRPr="00AC78CD">
        <w:lastRenderedPageBreak/>
        <w:t xml:space="preserve">Owsley, DW, Slutzky GD, Guagliardo MF, Dietrick LM. 1981. Interpopulation relationships of four postcontact coalescent sites from South Dakota. </w:t>
      </w:r>
      <w:proofErr w:type="gramStart"/>
      <w:r w:rsidRPr="00AC78CD">
        <w:t>In Progress in Skeletal Biology of Plains Populations.</w:t>
      </w:r>
      <w:proofErr w:type="gramEnd"/>
      <w:r w:rsidRPr="00AC78CD">
        <w:t xml:space="preserve"> </w:t>
      </w:r>
      <w:proofErr w:type="gramStart"/>
      <w:r w:rsidRPr="00AC78CD">
        <w:t xml:space="preserve">Edited by RL Jantz and DH Owsley, </w:t>
      </w:r>
      <w:r>
        <w:t>Pp.</w:t>
      </w:r>
      <w:r w:rsidRPr="00AC78CD">
        <w:t xml:space="preserve"> 31-56.</w:t>
      </w:r>
      <w:proofErr w:type="gramEnd"/>
      <w:r w:rsidRPr="00AC78CD">
        <w:t xml:space="preserve"> </w:t>
      </w:r>
      <w:proofErr w:type="gramStart"/>
      <w:r w:rsidRPr="00AC78CD">
        <w:rPr>
          <w:i/>
        </w:rPr>
        <w:t>Plains Anthropologist Memoir</w:t>
      </w:r>
      <w:r w:rsidRPr="00AC78CD">
        <w:t xml:space="preserve"> 17.</w:t>
      </w:r>
      <w:proofErr w:type="gramEnd"/>
    </w:p>
    <w:p w:rsidR="00715402" w:rsidRPr="00AC78CD" w:rsidRDefault="00715402" w:rsidP="00715402"/>
    <w:p w:rsidR="00715402" w:rsidRPr="00AC78CD" w:rsidRDefault="00715402" w:rsidP="00715402">
      <w:r w:rsidRPr="00AC78CD">
        <w:t xml:space="preserve">Owsley DW, Jantz RL. 1983. Formation of the permanent dentition in Arikara Indians: Timing differences that affect dental age assessments.  </w:t>
      </w:r>
      <w:r w:rsidRPr="00AC78CD">
        <w:rPr>
          <w:i/>
        </w:rPr>
        <w:t>American Journal of Physical Anthropology</w:t>
      </w:r>
      <w:r w:rsidRPr="00AC78CD">
        <w:t xml:space="preserve"> 61: 467-471</w:t>
      </w:r>
    </w:p>
    <w:p w:rsidR="00715402" w:rsidRPr="00AC78CD" w:rsidRDefault="00715402" w:rsidP="00715402"/>
    <w:p w:rsidR="00715402" w:rsidRPr="00AC78CD" w:rsidRDefault="00715402" w:rsidP="00715402">
      <w:r w:rsidRPr="00AC78CD">
        <w:t xml:space="preserve">Paine RR. 1989. Model Life Table fitting by maximum likelihood estimation:  A procedure to reconstruct paleodemographic characteristics from skeletal age distributions. </w:t>
      </w:r>
      <w:r w:rsidRPr="00AC78CD">
        <w:rPr>
          <w:i/>
        </w:rPr>
        <w:t xml:space="preserve">American Journal of Physical Anthropology </w:t>
      </w:r>
      <w:r w:rsidRPr="00AC78CD">
        <w:t>112: 181-190.</w:t>
      </w:r>
    </w:p>
    <w:p w:rsidR="00715402" w:rsidRPr="00AC78CD" w:rsidRDefault="00715402" w:rsidP="00715402"/>
    <w:p w:rsidR="00715402" w:rsidRPr="00AC78CD" w:rsidRDefault="00715402" w:rsidP="00715402">
      <w:r w:rsidRPr="00AC78CD">
        <w:t xml:space="preserve">Paine RR. </w:t>
      </w:r>
      <w:proofErr w:type="gramStart"/>
      <w:r w:rsidRPr="00AC78CD">
        <w:t>1997 Uniformitarian Models in Osteological Paleodemography.</w:t>
      </w:r>
      <w:proofErr w:type="gramEnd"/>
      <w:r w:rsidRPr="00AC78CD">
        <w:t xml:space="preserve"> In </w:t>
      </w:r>
      <w:r w:rsidRPr="00AC78CD">
        <w:rPr>
          <w:i/>
        </w:rPr>
        <w:t>Integrating Archaeological Demography: Multidisciplinary Approaches to Prehistoric Population</w:t>
      </w:r>
      <w:r w:rsidRPr="00AC78CD">
        <w:t xml:space="preserve">, Edited by RR Paine, </w:t>
      </w:r>
      <w:r>
        <w:t>Pp.</w:t>
      </w:r>
      <w:r w:rsidRPr="00AC78CD">
        <w:t xml:space="preserve"> 191-204. Carbondale: Center for Archaeological Investigations.</w:t>
      </w:r>
    </w:p>
    <w:p w:rsidR="00715402" w:rsidRPr="00AC78CD" w:rsidRDefault="00715402" w:rsidP="00715402"/>
    <w:p w:rsidR="00715402" w:rsidRPr="00AC78CD" w:rsidRDefault="00715402" w:rsidP="00715402">
      <w:r w:rsidRPr="00AC78CD">
        <w:t xml:space="preserve">Paine RR. 2000. If a population crashes in prehistory, and there is no paleodemographer there to hear it, does it make a sound? </w:t>
      </w:r>
      <w:r w:rsidRPr="00AC78CD">
        <w:rPr>
          <w:i/>
        </w:rPr>
        <w:t xml:space="preserve">American Journal of Physical Anthropology </w:t>
      </w:r>
      <w:r w:rsidRPr="00AC78CD">
        <w:t>112:181-190.</w:t>
      </w:r>
    </w:p>
    <w:p w:rsidR="00715402" w:rsidRPr="00AC78CD" w:rsidRDefault="00715402" w:rsidP="00715402"/>
    <w:p w:rsidR="00715402" w:rsidRPr="00AC78CD" w:rsidRDefault="00715402" w:rsidP="00715402">
      <w:r w:rsidRPr="00AC78CD">
        <w:t xml:space="preserve">Paine RR, Boldsen JL. 2002. Linking age-at-death distributions and ancient population dynamics: A case study. In </w:t>
      </w:r>
      <w:r w:rsidRPr="00AC78CD">
        <w:rPr>
          <w:i/>
          <w:iCs/>
        </w:rPr>
        <w:t>Paleodemography: Age distributions from skeletal samples</w:t>
      </w:r>
      <w:r w:rsidRPr="00AC78CD">
        <w:t xml:space="preserve">, edited by RD Hoppa and JW Vaupel, </w:t>
      </w:r>
      <w:r>
        <w:t>Pp.</w:t>
      </w:r>
      <w:r w:rsidRPr="00AC78CD">
        <w:t xml:space="preserve"> 169-180. Cambridge: Cambridge University Press.</w:t>
      </w:r>
    </w:p>
    <w:p w:rsidR="00715402" w:rsidRPr="00AC78CD" w:rsidRDefault="00715402" w:rsidP="00715402"/>
    <w:p w:rsidR="00715402" w:rsidRPr="00AC78CD" w:rsidRDefault="00715402" w:rsidP="00715402">
      <w:r w:rsidRPr="00AC78CD">
        <w:t xml:space="preserve">Paine RR, Harpending HC. 1998. Effect of sampling bias on paleodemographic fertility estimates. </w:t>
      </w:r>
      <w:r w:rsidRPr="00AC78CD">
        <w:rPr>
          <w:i/>
          <w:iCs/>
        </w:rPr>
        <w:t xml:space="preserve">American Journal of Physical Anthropology </w:t>
      </w:r>
      <w:r w:rsidRPr="00AC78CD">
        <w:t>105: 231-40.</w:t>
      </w:r>
    </w:p>
    <w:p w:rsidR="00715402" w:rsidRPr="00AC78CD" w:rsidRDefault="00715402" w:rsidP="00715402"/>
    <w:p w:rsidR="00715402" w:rsidRPr="00AC78CD" w:rsidRDefault="00715402" w:rsidP="00715402">
      <w:r w:rsidRPr="00AC78CD">
        <w:t xml:space="preserve">Palkovich A. 1981. Demography and Disease Patterns in a Protohistoric Plains Group: A Study of the Mobridge Site (39WW1). </w:t>
      </w:r>
      <w:r w:rsidRPr="00AC78CD">
        <w:rPr>
          <w:i/>
        </w:rPr>
        <w:t>Plains Anthropologist Memoir</w:t>
      </w:r>
      <w:r w:rsidRPr="00AC78CD">
        <w:t xml:space="preserve"> 17: 71-84.</w:t>
      </w:r>
    </w:p>
    <w:p w:rsidR="00715402" w:rsidRPr="00AC78CD" w:rsidRDefault="00715402" w:rsidP="00715402"/>
    <w:p w:rsidR="00715402" w:rsidRPr="00AC78CD" w:rsidRDefault="00715402" w:rsidP="00715402">
      <w:r w:rsidRPr="00AC78CD">
        <w:t xml:space="preserve">Parks DR. 1979. </w:t>
      </w:r>
      <w:proofErr w:type="gramStart"/>
      <w:r w:rsidRPr="00AC78CD">
        <w:rPr>
          <w:i/>
        </w:rPr>
        <w:t>The Northern Caddoan Languages.</w:t>
      </w:r>
      <w:proofErr w:type="gramEnd"/>
      <w:r w:rsidRPr="00AC78CD">
        <w:rPr>
          <w:i/>
        </w:rPr>
        <w:t xml:space="preserve"> </w:t>
      </w:r>
      <w:proofErr w:type="gramStart"/>
      <w:r w:rsidRPr="00AC78CD">
        <w:rPr>
          <w:i/>
        </w:rPr>
        <w:t>Their subgroupings and time depths.</w:t>
      </w:r>
      <w:proofErr w:type="gramEnd"/>
      <w:r w:rsidRPr="00AC78CD">
        <w:t xml:space="preserve"> Nebraska History 60: 214-239.</w:t>
      </w:r>
    </w:p>
    <w:p w:rsidR="00715402" w:rsidRPr="00AC78CD" w:rsidRDefault="00715402" w:rsidP="00715402"/>
    <w:p w:rsidR="00715402" w:rsidRPr="00AC78CD" w:rsidRDefault="00715402" w:rsidP="00715402">
      <w:r w:rsidRPr="00AC78CD">
        <w:t xml:space="preserve">Pennington RL. 1996. Causes of early human population growth. </w:t>
      </w:r>
      <w:r w:rsidRPr="00AC78CD">
        <w:rPr>
          <w:i/>
          <w:iCs/>
        </w:rPr>
        <w:t xml:space="preserve">American Journal of Physical Anthropology </w:t>
      </w:r>
      <w:r w:rsidRPr="00AC78CD">
        <w:t>99:259-74.</w:t>
      </w:r>
    </w:p>
    <w:p w:rsidR="00715402" w:rsidRPr="00AC78CD" w:rsidRDefault="00715402" w:rsidP="00715402"/>
    <w:p w:rsidR="00715402" w:rsidRPr="00AC78CD" w:rsidRDefault="00715402" w:rsidP="00715402">
      <w:proofErr w:type="gramStart"/>
      <w:r w:rsidRPr="00AC78CD">
        <w:t>Peterson W. 1975.</w:t>
      </w:r>
      <w:proofErr w:type="gramEnd"/>
      <w:r w:rsidRPr="00AC78CD">
        <w:t xml:space="preserve"> </w:t>
      </w:r>
      <w:proofErr w:type="gramStart"/>
      <w:r w:rsidRPr="00AC78CD">
        <w:t>A Demographer’s view of prehistoric demography.</w:t>
      </w:r>
      <w:proofErr w:type="gramEnd"/>
      <w:r w:rsidRPr="00AC78CD">
        <w:t xml:space="preserve"> </w:t>
      </w:r>
      <w:r w:rsidRPr="00AC78CD">
        <w:rPr>
          <w:i/>
        </w:rPr>
        <w:t>Current Anthropology</w:t>
      </w:r>
      <w:r w:rsidRPr="00AC78CD">
        <w:t xml:space="preserve"> 16: 227-245.</w:t>
      </w:r>
    </w:p>
    <w:p w:rsidR="00715402" w:rsidRPr="00AC78CD" w:rsidRDefault="00715402" w:rsidP="00715402"/>
    <w:p w:rsidR="00715402" w:rsidRPr="00AC78CD" w:rsidRDefault="00715402" w:rsidP="00715402">
      <w:proofErr w:type="gramStart"/>
      <w:r w:rsidRPr="00AC78CD">
        <w:t>Premo LS, Hublin JJ.</w:t>
      </w:r>
      <w:proofErr w:type="gramEnd"/>
      <w:r w:rsidRPr="00AC78CD">
        <w:t xml:space="preserve"> 2009. Culture, population structure, and low genetic diversity in Pleistocene hominins</w:t>
      </w:r>
      <w:r w:rsidRPr="00AC78CD">
        <w:rPr>
          <w:i/>
          <w:iCs/>
        </w:rPr>
        <w:t xml:space="preserve">. Proceedings of the National Academy of Sciences, USA </w:t>
      </w:r>
      <w:r w:rsidRPr="00AC78CD">
        <w:t>106(1):33-37.</w:t>
      </w:r>
    </w:p>
    <w:p w:rsidR="00715402" w:rsidRPr="00AC78CD" w:rsidRDefault="00715402" w:rsidP="00715402"/>
    <w:p w:rsidR="00715402" w:rsidRPr="00AC78CD" w:rsidRDefault="00715402" w:rsidP="00715402">
      <w:proofErr w:type="gramStart"/>
      <w:r w:rsidRPr="00AC78CD">
        <w:t>Prince DA, Ubelkaer DH.</w:t>
      </w:r>
      <w:proofErr w:type="gramEnd"/>
      <w:r w:rsidRPr="00AC78CD">
        <w:t xml:space="preserve"> 2002. Application of Lamendin’s adult dental aging technique to a diverse skeletal sample. </w:t>
      </w:r>
      <w:r w:rsidRPr="00AC78CD">
        <w:rPr>
          <w:i/>
        </w:rPr>
        <w:t xml:space="preserve">Journal of Forensic Sciences </w:t>
      </w:r>
      <w:r w:rsidRPr="00AC78CD">
        <w:t>47: 107-116.</w:t>
      </w:r>
    </w:p>
    <w:p w:rsidR="00715402" w:rsidRPr="00AC78CD" w:rsidRDefault="00715402" w:rsidP="00715402"/>
    <w:p w:rsidR="00715402" w:rsidRPr="00AC78CD" w:rsidRDefault="00715402" w:rsidP="00715402">
      <w:r w:rsidRPr="00AC78CD">
        <w:lastRenderedPageBreak/>
        <w:t xml:space="preserve">Redfern RC, DeWitte SN. 2011. A new approach to the study of Romanization in Britian:  A regional perspective of cultural change in late Iron Age and Roman Dorset using the Siler and Gompertz-Makeham models of mortality. </w:t>
      </w:r>
      <w:r w:rsidRPr="00AC78CD">
        <w:rPr>
          <w:i/>
        </w:rPr>
        <w:t>American Journal of Physical Anthropology</w:t>
      </w:r>
      <w:r w:rsidRPr="00AC78CD">
        <w:t xml:space="preserve"> 144(2): 269-285.</w:t>
      </w:r>
    </w:p>
    <w:p w:rsidR="00715402" w:rsidRPr="00AC78CD" w:rsidRDefault="00715402" w:rsidP="00715402"/>
    <w:p w:rsidR="00715402" w:rsidRPr="00AC78CD" w:rsidRDefault="00715402" w:rsidP="00715402">
      <w:r w:rsidRPr="00AC78CD">
        <w:t xml:space="preserve">Rissech C, Estabrooks GF, Cunha E, Malgosa A. 2006. </w:t>
      </w:r>
      <w:proofErr w:type="gramStart"/>
      <w:r w:rsidRPr="00AC78CD">
        <w:t>Using the acetabulum to estimate age at death of adult males.</w:t>
      </w:r>
      <w:proofErr w:type="gramEnd"/>
      <w:r w:rsidRPr="00AC78CD">
        <w:t xml:space="preserve"> </w:t>
      </w:r>
      <w:r w:rsidRPr="00AC78CD">
        <w:rPr>
          <w:i/>
        </w:rPr>
        <w:t xml:space="preserve">Journal of Forensic Sciences </w:t>
      </w:r>
      <w:r w:rsidRPr="00AC78CD">
        <w:t>51 (2): 213-229.</w:t>
      </w:r>
    </w:p>
    <w:p w:rsidR="00715402" w:rsidRPr="00AC78CD" w:rsidRDefault="00715402" w:rsidP="00715402"/>
    <w:p w:rsidR="00715402" w:rsidRPr="00AC78CD" w:rsidRDefault="00715402" w:rsidP="00715402">
      <w:r w:rsidRPr="00AC78CD">
        <w:t xml:space="preserve">Rogers, JD. 1990. </w:t>
      </w:r>
      <w:r w:rsidRPr="00AC78CD">
        <w:rPr>
          <w:i/>
        </w:rPr>
        <w:t>Objects of Change: The Archaeology and History of Arikara Contact with Europeans.</w:t>
      </w:r>
      <w:r w:rsidRPr="00AC78CD">
        <w:t xml:space="preserve"> Washington DC: Smithsonian Institution Press. </w:t>
      </w:r>
    </w:p>
    <w:p w:rsidR="00715402" w:rsidRPr="00AC78CD" w:rsidRDefault="00715402" w:rsidP="00715402"/>
    <w:p w:rsidR="00715402" w:rsidRPr="00AC78CD" w:rsidRDefault="00715402" w:rsidP="00715402">
      <w:pPr>
        <w:rPr>
          <w:i/>
        </w:rPr>
      </w:pPr>
      <w:r w:rsidRPr="00AC78CD">
        <w:t xml:space="preserve">Sattenspiel L and H Harpending (1983) Stable Populations and Skeletal Age: </w:t>
      </w:r>
      <w:r w:rsidRPr="00AC78CD">
        <w:rPr>
          <w:i/>
        </w:rPr>
        <w:t xml:space="preserve">American </w:t>
      </w:r>
    </w:p>
    <w:p w:rsidR="00715402" w:rsidRPr="00AC78CD" w:rsidRDefault="00715402" w:rsidP="00715402">
      <w:r w:rsidRPr="00AC78CD">
        <w:rPr>
          <w:i/>
        </w:rPr>
        <w:t>Antiquity 48</w:t>
      </w:r>
      <w:r w:rsidRPr="00AC78CD">
        <w:t>: 489-498.</w:t>
      </w:r>
    </w:p>
    <w:p w:rsidR="00715402" w:rsidRPr="00AC78CD" w:rsidRDefault="00715402" w:rsidP="00715402"/>
    <w:p w:rsidR="00715402" w:rsidRPr="00AC78CD" w:rsidRDefault="00715402" w:rsidP="00715402">
      <w:r w:rsidRPr="00AC78CD">
        <w:t xml:space="preserve">Saunders SR. 2008. </w:t>
      </w:r>
      <w:proofErr w:type="gramStart"/>
      <w:r w:rsidRPr="00AC78CD">
        <w:t>Juvenile skeletons and growth-related studies.</w:t>
      </w:r>
      <w:proofErr w:type="gramEnd"/>
      <w:r w:rsidRPr="00AC78CD">
        <w:t xml:space="preserve"> </w:t>
      </w:r>
      <w:proofErr w:type="gramStart"/>
      <w:r w:rsidRPr="00AC78CD">
        <w:rPr>
          <w:i/>
        </w:rPr>
        <w:t>In Biological Anthropology of the Human Skeleton,</w:t>
      </w:r>
      <w:r w:rsidRPr="00AC78CD">
        <w:t xml:space="preserve"> Edited by MA Katzenberg and SR Saunders, </w:t>
      </w:r>
      <w:r>
        <w:t>Pp.</w:t>
      </w:r>
      <w:r w:rsidRPr="00AC78CD">
        <w:t xml:space="preserve"> 117-147.</w:t>
      </w:r>
      <w:proofErr w:type="gramEnd"/>
      <w:r w:rsidRPr="00AC78CD">
        <w:t xml:space="preserve"> New York: John Wiley &amp; Sons, Inc.</w:t>
      </w:r>
    </w:p>
    <w:p w:rsidR="00715402" w:rsidRPr="00AC78CD" w:rsidRDefault="00715402" w:rsidP="00715402"/>
    <w:p w:rsidR="00715402" w:rsidRPr="00AC78CD" w:rsidRDefault="00715402" w:rsidP="00715402">
      <w:r w:rsidRPr="00AC78CD">
        <w:t xml:space="preserve">Saunders SR, Hoppa R. 1993. Growth Deficit in Survivors and Non-survivors: Biological Mortality Bias in Subadult Skeletal Samples. </w:t>
      </w:r>
      <w:r w:rsidRPr="00AC78CD">
        <w:rPr>
          <w:i/>
        </w:rPr>
        <w:t>Yearbook of Physical Anthropology</w:t>
      </w:r>
      <w:r w:rsidRPr="00AC78CD">
        <w:t xml:space="preserve"> </w:t>
      </w:r>
      <w:r w:rsidRPr="00AC78CD">
        <w:rPr>
          <w:i/>
        </w:rPr>
        <w:t>36</w:t>
      </w:r>
      <w:r w:rsidRPr="00AC78CD">
        <w:t>:127-151.</w:t>
      </w:r>
    </w:p>
    <w:p w:rsidR="00715402" w:rsidRPr="00AC78CD" w:rsidRDefault="00715402" w:rsidP="00715402"/>
    <w:p w:rsidR="00715402" w:rsidRPr="00AC78CD" w:rsidRDefault="00715402" w:rsidP="00715402">
      <w:proofErr w:type="gramStart"/>
      <w:r w:rsidRPr="00AC78CD">
        <w:t>Saunders SR, Hoppa RD, Southern R. 1993.</w:t>
      </w:r>
      <w:proofErr w:type="gramEnd"/>
      <w:r w:rsidRPr="00AC78CD">
        <w:t xml:space="preserve"> </w:t>
      </w:r>
      <w:proofErr w:type="gramStart"/>
      <w:r w:rsidRPr="00AC78CD">
        <w:t>Diaphyseal growth in a nineteenth century skeletal sample of subadults from St. Thomas’s church, Belleville Ontario.</w:t>
      </w:r>
      <w:proofErr w:type="gramEnd"/>
      <w:r w:rsidRPr="00AC78CD">
        <w:t xml:space="preserve"> </w:t>
      </w:r>
      <w:r w:rsidRPr="00AC78CD">
        <w:rPr>
          <w:i/>
        </w:rPr>
        <w:t>International Journal of Osteoarchaeology</w:t>
      </w:r>
      <w:r w:rsidRPr="00AC78CD">
        <w:t xml:space="preserve"> 3:265-281.</w:t>
      </w:r>
    </w:p>
    <w:p w:rsidR="00715402" w:rsidRPr="00AC78CD" w:rsidRDefault="00715402" w:rsidP="00715402"/>
    <w:p w:rsidR="00715402" w:rsidRPr="00AC78CD" w:rsidRDefault="00715402" w:rsidP="00715402">
      <w:proofErr w:type="gramStart"/>
      <w:r w:rsidRPr="00AC78CD">
        <w:t>Schour I, MAssler M. 1941.</w:t>
      </w:r>
      <w:proofErr w:type="gramEnd"/>
      <w:r w:rsidRPr="00AC78CD">
        <w:t xml:space="preserve"> </w:t>
      </w:r>
      <w:proofErr w:type="gramStart"/>
      <w:r w:rsidRPr="00AC78CD">
        <w:t>The Development of the Human Dentition.</w:t>
      </w:r>
      <w:proofErr w:type="gramEnd"/>
      <w:r w:rsidRPr="00AC78CD">
        <w:t xml:space="preserve"> </w:t>
      </w:r>
      <w:r w:rsidRPr="00AC78CD">
        <w:rPr>
          <w:i/>
        </w:rPr>
        <w:t>Journal of the American Dental Association</w:t>
      </w:r>
      <w:r w:rsidRPr="00AC78CD">
        <w:t xml:space="preserve"> 28:1153-1160.</w:t>
      </w:r>
    </w:p>
    <w:p w:rsidR="00715402" w:rsidRPr="00AC78CD" w:rsidRDefault="00715402" w:rsidP="00715402"/>
    <w:p w:rsidR="00715402" w:rsidRPr="00AC78CD" w:rsidRDefault="00715402" w:rsidP="00715402">
      <w:proofErr w:type="gramStart"/>
      <w:r w:rsidRPr="00AC78CD">
        <w:t>Schour I, Massler M. 1944.</w:t>
      </w:r>
      <w:proofErr w:type="gramEnd"/>
      <w:r w:rsidRPr="00AC78CD">
        <w:t xml:space="preserve"> </w:t>
      </w:r>
      <w:proofErr w:type="gramStart"/>
      <w:r w:rsidRPr="00AC78CD">
        <w:rPr>
          <w:i/>
        </w:rPr>
        <w:t>Development of the Human Dentition</w:t>
      </w:r>
      <w:r w:rsidRPr="00AC78CD">
        <w:t>, 2</w:t>
      </w:r>
      <w:r w:rsidRPr="00AC78CD">
        <w:rPr>
          <w:vertAlign w:val="superscript"/>
        </w:rPr>
        <w:t>nd</w:t>
      </w:r>
      <w:r w:rsidRPr="00AC78CD">
        <w:t xml:space="preserve"> Edition.</w:t>
      </w:r>
      <w:proofErr w:type="gramEnd"/>
      <w:r w:rsidRPr="00AC78CD">
        <w:t xml:space="preserve"> American Dental Association, Chicago.</w:t>
      </w:r>
    </w:p>
    <w:p w:rsidR="00715402" w:rsidRPr="00AC78CD" w:rsidRDefault="00715402" w:rsidP="00715402"/>
    <w:p w:rsidR="00715402" w:rsidRPr="00AC78CD" w:rsidRDefault="00715402" w:rsidP="00715402">
      <w:r w:rsidRPr="00AC78CD">
        <w:t xml:space="preserve">Scheuer L, Black S. 2000. </w:t>
      </w:r>
      <w:proofErr w:type="gramStart"/>
      <w:r w:rsidRPr="00AC78CD">
        <w:rPr>
          <w:i/>
        </w:rPr>
        <w:t>Developmental Juvenile Osteology.</w:t>
      </w:r>
      <w:proofErr w:type="gramEnd"/>
      <w:r w:rsidRPr="00AC78CD">
        <w:t xml:space="preserve"> New York: Academic Press.</w:t>
      </w:r>
    </w:p>
    <w:p w:rsidR="00715402" w:rsidRPr="00AC78CD" w:rsidRDefault="00715402" w:rsidP="00715402"/>
    <w:p w:rsidR="00715402" w:rsidRPr="00A02ABD" w:rsidRDefault="00715402" w:rsidP="00715402">
      <w:pPr>
        <w:autoSpaceDE w:val="0"/>
        <w:autoSpaceDN w:val="0"/>
        <w:adjustRightInd w:val="0"/>
        <w:rPr>
          <w:rFonts w:eastAsia="TimesNewRoman"/>
        </w:rPr>
      </w:pPr>
      <w:proofErr w:type="gramStart"/>
      <w:r w:rsidRPr="00A02ABD">
        <w:rPr>
          <w:rFonts w:eastAsia="TimesNewRoman"/>
        </w:rPr>
        <w:t>Signoli M, Seguy</w:t>
      </w:r>
      <w:r>
        <w:rPr>
          <w:rFonts w:eastAsia="TimesNewRoman"/>
        </w:rPr>
        <w:t xml:space="preserve"> I</w:t>
      </w:r>
      <w:r w:rsidRPr="00A02ABD">
        <w:rPr>
          <w:rFonts w:eastAsia="TimesNewRoman"/>
        </w:rPr>
        <w:t>, Biraben</w:t>
      </w:r>
      <w:r>
        <w:rPr>
          <w:rFonts w:eastAsia="TimesNewRoman"/>
        </w:rPr>
        <w:t xml:space="preserve"> J</w:t>
      </w:r>
      <w:r w:rsidRPr="00A02ABD">
        <w:rPr>
          <w:rFonts w:eastAsia="TimesNewRoman"/>
        </w:rPr>
        <w:t>, and</w:t>
      </w:r>
      <w:r>
        <w:rPr>
          <w:rFonts w:eastAsia="TimesNewRoman"/>
        </w:rPr>
        <w:t xml:space="preserve"> </w:t>
      </w:r>
      <w:r w:rsidRPr="00A02ABD">
        <w:rPr>
          <w:rFonts w:eastAsia="TimesNewRoman"/>
        </w:rPr>
        <w:t>Dutour</w:t>
      </w:r>
      <w:r>
        <w:rPr>
          <w:rFonts w:eastAsia="TimesNewRoman"/>
        </w:rPr>
        <w:t xml:space="preserve"> O. 2002.</w:t>
      </w:r>
      <w:proofErr w:type="gramEnd"/>
      <w:r w:rsidRPr="00A02ABD">
        <w:rPr>
          <w:rFonts w:eastAsia="TimesNewRoman"/>
        </w:rPr>
        <w:t xml:space="preserve"> Paleodemography and historical</w:t>
      </w:r>
    </w:p>
    <w:p w:rsidR="00715402" w:rsidRDefault="00715402" w:rsidP="00715402">
      <w:pPr>
        <w:rPr>
          <w:rFonts w:eastAsia="TimesNewRoman"/>
        </w:rPr>
      </w:pPr>
      <w:proofErr w:type="gramStart"/>
      <w:r w:rsidRPr="00A02ABD">
        <w:rPr>
          <w:rFonts w:eastAsia="TimesNewRoman"/>
        </w:rPr>
        <w:t>demography</w:t>
      </w:r>
      <w:proofErr w:type="gramEnd"/>
      <w:r w:rsidRPr="00A02ABD">
        <w:rPr>
          <w:rFonts w:eastAsia="TimesNewRoman"/>
        </w:rPr>
        <w:t xml:space="preserve"> in the context of an epidemic. </w:t>
      </w:r>
      <w:r w:rsidRPr="00A02ABD">
        <w:rPr>
          <w:rFonts w:eastAsia="TimesNewRoman"/>
          <w:i/>
        </w:rPr>
        <w:t>Population</w:t>
      </w:r>
      <w:r w:rsidRPr="00A02ABD">
        <w:rPr>
          <w:rFonts w:eastAsia="TimesNewRoman"/>
        </w:rPr>
        <w:t xml:space="preserve"> 57:829-853.</w:t>
      </w:r>
    </w:p>
    <w:p w:rsidR="00715402" w:rsidRDefault="00715402" w:rsidP="00715402"/>
    <w:p w:rsidR="00715402" w:rsidRPr="00AC78CD" w:rsidRDefault="00715402" w:rsidP="00715402">
      <w:r w:rsidRPr="00AC78CD">
        <w:t xml:space="preserve">Sigstad JS, Sigstad JK. 1973. Archaeological Field Notes of the W.H. Over. </w:t>
      </w:r>
      <w:proofErr w:type="gramStart"/>
      <w:r w:rsidRPr="00AC78CD">
        <w:t>Office of the South Dakota State Archaeologist, South Dakota.</w:t>
      </w:r>
      <w:proofErr w:type="gramEnd"/>
      <w:r w:rsidRPr="00AC78CD">
        <w:t xml:space="preserve"> </w:t>
      </w:r>
      <w:proofErr w:type="gramStart"/>
      <w:r w:rsidRPr="00AC78CD">
        <w:t>Research Bulletin 1.</w:t>
      </w:r>
      <w:proofErr w:type="gramEnd"/>
    </w:p>
    <w:p w:rsidR="00715402" w:rsidRPr="00A02ABD" w:rsidRDefault="00715402" w:rsidP="00715402"/>
    <w:p w:rsidR="00715402" w:rsidRPr="00AC78CD" w:rsidRDefault="00715402" w:rsidP="00715402">
      <w:proofErr w:type="gramStart"/>
      <w:r w:rsidRPr="00AC78CD">
        <w:t>Siler W. 1979.</w:t>
      </w:r>
      <w:proofErr w:type="gramEnd"/>
      <w:r w:rsidRPr="00AC78CD">
        <w:t xml:space="preserve"> </w:t>
      </w:r>
      <w:proofErr w:type="gramStart"/>
      <w:r w:rsidRPr="00AC78CD">
        <w:t>A Competing Risk Model for Animal Mortality.</w:t>
      </w:r>
      <w:proofErr w:type="gramEnd"/>
      <w:r w:rsidRPr="00AC78CD">
        <w:t xml:space="preserve"> </w:t>
      </w:r>
      <w:r w:rsidRPr="00AC78CD">
        <w:rPr>
          <w:i/>
        </w:rPr>
        <w:t>Ecology 60</w:t>
      </w:r>
      <w:r w:rsidRPr="00AC78CD">
        <w:t>: 750-757.</w:t>
      </w:r>
    </w:p>
    <w:p w:rsidR="00715402" w:rsidRPr="00AC78CD" w:rsidRDefault="00715402" w:rsidP="00715402"/>
    <w:p w:rsidR="00715402" w:rsidRPr="00AC78CD" w:rsidRDefault="00715402" w:rsidP="00715402">
      <w:r w:rsidRPr="00AC78CD">
        <w:t xml:space="preserve">Singer R. 1953. Estimation of age from cranial suture closure: Report on it unreliability. </w:t>
      </w:r>
      <w:r w:rsidRPr="00AC78CD">
        <w:rPr>
          <w:i/>
        </w:rPr>
        <w:t>Journal of Forensic Medicine</w:t>
      </w:r>
      <w:r w:rsidRPr="00AC78CD">
        <w:t xml:space="preserve"> 1: 52-59.</w:t>
      </w:r>
    </w:p>
    <w:p w:rsidR="00715402" w:rsidRPr="00AC78CD" w:rsidRDefault="00715402" w:rsidP="00715402"/>
    <w:p w:rsidR="00715402" w:rsidRPr="00AC78CD" w:rsidRDefault="00715402" w:rsidP="00715402">
      <w:r w:rsidRPr="00AC78CD">
        <w:lastRenderedPageBreak/>
        <w:t xml:space="preserve">Smith BH. 1991. Standards of human tooth formation and dental age assessment. </w:t>
      </w:r>
      <w:proofErr w:type="gramStart"/>
      <w:r w:rsidRPr="00AC78CD">
        <w:t xml:space="preserve">In </w:t>
      </w:r>
      <w:r w:rsidRPr="00AC78CD">
        <w:rPr>
          <w:i/>
        </w:rPr>
        <w:t>Advances in Dental Anthropology.</w:t>
      </w:r>
      <w:proofErr w:type="gramEnd"/>
      <w:r w:rsidRPr="00AC78CD">
        <w:rPr>
          <w:i/>
        </w:rPr>
        <w:t xml:space="preserve"> </w:t>
      </w:r>
      <w:proofErr w:type="gramStart"/>
      <w:r w:rsidRPr="00AC78CD">
        <w:t xml:space="preserve">Edited by MA Kelley and CS Larsen, </w:t>
      </w:r>
      <w:r>
        <w:t>Pp.</w:t>
      </w:r>
      <w:r w:rsidRPr="00AC78CD">
        <w:t xml:space="preserve"> 143-168.</w:t>
      </w:r>
      <w:proofErr w:type="gramEnd"/>
      <w:r w:rsidRPr="00AC78CD">
        <w:t xml:space="preserve"> New York: Wiley-Liss.</w:t>
      </w:r>
    </w:p>
    <w:p w:rsidR="00715402" w:rsidRPr="00AC78CD" w:rsidRDefault="00715402" w:rsidP="00715402"/>
    <w:p w:rsidR="00715402" w:rsidRPr="00AC78CD" w:rsidRDefault="00715402" w:rsidP="00715402">
      <w:r w:rsidRPr="00AC78CD">
        <w:t xml:space="preserve">Stewart TD. 1979. </w:t>
      </w:r>
      <w:r w:rsidRPr="00AC78CD">
        <w:rPr>
          <w:i/>
        </w:rPr>
        <w:t>Essentials of Forensic Anthropology: especially as developed in the United States</w:t>
      </w:r>
      <w:r w:rsidRPr="00AC78CD">
        <w:t>. Springfield, IL</w:t>
      </w:r>
      <w:proofErr w:type="gramStart"/>
      <w:r w:rsidRPr="00AC78CD">
        <w:t>:Charles</w:t>
      </w:r>
      <w:proofErr w:type="gramEnd"/>
      <w:r w:rsidRPr="00AC78CD">
        <w:t xml:space="preserve"> C. Thomas Press.</w:t>
      </w:r>
    </w:p>
    <w:p w:rsidR="00715402" w:rsidRPr="00AC78CD" w:rsidRDefault="00715402" w:rsidP="00715402"/>
    <w:p w:rsidR="00715402" w:rsidRPr="00AC78CD" w:rsidRDefault="00715402" w:rsidP="00715402">
      <w:proofErr w:type="gramStart"/>
      <w:r w:rsidRPr="00AC78CD">
        <w:t>Stout SD and Paine RR.</w:t>
      </w:r>
      <w:proofErr w:type="gramEnd"/>
      <w:r w:rsidRPr="00AC78CD">
        <w:t xml:space="preserve"> 1992. Brief Communication: histological age estimation using the rib and clavicle. </w:t>
      </w:r>
      <w:r w:rsidRPr="00AC78CD">
        <w:rPr>
          <w:i/>
        </w:rPr>
        <w:t xml:space="preserve">American Journal of Physical Anthropology </w:t>
      </w:r>
      <w:r w:rsidRPr="00AC78CD">
        <w:t>87: 11-115.</w:t>
      </w:r>
    </w:p>
    <w:p w:rsidR="00715402" w:rsidRPr="00AC78CD" w:rsidRDefault="00715402" w:rsidP="00715402"/>
    <w:p w:rsidR="00715402" w:rsidRPr="00AC78CD" w:rsidRDefault="00715402" w:rsidP="00715402">
      <w:r w:rsidRPr="00AC78CD">
        <w:t xml:space="preserve">Suchey JM. 1979. Problems in the aging of females using the os pubis. </w:t>
      </w:r>
      <w:r w:rsidRPr="00AC78CD">
        <w:rPr>
          <w:i/>
        </w:rPr>
        <w:t xml:space="preserve">American Journal of Physical Anthropology </w:t>
      </w:r>
      <w:r w:rsidRPr="00AC78CD">
        <w:t>51: 467-470.</w:t>
      </w:r>
    </w:p>
    <w:p w:rsidR="00715402" w:rsidRPr="00AC78CD" w:rsidRDefault="00715402" w:rsidP="00715402"/>
    <w:p w:rsidR="00715402" w:rsidRPr="00AC78CD" w:rsidRDefault="00715402" w:rsidP="00715402">
      <w:proofErr w:type="gramStart"/>
      <w:r w:rsidRPr="00AC78CD">
        <w:t>Suchey JM, Wiseley DV, Katz D. 1986.</w:t>
      </w:r>
      <w:proofErr w:type="gramEnd"/>
      <w:r w:rsidRPr="00AC78CD">
        <w:t xml:space="preserve"> </w:t>
      </w:r>
      <w:proofErr w:type="gramStart"/>
      <w:r w:rsidRPr="00AC78CD">
        <w:t>Evaluation of the Todd and McKern-Stewart methods for aging the male os pubis.</w:t>
      </w:r>
      <w:proofErr w:type="gramEnd"/>
      <w:r w:rsidRPr="00AC78CD">
        <w:t xml:space="preserve"> </w:t>
      </w:r>
      <w:r w:rsidRPr="00AC78CD">
        <w:rPr>
          <w:i/>
        </w:rPr>
        <w:t>In Forensic Osteology: Advances in the Identification of Human Remains.</w:t>
      </w:r>
      <w:r w:rsidRPr="00AC78CD">
        <w:t xml:space="preserve"> </w:t>
      </w:r>
      <w:proofErr w:type="gramStart"/>
      <w:r w:rsidRPr="00AC78CD">
        <w:t>Edited by KJ Reichs.</w:t>
      </w:r>
      <w:proofErr w:type="gramEnd"/>
      <w:r w:rsidRPr="00AC78CD">
        <w:t xml:space="preserve"> </w:t>
      </w:r>
      <w:r>
        <w:t>Pp.</w:t>
      </w:r>
      <w:r w:rsidRPr="00AC78CD">
        <w:t xml:space="preserve"> 33-67. Springfield, IL</w:t>
      </w:r>
      <w:proofErr w:type="gramStart"/>
      <w:r w:rsidRPr="00AC78CD">
        <w:t>:Charles</w:t>
      </w:r>
      <w:proofErr w:type="gramEnd"/>
      <w:r w:rsidRPr="00AC78CD">
        <w:t xml:space="preserve"> C. Thomas Press.</w:t>
      </w:r>
    </w:p>
    <w:p w:rsidR="00715402" w:rsidRPr="00AC78CD" w:rsidRDefault="00715402" w:rsidP="00715402"/>
    <w:p w:rsidR="00715402" w:rsidRPr="00AC78CD" w:rsidRDefault="00715402" w:rsidP="00715402">
      <w:r w:rsidRPr="00AC78CD">
        <w:t xml:space="preserve">Swedlund AC, Armelagos GJ. 1976. </w:t>
      </w:r>
      <w:r w:rsidRPr="00AC78CD">
        <w:rPr>
          <w:i/>
          <w:iCs/>
        </w:rPr>
        <w:t>Demographic Anthropology</w:t>
      </w:r>
      <w:r w:rsidRPr="00AC78CD">
        <w:t>. Dubuque, IA: William C. Brown Company.</w:t>
      </w:r>
    </w:p>
    <w:p w:rsidR="00715402" w:rsidRPr="00AC78CD" w:rsidRDefault="00715402" w:rsidP="00715402"/>
    <w:p w:rsidR="00715402" w:rsidRPr="00AC78CD" w:rsidRDefault="00715402" w:rsidP="00715402">
      <w:r w:rsidRPr="00AC78CD">
        <w:t xml:space="preserve">Todd TW. 1920. Age changes in the pubic bone </w:t>
      </w:r>
      <w:proofErr w:type="gramStart"/>
      <w:r w:rsidRPr="00AC78CD">
        <w:t>I</w:t>
      </w:r>
      <w:proofErr w:type="gramEnd"/>
      <w:r w:rsidRPr="00AC78CD">
        <w:t xml:space="preserve">. </w:t>
      </w:r>
      <w:proofErr w:type="gramStart"/>
      <w:r w:rsidRPr="00AC78CD">
        <w:t>The male white pubis.</w:t>
      </w:r>
      <w:proofErr w:type="gramEnd"/>
      <w:r w:rsidRPr="00AC78CD">
        <w:t xml:space="preserve"> </w:t>
      </w:r>
      <w:r w:rsidRPr="00AC78CD">
        <w:rPr>
          <w:i/>
        </w:rPr>
        <w:t xml:space="preserve">American Journal of Physical Anthropology </w:t>
      </w:r>
      <w:r w:rsidRPr="00AC78CD">
        <w:t>3:285-334.</w:t>
      </w:r>
    </w:p>
    <w:p w:rsidR="00715402" w:rsidRPr="00AC78CD" w:rsidRDefault="00715402" w:rsidP="00715402"/>
    <w:p w:rsidR="00715402" w:rsidRPr="00AC78CD" w:rsidRDefault="00715402" w:rsidP="00715402">
      <w:r w:rsidRPr="00AC78CD">
        <w:t xml:space="preserve">Todd TW. 1921a. Age changes in the pubic bones II: The pubis of the male Negro-white hybrid III The pubis of the white female. </w:t>
      </w:r>
      <w:proofErr w:type="gramStart"/>
      <w:r w:rsidRPr="00AC78CD">
        <w:t>IV The pubis of the female Negro-white hybrid.</w:t>
      </w:r>
      <w:proofErr w:type="gramEnd"/>
      <w:r w:rsidRPr="00AC78CD">
        <w:t xml:space="preserve"> </w:t>
      </w:r>
      <w:r w:rsidRPr="00AC78CD">
        <w:rPr>
          <w:i/>
        </w:rPr>
        <w:t xml:space="preserve">American Journal of Physical Anthropology </w:t>
      </w:r>
      <w:r w:rsidRPr="00AC78CD">
        <w:t>4:4-70.</w:t>
      </w:r>
    </w:p>
    <w:p w:rsidR="00715402" w:rsidRPr="00AC78CD" w:rsidRDefault="00715402" w:rsidP="00715402"/>
    <w:p w:rsidR="00715402" w:rsidRPr="00AC78CD" w:rsidRDefault="00715402" w:rsidP="00715402">
      <w:r w:rsidRPr="00AC78CD">
        <w:t xml:space="preserve">Todd TW 1921b. Age changes in the pubic bones. V. Mammalian pubic bone metamorphosis. </w:t>
      </w:r>
      <w:r w:rsidRPr="00AC78CD">
        <w:rPr>
          <w:i/>
        </w:rPr>
        <w:t xml:space="preserve">American Journal of Physical Anthropology </w:t>
      </w:r>
      <w:r w:rsidRPr="00AC78CD">
        <w:t>4:333-406.</w:t>
      </w:r>
    </w:p>
    <w:p w:rsidR="00715402" w:rsidRPr="00AC78CD" w:rsidRDefault="00715402" w:rsidP="00715402"/>
    <w:p w:rsidR="00715402" w:rsidRPr="00AC78CD" w:rsidRDefault="00715402" w:rsidP="00715402">
      <w:r w:rsidRPr="00AC78CD">
        <w:t xml:space="preserve">Todd TW. 1921c. Age changes in the pubic bones VI: The interpretation of variations in the symphyseal area. </w:t>
      </w:r>
      <w:r w:rsidRPr="00AC78CD">
        <w:rPr>
          <w:i/>
        </w:rPr>
        <w:t xml:space="preserve">American Journal of Physical Anthropology </w:t>
      </w:r>
      <w:r w:rsidRPr="00AC78CD">
        <w:t>4:407-424.</w:t>
      </w:r>
    </w:p>
    <w:p w:rsidR="00715402" w:rsidRPr="00AC78CD" w:rsidRDefault="00715402" w:rsidP="00715402"/>
    <w:p w:rsidR="00715402" w:rsidRPr="00AC78CD" w:rsidRDefault="00715402" w:rsidP="00715402">
      <w:proofErr w:type="gramStart"/>
      <w:r w:rsidRPr="00AC78CD">
        <w:t>Todd TW, Lyon DW.</w:t>
      </w:r>
      <w:proofErr w:type="gramEnd"/>
      <w:r w:rsidRPr="00AC78CD">
        <w:t xml:space="preserve"> 1924. Endocranial suture closure, its progress and age relationship: part I adult males of the white stock. </w:t>
      </w:r>
      <w:r w:rsidRPr="00AC78CD">
        <w:rPr>
          <w:i/>
        </w:rPr>
        <w:t xml:space="preserve">American Journal of Physical Anthropology </w:t>
      </w:r>
      <w:r w:rsidRPr="00AC78CD">
        <w:t>8:23-45.</w:t>
      </w:r>
    </w:p>
    <w:p w:rsidR="00715402" w:rsidRPr="00AC78CD" w:rsidRDefault="00715402" w:rsidP="00715402"/>
    <w:p w:rsidR="00715402" w:rsidRPr="00AC78CD" w:rsidRDefault="00715402" w:rsidP="00715402">
      <w:proofErr w:type="gramStart"/>
      <w:r w:rsidRPr="00AC78CD">
        <w:t>Todd TW, Lyon DW.</w:t>
      </w:r>
      <w:proofErr w:type="gramEnd"/>
      <w:r w:rsidRPr="00AC78CD">
        <w:t xml:space="preserve"> 1925. Cranial suture closure, its progress and age relationship: part II. Ectocranial suture closure in </w:t>
      </w:r>
      <w:proofErr w:type="gramStart"/>
      <w:r w:rsidRPr="00AC78CD">
        <w:t>adults</w:t>
      </w:r>
      <w:proofErr w:type="gramEnd"/>
      <w:r w:rsidRPr="00AC78CD">
        <w:t xml:space="preserve"> males of the white stock. </w:t>
      </w:r>
      <w:r w:rsidRPr="00AC78CD">
        <w:rPr>
          <w:i/>
        </w:rPr>
        <w:t xml:space="preserve">American Journal of Physical Anthropology </w:t>
      </w:r>
      <w:r w:rsidRPr="00AC78CD">
        <w:t>8:23-45.</w:t>
      </w:r>
    </w:p>
    <w:p w:rsidR="00715402" w:rsidRPr="00AC78CD" w:rsidRDefault="00715402" w:rsidP="00715402"/>
    <w:p w:rsidR="00715402" w:rsidRPr="00AC78CD" w:rsidRDefault="00715402" w:rsidP="00715402">
      <w:r w:rsidRPr="00AC78CD">
        <w:t>Trimble MK. 1992 The 1832 Inoculation Program on the Missouri River: In Disease and Demography in the Americas. Washington: Smithsonian Institution Press.</w:t>
      </w:r>
    </w:p>
    <w:p w:rsidR="00715402" w:rsidRPr="00AC78CD" w:rsidRDefault="00715402" w:rsidP="00715402"/>
    <w:p w:rsidR="00715402" w:rsidRPr="00AC78CD" w:rsidRDefault="00715402" w:rsidP="00715402">
      <w:r w:rsidRPr="00AC78CD">
        <w:lastRenderedPageBreak/>
        <w:t xml:space="preserve">Trimble MK. 1994. </w:t>
      </w:r>
      <w:proofErr w:type="gramStart"/>
      <w:r w:rsidRPr="00AC78CD">
        <w:t>The 1837-1838 Smallpox Epidemic on the Upper Missouri.</w:t>
      </w:r>
      <w:proofErr w:type="gramEnd"/>
      <w:r w:rsidRPr="00AC78CD">
        <w:t xml:space="preserve"> In </w:t>
      </w:r>
      <w:r w:rsidRPr="00AC78CD">
        <w:rPr>
          <w:i/>
        </w:rPr>
        <w:t>Skeletal Biology in the Great Plains:  Migration, Warfare, Health, and Subsistence</w:t>
      </w:r>
      <w:r w:rsidRPr="00AC78CD">
        <w:t xml:space="preserve">. </w:t>
      </w:r>
      <w:proofErr w:type="gramStart"/>
      <w:r w:rsidRPr="00AC78CD">
        <w:t xml:space="preserve">Edited by DW Owsley and RL Jantz, </w:t>
      </w:r>
      <w:r>
        <w:t>Pp.</w:t>
      </w:r>
      <w:r w:rsidRPr="00AC78CD">
        <w:t xml:space="preserve"> 81-90.</w:t>
      </w:r>
      <w:proofErr w:type="gramEnd"/>
      <w:r w:rsidRPr="00AC78CD">
        <w:t xml:space="preserve"> Washington DC: Smithsonian Institution Press</w:t>
      </w:r>
    </w:p>
    <w:p w:rsidR="00715402" w:rsidRPr="00AC78CD" w:rsidRDefault="00715402" w:rsidP="00715402"/>
    <w:p w:rsidR="00715402" w:rsidRPr="00AC78CD" w:rsidRDefault="00715402" w:rsidP="00715402">
      <w:r w:rsidRPr="00AC78CD">
        <w:t xml:space="preserve">Ubelaker DH. 1974. </w:t>
      </w:r>
      <w:r w:rsidRPr="00AC78CD">
        <w:rPr>
          <w:i/>
          <w:iCs/>
        </w:rPr>
        <w:t>Reconstruction of Demographic Profiles from Ossuary Skeletal Samples</w:t>
      </w:r>
      <w:r w:rsidRPr="00AC78CD">
        <w:t xml:space="preserve">, </w:t>
      </w:r>
      <w:r w:rsidRPr="00AC78CD">
        <w:rPr>
          <w:i/>
          <w:iCs/>
        </w:rPr>
        <w:t>Smithsonian Contributions to Anthropology</w:t>
      </w:r>
      <w:r w:rsidRPr="00AC78CD">
        <w:t>, No. 18. Washington, D.C.: Smithsonian Institution Press.</w:t>
      </w:r>
    </w:p>
    <w:p w:rsidR="00715402" w:rsidRPr="00AC78CD" w:rsidRDefault="00715402" w:rsidP="00715402"/>
    <w:p w:rsidR="00715402" w:rsidRPr="00AC78CD" w:rsidRDefault="00715402" w:rsidP="00715402">
      <w:r w:rsidRPr="00AC78CD">
        <w:t xml:space="preserve">Ubelaker DH. 1978b. Estimating age at death from immature human skeletons: an overview. </w:t>
      </w:r>
      <w:r w:rsidRPr="00AC78CD">
        <w:rPr>
          <w:i/>
        </w:rPr>
        <w:t xml:space="preserve">Journal of Forensic Sciences </w:t>
      </w:r>
      <w:r w:rsidRPr="00AC78CD">
        <w:t>32 (5): 1254-1263.</w:t>
      </w:r>
    </w:p>
    <w:p w:rsidR="00715402" w:rsidRPr="00AC78CD" w:rsidRDefault="00715402" w:rsidP="00715402"/>
    <w:p w:rsidR="00715402" w:rsidRPr="00AC78CD" w:rsidRDefault="00715402" w:rsidP="00715402">
      <w:r w:rsidRPr="00AC78CD">
        <w:t xml:space="preserve">Ubelaker DH. 1989. The estimation of age at death from immature human bone. </w:t>
      </w:r>
      <w:proofErr w:type="gramStart"/>
      <w:r w:rsidRPr="00AC78CD">
        <w:t>In Age Markers in the Human Skeleton.</w:t>
      </w:r>
      <w:proofErr w:type="gramEnd"/>
      <w:r w:rsidRPr="00AC78CD">
        <w:t xml:space="preserve"> Edited by Iscan MY. Pp. 55-70. Springfield, IL: Charles C. Thomas.</w:t>
      </w:r>
    </w:p>
    <w:p w:rsidR="00715402" w:rsidRPr="00AC78CD" w:rsidRDefault="00715402" w:rsidP="00715402">
      <w:r w:rsidRPr="00AC78CD">
        <w:t xml:space="preserve"> </w:t>
      </w:r>
    </w:p>
    <w:p w:rsidR="00715402" w:rsidRPr="00AC78CD" w:rsidRDefault="00715402" w:rsidP="00715402">
      <w:proofErr w:type="gramStart"/>
      <w:r w:rsidRPr="00AC78CD">
        <w:t>Ubelaker DH and Jantz RL.</w:t>
      </w:r>
      <w:proofErr w:type="gramEnd"/>
      <w:r w:rsidRPr="00AC78CD">
        <w:t xml:space="preserve"> 1979. Plains Caddoan relationships:  the view from craniometry and mortuary Analysis. </w:t>
      </w:r>
      <w:r w:rsidRPr="00AC78CD">
        <w:rPr>
          <w:i/>
        </w:rPr>
        <w:t>Nebraska History</w:t>
      </w:r>
      <w:r w:rsidRPr="00AC78CD">
        <w:t xml:space="preserve"> 60: 249-259.</w:t>
      </w:r>
    </w:p>
    <w:p w:rsidR="00715402" w:rsidRPr="00AC78CD" w:rsidRDefault="00715402" w:rsidP="00715402"/>
    <w:p w:rsidR="00715402" w:rsidRPr="00AC78CD" w:rsidRDefault="00715402" w:rsidP="00715402">
      <w:r w:rsidRPr="00AC78CD">
        <w:t xml:space="preserve">Ubelaker DH, Willey P. 1978. </w:t>
      </w:r>
      <w:proofErr w:type="gramStart"/>
      <w:r w:rsidRPr="00AC78CD">
        <w:t>Complexity in Arikara mortuary practice.</w:t>
      </w:r>
      <w:proofErr w:type="gramEnd"/>
      <w:r w:rsidRPr="00AC78CD">
        <w:t xml:space="preserve"> </w:t>
      </w:r>
      <w:r w:rsidRPr="00AC78CD">
        <w:rPr>
          <w:i/>
        </w:rPr>
        <w:t xml:space="preserve">Plains </w:t>
      </w:r>
      <w:proofErr w:type="gramStart"/>
      <w:r w:rsidRPr="00AC78CD">
        <w:rPr>
          <w:i/>
        </w:rPr>
        <w:t xml:space="preserve">Anthropologist </w:t>
      </w:r>
      <w:r w:rsidRPr="00AC78CD">
        <w:t xml:space="preserve"> 23</w:t>
      </w:r>
      <w:proofErr w:type="gramEnd"/>
      <w:r w:rsidRPr="00AC78CD">
        <w:t>: 69-74.</w:t>
      </w:r>
    </w:p>
    <w:p w:rsidR="00715402" w:rsidRPr="00AC78CD" w:rsidRDefault="00715402" w:rsidP="00715402"/>
    <w:p w:rsidR="00715402" w:rsidRPr="00AC78CD" w:rsidRDefault="00715402" w:rsidP="00715402">
      <w:r w:rsidRPr="00AC78CD">
        <w:t>Uhl, NM. 2008. Multifactorial determination of age-at-death from the human skeleton. In Proceedings of the American Academy of Forensic Sciences 60</w:t>
      </w:r>
      <w:r w:rsidRPr="00AC78CD">
        <w:rPr>
          <w:vertAlign w:val="superscript"/>
        </w:rPr>
        <w:t>th</w:t>
      </w:r>
      <w:r w:rsidRPr="00AC78CD">
        <w:t xml:space="preserve"> Annual Meeting, vol XIV, Washington DC: 341-342.</w:t>
      </w:r>
    </w:p>
    <w:p w:rsidR="00715402" w:rsidRPr="00AC78CD" w:rsidRDefault="00715402" w:rsidP="00715402"/>
    <w:p w:rsidR="00715402" w:rsidRPr="00AC78CD" w:rsidRDefault="00715402" w:rsidP="00715402">
      <w:r w:rsidRPr="00AC78CD">
        <w:t xml:space="preserve">Uhl, NM. 2013. Age-at-Death Estimation. </w:t>
      </w:r>
      <w:proofErr w:type="gramStart"/>
      <w:r w:rsidRPr="00AC78CD">
        <w:t>In Research Method in Human Skeletal Biology.</w:t>
      </w:r>
      <w:proofErr w:type="gramEnd"/>
      <w:r w:rsidRPr="00AC78CD">
        <w:t xml:space="preserve"> </w:t>
      </w:r>
      <w:proofErr w:type="gramStart"/>
      <w:r w:rsidRPr="00AC78CD">
        <w:t>Edited by DiGangi EA and MK Moore.</w:t>
      </w:r>
      <w:proofErr w:type="gramEnd"/>
      <w:r w:rsidRPr="00AC78CD">
        <w:t xml:space="preserve"> Pp. 63-90. New York: Academic Press</w:t>
      </w:r>
    </w:p>
    <w:p w:rsidR="00715402" w:rsidRPr="00AC78CD" w:rsidRDefault="00715402" w:rsidP="00715402"/>
    <w:p w:rsidR="00715402" w:rsidRPr="00AC78CD" w:rsidRDefault="00715402" w:rsidP="00715402">
      <w:r w:rsidRPr="00AC78CD">
        <w:t xml:space="preserve">Usher BM. 2000. A multistate Model of Health and Mortality for Paleodemography: Tirup Cemetery. </w:t>
      </w:r>
      <w:proofErr w:type="gramStart"/>
      <w:r w:rsidRPr="00AC78CD">
        <w:t>Dissertation, Pennsylvania State University, State College, PA.</w:t>
      </w:r>
      <w:proofErr w:type="gramEnd"/>
    </w:p>
    <w:p w:rsidR="00715402" w:rsidRPr="00AC78CD" w:rsidRDefault="00715402" w:rsidP="00715402"/>
    <w:p w:rsidR="00715402" w:rsidRPr="00AC78CD" w:rsidRDefault="00715402" w:rsidP="00715402">
      <w:r w:rsidRPr="00AC78CD">
        <w:t xml:space="preserve">Usher B, Boldsen JL, and Holman D. 2000 Age Estimation at Tirup cemetery an application of the transition analysis method. </w:t>
      </w:r>
      <w:r w:rsidRPr="00AC78CD">
        <w:rPr>
          <w:i/>
        </w:rPr>
        <w:t xml:space="preserve">American Journal of Physical Anthropology </w:t>
      </w:r>
      <w:r w:rsidRPr="00AC78CD">
        <w:t>30:307.</w:t>
      </w:r>
    </w:p>
    <w:p w:rsidR="00715402" w:rsidRPr="00AC78CD" w:rsidRDefault="00715402" w:rsidP="00715402"/>
    <w:p w:rsidR="00715402" w:rsidRPr="00AC78CD" w:rsidRDefault="00715402" w:rsidP="00715402">
      <w:r w:rsidRPr="00AC78CD">
        <w:t xml:space="preserve">Van Gerven DP, Armelagos GJ. 1983. “Farewell to Paleodemography?” Rumors of its death have been greatly exaggerated. </w:t>
      </w:r>
      <w:r w:rsidRPr="00AC78CD">
        <w:rPr>
          <w:i/>
        </w:rPr>
        <w:t>Journal of Human Evolution</w:t>
      </w:r>
      <w:r w:rsidRPr="00AC78CD">
        <w:t xml:space="preserve"> 12:353-360.</w:t>
      </w:r>
    </w:p>
    <w:p w:rsidR="00715402" w:rsidRPr="00AC78CD" w:rsidRDefault="00715402" w:rsidP="00715402"/>
    <w:p w:rsidR="00715402" w:rsidRPr="00AC78CD" w:rsidRDefault="00715402" w:rsidP="00715402">
      <w:proofErr w:type="gramStart"/>
      <w:r w:rsidRPr="00AC78CD">
        <w:t>Verano JW and Ubelaker DH.</w:t>
      </w:r>
      <w:proofErr w:type="gramEnd"/>
      <w:r w:rsidRPr="00AC78CD">
        <w:t xml:space="preserve"> 1994. Disease and Demography in the Americas. </w:t>
      </w:r>
      <w:proofErr w:type="gramStart"/>
      <w:r w:rsidRPr="00AC78CD">
        <w:t>Smithsonian Institution Press.</w:t>
      </w:r>
      <w:proofErr w:type="gramEnd"/>
      <w:r w:rsidRPr="00AC78CD">
        <w:t xml:space="preserve"> Washington D.C.</w:t>
      </w:r>
    </w:p>
    <w:p w:rsidR="00715402" w:rsidRPr="00AC78CD" w:rsidRDefault="00715402" w:rsidP="00715402"/>
    <w:p w:rsidR="00715402" w:rsidRPr="00AC78CD" w:rsidRDefault="00715402" w:rsidP="00715402">
      <w:r w:rsidRPr="00AC78CD">
        <w:t xml:space="preserve">Waldron T. 1987. The relative survival of the human skeleton: Implications for paleopathology. </w:t>
      </w:r>
      <w:proofErr w:type="gramStart"/>
      <w:r w:rsidRPr="00AC78CD">
        <w:rPr>
          <w:i/>
        </w:rPr>
        <w:t>In Death, Decay, and Reconstruction.</w:t>
      </w:r>
      <w:proofErr w:type="gramEnd"/>
      <w:r w:rsidRPr="00AC78CD">
        <w:t xml:space="preserve"> Edited by A Boddington, </w:t>
      </w:r>
      <w:proofErr w:type="gramStart"/>
      <w:r w:rsidRPr="00AC78CD">
        <w:t>AN</w:t>
      </w:r>
      <w:proofErr w:type="gramEnd"/>
      <w:r w:rsidRPr="00AC78CD">
        <w:t xml:space="preserve"> Garland AN and RC Janaway, </w:t>
      </w:r>
      <w:r w:rsidRPr="00942D69">
        <w:t>Pp.</w:t>
      </w:r>
      <w:r>
        <w:t xml:space="preserve"> </w:t>
      </w:r>
      <w:r w:rsidRPr="00AC78CD">
        <w:t xml:space="preserve"> Manchester, UK</w:t>
      </w:r>
      <w:proofErr w:type="gramStart"/>
      <w:r w:rsidRPr="00AC78CD">
        <w:t>:Manchester</w:t>
      </w:r>
      <w:proofErr w:type="gramEnd"/>
      <w:r w:rsidRPr="00AC78CD">
        <w:t xml:space="preserve"> University Press.</w:t>
      </w:r>
    </w:p>
    <w:p w:rsidR="00715402" w:rsidRPr="00AC78CD" w:rsidRDefault="00715402" w:rsidP="00715402"/>
    <w:p w:rsidR="00715402" w:rsidRPr="00AC78CD" w:rsidRDefault="00715402" w:rsidP="00715402">
      <w:proofErr w:type="gramStart"/>
      <w:r w:rsidRPr="00AC78CD">
        <w:t>Walker PL, Johnson JR, Lambert PM. 1988.</w:t>
      </w:r>
      <w:proofErr w:type="gramEnd"/>
      <w:r w:rsidRPr="00AC78CD">
        <w:t xml:space="preserve"> </w:t>
      </w:r>
      <w:proofErr w:type="gramStart"/>
      <w:r w:rsidRPr="00AC78CD">
        <w:t>Age and sex biases in the preservation of human skeletal remains.</w:t>
      </w:r>
      <w:proofErr w:type="gramEnd"/>
      <w:r w:rsidRPr="00AC78CD">
        <w:t xml:space="preserve"> </w:t>
      </w:r>
      <w:r w:rsidRPr="00AC78CD">
        <w:rPr>
          <w:i/>
          <w:iCs/>
        </w:rPr>
        <w:t xml:space="preserve">American Journal of Physical Anthropology </w:t>
      </w:r>
      <w:r w:rsidRPr="00AC78CD">
        <w:t>76:183-188.</w:t>
      </w:r>
    </w:p>
    <w:p w:rsidR="00715402" w:rsidRPr="00AC78CD" w:rsidRDefault="00715402" w:rsidP="00715402"/>
    <w:p w:rsidR="00715402" w:rsidRPr="00AC78CD" w:rsidRDefault="00715402" w:rsidP="00715402">
      <w:r w:rsidRPr="00AC78CD">
        <w:t xml:space="preserve">Weise S, Boldsen JL, Gampe J, Milner GR. 2009. </w:t>
      </w:r>
      <w:proofErr w:type="gramStart"/>
      <w:r w:rsidRPr="00AC78CD">
        <w:t>Calibrated Expert Inference and the construction of unbiased paleodemographic mortality profiles.</w:t>
      </w:r>
      <w:proofErr w:type="gramEnd"/>
      <w:r w:rsidRPr="00AC78CD">
        <w:t xml:space="preserve"> </w:t>
      </w:r>
      <w:r w:rsidRPr="00AC78CD">
        <w:rPr>
          <w:i/>
        </w:rPr>
        <w:t>American Journal of Physical Anthropology</w:t>
      </w:r>
      <w:r w:rsidRPr="00AC78CD">
        <w:t>, Supplement 48: 269.</w:t>
      </w:r>
    </w:p>
    <w:p w:rsidR="00715402" w:rsidRPr="00AC78CD" w:rsidRDefault="00715402" w:rsidP="00715402"/>
    <w:p w:rsidR="00715402" w:rsidRPr="00AC78CD" w:rsidRDefault="00715402" w:rsidP="00715402">
      <w:r w:rsidRPr="00AC78CD">
        <w:t xml:space="preserve">Weiss KM. 1973. Demographic models for anthropology. </w:t>
      </w:r>
      <w:proofErr w:type="gramStart"/>
      <w:r w:rsidRPr="00AC78CD">
        <w:t>Memoir 27 of the Society for American Archaeology.</w:t>
      </w:r>
      <w:proofErr w:type="gramEnd"/>
      <w:r w:rsidRPr="00AC78CD">
        <w:t xml:space="preserve"> </w:t>
      </w:r>
      <w:r w:rsidRPr="00AC78CD">
        <w:rPr>
          <w:i/>
          <w:iCs/>
        </w:rPr>
        <w:t xml:space="preserve">American Antiquity </w:t>
      </w:r>
      <w:r w:rsidRPr="00AC78CD">
        <w:t>38(2): 1-186.</w:t>
      </w:r>
    </w:p>
    <w:p w:rsidR="00715402" w:rsidRPr="00AC78CD" w:rsidRDefault="00715402" w:rsidP="00715402"/>
    <w:p w:rsidR="00715402" w:rsidRPr="00715402" w:rsidRDefault="00715402" w:rsidP="00715402">
      <w:pPr>
        <w:autoSpaceDE w:val="0"/>
        <w:autoSpaceDN w:val="0"/>
        <w:adjustRightInd w:val="0"/>
        <w:rPr>
          <w:rFonts w:eastAsia="Calibri"/>
          <w:bCs/>
        </w:rPr>
      </w:pPr>
      <w:r w:rsidRPr="00715402">
        <w:rPr>
          <w:rFonts w:eastAsia="Calibri"/>
        </w:rPr>
        <w:t xml:space="preserve">Wells C. 1975. </w:t>
      </w:r>
      <w:r w:rsidRPr="00715402">
        <w:rPr>
          <w:rFonts w:eastAsia="Calibri"/>
          <w:bCs/>
        </w:rPr>
        <w:t xml:space="preserve"> </w:t>
      </w:r>
      <w:proofErr w:type="gramStart"/>
      <w:r w:rsidRPr="00715402">
        <w:rPr>
          <w:rFonts w:eastAsia="Calibri"/>
        </w:rPr>
        <w:t>Ancient obstetrical hazards and female mortality.</w:t>
      </w:r>
      <w:proofErr w:type="gramEnd"/>
      <w:r w:rsidRPr="00715402">
        <w:rPr>
          <w:rFonts w:eastAsia="Calibri"/>
        </w:rPr>
        <w:t xml:space="preserve"> </w:t>
      </w:r>
      <w:proofErr w:type="gramStart"/>
      <w:r w:rsidRPr="00715402">
        <w:rPr>
          <w:rFonts w:eastAsia="Calibri"/>
          <w:i/>
        </w:rPr>
        <w:t>Bulletin of the New York Academy of Medicine.</w:t>
      </w:r>
      <w:proofErr w:type="gramEnd"/>
      <w:r w:rsidRPr="00715402">
        <w:rPr>
          <w:rFonts w:eastAsia="Calibri"/>
        </w:rPr>
        <w:t xml:space="preserve"> </w:t>
      </w:r>
      <w:r w:rsidRPr="00715402">
        <w:rPr>
          <w:rFonts w:eastAsia="Calibri"/>
          <w:bCs/>
        </w:rPr>
        <w:t>51:1235-1249.</w:t>
      </w:r>
    </w:p>
    <w:p w:rsidR="00715402" w:rsidRPr="00AC78CD" w:rsidRDefault="00715402" w:rsidP="00715402">
      <w:pPr>
        <w:autoSpaceDE w:val="0"/>
        <w:autoSpaceDN w:val="0"/>
        <w:adjustRightInd w:val="0"/>
      </w:pPr>
    </w:p>
    <w:p w:rsidR="00715402" w:rsidRPr="00AC78CD" w:rsidRDefault="00715402" w:rsidP="00715402">
      <w:r w:rsidRPr="00AC78CD">
        <w:t xml:space="preserve">Williams JA. </w:t>
      </w:r>
      <w:proofErr w:type="gramStart"/>
      <w:r w:rsidRPr="00AC78CD">
        <w:t>Disease Profiles of Archiac and Woodland Populations in the Northern Plains.</w:t>
      </w:r>
      <w:proofErr w:type="gramEnd"/>
      <w:r w:rsidRPr="00AC78CD">
        <w:t xml:space="preserve"> In </w:t>
      </w:r>
      <w:r w:rsidRPr="00AC78CD">
        <w:rPr>
          <w:i/>
        </w:rPr>
        <w:t>Skeletal Biology in the Great Plains:  Migration, Warfare, Health, and Subsistence</w:t>
      </w:r>
      <w:r w:rsidRPr="00AC78CD">
        <w:t xml:space="preserve">. </w:t>
      </w:r>
      <w:proofErr w:type="gramStart"/>
      <w:r w:rsidRPr="00AC78CD">
        <w:t xml:space="preserve">Edited by DW Owsley and RL Jantz, </w:t>
      </w:r>
      <w:r>
        <w:t>Pp.</w:t>
      </w:r>
      <w:r w:rsidRPr="00AC78CD">
        <w:t xml:space="preserve"> 91-108.</w:t>
      </w:r>
      <w:proofErr w:type="gramEnd"/>
      <w:r w:rsidRPr="00AC78CD">
        <w:t xml:space="preserve"> Washington DC: Smithsonian Institution Press.</w:t>
      </w:r>
    </w:p>
    <w:p w:rsidR="00715402" w:rsidRPr="00AC78CD" w:rsidRDefault="00715402" w:rsidP="00715402"/>
    <w:p w:rsidR="00715402" w:rsidRPr="00AC78CD" w:rsidRDefault="00715402" w:rsidP="00715402">
      <w:proofErr w:type="gramStart"/>
      <w:r w:rsidRPr="00AC78CD">
        <w:t>Willey P. 1990.</w:t>
      </w:r>
      <w:proofErr w:type="gramEnd"/>
      <w:r w:rsidRPr="00AC78CD">
        <w:t xml:space="preserve"> </w:t>
      </w:r>
      <w:r w:rsidRPr="00AC78CD">
        <w:rPr>
          <w:i/>
        </w:rPr>
        <w:t>Prehistoric warfare on the Great Plains: Skeletal Analysis of the Crow Creek Massacre</w:t>
      </w:r>
      <w:r w:rsidRPr="00AC78CD">
        <w:t>. New York: Garland Publishing.</w:t>
      </w:r>
    </w:p>
    <w:p w:rsidR="00715402" w:rsidRPr="00AC78CD" w:rsidRDefault="00715402" w:rsidP="00715402"/>
    <w:p w:rsidR="00715402" w:rsidRPr="00AC78CD" w:rsidRDefault="00715402" w:rsidP="00715402">
      <w:r w:rsidRPr="00AC78CD">
        <w:t xml:space="preserve">Willey P, Emerson T. 1993. </w:t>
      </w:r>
      <w:proofErr w:type="gramStart"/>
      <w:r w:rsidRPr="00AC78CD">
        <w:t>The Osteology and Archaeology of the Crow Creek Massacre.</w:t>
      </w:r>
      <w:proofErr w:type="gramEnd"/>
      <w:r w:rsidRPr="00AC78CD">
        <w:t xml:space="preserve"> </w:t>
      </w:r>
      <w:r w:rsidRPr="00AC78CD">
        <w:rPr>
          <w:i/>
        </w:rPr>
        <w:t xml:space="preserve">Plains Anthropologist </w:t>
      </w:r>
      <w:r w:rsidRPr="00AC78CD">
        <w:t>38:227-269.</w:t>
      </w:r>
    </w:p>
    <w:p w:rsidR="00715402" w:rsidRPr="00AC78CD" w:rsidRDefault="00715402" w:rsidP="00715402"/>
    <w:p w:rsidR="00715402" w:rsidRPr="00AC78CD" w:rsidRDefault="00715402" w:rsidP="00715402">
      <w:proofErr w:type="gramStart"/>
      <w:r w:rsidRPr="00AC78CD">
        <w:t>Wilson JJ, Steadman DD. 2008.</w:t>
      </w:r>
      <w:proofErr w:type="gramEnd"/>
      <w:r w:rsidRPr="00AC78CD">
        <w:t xml:space="preserve"> </w:t>
      </w:r>
      <w:proofErr w:type="gramStart"/>
      <w:r w:rsidRPr="00AC78CD">
        <w:t>A paleodemographic analysis and comparison of aging methods for a Middle Mississippian skeletal sample from west-central Illinois.</w:t>
      </w:r>
      <w:proofErr w:type="gramEnd"/>
      <w:r w:rsidRPr="00AC78CD">
        <w:t xml:space="preserve"> </w:t>
      </w:r>
      <w:r w:rsidRPr="00AC78CD">
        <w:rPr>
          <w:i/>
        </w:rPr>
        <w:t>American Journal of Physical Anthropology,</w:t>
      </w:r>
      <w:r w:rsidRPr="00AC78CD">
        <w:t xml:space="preserve"> Supplement 46: 224.</w:t>
      </w:r>
    </w:p>
    <w:p w:rsidR="00715402" w:rsidRPr="00AC78CD" w:rsidRDefault="00715402" w:rsidP="00715402"/>
    <w:p w:rsidR="00715402" w:rsidRPr="00AC78CD" w:rsidRDefault="00715402" w:rsidP="00715402">
      <w:pPr>
        <w:pStyle w:val="Default"/>
      </w:pPr>
      <w:r w:rsidRPr="00AC78CD">
        <w:t xml:space="preserve">Wood JW. 1998. A theory of preindustrial population dynamics: demography, economy, and well-being in Malthusian systems. </w:t>
      </w:r>
      <w:r w:rsidRPr="00AC78CD">
        <w:rPr>
          <w:i/>
          <w:iCs/>
        </w:rPr>
        <w:t xml:space="preserve">Current Anthropology </w:t>
      </w:r>
      <w:r w:rsidRPr="00AC78CD">
        <w:t xml:space="preserve">39: 99-135. </w:t>
      </w:r>
    </w:p>
    <w:p w:rsidR="00715402" w:rsidRPr="00AC78CD" w:rsidRDefault="00715402" w:rsidP="00715402">
      <w:pPr>
        <w:pStyle w:val="Default"/>
      </w:pPr>
    </w:p>
    <w:p w:rsidR="00715402" w:rsidRPr="00AC78CD" w:rsidRDefault="00715402" w:rsidP="00715402">
      <w:pPr>
        <w:pStyle w:val="Default"/>
      </w:pPr>
      <w:r w:rsidRPr="00AC78CD">
        <w:t xml:space="preserve">Wood JW, Milner GR, Harpending HC, Weiss KM. 1992a. </w:t>
      </w:r>
      <w:proofErr w:type="gramStart"/>
      <w:r w:rsidRPr="00AC78CD">
        <w:t>The osteological paradox.</w:t>
      </w:r>
      <w:proofErr w:type="gramEnd"/>
      <w:r w:rsidRPr="00AC78CD">
        <w:t xml:space="preserve"> </w:t>
      </w:r>
      <w:r w:rsidRPr="00AC78CD">
        <w:rPr>
          <w:i/>
          <w:iCs/>
        </w:rPr>
        <w:t xml:space="preserve">Current Anthropology </w:t>
      </w:r>
      <w:r w:rsidRPr="00AC78CD">
        <w:t xml:space="preserve">33(4): 343-70. </w:t>
      </w:r>
    </w:p>
    <w:p w:rsidR="00715402" w:rsidRPr="00AC78CD" w:rsidRDefault="00715402" w:rsidP="00715402">
      <w:pPr>
        <w:pStyle w:val="Default"/>
      </w:pPr>
    </w:p>
    <w:p w:rsidR="00715402" w:rsidRPr="00AC78CD" w:rsidRDefault="00715402" w:rsidP="00715402">
      <w:pPr>
        <w:pStyle w:val="Default"/>
      </w:pPr>
      <w:r w:rsidRPr="00AC78CD">
        <w:t xml:space="preserve">Wood JW, Holman DJ, Weiss KM, Buchanan AV, LeFor B. 1992b. </w:t>
      </w:r>
      <w:proofErr w:type="gramStart"/>
      <w:r w:rsidRPr="00AC78CD">
        <w:t>Hazards models for human population biology.</w:t>
      </w:r>
      <w:proofErr w:type="gramEnd"/>
      <w:r w:rsidRPr="00AC78CD">
        <w:t xml:space="preserve"> </w:t>
      </w:r>
      <w:r w:rsidRPr="00AC78CD">
        <w:rPr>
          <w:i/>
          <w:iCs/>
        </w:rPr>
        <w:t xml:space="preserve">Yearbook of Physical Anthropology </w:t>
      </w:r>
      <w:r w:rsidRPr="00AC78CD">
        <w:t xml:space="preserve">35:43-87. </w:t>
      </w:r>
    </w:p>
    <w:p w:rsidR="00715402" w:rsidRPr="00AC78CD" w:rsidRDefault="00715402" w:rsidP="00715402">
      <w:pPr>
        <w:pStyle w:val="Default"/>
      </w:pPr>
    </w:p>
    <w:p w:rsidR="00715402" w:rsidRPr="00AC78CD" w:rsidRDefault="00715402" w:rsidP="00715402">
      <w:r w:rsidRPr="00AC78CD">
        <w:t xml:space="preserve">Wood JW, Holman DJ, O’Connor KA, Ferrell RJ. 2002. Mortality models for paleodemography. In </w:t>
      </w:r>
      <w:r w:rsidRPr="00AC78CD">
        <w:rPr>
          <w:i/>
          <w:iCs/>
        </w:rPr>
        <w:t>Paleodemography: Age distributions from skeletal samples</w:t>
      </w:r>
      <w:r w:rsidRPr="00AC78CD">
        <w:t xml:space="preserve">, Edited by RD Hoppa and JW Vaupel, </w:t>
      </w:r>
      <w:r>
        <w:t>Pp.</w:t>
      </w:r>
      <w:r w:rsidRPr="00AC78CD">
        <w:t xml:space="preserve"> 129-68. Cambridge: Cambridge University Press.</w:t>
      </w:r>
    </w:p>
    <w:p w:rsidR="00715402" w:rsidRPr="00AC78CD" w:rsidRDefault="00715402" w:rsidP="00715402"/>
    <w:p w:rsidR="00715402" w:rsidRPr="00AC78CD" w:rsidRDefault="00715402" w:rsidP="00715402">
      <w:r w:rsidRPr="00AC78CD">
        <w:t xml:space="preserve">Wood WR. 1998. Introduction. </w:t>
      </w:r>
      <w:proofErr w:type="gramStart"/>
      <w:r w:rsidRPr="00AC78CD">
        <w:t>In Archaeology on the Great Plains.</w:t>
      </w:r>
      <w:proofErr w:type="gramEnd"/>
      <w:r w:rsidRPr="00AC78CD">
        <w:t xml:space="preserve"> </w:t>
      </w:r>
      <w:proofErr w:type="gramStart"/>
      <w:r w:rsidRPr="00AC78CD">
        <w:t xml:space="preserve">Edited by WR Wood, </w:t>
      </w:r>
      <w:r>
        <w:t>Pp.</w:t>
      </w:r>
      <w:r w:rsidRPr="00AC78CD">
        <w:t xml:space="preserve"> 1-15.</w:t>
      </w:r>
      <w:proofErr w:type="gramEnd"/>
      <w:r w:rsidRPr="00AC78CD">
        <w:t xml:space="preserve"> Lawrence, Kansas: University Press of Kansas.</w:t>
      </w:r>
    </w:p>
    <w:p w:rsidR="00715402" w:rsidRPr="00AC78CD" w:rsidRDefault="00715402" w:rsidP="00715402"/>
    <w:p w:rsidR="00715402" w:rsidRPr="00AC78CD" w:rsidRDefault="00715402" w:rsidP="00715402">
      <w:proofErr w:type="gramStart"/>
      <w:r w:rsidRPr="00AC78CD">
        <w:t>Workshop of European Anthropologists.</w:t>
      </w:r>
      <w:proofErr w:type="gramEnd"/>
      <w:r w:rsidRPr="00AC78CD">
        <w:t xml:space="preserve"> 1980. Recommendations for age and sex diagnoses of skeletons. </w:t>
      </w:r>
      <w:r w:rsidRPr="00AC78CD">
        <w:rPr>
          <w:i/>
        </w:rPr>
        <w:t>Journal of Human Evolution</w:t>
      </w:r>
      <w:r w:rsidRPr="00AC78CD">
        <w:t xml:space="preserve"> 9: 517-549.</w:t>
      </w:r>
    </w:p>
    <w:p w:rsidR="00715402" w:rsidRPr="00AC78CD" w:rsidRDefault="00715402" w:rsidP="00715402"/>
    <w:p w:rsidR="00715402" w:rsidRPr="00AC78CD" w:rsidRDefault="00715402" w:rsidP="00715402">
      <w:r w:rsidRPr="00AC78CD">
        <w:lastRenderedPageBreak/>
        <w:t xml:space="preserve">Wright LE, Yoder CJ. 2003. Recent progress in bioarchaeology: Approaches to the osteological paradox. </w:t>
      </w:r>
      <w:r w:rsidRPr="00AC78CD">
        <w:rPr>
          <w:i/>
          <w:iCs/>
        </w:rPr>
        <w:t xml:space="preserve">Journal of Archaeological Research </w:t>
      </w:r>
      <w:r w:rsidRPr="00AC78CD">
        <w:t>11(1): 43-70.</w:t>
      </w:r>
    </w:p>
    <w:p w:rsidR="00715402" w:rsidRPr="00AC78CD" w:rsidRDefault="00715402" w:rsidP="00715402"/>
    <w:p w:rsidR="00715402" w:rsidRPr="00AC78CD" w:rsidRDefault="00715402" w:rsidP="00715402">
      <w:pPr>
        <w:keepNext/>
        <w:rPr>
          <w:b/>
          <w:bCs/>
        </w:rPr>
      </w:pPr>
      <w:r w:rsidRPr="00AC78CD">
        <w:t xml:space="preserve">Yoder C, Ubelaker DH, Powell JF. 2001Examination of variation in sternal rib end morphology relevant to age assessment.  </w:t>
      </w:r>
      <w:r w:rsidRPr="00AC78CD">
        <w:rPr>
          <w:i/>
          <w:iCs/>
        </w:rPr>
        <w:t>Journal of Forensic Sciences</w:t>
      </w:r>
      <w:r w:rsidRPr="00AC78CD">
        <w:t xml:space="preserve"> 46:223-227. </w:t>
      </w:r>
    </w:p>
    <w:p w:rsidR="00715402" w:rsidRPr="00AC78CD" w:rsidRDefault="00715402" w:rsidP="00715402"/>
    <w:p w:rsidR="00715402" w:rsidRPr="00AC78CD" w:rsidRDefault="00715402" w:rsidP="00715402">
      <w:r w:rsidRPr="00AC78CD">
        <w:t>Zambrano CJ. 2005. Evaluation of Regression Equations used to Estimate Age at Death from Cranial Suture Closure, MS thesis, University of Indianapolis, Indianapolis, IN.</w:t>
      </w:r>
    </w:p>
    <w:p w:rsidR="00715402" w:rsidRPr="00AC78CD" w:rsidRDefault="00715402" w:rsidP="00715402"/>
    <w:p w:rsidR="00715402" w:rsidRPr="00AC78CD" w:rsidRDefault="00715402" w:rsidP="00715402">
      <w:r w:rsidRPr="00AC78CD">
        <w:t xml:space="preserve">Zimmerman L. 1985. </w:t>
      </w:r>
      <w:proofErr w:type="gramStart"/>
      <w:r w:rsidRPr="00AC78CD">
        <w:rPr>
          <w:i/>
        </w:rPr>
        <w:t>Peoples of Prehistoric South Dakota</w:t>
      </w:r>
      <w:r w:rsidRPr="00AC78CD">
        <w:t>.</w:t>
      </w:r>
      <w:proofErr w:type="gramEnd"/>
      <w:r w:rsidRPr="00AC78CD">
        <w:t xml:space="preserve"> Lincoln: University of Nebraska Press.</w:t>
      </w:r>
    </w:p>
    <w:p w:rsidR="00715402" w:rsidRPr="00AC78CD" w:rsidRDefault="00715402" w:rsidP="00715402"/>
    <w:p w:rsidR="00236E6D" w:rsidRDefault="00236E6D" w:rsidP="008865B6">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rPr>
      </w:pPr>
      <w:r>
        <w:rPr>
          <w:rFonts w:ascii="Arial" w:hAnsi="Arial" w:cs="Arial"/>
          <w:sz w:val="28"/>
          <w:szCs w:val="28"/>
        </w:rPr>
        <w:br w:type="page"/>
      </w:r>
      <w:r w:rsidR="008865B6">
        <w:rPr>
          <w:rFonts w:ascii="Arial" w:hAnsi="Arial" w:cs="Arial"/>
        </w:rPr>
        <w:lastRenderedPageBreak/>
        <w:t xml:space="preserve"> </w:t>
      </w: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690B77" w:rsidRPr="00690B77" w:rsidRDefault="008F60C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rPr>
          <w:rFonts w:ascii="Arial" w:hAnsi="Arial" w:cs="Arial"/>
        </w:rPr>
      </w:pPr>
      <w:r>
        <w:rPr>
          <w:rFonts w:ascii="Arial" w:hAnsi="Arial" w:cs="Arial"/>
          <w:iCs/>
        </w:rPr>
        <w:t xml:space="preserve">Citations </w:t>
      </w:r>
      <w:r w:rsidR="003D07F7">
        <w:rPr>
          <w:rFonts w:ascii="Arial" w:hAnsi="Arial" w:cs="Arial"/>
          <w:iCs/>
        </w:rPr>
        <w:t>go here</w:t>
      </w:r>
      <w:r>
        <w:rPr>
          <w:rFonts w:ascii="Arial" w:hAnsi="Arial" w:cs="Arial"/>
          <w:iCs/>
        </w:rPr>
        <w:t>…</w:t>
      </w: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r>
        <w:rPr>
          <w:rFonts w:ascii="Arial" w:hAnsi="Arial" w:cs="Arial"/>
        </w:rPr>
        <w:br w:type="page"/>
      </w: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rsidP="000166A9">
      <w:pPr>
        <w:pStyle w:val="StyleHeading1Centered"/>
      </w:pPr>
      <w:bookmarkStart w:id="60" w:name="_Toc349858164"/>
      <w:r>
        <w:t>APPENDIX</w:t>
      </w:r>
      <w:bookmarkEnd w:id="60"/>
    </w:p>
    <w:p w:rsidR="003C1575" w:rsidRDefault="00236E6D"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rPr>
        <w:br w:type="page"/>
      </w:r>
      <w:bookmarkStart w:id="61" w:name="_GoBack"/>
      <w:bookmarkEnd w:id="61"/>
    </w:p>
    <w:p w:rsidR="00236E6D" w:rsidRPr="003C1575" w:rsidRDefault="003D63DF"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rFonts w:ascii="Arial" w:hAnsi="Arial" w:cs="Arial"/>
        </w:rPr>
      </w:pPr>
      <w:r>
        <w:rPr>
          <w:noProof/>
        </w:rPr>
        <w:lastRenderedPageBreak/>
        <w:br w:type="page"/>
      </w:r>
      <w:bookmarkStart w:id="62" w:name="_Toc349858165"/>
      <w:r w:rsidRPr="003C1575">
        <w:rPr>
          <w:rStyle w:val="StyleHeading1CenteredChar"/>
        </w:rPr>
        <w:lastRenderedPageBreak/>
        <w:t>Vita</w:t>
      </w:r>
      <w:bookmarkEnd w:id="62"/>
    </w:p>
    <w:p w:rsidR="003D63DF" w:rsidRDefault="003D63DF" w:rsidP="003D63DF"/>
    <w:p w:rsidR="003D63DF" w:rsidRPr="003D63DF" w:rsidRDefault="003D63DF" w:rsidP="003D63DF">
      <w:pPr>
        <w:rPr>
          <w:rFonts w:ascii="Arial" w:hAnsi="Arial" w:cs="Arial"/>
        </w:rPr>
      </w:pPr>
      <w:r>
        <w:tab/>
      </w:r>
      <w:r w:rsidR="003C573E">
        <w:t>Rebecca J. Taylor was born Rebecca J. Wilson, September 19, 1979, to Thomas and Joyce Wilson of Atco, New Jersey as the last of eight children.  She graduated from Edgewood Regional High School in 1997, received a Bachelor of Science in Biology and Anthropology from Juniata College in 2001,</w:t>
      </w:r>
      <w:r w:rsidR="00FE593B">
        <w:t xml:space="preserve"> and</w:t>
      </w:r>
      <w:r w:rsidR="003C573E">
        <w:t xml:space="preserve"> received a Masters of Arts in Anthropology from The University of Tennessee in 2006.  She has </w:t>
      </w:r>
      <w:r w:rsidR="00FE593B">
        <w:t>worked with the Department of Anthropology as a graduate research and teaching assistant, the Knox County Medical Examiner’s Office as a forensic technician, and with the Disaster Mortuary Operations Response Team (WMD) as a forensic anthropologist during her time in Tennessee.  She spent the last several years working fulltime as the Assistant Coordinator with the Forensic Anthropology Center at the University of Tennessee and as an instructor of Anatomy and Physiology at South College of Tennessee.  Currently, she is employed as a</w:t>
      </w:r>
      <w:r w:rsidR="003C573E">
        <w:t xml:space="preserve"> </w:t>
      </w:r>
      <w:r w:rsidR="00FE593B">
        <w:t xml:space="preserve">Forensic </w:t>
      </w:r>
      <w:r w:rsidR="003C573E">
        <w:t>Anthropologist with the Joint POW-MIA Accounting Command-Central Identification Laboratory</w:t>
      </w:r>
      <w:r w:rsidR="00FE593B">
        <w:t>-Hawaii</w:t>
      </w:r>
      <w:r w:rsidR="003C573E">
        <w:t xml:space="preserve">.  </w:t>
      </w:r>
    </w:p>
    <w:sectPr w:rsidR="003D63DF" w:rsidRPr="003D63DF" w:rsidSect="00C0293C">
      <w:pgSz w:w="12240" w:h="15840" w:code="1"/>
      <w:pgMar w:top="1440" w:right="1440" w:bottom="1440" w:left="1440" w:header="720" w:footer="1440"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FB2" w:rsidRDefault="00302FB2">
      <w:r>
        <w:separator/>
      </w:r>
    </w:p>
  </w:endnote>
  <w:endnote w:type="continuationSeparator" w:id="0">
    <w:p w:rsidR="00302FB2" w:rsidRDefault="00302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P MathA">
    <w:charset w:val="02"/>
    <w:family w:val="auto"/>
    <w:pitch w:val="variable"/>
    <w:sig w:usb0="00000000" w:usb1="10000000" w:usb2="00000000" w:usb3="00000000" w:csb0="80000000" w:csb1="00000000"/>
  </w:font>
  <w:font w:name="WP TypographicSymbol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4E5" w:rsidRDefault="004474E5">
    <w:pPr>
      <w:framePr w:wrap="notBeside" w:hAnchor="text" w:xAlign="center"/>
      <w:rPr>
        <w:rFonts w:ascii="Arial" w:hAnsi="Arial" w:cs="Arial"/>
        <w:noProof/>
      </w:rPr>
    </w:pPr>
    <w:r>
      <w:rPr>
        <w:rFonts w:ascii="Arial" w:hAnsi="Arial" w:cs="Arial"/>
        <w:noProof/>
      </w:rPr>
      <w:fldChar w:fldCharType="begin"/>
    </w:r>
    <w:r>
      <w:rPr>
        <w:rFonts w:ascii="Arial" w:hAnsi="Arial" w:cs="Arial"/>
        <w:noProof/>
      </w:rPr>
      <w:instrText xml:space="preserve"> PAGE  </w:instrText>
    </w:r>
    <w:r>
      <w:rPr>
        <w:rFonts w:ascii="Arial" w:hAnsi="Arial" w:cs="Arial"/>
        <w:noProof/>
      </w:rPr>
      <w:fldChar w:fldCharType="separate"/>
    </w:r>
    <w:r w:rsidR="007E2B4D">
      <w:rPr>
        <w:rFonts w:ascii="Arial" w:hAnsi="Arial" w:cs="Arial"/>
        <w:noProof/>
      </w:rPr>
      <w:t>167</w:t>
    </w:r>
    <w:r>
      <w:rPr>
        <w:rFonts w:ascii="Arial" w:hAnsi="Arial" w:cs="Arial"/>
        <w:noProof/>
      </w:rPr>
      <w:fldChar w:fldCharType="end"/>
    </w:r>
  </w:p>
  <w:p w:rsidR="004474E5" w:rsidRDefault="004474E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FB2" w:rsidRDefault="00302FB2">
      <w:r>
        <w:separator/>
      </w:r>
    </w:p>
  </w:footnote>
  <w:footnote w:type="continuationSeparator" w:id="0">
    <w:p w:rsidR="00302FB2" w:rsidRDefault="00302F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4E5" w:rsidRDefault="004474E5">
    <w:pPr>
      <w:spacing w:line="34" w:lineRule="aut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4E5" w:rsidRDefault="004474E5">
    <w:pPr>
      <w:spacing w:line="34"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2pt;height:12pt;visibility:visible;mso-wrap-style:square" o:bullet="t">
        <v:imagedata r:id="rId1" o:title=""/>
      </v:shape>
    </w:pict>
  </w:numPicBullet>
  <w:abstractNum w:abstractNumId="0">
    <w:nsid w:val="FFFFFFFE"/>
    <w:multiLevelType w:val="singleLevel"/>
    <w:tmpl w:val="E5047366"/>
    <w:lvl w:ilvl="0">
      <w:numFmt w:val="decimal"/>
      <w:lvlText w:val="*"/>
      <w:lvlJc w:val="left"/>
    </w:lvl>
  </w:abstractNum>
  <w:abstractNum w:abstractNumId="1">
    <w:nsid w:val="0267629D"/>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
    <w:nsid w:val="0357453A"/>
    <w:multiLevelType w:val="hybridMultilevel"/>
    <w:tmpl w:val="E5BAAC0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A7073D"/>
    <w:multiLevelType w:val="hybridMultilevel"/>
    <w:tmpl w:val="CF34A7FC"/>
    <w:lvl w:ilvl="0" w:tplc="CFD26552">
      <w:start w:val="1"/>
      <w:numFmt w:val="bullet"/>
      <w:lvlText w:val=""/>
      <w:lvlJc w:val="left"/>
      <w:pPr>
        <w:tabs>
          <w:tab w:val="num" w:pos="1440"/>
        </w:tabs>
        <w:ind w:left="1440" w:hanging="108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EC705F"/>
    <w:multiLevelType w:val="hybridMultilevel"/>
    <w:tmpl w:val="55B200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CE37A4"/>
    <w:multiLevelType w:val="hybridMultilevel"/>
    <w:tmpl w:val="AAFC0618"/>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422D9E"/>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7">
    <w:nsid w:val="1A19755C"/>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8">
    <w:nsid w:val="1AF13B19"/>
    <w:multiLevelType w:val="hybridMultilevel"/>
    <w:tmpl w:val="D1D2E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652153"/>
    <w:multiLevelType w:val="hybridMultilevel"/>
    <w:tmpl w:val="5B54F916"/>
    <w:lvl w:ilvl="0" w:tplc="DA9C23B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D910EF"/>
    <w:multiLevelType w:val="hybridMultilevel"/>
    <w:tmpl w:val="F7DE8EFC"/>
    <w:lvl w:ilvl="0" w:tplc="28EC603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DAE4992"/>
    <w:multiLevelType w:val="hybridMultilevel"/>
    <w:tmpl w:val="72A23138"/>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1C2A38"/>
    <w:multiLevelType w:val="hybridMultilevel"/>
    <w:tmpl w:val="A646368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44230C7"/>
    <w:multiLevelType w:val="hybridMultilevel"/>
    <w:tmpl w:val="0F84836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CA1C62"/>
    <w:multiLevelType w:val="multilevel"/>
    <w:tmpl w:val="176E2302"/>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5">
    <w:nsid w:val="25DB6FEB"/>
    <w:multiLevelType w:val="multilevel"/>
    <w:tmpl w:val="176E2302"/>
    <w:lvl w:ilvl="0">
      <w:start w:val="1"/>
      <w:numFmt w:val="decimal"/>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Roman"/>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Roman"/>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6">
    <w:nsid w:val="269E45E3"/>
    <w:multiLevelType w:val="hybridMultilevel"/>
    <w:tmpl w:val="C7906770"/>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6E9038E"/>
    <w:multiLevelType w:val="hybridMultilevel"/>
    <w:tmpl w:val="0434BE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7F75888"/>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9">
    <w:nsid w:val="2C4A52D6"/>
    <w:multiLevelType w:val="hybridMultilevel"/>
    <w:tmpl w:val="4586AAF0"/>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FE021B"/>
    <w:multiLevelType w:val="hybridMultilevel"/>
    <w:tmpl w:val="E42E70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7F31592"/>
    <w:multiLevelType w:val="multilevel"/>
    <w:tmpl w:val="C562C8FE"/>
    <w:lvl w:ilvl="0">
      <w:start w:val="1"/>
      <w:numFmt w:val="upperRoman"/>
      <w:lvlText w:val="%1."/>
      <w:legacy w:legacy="1" w:legacySpace="0" w:legacyIndent="0"/>
      <w:lvlJc w:val="left"/>
      <w:pPr>
        <w:ind w:left="0" w:firstLine="0"/>
      </w:pPr>
    </w:lvl>
    <w:lvl w:ilvl="1">
      <w:start w:val="1"/>
      <w:numFmt w:val="upperRoman"/>
      <w:lvlText w:val="%2."/>
      <w:legacy w:legacy="1" w:legacySpace="0" w:legacyIndent="0"/>
      <w:lvlJc w:val="left"/>
      <w:pPr>
        <w:ind w:left="0" w:firstLine="0"/>
      </w:pPr>
    </w:lvl>
    <w:lvl w:ilvl="2">
      <w:start w:val="1"/>
      <w:numFmt w:val="upperRoman"/>
      <w:lvlText w:val="%3."/>
      <w:legacy w:legacy="1" w:legacySpace="0" w:legacyIndent="0"/>
      <w:lvlJc w:val="left"/>
      <w:pPr>
        <w:ind w:left="0" w:firstLine="0"/>
      </w:pPr>
    </w:lvl>
    <w:lvl w:ilvl="3">
      <w:start w:val="1"/>
      <w:numFmt w:val="upperRoman"/>
      <w:lvlText w:val="%4."/>
      <w:legacy w:legacy="1" w:legacySpace="0" w:legacyIndent="0"/>
      <w:lvlJc w:val="left"/>
      <w:pPr>
        <w:ind w:left="0" w:firstLine="0"/>
      </w:pPr>
    </w:lvl>
    <w:lvl w:ilvl="4">
      <w:start w:val="1"/>
      <w:numFmt w:val="upperRoman"/>
      <w:lvlText w:val="%5."/>
      <w:legacy w:legacy="1" w:legacySpace="0" w:legacyIndent="0"/>
      <w:lvlJc w:val="left"/>
      <w:pPr>
        <w:ind w:left="0" w:firstLine="0"/>
      </w:pPr>
    </w:lvl>
    <w:lvl w:ilvl="5">
      <w:start w:val="1"/>
      <w:numFmt w:val="upperRoman"/>
      <w:lvlText w:val="%6."/>
      <w:legacy w:legacy="1" w:legacySpace="0" w:legacyIndent="0"/>
      <w:lvlJc w:val="left"/>
      <w:pPr>
        <w:ind w:left="0" w:firstLine="0"/>
      </w:pPr>
    </w:lvl>
    <w:lvl w:ilvl="6">
      <w:start w:val="1"/>
      <w:numFmt w:val="upperRoman"/>
      <w:lvlText w:val="%7."/>
      <w:legacy w:legacy="1" w:legacySpace="0" w:legacyIndent="0"/>
      <w:lvlJc w:val="left"/>
      <w:pPr>
        <w:ind w:left="0" w:firstLine="0"/>
      </w:pPr>
    </w:lvl>
    <w:lvl w:ilvl="7">
      <w:start w:val="1"/>
      <w:numFmt w:val="upperRoman"/>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2">
    <w:nsid w:val="3E77254B"/>
    <w:multiLevelType w:val="hybridMultilevel"/>
    <w:tmpl w:val="EB8613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480D41"/>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4">
    <w:nsid w:val="47875639"/>
    <w:multiLevelType w:val="hybridMultilevel"/>
    <w:tmpl w:val="0AAA88B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9F343DA"/>
    <w:multiLevelType w:val="hybridMultilevel"/>
    <w:tmpl w:val="9ED8453E"/>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E351D6F"/>
    <w:multiLevelType w:val="multilevel"/>
    <w:tmpl w:val="C562C8FE"/>
    <w:lvl w:ilvl="0">
      <w:start w:val="1"/>
      <w:numFmt w:val="upperRoman"/>
      <w:lvlText w:val="%1."/>
      <w:legacy w:legacy="1" w:legacySpace="0" w:legacyIndent="0"/>
      <w:lvlJc w:val="left"/>
      <w:pPr>
        <w:ind w:left="0" w:firstLine="0"/>
      </w:pPr>
    </w:lvl>
    <w:lvl w:ilvl="1">
      <w:start w:val="1"/>
      <w:numFmt w:val="upperRoman"/>
      <w:lvlText w:val="%2."/>
      <w:legacy w:legacy="1" w:legacySpace="0" w:legacyIndent="0"/>
      <w:lvlJc w:val="left"/>
      <w:pPr>
        <w:ind w:left="0" w:firstLine="0"/>
      </w:pPr>
    </w:lvl>
    <w:lvl w:ilvl="2">
      <w:start w:val="1"/>
      <w:numFmt w:val="upperRoman"/>
      <w:lvlText w:val="%3."/>
      <w:legacy w:legacy="1" w:legacySpace="0" w:legacyIndent="0"/>
      <w:lvlJc w:val="left"/>
      <w:pPr>
        <w:ind w:left="0" w:firstLine="0"/>
      </w:pPr>
    </w:lvl>
    <w:lvl w:ilvl="3">
      <w:start w:val="1"/>
      <w:numFmt w:val="upperRoman"/>
      <w:lvlText w:val="%4."/>
      <w:legacy w:legacy="1" w:legacySpace="0" w:legacyIndent="0"/>
      <w:lvlJc w:val="left"/>
      <w:pPr>
        <w:ind w:left="0" w:firstLine="0"/>
      </w:pPr>
    </w:lvl>
    <w:lvl w:ilvl="4">
      <w:start w:val="1"/>
      <w:numFmt w:val="upperRoman"/>
      <w:lvlText w:val="%5."/>
      <w:legacy w:legacy="1" w:legacySpace="0" w:legacyIndent="0"/>
      <w:lvlJc w:val="left"/>
      <w:pPr>
        <w:ind w:left="0" w:firstLine="0"/>
      </w:pPr>
    </w:lvl>
    <w:lvl w:ilvl="5">
      <w:start w:val="1"/>
      <w:numFmt w:val="upperRoman"/>
      <w:lvlText w:val="%6."/>
      <w:legacy w:legacy="1" w:legacySpace="0" w:legacyIndent="0"/>
      <w:lvlJc w:val="left"/>
      <w:pPr>
        <w:ind w:left="0" w:firstLine="0"/>
      </w:pPr>
    </w:lvl>
    <w:lvl w:ilvl="6">
      <w:start w:val="1"/>
      <w:numFmt w:val="upperRoman"/>
      <w:lvlText w:val="%7."/>
      <w:legacy w:legacy="1" w:legacySpace="0" w:legacyIndent="0"/>
      <w:lvlJc w:val="left"/>
      <w:pPr>
        <w:ind w:left="0" w:firstLine="0"/>
      </w:pPr>
    </w:lvl>
    <w:lvl w:ilvl="7">
      <w:start w:val="1"/>
      <w:numFmt w:val="upperRoman"/>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27">
    <w:nsid w:val="4EFB3CD0"/>
    <w:multiLevelType w:val="hybridMultilevel"/>
    <w:tmpl w:val="6DC22B76"/>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F2B76F6"/>
    <w:multiLevelType w:val="hybridMultilevel"/>
    <w:tmpl w:val="358E059E"/>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34A10AD"/>
    <w:multiLevelType w:val="hybridMultilevel"/>
    <w:tmpl w:val="D50A5F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82C5EDA"/>
    <w:multiLevelType w:val="hybridMultilevel"/>
    <w:tmpl w:val="2854769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B2A3561"/>
    <w:multiLevelType w:val="multilevel"/>
    <w:tmpl w:val="57D266E6"/>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2">
    <w:nsid w:val="5CA03DD8"/>
    <w:multiLevelType w:val="hybridMultilevel"/>
    <w:tmpl w:val="566607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D16336"/>
    <w:multiLevelType w:val="multilevel"/>
    <w:tmpl w:val="29B4509E"/>
    <w:lvl w:ilvl="0">
      <w:start w:val="1"/>
      <w:numFmt w:val="decimal"/>
      <w:lvlText w:val="A-%1. "/>
      <w:legacy w:legacy="1" w:legacySpace="0" w:legacyIndent="0"/>
      <w:lvlJc w:val="left"/>
      <w:pPr>
        <w:ind w:left="0" w:firstLine="0"/>
      </w:pPr>
    </w:lvl>
    <w:lvl w:ilvl="1">
      <w:start w:val="1"/>
      <w:numFmt w:val="decimal"/>
      <w:lvlText w:val="A-%1. %2. "/>
      <w:legacy w:legacy="1" w:legacySpace="0" w:legacyIndent="0"/>
      <w:lvlJc w:val="left"/>
      <w:pPr>
        <w:ind w:left="0" w:firstLine="0"/>
      </w:pPr>
    </w:lvl>
    <w:lvl w:ilvl="2">
      <w:start w:val="1"/>
      <w:numFmt w:val="decimal"/>
      <w:lvlText w:val="A-%1. %2. %3. _"/>
      <w:legacy w:legacy="1" w:legacySpace="0" w:legacyIndent="0"/>
      <w:lvlJc w:val="left"/>
      <w:pPr>
        <w:ind w:left="0" w:firstLine="0"/>
      </w:pPr>
    </w:lvl>
    <w:lvl w:ilvl="3">
      <w:start w:val="1"/>
      <w:numFmt w:val="decimal"/>
      <w:lvlText w:val="A-%1. %2. %3. _%4. "/>
      <w:legacy w:legacy="1" w:legacySpace="0" w:legacyIndent="0"/>
      <w:lvlJc w:val="left"/>
      <w:pPr>
        <w:ind w:left="0" w:firstLine="0"/>
      </w:pPr>
    </w:lvl>
    <w:lvl w:ilvl="4">
      <w:start w:val="1"/>
      <w:numFmt w:val="decimal"/>
      <w:lvlText w:val="A-%1. %2. %3. _%4. %5. "/>
      <w:legacy w:legacy="1" w:legacySpace="0" w:legacyIndent="0"/>
      <w:lvlJc w:val="left"/>
      <w:pPr>
        <w:ind w:left="0" w:firstLine="0"/>
      </w:pPr>
    </w:lvl>
    <w:lvl w:ilvl="5">
      <w:start w:val="1"/>
      <w:numFmt w:val="decimal"/>
      <w:lvlText w:val="A-%1. %2. %3. _%4. %5. %6. "/>
      <w:legacy w:legacy="1" w:legacySpace="0" w:legacyIndent="0"/>
      <w:lvlJc w:val="left"/>
      <w:pPr>
        <w:ind w:left="0" w:firstLine="0"/>
      </w:pPr>
    </w:lvl>
    <w:lvl w:ilvl="6">
      <w:start w:val="1"/>
      <w:numFmt w:val="decimal"/>
      <w:lvlText w:val="A-%1. %2. %3. _%4. %5. %6. %7. "/>
      <w:legacy w:legacy="1" w:legacySpace="0" w:legacyIndent="0"/>
      <w:lvlJc w:val="left"/>
      <w:pPr>
        <w:ind w:left="0" w:firstLine="0"/>
      </w:pPr>
    </w:lvl>
    <w:lvl w:ilvl="7">
      <w:start w:val="1"/>
      <w:numFmt w:val="decimal"/>
      <w:lvlText w:val="A-%1. %2. %3. _%4. %5. %6. %7. %8. "/>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4">
    <w:nsid w:val="65E54949"/>
    <w:multiLevelType w:val="hybridMultilevel"/>
    <w:tmpl w:val="839A28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7A74446"/>
    <w:multiLevelType w:val="hybridMultilevel"/>
    <w:tmpl w:val="C6DEBA6A"/>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C3A4274"/>
    <w:multiLevelType w:val="hybridMultilevel"/>
    <w:tmpl w:val="588C5D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FD629BB"/>
    <w:multiLevelType w:val="multilevel"/>
    <w:tmpl w:val="29B4509E"/>
    <w:lvl w:ilvl="0">
      <w:start w:val="1"/>
      <w:numFmt w:val="decimal"/>
      <w:lvlText w:val="A-%1. "/>
      <w:legacy w:legacy="1" w:legacySpace="0" w:legacyIndent="0"/>
      <w:lvlJc w:val="left"/>
      <w:pPr>
        <w:ind w:left="0" w:firstLine="0"/>
      </w:pPr>
    </w:lvl>
    <w:lvl w:ilvl="1">
      <w:start w:val="1"/>
      <w:numFmt w:val="decimal"/>
      <w:lvlText w:val="A-%1. %2. "/>
      <w:legacy w:legacy="1" w:legacySpace="0" w:legacyIndent="0"/>
      <w:lvlJc w:val="left"/>
      <w:pPr>
        <w:ind w:left="0" w:firstLine="0"/>
      </w:pPr>
    </w:lvl>
    <w:lvl w:ilvl="2">
      <w:start w:val="1"/>
      <w:numFmt w:val="decimal"/>
      <w:lvlText w:val="A-%1. %2. %3. _"/>
      <w:legacy w:legacy="1" w:legacySpace="0" w:legacyIndent="0"/>
      <w:lvlJc w:val="left"/>
      <w:pPr>
        <w:ind w:left="0" w:firstLine="0"/>
      </w:pPr>
    </w:lvl>
    <w:lvl w:ilvl="3">
      <w:start w:val="1"/>
      <w:numFmt w:val="decimal"/>
      <w:lvlText w:val="A-%1. %2. %3. _%4. "/>
      <w:legacy w:legacy="1" w:legacySpace="0" w:legacyIndent="0"/>
      <w:lvlJc w:val="left"/>
      <w:pPr>
        <w:ind w:left="0" w:firstLine="0"/>
      </w:pPr>
    </w:lvl>
    <w:lvl w:ilvl="4">
      <w:start w:val="1"/>
      <w:numFmt w:val="decimal"/>
      <w:lvlText w:val="A-%1. %2. %3. _%4. %5. "/>
      <w:legacy w:legacy="1" w:legacySpace="0" w:legacyIndent="0"/>
      <w:lvlJc w:val="left"/>
      <w:pPr>
        <w:ind w:left="0" w:firstLine="0"/>
      </w:pPr>
    </w:lvl>
    <w:lvl w:ilvl="5">
      <w:start w:val="1"/>
      <w:numFmt w:val="decimal"/>
      <w:lvlText w:val="A-%1. %2. %3. _%4. %5. %6. "/>
      <w:legacy w:legacy="1" w:legacySpace="0" w:legacyIndent="0"/>
      <w:lvlJc w:val="left"/>
      <w:pPr>
        <w:ind w:left="0" w:firstLine="0"/>
      </w:pPr>
    </w:lvl>
    <w:lvl w:ilvl="6">
      <w:start w:val="1"/>
      <w:numFmt w:val="decimal"/>
      <w:lvlText w:val="A-%1. %2. %3. _%4. %5. %6. %7. "/>
      <w:legacy w:legacy="1" w:legacySpace="0" w:legacyIndent="0"/>
      <w:lvlJc w:val="left"/>
      <w:pPr>
        <w:ind w:left="0" w:firstLine="0"/>
      </w:pPr>
    </w:lvl>
    <w:lvl w:ilvl="7">
      <w:start w:val="1"/>
      <w:numFmt w:val="decimal"/>
      <w:lvlText w:val="A-%1. %2. %3. _%4. %5. %6. %7. %8. "/>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38">
    <w:nsid w:val="70280E42"/>
    <w:multiLevelType w:val="hybridMultilevel"/>
    <w:tmpl w:val="5DFE3D14"/>
    <w:lvl w:ilvl="0" w:tplc="B7F499F4">
      <w:start w:val="1"/>
      <w:numFmt w:val="bullet"/>
      <w:lvlText w:val=""/>
      <w:lvlPicBulletId w:val="0"/>
      <w:lvlJc w:val="left"/>
      <w:pPr>
        <w:tabs>
          <w:tab w:val="num" w:pos="720"/>
        </w:tabs>
        <w:ind w:left="720" w:hanging="360"/>
      </w:pPr>
      <w:rPr>
        <w:rFonts w:ascii="Symbol" w:hAnsi="Symbol" w:hint="default"/>
      </w:rPr>
    </w:lvl>
    <w:lvl w:ilvl="1" w:tplc="C6623D3E" w:tentative="1">
      <w:start w:val="1"/>
      <w:numFmt w:val="bullet"/>
      <w:lvlText w:val=""/>
      <w:lvlJc w:val="left"/>
      <w:pPr>
        <w:tabs>
          <w:tab w:val="num" w:pos="1440"/>
        </w:tabs>
        <w:ind w:left="1440" w:hanging="360"/>
      </w:pPr>
      <w:rPr>
        <w:rFonts w:ascii="Symbol" w:hAnsi="Symbol" w:hint="default"/>
      </w:rPr>
    </w:lvl>
    <w:lvl w:ilvl="2" w:tplc="EEDC272C" w:tentative="1">
      <w:start w:val="1"/>
      <w:numFmt w:val="bullet"/>
      <w:lvlText w:val=""/>
      <w:lvlJc w:val="left"/>
      <w:pPr>
        <w:tabs>
          <w:tab w:val="num" w:pos="2160"/>
        </w:tabs>
        <w:ind w:left="2160" w:hanging="360"/>
      </w:pPr>
      <w:rPr>
        <w:rFonts w:ascii="Symbol" w:hAnsi="Symbol" w:hint="default"/>
      </w:rPr>
    </w:lvl>
    <w:lvl w:ilvl="3" w:tplc="50B25166" w:tentative="1">
      <w:start w:val="1"/>
      <w:numFmt w:val="bullet"/>
      <w:lvlText w:val=""/>
      <w:lvlJc w:val="left"/>
      <w:pPr>
        <w:tabs>
          <w:tab w:val="num" w:pos="2880"/>
        </w:tabs>
        <w:ind w:left="2880" w:hanging="360"/>
      </w:pPr>
      <w:rPr>
        <w:rFonts w:ascii="Symbol" w:hAnsi="Symbol" w:hint="default"/>
      </w:rPr>
    </w:lvl>
    <w:lvl w:ilvl="4" w:tplc="461AE824" w:tentative="1">
      <w:start w:val="1"/>
      <w:numFmt w:val="bullet"/>
      <w:lvlText w:val=""/>
      <w:lvlJc w:val="left"/>
      <w:pPr>
        <w:tabs>
          <w:tab w:val="num" w:pos="3600"/>
        </w:tabs>
        <w:ind w:left="3600" w:hanging="360"/>
      </w:pPr>
      <w:rPr>
        <w:rFonts w:ascii="Symbol" w:hAnsi="Symbol" w:hint="default"/>
      </w:rPr>
    </w:lvl>
    <w:lvl w:ilvl="5" w:tplc="712AB04E" w:tentative="1">
      <w:start w:val="1"/>
      <w:numFmt w:val="bullet"/>
      <w:lvlText w:val=""/>
      <w:lvlJc w:val="left"/>
      <w:pPr>
        <w:tabs>
          <w:tab w:val="num" w:pos="4320"/>
        </w:tabs>
        <w:ind w:left="4320" w:hanging="360"/>
      </w:pPr>
      <w:rPr>
        <w:rFonts w:ascii="Symbol" w:hAnsi="Symbol" w:hint="default"/>
      </w:rPr>
    </w:lvl>
    <w:lvl w:ilvl="6" w:tplc="2BA47B96" w:tentative="1">
      <w:start w:val="1"/>
      <w:numFmt w:val="bullet"/>
      <w:lvlText w:val=""/>
      <w:lvlJc w:val="left"/>
      <w:pPr>
        <w:tabs>
          <w:tab w:val="num" w:pos="5040"/>
        </w:tabs>
        <w:ind w:left="5040" w:hanging="360"/>
      </w:pPr>
      <w:rPr>
        <w:rFonts w:ascii="Symbol" w:hAnsi="Symbol" w:hint="default"/>
      </w:rPr>
    </w:lvl>
    <w:lvl w:ilvl="7" w:tplc="B48E580C" w:tentative="1">
      <w:start w:val="1"/>
      <w:numFmt w:val="bullet"/>
      <w:lvlText w:val=""/>
      <w:lvlJc w:val="left"/>
      <w:pPr>
        <w:tabs>
          <w:tab w:val="num" w:pos="5760"/>
        </w:tabs>
        <w:ind w:left="5760" w:hanging="360"/>
      </w:pPr>
      <w:rPr>
        <w:rFonts w:ascii="Symbol" w:hAnsi="Symbol" w:hint="default"/>
      </w:rPr>
    </w:lvl>
    <w:lvl w:ilvl="8" w:tplc="50DC5820" w:tentative="1">
      <w:start w:val="1"/>
      <w:numFmt w:val="bullet"/>
      <w:lvlText w:val=""/>
      <w:lvlJc w:val="left"/>
      <w:pPr>
        <w:tabs>
          <w:tab w:val="num" w:pos="6480"/>
        </w:tabs>
        <w:ind w:left="6480" w:hanging="360"/>
      </w:pPr>
      <w:rPr>
        <w:rFonts w:ascii="Symbol" w:hAnsi="Symbol" w:hint="default"/>
      </w:rPr>
    </w:lvl>
  </w:abstractNum>
  <w:abstractNum w:abstractNumId="39">
    <w:nsid w:val="75D12A81"/>
    <w:multiLevelType w:val="hybridMultilevel"/>
    <w:tmpl w:val="AE2EB2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C61AC8"/>
    <w:multiLevelType w:val="hybridMultilevel"/>
    <w:tmpl w:val="28547694"/>
    <w:lvl w:ilvl="0" w:tplc="CFD26552">
      <w:start w:val="1"/>
      <w:numFmt w:val="bullet"/>
      <w:lvlText w:val=""/>
      <w:lvlJc w:val="left"/>
      <w:pPr>
        <w:tabs>
          <w:tab w:val="num" w:pos="1080"/>
        </w:tabs>
        <w:ind w:left="1080" w:hanging="108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CF34EC4"/>
    <w:multiLevelType w:val="hybridMultilevel"/>
    <w:tmpl w:val="E42E704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EA55920"/>
    <w:multiLevelType w:val="hybridMultilevel"/>
    <w:tmpl w:val="B64E4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1"/>
        <w:lvlJc w:val="left"/>
        <w:pPr>
          <w:ind w:left="1" w:hanging="1"/>
        </w:pPr>
        <w:rPr>
          <w:rFonts w:ascii="Arial" w:hAnsi="Arial" w:hint="default"/>
        </w:rPr>
      </w:lvl>
    </w:lvlOverride>
  </w:num>
  <w:num w:numId="2">
    <w:abstractNumId w:val="26"/>
  </w:num>
  <w:num w:numId="3">
    <w:abstractNumId w:val="18"/>
  </w:num>
  <w:num w:numId="4">
    <w:abstractNumId w:val="37"/>
  </w:num>
  <w:num w:numId="5">
    <w:abstractNumId w:val="0"/>
    <w:lvlOverride w:ilvl="0">
      <w:lvl w:ilvl="0">
        <w:start w:val="1"/>
        <w:numFmt w:val="bullet"/>
        <w:lvlText w:val=""/>
        <w:legacy w:legacy="1" w:legacySpace="0" w:legacyIndent="1"/>
        <w:lvlJc w:val="left"/>
        <w:pPr>
          <w:ind w:left="1" w:hanging="1"/>
        </w:pPr>
        <w:rPr>
          <w:rFonts w:ascii="WP MathA" w:hAnsi="WP MathA" w:hint="default"/>
        </w:rPr>
      </w:lvl>
    </w:lvlOverride>
  </w:num>
  <w:num w:numId="6">
    <w:abstractNumId w:val="0"/>
    <w:lvlOverride w:ilvl="0">
      <w:lvl w:ilvl="0">
        <w:start w:val="1"/>
        <w:numFmt w:val="bullet"/>
        <w:lvlText w:val="#"/>
        <w:legacy w:legacy="1" w:legacySpace="0" w:legacyIndent="1"/>
        <w:lvlJc w:val="left"/>
        <w:pPr>
          <w:ind w:left="1" w:hanging="1"/>
        </w:pPr>
        <w:rPr>
          <w:rFonts w:ascii="WP TypographicSymbols" w:hAnsi="WP TypographicSymbols" w:hint="default"/>
        </w:rPr>
      </w:lvl>
    </w:lvlOverride>
  </w:num>
  <w:num w:numId="7">
    <w:abstractNumId w:val="14"/>
  </w:num>
  <w:num w:numId="8">
    <w:abstractNumId w:val="23"/>
  </w:num>
  <w:num w:numId="9">
    <w:abstractNumId w:val="6"/>
  </w:num>
  <w:num w:numId="10">
    <w:abstractNumId w:val="21"/>
  </w:num>
  <w:num w:numId="11">
    <w:abstractNumId w:val="31"/>
  </w:num>
  <w:num w:numId="12">
    <w:abstractNumId w:val="33"/>
  </w:num>
  <w:num w:numId="13">
    <w:abstractNumId w:val="15"/>
  </w:num>
  <w:num w:numId="14">
    <w:abstractNumId w:val="7"/>
  </w:num>
  <w:num w:numId="15">
    <w:abstractNumId w:val="1"/>
  </w:num>
  <w:num w:numId="16">
    <w:abstractNumId w:val="4"/>
  </w:num>
  <w:num w:numId="17">
    <w:abstractNumId w:val="42"/>
  </w:num>
  <w:num w:numId="18">
    <w:abstractNumId w:val="34"/>
  </w:num>
  <w:num w:numId="19">
    <w:abstractNumId w:val="17"/>
  </w:num>
  <w:num w:numId="20">
    <w:abstractNumId w:val="36"/>
  </w:num>
  <w:num w:numId="21">
    <w:abstractNumId w:val="8"/>
  </w:num>
  <w:num w:numId="22">
    <w:abstractNumId w:val="20"/>
  </w:num>
  <w:num w:numId="23">
    <w:abstractNumId w:val="41"/>
  </w:num>
  <w:num w:numId="24">
    <w:abstractNumId w:val="19"/>
  </w:num>
  <w:num w:numId="25">
    <w:abstractNumId w:val="12"/>
  </w:num>
  <w:num w:numId="26">
    <w:abstractNumId w:val="3"/>
  </w:num>
  <w:num w:numId="27">
    <w:abstractNumId w:val="22"/>
  </w:num>
  <w:num w:numId="28">
    <w:abstractNumId w:val="39"/>
  </w:num>
  <w:num w:numId="29">
    <w:abstractNumId w:val="24"/>
  </w:num>
  <w:num w:numId="30">
    <w:abstractNumId w:val="2"/>
  </w:num>
  <w:num w:numId="31">
    <w:abstractNumId w:val="25"/>
  </w:num>
  <w:num w:numId="32">
    <w:abstractNumId w:val="29"/>
  </w:num>
  <w:num w:numId="33">
    <w:abstractNumId w:val="11"/>
  </w:num>
  <w:num w:numId="34">
    <w:abstractNumId w:val="28"/>
  </w:num>
  <w:num w:numId="35">
    <w:abstractNumId w:val="35"/>
  </w:num>
  <w:num w:numId="36">
    <w:abstractNumId w:val="5"/>
  </w:num>
  <w:num w:numId="37">
    <w:abstractNumId w:val="13"/>
  </w:num>
  <w:num w:numId="38">
    <w:abstractNumId w:val="16"/>
  </w:num>
  <w:num w:numId="39">
    <w:abstractNumId w:val="27"/>
  </w:num>
  <w:num w:numId="40">
    <w:abstractNumId w:val="40"/>
  </w:num>
  <w:num w:numId="41">
    <w:abstractNumId w:val="30"/>
  </w:num>
  <w:num w:numId="42">
    <w:abstractNumId w:val="10"/>
  </w:num>
  <w:num w:numId="43">
    <w:abstractNumId w:val="9"/>
  </w:num>
  <w:num w:numId="44">
    <w:abstractNumId w:val="3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05"/>
    <w:rsid w:val="00014538"/>
    <w:rsid w:val="00014A3E"/>
    <w:rsid w:val="00015FA4"/>
    <w:rsid w:val="000166A9"/>
    <w:rsid w:val="00057004"/>
    <w:rsid w:val="00062B45"/>
    <w:rsid w:val="00071FB8"/>
    <w:rsid w:val="00076A95"/>
    <w:rsid w:val="000B5C42"/>
    <w:rsid w:val="000C60F7"/>
    <w:rsid w:val="000C7C1E"/>
    <w:rsid w:val="000F1BC0"/>
    <w:rsid w:val="0010217F"/>
    <w:rsid w:val="00121487"/>
    <w:rsid w:val="00132E95"/>
    <w:rsid w:val="001349DD"/>
    <w:rsid w:val="001517E2"/>
    <w:rsid w:val="00152625"/>
    <w:rsid w:val="00162E59"/>
    <w:rsid w:val="001854FB"/>
    <w:rsid w:val="00193642"/>
    <w:rsid w:val="001B0005"/>
    <w:rsid w:val="001C002A"/>
    <w:rsid w:val="001C39F6"/>
    <w:rsid w:val="001C3EF3"/>
    <w:rsid w:val="001C66FE"/>
    <w:rsid w:val="001D4908"/>
    <w:rsid w:val="001D6904"/>
    <w:rsid w:val="001F0957"/>
    <w:rsid w:val="001F522F"/>
    <w:rsid w:val="0020456D"/>
    <w:rsid w:val="0023668F"/>
    <w:rsid w:val="00236E6D"/>
    <w:rsid w:val="002426F8"/>
    <w:rsid w:val="002429E5"/>
    <w:rsid w:val="00280CEF"/>
    <w:rsid w:val="0028757A"/>
    <w:rsid w:val="002E2492"/>
    <w:rsid w:val="00302FB2"/>
    <w:rsid w:val="00304BD0"/>
    <w:rsid w:val="00307D77"/>
    <w:rsid w:val="00313E9E"/>
    <w:rsid w:val="003150D5"/>
    <w:rsid w:val="00316010"/>
    <w:rsid w:val="00320F78"/>
    <w:rsid w:val="00353AB6"/>
    <w:rsid w:val="0035768F"/>
    <w:rsid w:val="0038177C"/>
    <w:rsid w:val="00382581"/>
    <w:rsid w:val="003836EB"/>
    <w:rsid w:val="00387024"/>
    <w:rsid w:val="003C1575"/>
    <w:rsid w:val="003C573E"/>
    <w:rsid w:val="003D07AE"/>
    <w:rsid w:val="003D07F7"/>
    <w:rsid w:val="003D5275"/>
    <w:rsid w:val="003D63DF"/>
    <w:rsid w:val="003D737F"/>
    <w:rsid w:val="003F58AD"/>
    <w:rsid w:val="003F7474"/>
    <w:rsid w:val="00404616"/>
    <w:rsid w:val="00406C25"/>
    <w:rsid w:val="00407B6A"/>
    <w:rsid w:val="00414400"/>
    <w:rsid w:val="004218AA"/>
    <w:rsid w:val="00421CD4"/>
    <w:rsid w:val="00427833"/>
    <w:rsid w:val="0044196E"/>
    <w:rsid w:val="004474E5"/>
    <w:rsid w:val="004652A9"/>
    <w:rsid w:val="00474210"/>
    <w:rsid w:val="00480B96"/>
    <w:rsid w:val="0048303E"/>
    <w:rsid w:val="004920F6"/>
    <w:rsid w:val="004A67E8"/>
    <w:rsid w:val="004C3D65"/>
    <w:rsid w:val="004D6472"/>
    <w:rsid w:val="00597D3F"/>
    <w:rsid w:val="005B11A2"/>
    <w:rsid w:val="005B44E3"/>
    <w:rsid w:val="005B7495"/>
    <w:rsid w:val="005B79E9"/>
    <w:rsid w:val="005E4912"/>
    <w:rsid w:val="005E6F1F"/>
    <w:rsid w:val="005F44D1"/>
    <w:rsid w:val="00621129"/>
    <w:rsid w:val="00624614"/>
    <w:rsid w:val="00633916"/>
    <w:rsid w:val="00641D2B"/>
    <w:rsid w:val="00662D3E"/>
    <w:rsid w:val="00665C7E"/>
    <w:rsid w:val="00672DDD"/>
    <w:rsid w:val="00676C91"/>
    <w:rsid w:val="0067733E"/>
    <w:rsid w:val="00690B77"/>
    <w:rsid w:val="006C4000"/>
    <w:rsid w:val="006C7A60"/>
    <w:rsid w:val="006E0588"/>
    <w:rsid w:val="006E56E8"/>
    <w:rsid w:val="006E67B4"/>
    <w:rsid w:val="006F0F25"/>
    <w:rsid w:val="00711200"/>
    <w:rsid w:val="007141FE"/>
    <w:rsid w:val="00715402"/>
    <w:rsid w:val="0072397F"/>
    <w:rsid w:val="00731922"/>
    <w:rsid w:val="00731ACB"/>
    <w:rsid w:val="007368AD"/>
    <w:rsid w:val="0074133D"/>
    <w:rsid w:val="0075196D"/>
    <w:rsid w:val="0075558C"/>
    <w:rsid w:val="00761EFA"/>
    <w:rsid w:val="00764873"/>
    <w:rsid w:val="007778DD"/>
    <w:rsid w:val="00796693"/>
    <w:rsid w:val="007C7591"/>
    <w:rsid w:val="007D3E8C"/>
    <w:rsid w:val="007D5CD5"/>
    <w:rsid w:val="007E2B4D"/>
    <w:rsid w:val="007F6AE9"/>
    <w:rsid w:val="008126A6"/>
    <w:rsid w:val="00826D54"/>
    <w:rsid w:val="00834CBF"/>
    <w:rsid w:val="00836F89"/>
    <w:rsid w:val="00846459"/>
    <w:rsid w:val="008469C5"/>
    <w:rsid w:val="00863435"/>
    <w:rsid w:val="00870237"/>
    <w:rsid w:val="00872827"/>
    <w:rsid w:val="0087349A"/>
    <w:rsid w:val="008865B6"/>
    <w:rsid w:val="00893076"/>
    <w:rsid w:val="008953D9"/>
    <w:rsid w:val="00895DF4"/>
    <w:rsid w:val="008B1A4D"/>
    <w:rsid w:val="008D589C"/>
    <w:rsid w:val="008E4A4D"/>
    <w:rsid w:val="008E7085"/>
    <w:rsid w:val="008F60C3"/>
    <w:rsid w:val="009254D6"/>
    <w:rsid w:val="0092669B"/>
    <w:rsid w:val="0093163E"/>
    <w:rsid w:val="00936106"/>
    <w:rsid w:val="00936436"/>
    <w:rsid w:val="00960FE5"/>
    <w:rsid w:val="00966BAC"/>
    <w:rsid w:val="0099439E"/>
    <w:rsid w:val="009A2ABE"/>
    <w:rsid w:val="009A6A2F"/>
    <w:rsid w:val="009C755C"/>
    <w:rsid w:val="009C780F"/>
    <w:rsid w:val="009D3271"/>
    <w:rsid w:val="00A25353"/>
    <w:rsid w:val="00A26AAF"/>
    <w:rsid w:val="00A34F5F"/>
    <w:rsid w:val="00A46A68"/>
    <w:rsid w:val="00A50EE9"/>
    <w:rsid w:val="00A86F48"/>
    <w:rsid w:val="00AD0A33"/>
    <w:rsid w:val="00AE0982"/>
    <w:rsid w:val="00AF054E"/>
    <w:rsid w:val="00B07524"/>
    <w:rsid w:val="00B113E7"/>
    <w:rsid w:val="00B35B7C"/>
    <w:rsid w:val="00B53C15"/>
    <w:rsid w:val="00B90095"/>
    <w:rsid w:val="00BD3522"/>
    <w:rsid w:val="00BD43E6"/>
    <w:rsid w:val="00BD5F0C"/>
    <w:rsid w:val="00C0293C"/>
    <w:rsid w:val="00C0799A"/>
    <w:rsid w:val="00C11D0D"/>
    <w:rsid w:val="00C509C3"/>
    <w:rsid w:val="00C50A17"/>
    <w:rsid w:val="00C70EAE"/>
    <w:rsid w:val="00C83B65"/>
    <w:rsid w:val="00C90CC6"/>
    <w:rsid w:val="00CD50B5"/>
    <w:rsid w:val="00CD73A9"/>
    <w:rsid w:val="00D06F12"/>
    <w:rsid w:val="00D176CB"/>
    <w:rsid w:val="00D210BF"/>
    <w:rsid w:val="00D21EF3"/>
    <w:rsid w:val="00D31C86"/>
    <w:rsid w:val="00D46790"/>
    <w:rsid w:val="00D91C27"/>
    <w:rsid w:val="00DC5925"/>
    <w:rsid w:val="00DC60FA"/>
    <w:rsid w:val="00DD7FDA"/>
    <w:rsid w:val="00DE23AF"/>
    <w:rsid w:val="00DF05C2"/>
    <w:rsid w:val="00DF3B9A"/>
    <w:rsid w:val="00E17598"/>
    <w:rsid w:val="00EA1FD2"/>
    <w:rsid w:val="00EA5199"/>
    <w:rsid w:val="00EC3318"/>
    <w:rsid w:val="00ED7A05"/>
    <w:rsid w:val="00EE334C"/>
    <w:rsid w:val="00F02153"/>
    <w:rsid w:val="00F058DF"/>
    <w:rsid w:val="00F15675"/>
    <w:rsid w:val="00F21250"/>
    <w:rsid w:val="00F2398D"/>
    <w:rsid w:val="00F307BD"/>
    <w:rsid w:val="00F634A3"/>
    <w:rsid w:val="00F710F9"/>
    <w:rsid w:val="00F7610C"/>
    <w:rsid w:val="00F7620F"/>
    <w:rsid w:val="00F87F40"/>
    <w:rsid w:val="00FA0AE4"/>
    <w:rsid w:val="00FB4DBA"/>
    <w:rsid w:val="00FB667E"/>
    <w:rsid w:val="00FD4855"/>
    <w:rsid w:val="00FE552D"/>
    <w:rsid w:val="00FE593B"/>
    <w:rsid w:val="00FF1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C7E"/>
    <w:rPr>
      <w:sz w:val="24"/>
      <w:szCs w:val="24"/>
    </w:rPr>
  </w:style>
  <w:style w:type="paragraph" w:styleId="Heading1">
    <w:name w:val="heading 1"/>
    <w:basedOn w:val="Normal"/>
    <w:next w:val="Normal"/>
    <w:link w:val="Heading1Char"/>
    <w:qFormat/>
    <w:rsid w:val="00665C7E"/>
    <w:pPr>
      <w:autoSpaceDE w:val="0"/>
      <w:autoSpaceDN w:val="0"/>
      <w:adjustRightInd w:val="0"/>
      <w:outlineLvl w:val="0"/>
    </w:pPr>
    <w:rPr>
      <w:rFonts w:ascii="Arial" w:hAnsi="Arial"/>
      <w:b/>
      <w:bCs/>
      <w:sz w:val="28"/>
    </w:rPr>
  </w:style>
  <w:style w:type="paragraph" w:styleId="Heading2">
    <w:name w:val="heading 2"/>
    <w:basedOn w:val="Normal"/>
    <w:next w:val="Normal"/>
    <w:qFormat/>
    <w:rsid w:val="00665C7E"/>
    <w:pPr>
      <w:keepNext/>
      <w:spacing w:before="240" w:after="60"/>
      <w:jc w:val="center"/>
      <w:outlineLvl w:val="1"/>
    </w:pPr>
    <w:rPr>
      <w:rFonts w:ascii="Arial" w:hAnsi="Arial" w:cs="Arial"/>
      <w:b/>
      <w:bCs/>
      <w:iCs/>
      <w:sz w:val="28"/>
      <w:szCs w:val="28"/>
    </w:rPr>
  </w:style>
  <w:style w:type="paragraph" w:styleId="Heading3">
    <w:name w:val="heading 3"/>
    <w:basedOn w:val="Normal"/>
    <w:next w:val="Normal"/>
    <w:qFormat/>
    <w:rsid w:val="00665C7E"/>
    <w:pPr>
      <w:keepNext/>
      <w:spacing w:before="240" w:after="60"/>
      <w:outlineLvl w:val="2"/>
    </w:pPr>
    <w:rPr>
      <w:rFonts w:ascii="Arial" w:hAnsi="Arial"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C1575"/>
    <w:rPr>
      <w:rFonts w:ascii="Arial" w:hAnsi="Arial"/>
      <w:b/>
      <w:bCs/>
      <w:sz w:val="28"/>
      <w:szCs w:val="24"/>
      <w:lang w:val="en-US" w:eastAsia="en-US" w:bidi="ar-SA"/>
    </w:rPr>
  </w:style>
  <w:style w:type="paragraph" w:styleId="Footer">
    <w:name w:val="footer"/>
    <w:basedOn w:val="Normal"/>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character" w:customStyle="1" w:styleId="HeaderChar">
    <w:name w:val="Header Char"/>
    <w:link w:val="Header"/>
    <w:uiPriority w:val="99"/>
    <w:rsid w:val="00715402"/>
    <w:rPr>
      <w:sz w:val="24"/>
      <w:szCs w:val="24"/>
    </w:r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semiHidden/>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pPr>
      <w:jc w:val="center"/>
    </w:pPr>
    <w:rPr>
      <w:caps/>
      <w:szCs w:val="28"/>
    </w:rPr>
  </w:style>
  <w:style w:type="character" w:customStyle="1" w:styleId="StyleHeading1CenteredChar">
    <w:name w:val="Style Heading 1 + Centered Char"/>
    <w:link w:val="StyleHeading1Centered"/>
    <w:rsid w:val="003C1575"/>
    <w:rPr>
      <w:rFonts w:ascii="Arial" w:hAnsi="Arial"/>
      <w:b/>
      <w:bCs/>
      <w:caps/>
      <w:sz w:val="28"/>
      <w:szCs w:val="28"/>
      <w:lang w:val="en-US" w:eastAsia="en-US" w:bidi="ar-SA"/>
    </w:rPr>
  </w:style>
  <w:style w:type="paragraph" w:styleId="ListParagraph">
    <w:name w:val="List Paragraph"/>
    <w:basedOn w:val="Normal"/>
    <w:uiPriority w:val="34"/>
    <w:qFormat/>
    <w:rsid w:val="005B11A2"/>
    <w:pPr>
      <w:spacing w:after="200" w:line="276" w:lineRule="auto"/>
      <w:ind w:left="720"/>
      <w:contextualSpacing/>
    </w:pPr>
    <w:rPr>
      <w:rFonts w:ascii="Calibri" w:eastAsia="Calibri" w:hAnsi="Calibri"/>
      <w:sz w:val="22"/>
      <w:szCs w:val="22"/>
    </w:rPr>
  </w:style>
  <w:style w:type="paragraph" w:customStyle="1" w:styleId="Default">
    <w:name w:val="Default"/>
    <w:rsid w:val="00062B45"/>
    <w:pPr>
      <w:autoSpaceDE w:val="0"/>
      <w:autoSpaceDN w:val="0"/>
      <w:adjustRightInd w:val="0"/>
    </w:pPr>
    <w:rPr>
      <w:rFonts w:eastAsia="Calibri"/>
      <w:color w:val="000000"/>
      <w:sz w:val="24"/>
      <w:szCs w:val="24"/>
    </w:rPr>
  </w:style>
  <w:style w:type="character" w:styleId="CommentReference">
    <w:name w:val="annotation reference"/>
    <w:uiPriority w:val="99"/>
    <w:unhideWhenUsed/>
    <w:rsid w:val="00715402"/>
    <w:rPr>
      <w:sz w:val="16"/>
      <w:szCs w:val="16"/>
    </w:rPr>
  </w:style>
  <w:style w:type="character" w:customStyle="1" w:styleId="CommentTextChar">
    <w:name w:val="Comment Text Char"/>
    <w:basedOn w:val="DefaultParagraphFont"/>
    <w:link w:val="CommentText"/>
    <w:uiPriority w:val="99"/>
    <w:rsid w:val="00715402"/>
  </w:style>
  <w:style w:type="paragraph" w:styleId="CommentText">
    <w:name w:val="annotation text"/>
    <w:basedOn w:val="Normal"/>
    <w:link w:val="CommentTextChar"/>
    <w:uiPriority w:val="99"/>
    <w:unhideWhenUsed/>
    <w:rsid w:val="00715402"/>
    <w:rPr>
      <w:sz w:val="20"/>
      <w:szCs w:val="20"/>
    </w:rPr>
  </w:style>
  <w:style w:type="character" w:customStyle="1" w:styleId="CommentSubjectChar">
    <w:name w:val="Comment Subject Char"/>
    <w:basedOn w:val="CommentTextChar"/>
    <w:link w:val="CommentSubject"/>
    <w:uiPriority w:val="99"/>
    <w:rsid w:val="00715402"/>
    <w:rPr>
      <w:b/>
      <w:bCs/>
    </w:rPr>
  </w:style>
  <w:style w:type="paragraph" w:styleId="CommentSubject">
    <w:name w:val="annotation subject"/>
    <w:basedOn w:val="CommentText"/>
    <w:next w:val="CommentText"/>
    <w:link w:val="CommentSubjectChar"/>
    <w:uiPriority w:val="99"/>
    <w:unhideWhenUsed/>
    <w:rsid w:val="00715402"/>
    <w:rPr>
      <w:b/>
      <w:bCs/>
    </w:rPr>
  </w:style>
  <w:style w:type="character" w:customStyle="1" w:styleId="BalloonTextChar">
    <w:name w:val="Balloon Text Char"/>
    <w:basedOn w:val="DefaultParagraphFont"/>
    <w:link w:val="BalloonText"/>
    <w:uiPriority w:val="99"/>
    <w:rsid w:val="00715402"/>
    <w:rPr>
      <w:rFonts w:ascii="Tahoma" w:hAnsi="Tahoma" w:cs="Tahoma"/>
      <w:sz w:val="16"/>
      <w:szCs w:val="16"/>
    </w:rPr>
  </w:style>
  <w:style w:type="paragraph" w:styleId="BalloonText">
    <w:name w:val="Balloon Text"/>
    <w:basedOn w:val="Normal"/>
    <w:link w:val="BalloonTextChar"/>
    <w:uiPriority w:val="99"/>
    <w:unhideWhenUsed/>
    <w:rsid w:val="00715402"/>
    <w:rPr>
      <w:rFonts w:ascii="Tahoma" w:hAnsi="Tahoma" w:cs="Tahoma"/>
      <w:sz w:val="16"/>
      <w:szCs w:val="16"/>
    </w:rPr>
  </w:style>
  <w:style w:type="character" w:customStyle="1" w:styleId="apple-converted-space">
    <w:name w:val="apple-converted-space"/>
    <w:rsid w:val="00715402"/>
  </w:style>
  <w:style w:type="paragraph" w:styleId="NormalWeb">
    <w:name w:val="Normal (Web)"/>
    <w:basedOn w:val="Normal"/>
    <w:uiPriority w:val="99"/>
    <w:unhideWhenUsed/>
    <w:rsid w:val="0071540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C7E"/>
    <w:rPr>
      <w:sz w:val="24"/>
      <w:szCs w:val="24"/>
    </w:rPr>
  </w:style>
  <w:style w:type="paragraph" w:styleId="Heading1">
    <w:name w:val="heading 1"/>
    <w:basedOn w:val="Normal"/>
    <w:next w:val="Normal"/>
    <w:link w:val="Heading1Char"/>
    <w:qFormat/>
    <w:rsid w:val="00665C7E"/>
    <w:pPr>
      <w:autoSpaceDE w:val="0"/>
      <w:autoSpaceDN w:val="0"/>
      <w:adjustRightInd w:val="0"/>
      <w:outlineLvl w:val="0"/>
    </w:pPr>
    <w:rPr>
      <w:rFonts w:ascii="Arial" w:hAnsi="Arial"/>
      <w:b/>
      <w:bCs/>
      <w:sz w:val="28"/>
    </w:rPr>
  </w:style>
  <w:style w:type="paragraph" w:styleId="Heading2">
    <w:name w:val="heading 2"/>
    <w:basedOn w:val="Normal"/>
    <w:next w:val="Normal"/>
    <w:qFormat/>
    <w:rsid w:val="00665C7E"/>
    <w:pPr>
      <w:keepNext/>
      <w:spacing w:before="240" w:after="60"/>
      <w:jc w:val="center"/>
      <w:outlineLvl w:val="1"/>
    </w:pPr>
    <w:rPr>
      <w:rFonts w:ascii="Arial" w:hAnsi="Arial" w:cs="Arial"/>
      <w:b/>
      <w:bCs/>
      <w:iCs/>
      <w:sz w:val="28"/>
      <w:szCs w:val="28"/>
    </w:rPr>
  </w:style>
  <w:style w:type="paragraph" w:styleId="Heading3">
    <w:name w:val="heading 3"/>
    <w:basedOn w:val="Normal"/>
    <w:next w:val="Normal"/>
    <w:qFormat/>
    <w:rsid w:val="00665C7E"/>
    <w:pPr>
      <w:keepNext/>
      <w:spacing w:before="240" w:after="60"/>
      <w:outlineLvl w:val="2"/>
    </w:pPr>
    <w:rPr>
      <w:rFonts w:ascii="Arial" w:hAnsi="Arial"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C1575"/>
    <w:rPr>
      <w:rFonts w:ascii="Arial" w:hAnsi="Arial"/>
      <w:b/>
      <w:bCs/>
      <w:sz w:val="28"/>
      <w:szCs w:val="24"/>
      <w:lang w:val="en-US" w:eastAsia="en-US" w:bidi="ar-SA"/>
    </w:rPr>
  </w:style>
  <w:style w:type="paragraph" w:styleId="Footer">
    <w:name w:val="footer"/>
    <w:basedOn w:val="Normal"/>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character" w:customStyle="1" w:styleId="HeaderChar">
    <w:name w:val="Header Char"/>
    <w:link w:val="Header"/>
    <w:uiPriority w:val="99"/>
    <w:rsid w:val="00715402"/>
    <w:rPr>
      <w:sz w:val="24"/>
      <w:szCs w:val="24"/>
    </w:r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semiHidden/>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pPr>
      <w:jc w:val="center"/>
    </w:pPr>
    <w:rPr>
      <w:caps/>
      <w:szCs w:val="28"/>
    </w:rPr>
  </w:style>
  <w:style w:type="character" w:customStyle="1" w:styleId="StyleHeading1CenteredChar">
    <w:name w:val="Style Heading 1 + Centered Char"/>
    <w:link w:val="StyleHeading1Centered"/>
    <w:rsid w:val="003C1575"/>
    <w:rPr>
      <w:rFonts w:ascii="Arial" w:hAnsi="Arial"/>
      <w:b/>
      <w:bCs/>
      <w:caps/>
      <w:sz w:val="28"/>
      <w:szCs w:val="28"/>
      <w:lang w:val="en-US" w:eastAsia="en-US" w:bidi="ar-SA"/>
    </w:rPr>
  </w:style>
  <w:style w:type="paragraph" w:styleId="ListParagraph">
    <w:name w:val="List Paragraph"/>
    <w:basedOn w:val="Normal"/>
    <w:uiPriority w:val="34"/>
    <w:qFormat/>
    <w:rsid w:val="005B11A2"/>
    <w:pPr>
      <w:spacing w:after="200" w:line="276" w:lineRule="auto"/>
      <w:ind w:left="720"/>
      <w:contextualSpacing/>
    </w:pPr>
    <w:rPr>
      <w:rFonts w:ascii="Calibri" w:eastAsia="Calibri" w:hAnsi="Calibri"/>
      <w:sz w:val="22"/>
      <w:szCs w:val="22"/>
    </w:rPr>
  </w:style>
  <w:style w:type="paragraph" w:customStyle="1" w:styleId="Default">
    <w:name w:val="Default"/>
    <w:rsid w:val="00062B45"/>
    <w:pPr>
      <w:autoSpaceDE w:val="0"/>
      <w:autoSpaceDN w:val="0"/>
      <w:adjustRightInd w:val="0"/>
    </w:pPr>
    <w:rPr>
      <w:rFonts w:eastAsia="Calibri"/>
      <w:color w:val="000000"/>
      <w:sz w:val="24"/>
      <w:szCs w:val="24"/>
    </w:rPr>
  </w:style>
  <w:style w:type="character" w:styleId="CommentReference">
    <w:name w:val="annotation reference"/>
    <w:uiPriority w:val="99"/>
    <w:unhideWhenUsed/>
    <w:rsid w:val="00715402"/>
    <w:rPr>
      <w:sz w:val="16"/>
      <w:szCs w:val="16"/>
    </w:rPr>
  </w:style>
  <w:style w:type="character" w:customStyle="1" w:styleId="CommentTextChar">
    <w:name w:val="Comment Text Char"/>
    <w:basedOn w:val="DefaultParagraphFont"/>
    <w:link w:val="CommentText"/>
    <w:uiPriority w:val="99"/>
    <w:rsid w:val="00715402"/>
  </w:style>
  <w:style w:type="paragraph" w:styleId="CommentText">
    <w:name w:val="annotation text"/>
    <w:basedOn w:val="Normal"/>
    <w:link w:val="CommentTextChar"/>
    <w:uiPriority w:val="99"/>
    <w:unhideWhenUsed/>
    <w:rsid w:val="00715402"/>
    <w:rPr>
      <w:sz w:val="20"/>
      <w:szCs w:val="20"/>
    </w:rPr>
  </w:style>
  <w:style w:type="character" w:customStyle="1" w:styleId="CommentSubjectChar">
    <w:name w:val="Comment Subject Char"/>
    <w:basedOn w:val="CommentTextChar"/>
    <w:link w:val="CommentSubject"/>
    <w:uiPriority w:val="99"/>
    <w:rsid w:val="00715402"/>
    <w:rPr>
      <w:b/>
      <w:bCs/>
    </w:rPr>
  </w:style>
  <w:style w:type="paragraph" w:styleId="CommentSubject">
    <w:name w:val="annotation subject"/>
    <w:basedOn w:val="CommentText"/>
    <w:next w:val="CommentText"/>
    <w:link w:val="CommentSubjectChar"/>
    <w:uiPriority w:val="99"/>
    <w:unhideWhenUsed/>
    <w:rsid w:val="00715402"/>
    <w:rPr>
      <w:b/>
      <w:bCs/>
    </w:rPr>
  </w:style>
  <w:style w:type="character" w:customStyle="1" w:styleId="BalloonTextChar">
    <w:name w:val="Balloon Text Char"/>
    <w:basedOn w:val="DefaultParagraphFont"/>
    <w:link w:val="BalloonText"/>
    <w:uiPriority w:val="99"/>
    <w:rsid w:val="00715402"/>
    <w:rPr>
      <w:rFonts w:ascii="Tahoma" w:hAnsi="Tahoma" w:cs="Tahoma"/>
      <w:sz w:val="16"/>
      <w:szCs w:val="16"/>
    </w:rPr>
  </w:style>
  <w:style w:type="paragraph" w:styleId="BalloonText">
    <w:name w:val="Balloon Text"/>
    <w:basedOn w:val="Normal"/>
    <w:link w:val="BalloonTextChar"/>
    <w:uiPriority w:val="99"/>
    <w:unhideWhenUsed/>
    <w:rsid w:val="00715402"/>
    <w:rPr>
      <w:rFonts w:ascii="Tahoma" w:hAnsi="Tahoma" w:cs="Tahoma"/>
      <w:sz w:val="16"/>
      <w:szCs w:val="16"/>
    </w:rPr>
  </w:style>
  <w:style w:type="character" w:customStyle="1" w:styleId="apple-converted-space">
    <w:name w:val="apple-converted-space"/>
    <w:rsid w:val="00715402"/>
  </w:style>
  <w:style w:type="paragraph" w:styleId="NormalWeb">
    <w:name w:val="Normal (Web)"/>
    <w:basedOn w:val="Normal"/>
    <w:uiPriority w:val="99"/>
    <w:unhideWhenUsed/>
    <w:rsid w:val="0071540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emf"/><Relationship Id="rId26" Type="http://schemas.openxmlformats.org/officeDocument/2006/relationships/image" Target="media/image12.emf"/><Relationship Id="rId39" Type="http://schemas.openxmlformats.org/officeDocument/2006/relationships/package" Target="embeddings/Microsoft_Excel_Worksheet7.xlsx"/><Relationship Id="rId21" Type="http://schemas.openxmlformats.org/officeDocument/2006/relationships/package" Target="embeddings/Microsoft_Excel_Worksheet4.xlsx"/><Relationship Id="rId34" Type="http://schemas.openxmlformats.org/officeDocument/2006/relationships/image" Target="media/image18.emf"/><Relationship Id="rId42" Type="http://schemas.openxmlformats.org/officeDocument/2006/relationships/image" Target="media/image25.emf"/><Relationship Id="rId47" Type="http://schemas.openxmlformats.org/officeDocument/2006/relationships/image" Target="media/image29.emf"/><Relationship Id="rId50" Type="http://schemas.openxmlformats.org/officeDocument/2006/relationships/image" Target="media/image32.emf"/><Relationship Id="rId55" Type="http://schemas.openxmlformats.org/officeDocument/2006/relationships/image" Target="media/image35.e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image" Target="media/image14.emf"/><Relationship Id="rId41" Type="http://schemas.openxmlformats.org/officeDocument/2006/relationships/image" Target="media/image24.emf"/><Relationship Id="rId54" Type="http://schemas.openxmlformats.org/officeDocument/2006/relationships/image" Target="media/image3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0.emf"/><Relationship Id="rId32" Type="http://schemas.openxmlformats.org/officeDocument/2006/relationships/image" Target="media/image17.emf"/><Relationship Id="rId37" Type="http://schemas.openxmlformats.org/officeDocument/2006/relationships/image" Target="media/image21.emf"/><Relationship Id="rId40" Type="http://schemas.openxmlformats.org/officeDocument/2006/relationships/image" Target="media/image23.emf"/><Relationship Id="rId45" Type="http://schemas.openxmlformats.org/officeDocument/2006/relationships/package" Target="embeddings/Microsoft_Excel_Worksheet8.xlsx"/><Relationship Id="rId53" Type="http://schemas.openxmlformats.org/officeDocument/2006/relationships/package" Target="embeddings/Microsoft_Excel_Worksheet10.xlsx"/><Relationship Id="rId58" Type="http://schemas.openxmlformats.org/officeDocument/2006/relationships/image" Target="media/image38.emf"/><Relationship Id="rId5" Type="http://schemas.openxmlformats.org/officeDocument/2006/relationships/settings" Target="settings.xml"/><Relationship Id="rId15" Type="http://schemas.openxmlformats.org/officeDocument/2006/relationships/package" Target="embeddings/Microsoft_Excel_Worksheet1.xlsx"/><Relationship Id="rId23" Type="http://schemas.openxmlformats.org/officeDocument/2006/relationships/image" Target="media/image9.emf"/><Relationship Id="rId28" Type="http://schemas.openxmlformats.org/officeDocument/2006/relationships/image" Target="media/image13.emf"/><Relationship Id="rId36" Type="http://schemas.openxmlformats.org/officeDocument/2006/relationships/image" Target="media/image20.emf"/><Relationship Id="rId49" Type="http://schemas.openxmlformats.org/officeDocument/2006/relationships/image" Target="media/image31.emf"/><Relationship Id="rId57" Type="http://schemas.openxmlformats.org/officeDocument/2006/relationships/image" Target="media/image37.emf"/><Relationship Id="rId61"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package" Target="embeddings/Microsoft_Excel_Worksheet3.xlsx"/><Relationship Id="rId31" Type="http://schemas.openxmlformats.org/officeDocument/2006/relationships/image" Target="media/image16.emf"/><Relationship Id="rId44" Type="http://schemas.openxmlformats.org/officeDocument/2006/relationships/image" Target="media/image27.emf"/><Relationship Id="rId52" Type="http://schemas.openxmlformats.org/officeDocument/2006/relationships/image" Target="media/image33.emf"/><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Excel_Worksheet5.xlsx"/><Relationship Id="rId30" Type="http://schemas.openxmlformats.org/officeDocument/2006/relationships/image" Target="media/image15.emf"/><Relationship Id="rId35" Type="http://schemas.openxmlformats.org/officeDocument/2006/relationships/image" Target="media/image19.emf"/><Relationship Id="rId43" Type="http://schemas.openxmlformats.org/officeDocument/2006/relationships/image" Target="media/image26.emf"/><Relationship Id="rId48" Type="http://schemas.openxmlformats.org/officeDocument/2006/relationships/image" Target="media/image30.emf"/><Relationship Id="rId56" Type="http://schemas.openxmlformats.org/officeDocument/2006/relationships/image" Target="media/image36.emf"/><Relationship Id="rId8" Type="http://schemas.openxmlformats.org/officeDocument/2006/relationships/endnotes" Target="endnotes.xml"/><Relationship Id="rId51" Type="http://schemas.openxmlformats.org/officeDocument/2006/relationships/package" Target="embeddings/Microsoft_Excel_Worksheet9.xlsx"/><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package" Target="embeddings/Microsoft_Excel_Worksheet2.xlsx"/><Relationship Id="rId25" Type="http://schemas.openxmlformats.org/officeDocument/2006/relationships/image" Target="media/image11.emf"/><Relationship Id="rId33" Type="http://schemas.openxmlformats.org/officeDocument/2006/relationships/package" Target="embeddings/Microsoft_Excel_Worksheet6.xlsx"/><Relationship Id="rId38" Type="http://schemas.openxmlformats.org/officeDocument/2006/relationships/image" Target="media/image22.emf"/><Relationship Id="rId46" Type="http://schemas.openxmlformats.org/officeDocument/2006/relationships/image" Target="media/image28.emf"/><Relationship Id="rId59" Type="http://schemas.openxmlformats.org/officeDocument/2006/relationships/image" Target="media/image39.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F4196-FDD6-4C6D-87FB-634BA9A1C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180</Pages>
  <Words>40666</Words>
  <Characters>231802</Characters>
  <Application>Microsoft Office Word</Application>
  <DocSecurity>0</DocSecurity>
  <Lines>1931</Lines>
  <Paragraphs>543</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271925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JDolence</dc:creator>
  <cp:lastModifiedBy>Taylor</cp:lastModifiedBy>
  <cp:revision>6</cp:revision>
  <cp:lastPrinted>2013-03-01T09:26:00Z</cp:lastPrinted>
  <dcterms:created xsi:type="dcterms:W3CDTF">2013-03-01T09:38:00Z</dcterms:created>
  <dcterms:modified xsi:type="dcterms:W3CDTF">2013-03-01T09:53:00Z</dcterms:modified>
</cp:coreProperties>
</file>