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drawings/drawing3.xml" ContentType="application/vnd.openxmlformats-officedocument.drawingml.chartshapes+xml"/>
  <Override PartName="/word/charts/chart4.xml" ContentType="application/vnd.openxmlformats-officedocument.drawingml.chart+xml"/>
  <Override PartName="/word/theme/themeOverride4.xml" ContentType="application/vnd.openxmlformats-officedocument.themeOverride+xml"/>
  <Override PartName="/word/drawings/drawing4.xml" ContentType="application/vnd.openxmlformats-officedocument.drawingml.chartshapes+xml"/>
  <Override PartName="/word/charts/chart5.xml" ContentType="application/vnd.openxmlformats-officedocument.drawingml.chart+xml"/>
  <Override PartName="/word/theme/themeOverride5.xml" ContentType="application/vnd.openxmlformats-officedocument.themeOverride+xml"/>
  <Override PartName="/word/drawings/drawing5.xml" ContentType="application/vnd.openxmlformats-officedocument.drawingml.chartshapes+xml"/>
  <Override PartName="/word/charts/chart6.xml" ContentType="application/vnd.openxmlformats-officedocument.drawingml.chart+xml"/>
  <Override PartName="/word/theme/themeOverride6.xml" ContentType="application/vnd.openxmlformats-officedocument.themeOverride+xml"/>
  <Override PartName="/word/drawings/drawing6.xml" ContentType="application/vnd.openxmlformats-officedocument.drawingml.chartshapes+xml"/>
  <Override PartName="/word/charts/chart7.xml" ContentType="application/vnd.openxmlformats-officedocument.drawingml.chart+xml"/>
  <Override PartName="/word/theme/themeOverride7.xml" ContentType="application/vnd.openxmlformats-officedocument.themeOverride+xml"/>
  <Override PartName="/word/drawings/drawing7.xml" ContentType="application/vnd.openxmlformats-officedocument.drawingml.chartshapes+xml"/>
  <Override PartName="/word/charts/chart8.xml" ContentType="application/vnd.openxmlformats-officedocument.drawingml.chart+xml"/>
  <Override PartName="/word/theme/themeOverride8.xml" ContentType="application/vnd.openxmlformats-officedocument.themeOverride+xml"/>
  <Override PartName="/word/drawings/drawing8.xml" ContentType="application/vnd.openxmlformats-officedocument.drawingml.chartshapes+xml"/>
  <Override PartName="/word/charts/chart9.xml" ContentType="application/vnd.openxmlformats-officedocument.drawingml.chart+xml"/>
  <Override PartName="/word/theme/themeOverride9.xml" ContentType="application/vnd.openxmlformats-officedocument.themeOverride+xml"/>
  <Override PartName="/word/drawings/drawing9.xml" ContentType="application/vnd.openxmlformats-officedocument.drawingml.chartshapes+xml"/>
  <Override PartName="/word/charts/chart10.xml" ContentType="application/vnd.openxmlformats-officedocument.drawingml.chart+xml"/>
  <Override PartName="/word/theme/themeOverride10.xml" ContentType="application/vnd.openxmlformats-officedocument.themeOverride+xml"/>
  <Override PartName="/word/drawings/drawing10.xml" ContentType="application/vnd.openxmlformats-officedocument.drawingml.chartshapes+xml"/>
  <Override PartName="/word/charts/chart11.xml" ContentType="application/vnd.openxmlformats-officedocument.drawingml.chart+xml"/>
  <Override PartName="/word/theme/themeOverride11.xml" ContentType="application/vnd.openxmlformats-officedocument.themeOverride+xml"/>
  <Override PartName="/word/drawings/drawing11.xml" ContentType="application/vnd.openxmlformats-officedocument.drawingml.chartshapes+xml"/>
  <Override PartName="/word/charts/chart12.xml" ContentType="application/vnd.openxmlformats-officedocument.drawingml.chart+xml"/>
  <Override PartName="/word/theme/themeOverride12.xml" ContentType="application/vnd.openxmlformats-officedocument.themeOverride+xml"/>
  <Override PartName="/word/drawings/drawing12.xml" ContentType="application/vnd.openxmlformats-officedocument.drawingml.chartshapes+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drawings/drawing13.xml" ContentType="application/vnd.openxmlformats-officedocument.drawingml.chartshapes+xml"/>
  <Override PartName="/word/charts/chart16.xml" ContentType="application/vnd.openxmlformats-officedocument.drawingml.chart+xml"/>
  <Override PartName="/word/theme/themeOverride16.xml" ContentType="application/vnd.openxmlformats-officedocument.themeOverride+xml"/>
  <Override PartName="/word/charts/chart17.xml" ContentType="application/vnd.openxmlformats-officedocument.drawingml.chart+xml"/>
  <Override PartName="/word/theme/themeOverride17.xml" ContentType="application/vnd.openxmlformats-officedocument.themeOverride+xml"/>
  <Override PartName="/word/charts/chart18.xml" ContentType="application/vnd.openxmlformats-officedocument.drawingml.chart+xml"/>
  <Override PartName="/word/theme/themeOverride18.xml" ContentType="application/vnd.openxmlformats-officedocument.themeOverride+xml"/>
  <Override PartName="/word/drawings/drawing14.xml" ContentType="application/vnd.openxmlformats-officedocument.drawingml.chartshapes+xml"/>
  <Override PartName="/word/charts/chart19.xml" ContentType="application/vnd.openxmlformats-officedocument.drawingml.chart+xml"/>
  <Override PartName="/word/theme/themeOverride19.xml" ContentType="application/vnd.openxmlformats-officedocument.themeOverride+xml"/>
  <Override PartName="/word/drawings/drawing15.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7D6A" w:rsidRPr="000F6FE1" w:rsidRDefault="00956898" w:rsidP="00097A19">
      <w:pPr>
        <w:tabs>
          <w:tab w:val="center" w:pos="4320"/>
          <w:tab w:val="left" w:pos="7484"/>
        </w:tabs>
        <w:jc w:val="center"/>
        <w:rPr>
          <w:b/>
          <w:bCs/>
          <w:sz w:val="36"/>
          <w:szCs w:val="36"/>
        </w:rPr>
      </w:pPr>
      <w:r>
        <w:rPr>
          <w:b/>
          <w:bCs/>
          <w:sz w:val="36"/>
          <w:szCs w:val="36"/>
        </w:rPr>
        <w:t>Evaluating the performance of low-lignin transgenic bioenergy feedstocks in the field</w:t>
      </w:r>
    </w:p>
    <w:p w:rsidR="003D07F7" w:rsidRPr="000F6FE1" w:rsidRDefault="003D07F7" w:rsidP="00097A19">
      <w:pPr>
        <w:tabs>
          <w:tab w:val="center" w:pos="4320"/>
          <w:tab w:val="left" w:pos="7484"/>
        </w:tabs>
        <w:jc w:val="center"/>
        <w:rPr>
          <w:b/>
          <w:sz w:val="36"/>
          <w:szCs w:val="36"/>
          <w:lang w:val="en-CA"/>
        </w:rPr>
      </w:pPr>
    </w:p>
    <w:p w:rsidR="00236E6D" w:rsidRPr="000F6FE1" w:rsidRDefault="00236E6D" w:rsidP="00097A19">
      <w:pPr>
        <w:jc w:val="center"/>
        <w:rPr>
          <w:sz w:val="36"/>
          <w:szCs w:val="36"/>
        </w:rPr>
      </w:pPr>
    </w:p>
    <w:p w:rsidR="00236E6D" w:rsidRPr="000F6FE1" w:rsidRDefault="00236E6D" w:rsidP="00097A19">
      <w:pPr>
        <w:jc w:val="center"/>
        <w:rPr>
          <w:sz w:val="36"/>
          <w:szCs w:val="36"/>
        </w:rPr>
      </w:pPr>
    </w:p>
    <w:p w:rsidR="00236E6D" w:rsidRPr="000F6FE1" w:rsidRDefault="00236E6D" w:rsidP="00097A19">
      <w:pPr>
        <w:jc w:val="center"/>
        <w:rPr>
          <w:sz w:val="36"/>
          <w:szCs w:val="36"/>
        </w:rPr>
      </w:pPr>
    </w:p>
    <w:p w:rsidR="00236E6D" w:rsidRPr="000F6FE1" w:rsidRDefault="00236E6D" w:rsidP="00097A19">
      <w:pPr>
        <w:jc w:val="center"/>
        <w:rPr>
          <w:sz w:val="36"/>
          <w:szCs w:val="36"/>
        </w:rPr>
      </w:pPr>
    </w:p>
    <w:p w:rsidR="00236E6D" w:rsidRPr="000F6FE1" w:rsidRDefault="00236E6D" w:rsidP="00097A19">
      <w:pPr>
        <w:jc w:val="center"/>
        <w:rPr>
          <w:sz w:val="36"/>
          <w:szCs w:val="36"/>
        </w:rPr>
      </w:pPr>
    </w:p>
    <w:p w:rsidR="00236E6D" w:rsidRPr="000F6FE1" w:rsidRDefault="00236E6D" w:rsidP="00097A19">
      <w:pPr>
        <w:jc w:val="center"/>
        <w:rPr>
          <w:sz w:val="36"/>
          <w:szCs w:val="36"/>
        </w:rPr>
      </w:pPr>
    </w:p>
    <w:p w:rsidR="00236E6D" w:rsidRPr="000F6FE1" w:rsidRDefault="00236E6D" w:rsidP="00097A19">
      <w:pPr>
        <w:jc w:val="center"/>
        <w:rPr>
          <w:sz w:val="36"/>
          <w:szCs w:val="36"/>
        </w:rPr>
      </w:pPr>
    </w:p>
    <w:p w:rsidR="00236E6D" w:rsidRPr="000F6FE1" w:rsidRDefault="00236E6D" w:rsidP="00097A19">
      <w:pPr>
        <w:jc w:val="center"/>
        <w:rPr>
          <w:sz w:val="36"/>
          <w:szCs w:val="36"/>
        </w:rPr>
      </w:pPr>
    </w:p>
    <w:p w:rsidR="00236E6D" w:rsidRPr="000F6FE1" w:rsidRDefault="00236E6D" w:rsidP="00097A19">
      <w:pPr>
        <w:jc w:val="center"/>
        <w:rPr>
          <w:sz w:val="36"/>
          <w:szCs w:val="36"/>
        </w:rPr>
      </w:pPr>
    </w:p>
    <w:p w:rsidR="00236E6D" w:rsidRPr="000F6FE1" w:rsidRDefault="009C755C" w:rsidP="00097A19">
      <w:pPr>
        <w:jc w:val="center"/>
        <w:rPr>
          <w:sz w:val="36"/>
          <w:szCs w:val="36"/>
        </w:rPr>
      </w:pPr>
      <w:r w:rsidRPr="000F6FE1">
        <w:rPr>
          <w:sz w:val="36"/>
          <w:szCs w:val="36"/>
        </w:rPr>
        <w:t>A Thesis Presented for</w:t>
      </w:r>
      <w:r w:rsidR="008865B6" w:rsidRPr="000F6FE1">
        <w:rPr>
          <w:sz w:val="36"/>
          <w:szCs w:val="36"/>
        </w:rPr>
        <w:t xml:space="preserve"> the</w:t>
      </w:r>
    </w:p>
    <w:p w:rsidR="009C755C" w:rsidRPr="000F6FE1" w:rsidRDefault="009C755C" w:rsidP="00097A19">
      <w:pPr>
        <w:jc w:val="center"/>
        <w:rPr>
          <w:sz w:val="36"/>
          <w:szCs w:val="36"/>
        </w:rPr>
      </w:pPr>
      <w:r w:rsidRPr="000F6FE1">
        <w:rPr>
          <w:sz w:val="36"/>
          <w:szCs w:val="36"/>
        </w:rPr>
        <w:t>Master of Science</w:t>
      </w:r>
    </w:p>
    <w:p w:rsidR="009C755C" w:rsidRPr="000F6FE1" w:rsidRDefault="009C755C" w:rsidP="00097A19">
      <w:pPr>
        <w:jc w:val="center"/>
        <w:rPr>
          <w:sz w:val="36"/>
          <w:szCs w:val="36"/>
        </w:rPr>
      </w:pPr>
      <w:r w:rsidRPr="000F6FE1">
        <w:rPr>
          <w:sz w:val="36"/>
          <w:szCs w:val="36"/>
        </w:rPr>
        <w:t>Degree</w:t>
      </w:r>
    </w:p>
    <w:p w:rsidR="009C755C" w:rsidRPr="000F6FE1" w:rsidRDefault="009C755C" w:rsidP="00097A19">
      <w:pPr>
        <w:jc w:val="center"/>
        <w:rPr>
          <w:sz w:val="36"/>
          <w:szCs w:val="36"/>
        </w:rPr>
      </w:pPr>
      <w:r w:rsidRPr="000F6FE1">
        <w:rPr>
          <w:sz w:val="36"/>
          <w:szCs w:val="36"/>
        </w:rPr>
        <w:t>The University of Tennessee, Knoxville</w:t>
      </w:r>
    </w:p>
    <w:p w:rsidR="00236E6D" w:rsidRPr="000F6FE1" w:rsidRDefault="00236E6D" w:rsidP="00097A19">
      <w:pPr>
        <w:jc w:val="center"/>
        <w:rPr>
          <w:sz w:val="36"/>
          <w:szCs w:val="36"/>
        </w:rPr>
      </w:pPr>
    </w:p>
    <w:p w:rsidR="00236E6D" w:rsidRPr="000F6FE1" w:rsidRDefault="00236E6D" w:rsidP="00097A19">
      <w:pPr>
        <w:jc w:val="center"/>
        <w:rPr>
          <w:sz w:val="36"/>
          <w:szCs w:val="36"/>
        </w:rPr>
      </w:pPr>
    </w:p>
    <w:p w:rsidR="00236E6D" w:rsidRPr="000F6FE1" w:rsidRDefault="00236E6D" w:rsidP="00097A19">
      <w:pPr>
        <w:jc w:val="center"/>
        <w:rPr>
          <w:sz w:val="36"/>
          <w:szCs w:val="36"/>
        </w:rPr>
      </w:pPr>
    </w:p>
    <w:p w:rsidR="00236E6D" w:rsidRPr="000F6FE1" w:rsidRDefault="00236E6D" w:rsidP="00097A19">
      <w:pPr>
        <w:jc w:val="center"/>
        <w:rPr>
          <w:sz w:val="36"/>
          <w:szCs w:val="36"/>
        </w:rPr>
      </w:pPr>
    </w:p>
    <w:p w:rsidR="00236E6D" w:rsidRPr="000F6FE1" w:rsidRDefault="00236E6D" w:rsidP="00097A19">
      <w:pPr>
        <w:jc w:val="center"/>
        <w:rPr>
          <w:sz w:val="36"/>
          <w:szCs w:val="36"/>
        </w:rPr>
      </w:pPr>
    </w:p>
    <w:p w:rsidR="00236E6D" w:rsidRPr="000F6FE1" w:rsidRDefault="00236E6D" w:rsidP="00097A19">
      <w:pPr>
        <w:jc w:val="center"/>
        <w:rPr>
          <w:sz w:val="36"/>
          <w:szCs w:val="36"/>
        </w:rPr>
      </w:pPr>
    </w:p>
    <w:p w:rsidR="00236E6D" w:rsidRPr="000F6FE1" w:rsidRDefault="00236E6D" w:rsidP="00097A19">
      <w:pPr>
        <w:jc w:val="center"/>
        <w:rPr>
          <w:sz w:val="36"/>
          <w:szCs w:val="36"/>
        </w:rPr>
      </w:pPr>
    </w:p>
    <w:p w:rsidR="00236E6D" w:rsidRPr="000F6FE1" w:rsidRDefault="00236E6D" w:rsidP="00097A19">
      <w:pPr>
        <w:jc w:val="center"/>
        <w:rPr>
          <w:sz w:val="36"/>
          <w:szCs w:val="36"/>
        </w:rPr>
      </w:pPr>
    </w:p>
    <w:p w:rsidR="00236E6D" w:rsidRPr="000F6FE1" w:rsidRDefault="00236E6D" w:rsidP="00097A19">
      <w:pPr>
        <w:jc w:val="center"/>
        <w:rPr>
          <w:sz w:val="36"/>
          <w:szCs w:val="36"/>
        </w:rPr>
      </w:pPr>
    </w:p>
    <w:p w:rsidR="00236E6D" w:rsidRPr="000F6FE1" w:rsidRDefault="00236E6D" w:rsidP="00097A19">
      <w:pPr>
        <w:jc w:val="center"/>
        <w:rPr>
          <w:sz w:val="36"/>
          <w:szCs w:val="36"/>
        </w:rPr>
      </w:pPr>
    </w:p>
    <w:p w:rsidR="00236E6D" w:rsidRPr="000F6FE1" w:rsidRDefault="00236E6D" w:rsidP="00097A19">
      <w:pPr>
        <w:jc w:val="center"/>
        <w:rPr>
          <w:sz w:val="36"/>
          <w:szCs w:val="36"/>
        </w:rPr>
      </w:pPr>
    </w:p>
    <w:p w:rsidR="00236E6D" w:rsidRPr="000F6FE1" w:rsidRDefault="00907D6A" w:rsidP="00097A19">
      <w:pPr>
        <w:jc w:val="center"/>
        <w:rPr>
          <w:sz w:val="36"/>
          <w:szCs w:val="36"/>
        </w:rPr>
      </w:pPr>
      <w:r w:rsidRPr="000F6FE1">
        <w:rPr>
          <w:sz w:val="36"/>
          <w:szCs w:val="36"/>
        </w:rPr>
        <w:t xml:space="preserve">Holly </w:t>
      </w:r>
      <w:r w:rsidR="00956898">
        <w:rPr>
          <w:sz w:val="36"/>
          <w:szCs w:val="36"/>
        </w:rPr>
        <w:t xml:space="preserve">Lauren </w:t>
      </w:r>
      <w:r w:rsidRPr="000F6FE1">
        <w:rPr>
          <w:sz w:val="36"/>
          <w:szCs w:val="36"/>
        </w:rPr>
        <w:t>Baxter</w:t>
      </w:r>
    </w:p>
    <w:p w:rsidR="001E6579" w:rsidRDefault="00810B90" w:rsidP="00097A19">
      <w:pPr>
        <w:jc w:val="center"/>
        <w:rPr>
          <w:sz w:val="36"/>
          <w:szCs w:val="36"/>
        </w:rPr>
      </w:pPr>
      <w:r>
        <w:rPr>
          <w:sz w:val="36"/>
          <w:szCs w:val="36"/>
        </w:rPr>
        <w:t>May</w:t>
      </w:r>
      <w:r w:rsidR="00907D6A" w:rsidRPr="000F6FE1">
        <w:rPr>
          <w:sz w:val="36"/>
          <w:szCs w:val="36"/>
        </w:rPr>
        <w:t xml:space="preserve"> 201</w:t>
      </w:r>
      <w:r w:rsidR="002B20F6">
        <w:rPr>
          <w:sz w:val="36"/>
          <w:szCs w:val="36"/>
        </w:rPr>
        <w:t>4</w:t>
      </w:r>
    </w:p>
    <w:p w:rsidR="001E52EE" w:rsidRPr="000F6FE1" w:rsidRDefault="001E6579" w:rsidP="001E52EE">
      <w:pPr>
        <w:rPr>
          <w:b/>
          <w:sz w:val="28"/>
          <w:szCs w:val="28"/>
        </w:rPr>
      </w:pPr>
      <w:r>
        <w:rPr>
          <w:sz w:val="36"/>
          <w:szCs w:val="36"/>
        </w:rPr>
        <w:br w:type="page"/>
      </w:r>
    </w:p>
    <w:p w:rsidR="00CD73A9" w:rsidRPr="000F6FE1" w:rsidRDefault="00CD73A9" w:rsidP="00097A19">
      <w:pPr>
        <w:spacing w:line="480" w:lineRule="auto"/>
        <w:jc w:val="center"/>
        <w:rPr>
          <w:b/>
          <w:sz w:val="28"/>
          <w:szCs w:val="28"/>
        </w:rPr>
      </w:pPr>
      <w:r w:rsidRPr="000F6FE1">
        <w:rPr>
          <w:b/>
          <w:sz w:val="28"/>
          <w:szCs w:val="28"/>
        </w:rPr>
        <w:lastRenderedPageBreak/>
        <w:t>ACKNOWLEDGEMENTS</w:t>
      </w:r>
    </w:p>
    <w:p w:rsidR="00CD73A9" w:rsidRPr="000F6FE1" w:rsidRDefault="00CD73A9" w:rsidP="00007706">
      <w:pPr>
        <w:spacing w:line="480" w:lineRule="auto"/>
        <w:jc w:val="both"/>
      </w:pPr>
    </w:p>
    <w:p w:rsidR="005B18BE" w:rsidRDefault="00145CCE" w:rsidP="00007706">
      <w:pPr>
        <w:spacing w:line="480" w:lineRule="auto"/>
        <w:jc w:val="both"/>
      </w:pPr>
      <w:r>
        <w:t xml:space="preserve">I </w:t>
      </w:r>
      <w:r w:rsidR="008B747C">
        <w:t xml:space="preserve">first </w:t>
      </w:r>
      <w:r>
        <w:t xml:space="preserve">thank </w:t>
      </w:r>
      <w:r w:rsidR="00007706">
        <w:t xml:space="preserve">my </w:t>
      </w:r>
      <w:r w:rsidR="002959D0">
        <w:t>major</w:t>
      </w:r>
      <w:r w:rsidR="00007706">
        <w:t xml:space="preserve"> professor, Dr. </w:t>
      </w:r>
      <w:r>
        <w:t>Neal Stewart</w:t>
      </w:r>
      <w:r w:rsidR="00007706">
        <w:t>,</w:t>
      </w:r>
      <w:r>
        <w:t xml:space="preserve"> for accepting me into </w:t>
      </w:r>
      <w:r w:rsidR="008B747C">
        <w:t>his</w:t>
      </w:r>
      <w:r>
        <w:t xml:space="preserve"> laboratory as a research technician and </w:t>
      </w:r>
      <w:r w:rsidR="00843ECE">
        <w:t>giving me the opportunity</w:t>
      </w:r>
      <w:r>
        <w:t xml:space="preserve"> to pursue part-time graduate studies</w:t>
      </w:r>
      <w:r w:rsidR="00897179">
        <w:t>, and for</w:t>
      </w:r>
      <w:r w:rsidR="005B18BE">
        <w:t xml:space="preserve"> </w:t>
      </w:r>
      <w:r w:rsidR="00843ECE">
        <w:t xml:space="preserve">his </w:t>
      </w:r>
      <w:r w:rsidR="00980477">
        <w:t>advice</w:t>
      </w:r>
      <w:r w:rsidR="00843ECE">
        <w:t xml:space="preserve"> and support </w:t>
      </w:r>
      <w:r w:rsidR="001901C9">
        <w:t>along the way</w:t>
      </w:r>
      <w:r>
        <w:t xml:space="preserve">. </w:t>
      </w:r>
      <w:r w:rsidR="00007706">
        <w:t>I thank Dr. Nicole Labb</w:t>
      </w:r>
      <w:r w:rsidR="001901C9">
        <w:t>é</w:t>
      </w:r>
      <w:r w:rsidR="00007706">
        <w:t xml:space="preserve"> and Dr. Charles Kwit for serving on my committee and offering </w:t>
      </w:r>
      <w:r w:rsidR="00AB59E0">
        <w:t>valuable</w:t>
      </w:r>
      <w:r w:rsidR="00007706">
        <w:t xml:space="preserve"> insight and </w:t>
      </w:r>
      <w:r w:rsidR="00AB59E0">
        <w:t>constructive feedback</w:t>
      </w:r>
      <w:r w:rsidR="005A2BCA">
        <w:t xml:space="preserve"> throughout my research. </w:t>
      </w:r>
      <w:r>
        <w:t xml:space="preserve">I </w:t>
      </w:r>
      <w:r w:rsidR="00007706">
        <w:t>am also very grateful</w:t>
      </w:r>
      <w:r w:rsidR="005D4915">
        <w:t xml:space="preserve"> to</w:t>
      </w:r>
      <w:r>
        <w:t xml:space="preserve"> </w:t>
      </w:r>
      <w:r w:rsidR="008B0DE5">
        <w:t xml:space="preserve">Dr. </w:t>
      </w:r>
      <w:r>
        <w:t xml:space="preserve">Mitra Mazarei for her </w:t>
      </w:r>
      <w:r w:rsidR="00007706">
        <w:t xml:space="preserve">guidance, </w:t>
      </w:r>
      <w:r>
        <w:t>mentoring</w:t>
      </w:r>
      <w:r w:rsidR="00007706">
        <w:t>,</w:t>
      </w:r>
      <w:r>
        <w:t xml:space="preserve"> </w:t>
      </w:r>
      <w:r w:rsidR="008B747C">
        <w:t>and encouragement throughout the project</w:t>
      </w:r>
      <w:r w:rsidR="005D4915">
        <w:t xml:space="preserve">, and to </w:t>
      </w:r>
      <w:r w:rsidR="008B0DE5">
        <w:t xml:space="preserve">Dr. </w:t>
      </w:r>
      <w:r w:rsidR="005D4915">
        <w:t>David Mann</w:t>
      </w:r>
      <w:r w:rsidR="00843ECE">
        <w:t xml:space="preserve"> for </w:t>
      </w:r>
      <w:r w:rsidR="00AB59E0">
        <w:t>his help</w:t>
      </w:r>
      <w:r w:rsidR="00843ECE">
        <w:t xml:space="preserve"> with the initial planning</w:t>
      </w:r>
      <w:r w:rsidR="00AB59E0">
        <w:t xml:space="preserve"> of the project </w:t>
      </w:r>
      <w:r w:rsidR="005D4915">
        <w:t>and</w:t>
      </w:r>
      <w:r w:rsidR="00AB59E0">
        <w:t xml:space="preserve"> </w:t>
      </w:r>
      <w:r w:rsidR="00843ECE">
        <w:t xml:space="preserve">his </w:t>
      </w:r>
      <w:r w:rsidR="00AB59E0">
        <w:t>advice</w:t>
      </w:r>
      <w:r w:rsidR="00843ECE">
        <w:t xml:space="preserve"> and encouragement during the early phases of the work. For field maintenance, I thank Ben Wolfe, Jonathan Branson, Derek Green</w:t>
      </w:r>
      <w:r w:rsidR="00AB59E0">
        <w:t>,</w:t>
      </w:r>
      <w:r w:rsidR="00843ECE">
        <w:t xml:space="preserve"> and the rest of the field staff for all of their hard work.</w:t>
      </w:r>
      <w:r w:rsidR="008B747C">
        <w:t xml:space="preserve"> </w:t>
      </w:r>
    </w:p>
    <w:p w:rsidR="005B18BE" w:rsidRDefault="005B18BE" w:rsidP="00007706">
      <w:pPr>
        <w:spacing w:line="480" w:lineRule="auto"/>
        <w:jc w:val="both"/>
      </w:pPr>
    </w:p>
    <w:p w:rsidR="0085757D" w:rsidRPr="000F6FE1" w:rsidRDefault="005B18BE" w:rsidP="00007706">
      <w:pPr>
        <w:spacing w:line="480" w:lineRule="auto"/>
        <w:jc w:val="both"/>
      </w:pPr>
      <w:r w:rsidRPr="005B18BE">
        <w:t xml:space="preserve">This </w:t>
      </w:r>
      <w:r w:rsidR="00CE66DB">
        <w:t>project</w:t>
      </w:r>
      <w:r w:rsidRPr="005B18BE">
        <w:t xml:space="preserve"> was supported by funding from the Southeastern Sun Grant Center and the BioEnergy Science Center. The BioEnergy Science Center is a U.S. Department of Energy Bioenergy Research Center supported by the Office of Biological and Environmental Research in the DOE Office of Science.</w:t>
      </w:r>
    </w:p>
    <w:p w:rsidR="0055649C" w:rsidRDefault="0085757D" w:rsidP="002B20F6">
      <w:pPr>
        <w:spacing w:line="480" w:lineRule="auto"/>
        <w:jc w:val="center"/>
        <w:rPr>
          <w:sz w:val="36"/>
          <w:szCs w:val="36"/>
        </w:rPr>
      </w:pPr>
      <w:r w:rsidRPr="000F6FE1">
        <w:br w:type="page"/>
      </w:r>
    </w:p>
    <w:p w:rsidR="00D03A49" w:rsidRDefault="002B20F6" w:rsidP="00D03A49">
      <w:pPr>
        <w:spacing w:line="480" w:lineRule="auto"/>
        <w:jc w:val="center"/>
        <w:rPr>
          <w:b/>
          <w:sz w:val="28"/>
          <w:szCs w:val="28"/>
        </w:rPr>
      </w:pPr>
      <w:r>
        <w:rPr>
          <w:b/>
          <w:sz w:val="28"/>
          <w:szCs w:val="28"/>
        </w:rPr>
        <w:lastRenderedPageBreak/>
        <w:t>ABSTRACT</w:t>
      </w:r>
    </w:p>
    <w:p w:rsidR="00626C53" w:rsidRDefault="006615DB" w:rsidP="00D03A49">
      <w:pPr>
        <w:spacing w:line="480" w:lineRule="auto"/>
      </w:pPr>
      <w:r>
        <w:t xml:space="preserve">Lignin in the cell walls of lignocellulosic </w:t>
      </w:r>
      <w:r w:rsidR="00605769">
        <w:t>biomass</w:t>
      </w:r>
      <w:r>
        <w:t xml:space="preserve"> limits the accessibility of carbohydrates for breakdown </w:t>
      </w:r>
      <w:r w:rsidRPr="00DF643E">
        <w:t>into</w:t>
      </w:r>
      <w:r>
        <w:t xml:space="preserve"> fermentable</w:t>
      </w:r>
      <w:r w:rsidRPr="00DF643E">
        <w:t xml:space="preserve"> s</w:t>
      </w:r>
      <w:r>
        <w:t xml:space="preserve">ugars and subsequently biofuels. The resistance of plant biomass to enzymatic or microbial deconstruction, known as biomass recalcitrance, can be overcome by </w:t>
      </w:r>
      <w:r w:rsidR="00605769">
        <w:t xml:space="preserve">reducing lignin content or modifying its composition through </w:t>
      </w:r>
      <w:r>
        <w:t xml:space="preserve">genetic modification of the lignin biosynthetic pathway. </w:t>
      </w:r>
      <w:r w:rsidR="00AE48C7">
        <w:t xml:space="preserve">However, few studies </w:t>
      </w:r>
      <w:r>
        <w:t>to date have assessed the performance of</w:t>
      </w:r>
      <w:r w:rsidR="00AE48C7">
        <w:t xml:space="preserve"> low-lignin </w:t>
      </w:r>
      <w:r w:rsidR="00865546">
        <w:t>biofuel</w:t>
      </w:r>
      <w:r w:rsidR="00AE48C7">
        <w:t xml:space="preserve"> feedstocks under field conditions. Because lignin plays a </w:t>
      </w:r>
      <w:r w:rsidR="00605769">
        <w:t>vital</w:t>
      </w:r>
      <w:r w:rsidR="00AE48C7">
        <w:t xml:space="preserve"> role in several developmental and stress-related processes, </w:t>
      </w:r>
      <w:r w:rsidR="00865546">
        <w:t>characterization</w:t>
      </w:r>
      <w:r w:rsidR="00AE48C7">
        <w:t xml:space="preserve"> of these plants under the appropriate agronomic conditions is necessary to </w:t>
      </w:r>
      <w:r w:rsidR="00CF6E76">
        <w:t>confirm</w:t>
      </w:r>
      <w:r w:rsidR="00AE48C7">
        <w:t xml:space="preserve"> that the improved biofuel-related traits can be maintained under field c</w:t>
      </w:r>
      <w:r w:rsidR="003D1795">
        <w:t xml:space="preserve">onditions without compromising </w:t>
      </w:r>
      <w:r w:rsidR="00AE48C7">
        <w:t>plant growth or susceptibility</w:t>
      </w:r>
      <w:r w:rsidR="00417C37">
        <w:t xml:space="preserve"> to stresses</w:t>
      </w:r>
      <w:r w:rsidR="00CA6A3C">
        <w:t xml:space="preserve">. </w:t>
      </w:r>
      <w:r w:rsidR="00D61AB3">
        <w:t>The general goal of this thesis project was to gain a better understanding of how lignin-modified feedstocks might perform in the f</w:t>
      </w:r>
      <w:r w:rsidR="00605769">
        <w:t>ield. The first chapter provides</w:t>
      </w:r>
      <w:r w:rsidR="00D61AB3">
        <w:t xml:space="preserve"> an </w:t>
      </w:r>
      <w:r w:rsidR="00605769">
        <w:t>introduction</w:t>
      </w:r>
      <w:r w:rsidR="00D61AB3">
        <w:t xml:space="preserve"> </w:t>
      </w:r>
      <w:r w:rsidR="003123A3">
        <w:t>on</w:t>
      </w:r>
      <w:r w:rsidR="00605769">
        <w:t xml:space="preserve"> the use of</w:t>
      </w:r>
      <w:r w:rsidR="00D61AB3">
        <w:t xml:space="preserve"> lignocellulosic </w:t>
      </w:r>
      <w:r w:rsidR="003123A3">
        <w:t>biomass</w:t>
      </w:r>
      <w:r w:rsidR="00C20360">
        <w:t xml:space="preserve"> for biofuel production</w:t>
      </w:r>
      <w:r w:rsidR="00605769">
        <w:t>,</w:t>
      </w:r>
      <w:r w:rsidR="00C20360">
        <w:t xml:space="preserve"> </w:t>
      </w:r>
      <w:r w:rsidR="00D61AB3">
        <w:t xml:space="preserve">the </w:t>
      </w:r>
      <w:r w:rsidR="00C20360">
        <w:t>significance</w:t>
      </w:r>
      <w:r w:rsidR="00D61AB3">
        <w:t xml:space="preserve"> of lignin engineering for improving biofuel yields, </w:t>
      </w:r>
      <w:r w:rsidR="00605769">
        <w:t>and the</w:t>
      </w:r>
      <w:r w:rsidR="00C20360">
        <w:t xml:space="preserve"> importance of field trials to </w:t>
      </w:r>
      <w:r w:rsidR="00605769">
        <w:t>validate greenhouse results in a more realistic environmental setting</w:t>
      </w:r>
      <w:r w:rsidR="00C20360">
        <w:t xml:space="preserve">. </w:t>
      </w:r>
      <w:r w:rsidR="00D61AB3">
        <w:t>Chapter two</w:t>
      </w:r>
      <w:r w:rsidR="00A44424">
        <w:t xml:space="preserve"> </w:t>
      </w:r>
      <w:r w:rsidR="00605769">
        <w:t>is</w:t>
      </w:r>
      <w:r w:rsidR="00BE0EBD" w:rsidRPr="00CD2C0E">
        <w:t xml:space="preserve"> a review of the </w:t>
      </w:r>
      <w:r w:rsidR="00A44424">
        <w:t>consequences</w:t>
      </w:r>
      <w:r w:rsidR="00A44424" w:rsidRPr="00CD2C0E">
        <w:t xml:space="preserve"> </w:t>
      </w:r>
      <w:r w:rsidR="00BE0EBD" w:rsidRPr="00CD2C0E">
        <w:t xml:space="preserve">of </w:t>
      </w:r>
      <w:r>
        <w:t>altered</w:t>
      </w:r>
      <w:r w:rsidR="00BE0EBD" w:rsidRPr="00CD2C0E">
        <w:t xml:space="preserve"> lignin biosynthesis</w:t>
      </w:r>
      <w:r w:rsidR="00BE0EBD">
        <w:t xml:space="preserve"> on </w:t>
      </w:r>
      <w:r w:rsidR="005705DB">
        <w:t>plant susceptibility</w:t>
      </w:r>
      <w:r w:rsidR="00605769">
        <w:t xml:space="preserve"> to biotic and abiotic stresses</w:t>
      </w:r>
      <w:r w:rsidR="00BE0EBD">
        <w:t xml:space="preserve">. Chapter three reports the results of a two-year field </w:t>
      </w:r>
      <w:r w:rsidR="00CD2C0E">
        <w:t>evaluation</w:t>
      </w:r>
      <w:r w:rsidR="00BE0EBD">
        <w:t xml:space="preserve"> of </w:t>
      </w:r>
      <w:r w:rsidR="00605769">
        <w:t xml:space="preserve">reduced recalcitrance transgenic switchgrass </w:t>
      </w:r>
      <w:r w:rsidR="00BE0EBD">
        <w:t xml:space="preserve">for </w:t>
      </w:r>
      <w:r w:rsidR="00605769">
        <w:t>chemical</w:t>
      </w:r>
      <w:r w:rsidR="00BE0EBD">
        <w:t xml:space="preserve"> composition, sugar release</w:t>
      </w:r>
      <w:r w:rsidR="003D1795">
        <w:t xml:space="preserve">, </w:t>
      </w:r>
      <w:r w:rsidR="00BE0EBD">
        <w:t xml:space="preserve">ethanol yield, agronomic performance, and disease susceptibility. </w:t>
      </w:r>
    </w:p>
    <w:p w:rsidR="00626C53" w:rsidRDefault="00626C53">
      <w:r>
        <w:br w:type="page"/>
      </w:r>
    </w:p>
    <w:p w:rsidR="00236E6D" w:rsidRDefault="00236E6D" w:rsidP="00097A19">
      <w:pPr>
        <w:spacing w:line="360" w:lineRule="auto"/>
        <w:jc w:val="center"/>
        <w:rPr>
          <w:b/>
          <w:bCs/>
          <w:sz w:val="28"/>
          <w:szCs w:val="28"/>
        </w:rPr>
      </w:pPr>
      <w:r w:rsidRPr="000F6FE1">
        <w:rPr>
          <w:b/>
          <w:bCs/>
          <w:sz w:val="28"/>
          <w:szCs w:val="28"/>
        </w:rPr>
        <w:lastRenderedPageBreak/>
        <w:t>TABLE OF CONTENTS</w:t>
      </w:r>
    </w:p>
    <w:p w:rsidR="00D41205" w:rsidRDefault="005D0D91" w:rsidP="008D176A">
      <w:pPr>
        <w:pStyle w:val="TOC1"/>
        <w:tabs>
          <w:tab w:val="right" w:leader="dot" w:pos="8630"/>
        </w:tabs>
        <w:rPr>
          <w:rStyle w:val="Hyperlink"/>
          <w:noProof/>
        </w:rPr>
      </w:pPr>
      <w:r w:rsidRPr="000F6FE1">
        <w:fldChar w:fldCharType="begin"/>
      </w:r>
      <w:r w:rsidR="00236E6D" w:rsidRPr="000F6FE1">
        <w:instrText xml:space="preserve"> TOC \o "1-3" \h \z </w:instrText>
      </w:r>
      <w:r w:rsidRPr="000F6FE1">
        <w:fldChar w:fldCharType="separate"/>
      </w:r>
      <w:hyperlink w:anchor="_Toc286145897" w:history="1">
        <w:r w:rsidR="000002F7">
          <w:rPr>
            <w:rStyle w:val="Hyperlink"/>
            <w:noProof/>
          </w:rPr>
          <w:t>CHAPTER 1</w:t>
        </w:r>
        <w:r w:rsidR="00123353">
          <w:rPr>
            <w:rStyle w:val="Hyperlink"/>
            <w:noProof/>
          </w:rPr>
          <w:t xml:space="preserve">  Introduction</w:t>
        </w:r>
        <w:r w:rsidR="00D41205" w:rsidRPr="000F6FE1">
          <w:rPr>
            <w:noProof/>
            <w:webHidden/>
          </w:rPr>
          <w:tab/>
        </w:r>
      </w:hyperlink>
      <w:r w:rsidR="002B20F6">
        <w:rPr>
          <w:noProof/>
        </w:rPr>
        <w:t>1</w:t>
      </w:r>
    </w:p>
    <w:p w:rsidR="00123353" w:rsidRPr="002B20F6" w:rsidRDefault="00DD457B" w:rsidP="00176E89">
      <w:pPr>
        <w:pStyle w:val="TOC3"/>
        <w:rPr>
          <w:rStyle w:val="Hyperlink"/>
          <w:noProof/>
        </w:rPr>
      </w:pPr>
      <w:hyperlink w:anchor="_Toc286145906" w:history="1">
        <w:r w:rsidR="00123353" w:rsidRPr="002B20F6">
          <w:rPr>
            <w:rStyle w:val="Hyperlink"/>
            <w:noProof/>
          </w:rPr>
          <w:t>References</w:t>
        </w:r>
        <w:r w:rsidR="00123353" w:rsidRPr="002B20F6">
          <w:rPr>
            <w:noProof/>
            <w:webHidden/>
          </w:rPr>
          <w:tab/>
        </w:r>
      </w:hyperlink>
      <w:r w:rsidR="000002F7" w:rsidRPr="002B20F6">
        <w:rPr>
          <w:noProof/>
        </w:rPr>
        <w:t>6</w:t>
      </w:r>
    </w:p>
    <w:p w:rsidR="00123353" w:rsidRPr="002B20F6" w:rsidRDefault="00123353" w:rsidP="008D176A"/>
    <w:p w:rsidR="00D41205" w:rsidRPr="002B20F6" w:rsidRDefault="00DD457B" w:rsidP="008D176A">
      <w:pPr>
        <w:pStyle w:val="TOC1"/>
        <w:tabs>
          <w:tab w:val="right" w:leader="dot" w:pos="8630"/>
        </w:tabs>
        <w:rPr>
          <w:noProof/>
          <w:sz w:val="22"/>
          <w:szCs w:val="22"/>
        </w:rPr>
      </w:pPr>
      <w:hyperlink w:anchor="_Toc286145903" w:history="1">
        <w:r w:rsidR="000002F7" w:rsidRPr="002B20F6">
          <w:rPr>
            <w:rStyle w:val="Hyperlink"/>
            <w:noProof/>
          </w:rPr>
          <w:t>CHAPTER 2</w:t>
        </w:r>
        <w:r w:rsidR="00EA4CCF" w:rsidRPr="002B20F6">
          <w:rPr>
            <w:rStyle w:val="Hyperlink"/>
            <w:noProof/>
          </w:rPr>
          <w:t xml:space="preserve">  Literature r</w:t>
        </w:r>
        <w:r w:rsidR="00D41205" w:rsidRPr="002B20F6">
          <w:rPr>
            <w:rStyle w:val="Hyperlink"/>
            <w:noProof/>
          </w:rPr>
          <w:t>eview</w:t>
        </w:r>
        <w:r w:rsidR="00EA4CCF" w:rsidRPr="002B20F6">
          <w:rPr>
            <w:rStyle w:val="Hyperlink"/>
            <w:noProof/>
          </w:rPr>
          <w:t>: Effects of altered lignin biosynthesis on phenylpropanoid metabolism and plant stress</w:t>
        </w:r>
        <w:r w:rsidR="00D41205" w:rsidRPr="002B20F6">
          <w:rPr>
            <w:noProof/>
            <w:webHidden/>
          </w:rPr>
          <w:tab/>
        </w:r>
      </w:hyperlink>
      <w:r w:rsidR="000002F7" w:rsidRPr="002B20F6">
        <w:rPr>
          <w:noProof/>
        </w:rPr>
        <w:t>8</w:t>
      </w:r>
    </w:p>
    <w:p w:rsidR="00D41205" w:rsidRPr="002B20F6" w:rsidRDefault="00DD457B" w:rsidP="008D176A">
      <w:pPr>
        <w:pStyle w:val="TOC2"/>
        <w:tabs>
          <w:tab w:val="right" w:leader="dot" w:pos="8630"/>
        </w:tabs>
        <w:rPr>
          <w:noProof/>
          <w:sz w:val="22"/>
          <w:szCs w:val="22"/>
        </w:rPr>
      </w:pPr>
      <w:hyperlink w:anchor="_Toc286145904" w:history="1">
        <w:r w:rsidR="00EA4CCF" w:rsidRPr="002B20F6">
          <w:rPr>
            <w:rStyle w:val="Hyperlink"/>
            <w:noProof/>
          </w:rPr>
          <w:t>Abstract</w:t>
        </w:r>
        <w:r w:rsidR="00D41205" w:rsidRPr="002B20F6">
          <w:rPr>
            <w:noProof/>
            <w:webHidden/>
          </w:rPr>
          <w:tab/>
        </w:r>
      </w:hyperlink>
      <w:r w:rsidR="000002F7" w:rsidRPr="002B20F6">
        <w:rPr>
          <w:noProof/>
        </w:rPr>
        <w:t>9</w:t>
      </w:r>
    </w:p>
    <w:p w:rsidR="00D41205" w:rsidRPr="002B20F6" w:rsidRDefault="00DD457B" w:rsidP="00176E89">
      <w:pPr>
        <w:pStyle w:val="TOC3"/>
        <w:rPr>
          <w:noProof/>
          <w:sz w:val="22"/>
          <w:szCs w:val="22"/>
        </w:rPr>
      </w:pPr>
      <w:hyperlink w:anchor="_Toc286145905" w:history="1">
        <w:r w:rsidR="00EA4CCF" w:rsidRPr="002B20F6">
          <w:rPr>
            <w:rStyle w:val="Hyperlink"/>
            <w:noProof/>
          </w:rPr>
          <w:t>Introduction</w:t>
        </w:r>
        <w:r w:rsidR="00D41205" w:rsidRPr="002B20F6">
          <w:rPr>
            <w:noProof/>
            <w:webHidden/>
          </w:rPr>
          <w:tab/>
        </w:r>
      </w:hyperlink>
      <w:r w:rsidR="000002F7" w:rsidRPr="002B20F6">
        <w:rPr>
          <w:noProof/>
        </w:rPr>
        <w:t>10</w:t>
      </w:r>
    </w:p>
    <w:p w:rsidR="00D41205" w:rsidRPr="002B20F6" w:rsidRDefault="00DD457B" w:rsidP="00176E89">
      <w:pPr>
        <w:pStyle w:val="TOC3"/>
        <w:rPr>
          <w:noProof/>
          <w:sz w:val="22"/>
          <w:szCs w:val="22"/>
        </w:rPr>
      </w:pPr>
      <w:hyperlink w:anchor="_Toc286145906" w:history="1">
        <w:r w:rsidR="00EA4CCF" w:rsidRPr="002B20F6">
          <w:rPr>
            <w:rStyle w:val="Hyperlink"/>
            <w:noProof/>
          </w:rPr>
          <w:t>Alterations to phenylpropanoid metabolism</w:t>
        </w:r>
        <w:r w:rsidR="00D41205" w:rsidRPr="002B20F6">
          <w:rPr>
            <w:noProof/>
            <w:webHidden/>
          </w:rPr>
          <w:tab/>
        </w:r>
      </w:hyperlink>
      <w:r w:rsidR="000002F7" w:rsidRPr="002B20F6">
        <w:rPr>
          <w:noProof/>
        </w:rPr>
        <w:t>15</w:t>
      </w:r>
    </w:p>
    <w:p w:rsidR="00D41205" w:rsidRPr="002B20F6" w:rsidRDefault="000002F7" w:rsidP="00176E89">
      <w:pPr>
        <w:pStyle w:val="TOC3"/>
        <w:rPr>
          <w:rStyle w:val="Hyperlink"/>
          <w:noProof/>
        </w:rPr>
      </w:pPr>
      <w:r w:rsidRPr="002B20F6">
        <w:t xml:space="preserve">  </w:t>
      </w:r>
      <w:hyperlink w:anchor="_Toc286145907" w:history="1">
        <w:r w:rsidR="00EA4CCF" w:rsidRPr="002B20F6">
          <w:rPr>
            <w:rStyle w:val="Hyperlink"/>
            <w:noProof/>
          </w:rPr>
          <w:t>Hydroxycinnamoyl CoA: shikimate hydroxycinnamoyl transferase (HCT)</w:t>
        </w:r>
        <w:r w:rsidR="00D41205" w:rsidRPr="002B20F6">
          <w:rPr>
            <w:noProof/>
            <w:webHidden/>
          </w:rPr>
          <w:tab/>
        </w:r>
      </w:hyperlink>
      <w:r w:rsidRPr="002B20F6">
        <w:rPr>
          <w:noProof/>
        </w:rPr>
        <w:t>17</w:t>
      </w:r>
    </w:p>
    <w:p w:rsidR="00EA4CCF" w:rsidRPr="002B20F6" w:rsidRDefault="000002F7" w:rsidP="00176E89">
      <w:pPr>
        <w:pStyle w:val="TOC3"/>
        <w:rPr>
          <w:noProof/>
        </w:rPr>
      </w:pPr>
      <w:r w:rsidRPr="002B20F6">
        <w:t xml:space="preserve">  </w:t>
      </w:r>
      <w:hyperlink w:anchor="_Toc286145907" w:history="1">
        <w:r w:rsidR="00EA4CCF" w:rsidRPr="002B20F6">
          <w:rPr>
            <w:i/>
          </w:rPr>
          <w:t>P</w:t>
        </w:r>
        <w:r w:rsidR="00EA4CCF" w:rsidRPr="002B20F6">
          <w:t>-coumarate 3-hydroxylase (C3H</w:t>
        </w:r>
        <w:r w:rsidR="00EA4CCF" w:rsidRPr="002B20F6">
          <w:rPr>
            <w:rStyle w:val="Hyperlink"/>
            <w:noProof/>
          </w:rPr>
          <w:t>)</w:t>
        </w:r>
        <w:r w:rsidR="00EA4CCF" w:rsidRPr="002B20F6">
          <w:rPr>
            <w:noProof/>
            <w:webHidden/>
          </w:rPr>
          <w:tab/>
        </w:r>
      </w:hyperlink>
      <w:r w:rsidR="005705DB">
        <w:rPr>
          <w:noProof/>
        </w:rPr>
        <w:t>18</w:t>
      </w:r>
    </w:p>
    <w:p w:rsidR="000002F7" w:rsidRPr="002B20F6" w:rsidRDefault="000002F7" w:rsidP="000002F7">
      <w:pPr>
        <w:pStyle w:val="TOC3"/>
        <w:rPr>
          <w:noProof/>
        </w:rPr>
      </w:pPr>
      <w:r w:rsidRPr="002B20F6">
        <w:t xml:space="preserve">  </w:t>
      </w:r>
      <w:hyperlink w:anchor="_Toc286145907" w:history="1">
        <w:r w:rsidRPr="002B20F6">
          <w:t>Caffeoyl-CoA O-methyltransferase (CCoAOMT)</w:t>
        </w:r>
        <w:r w:rsidRPr="002B20F6">
          <w:rPr>
            <w:noProof/>
            <w:webHidden/>
          </w:rPr>
          <w:tab/>
        </w:r>
      </w:hyperlink>
      <w:r w:rsidRPr="002B20F6">
        <w:rPr>
          <w:noProof/>
        </w:rPr>
        <w:t>19</w:t>
      </w:r>
    </w:p>
    <w:p w:rsidR="00176E89" w:rsidRPr="002B20F6" w:rsidRDefault="000002F7" w:rsidP="00176E89">
      <w:pPr>
        <w:pStyle w:val="TOC3"/>
        <w:rPr>
          <w:noProof/>
        </w:rPr>
      </w:pPr>
      <w:r w:rsidRPr="002B20F6">
        <w:t xml:space="preserve">  </w:t>
      </w:r>
      <w:hyperlink w:anchor="_Toc286145907" w:history="1">
        <w:r w:rsidR="00176E89" w:rsidRPr="002B20F6">
          <w:t>Cinnamoyl-CoA reductase (CCR</w:t>
        </w:r>
        <w:r w:rsidR="00176E89" w:rsidRPr="002B20F6">
          <w:rPr>
            <w:rStyle w:val="Hyperlink"/>
            <w:i/>
            <w:noProof/>
          </w:rPr>
          <w:t>)</w:t>
        </w:r>
        <w:r w:rsidR="00176E89" w:rsidRPr="002B20F6">
          <w:rPr>
            <w:noProof/>
            <w:webHidden/>
          </w:rPr>
          <w:tab/>
        </w:r>
      </w:hyperlink>
      <w:r w:rsidRPr="002B20F6">
        <w:rPr>
          <w:noProof/>
        </w:rPr>
        <w:t>20</w:t>
      </w:r>
    </w:p>
    <w:p w:rsidR="00176E89" w:rsidRPr="002B20F6" w:rsidRDefault="000002F7" w:rsidP="00176E89">
      <w:pPr>
        <w:pStyle w:val="TOC3"/>
        <w:rPr>
          <w:rStyle w:val="Hyperlink"/>
          <w:noProof/>
        </w:rPr>
      </w:pPr>
      <w:r w:rsidRPr="002B20F6">
        <w:t xml:space="preserve">  </w:t>
      </w:r>
      <w:r w:rsidR="00176E89" w:rsidRPr="002B20F6">
        <w:t>Caffeic acid 3-O-methyltransferase (COMT)</w:t>
      </w:r>
      <w:hyperlink w:anchor="_Toc286145907" w:history="1">
        <w:r w:rsidR="00176E89" w:rsidRPr="002B20F6">
          <w:rPr>
            <w:noProof/>
            <w:webHidden/>
          </w:rPr>
          <w:tab/>
        </w:r>
      </w:hyperlink>
      <w:r w:rsidR="005705DB">
        <w:rPr>
          <w:noProof/>
        </w:rPr>
        <w:t>21</w:t>
      </w:r>
    </w:p>
    <w:p w:rsidR="00EA4CCF" w:rsidRPr="002B20F6" w:rsidRDefault="000002F7" w:rsidP="00176E89">
      <w:pPr>
        <w:pStyle w:val="TOC3"/>
        <w:rPr>
          <w:rStyle w:val="Hyperlink"/>
          <w:noProof/>
        </w:rPr>
      </w:pPr>
      <w:r w:rsidRPr="002B20F6">
        <w:t xml:space="preserve">  </w:t>
      </w:r>
      <w:r w:rsidR="00EA4CCF" w:rsidRPr="002B20F6">
        <w:t>Cinnamyl alcohol dehydrogenase (CAD)</w:t>
      </w:r>
      <w:hyperlink w:anchor="_Toc286145907" w:history="1">
        <w:r w:rsidR="00EA4CCF" w:rsidRPr="002B20F6">
          <w:rPr>
            <w:noProof/>
            <w:webHidden/>
          </w:rPr>
          <w:tab/>
        </w:r>
      </w:hyperlink>
      <w:r>
        <w:rPr>
          <w:noProof/>
        </w:rPr>
        <w:t>22</w:t>
      </w:r>
    </w:p>
    <w:p w:rsidR="00EA4CCF" w:rsidRDefault="000002F7" w:rsidP="00176E89">
      <w:pPr>
        <w:pStyle w:val="TOC3"/>
        <w:rPr>
          <w:rStyle w:val="Hyperlink"/>
          <w:noProof/>
        </w:rPr>
      </w:pPr>
      <w:r>
        <w:t xml:space="preserve">  </w:t>
      </w:r>
      <w:hyperlink w:anchor="_Toc286145907" w:history="1">
        <w:r w:rsidR="00EA4CCF">
          <w:rPr>
            <w:rStyle w:val="Hyperlink"/>
            <w:noProof/>
          </w:rPr>
          <w:t>MYB transcription factors</w:t>
        </w:r>
        <w:r w:rsidR="00EA4CCF" w:rsidRPr="000F6FE1">
          <w:rPr>
            <w:noProof/>
            <w:webHidden/>
          </w:rPr>
          <w:tab/>
        </w:r>
      </w:hyperlink>
      <w:r>
        <w:rPr>
          <w:noProof/>
        </w:rPr>
        <w:t>23</w:t>
      </w:r>
    </w:p>
    <w:p w:rsidR="00EA4CCF" w:rsidRPr="000F6FE1" w:rsidRDefault="00DD457B" w:rsidP="00176E89">
      <w:pPr>
        <w:pStyle w:val="TOC3"/>
        <w:rPr>
          <w:noProof/>
          <w:sz w:val="22"/>
          <w:szCs w:val="22"/>
        </w:rPr>
      </w:pPr>
      <w:hyperlink w:anchor="_Toc286145906" w:history="1">
        <w:r w:rsidR="00EA4CCF">
          <w:rPr>
            <w:rStyle w:val="Hyperlink"/>
            <w:noProof/>
          </w:rPr>
          <w:t>Effects of lignin modification on plant stress</w:t>
        </w:r>
        <w:r w:rsidR="00EA4CCF" w:rsidRPr="000F6FE1">
          <w:rPr>
            <w:noProof/>
            <w:webHidden/>
          </w:rPr>
          <w:tab/>
        </w:r>
      </w:hyperlink>
      <w:r w:rsidR="005705DB">
        <w:rPr>
          <w:noProof/>
        </w:rPr>
        <w:t>25</w:t>
      </w:r>
    </w:p>
    <w:p w:rsidR="00EA4CCF" w:rsidRDefault="000002F7" w:rsidP="00176E89">
      <w:pPr>
        <w:pStyle w:val="TOC3"/>
        <w:rPr>
          <w:rStyle w:val="Hyperlink"/>
          <w:noProof/>
        </w:rPr>
      </w:pPr>
      <w:r>
        <w:t xml:space="preserve">  </w:t>
      </w:r>
      <w:hyperlink w:anchor="_Toc286145907" w:history="1">
        <w:r w:rsidR="00EA4CCF">
          <w:rPr>
            <w:rStyle w:val="Hyperlink"/>
            <w:noProof/>
          </w:rPr>
          <w:t>Biotic stress-related effects</w:t>
        </w:r>
        <w:r w:rsidR="00EA4CCF" w:rsidRPr="000F6FE1">
          <w:rPr>
            <w:noProof/>
            <w:webHidden/>
          </w:rPr>
          <w:tab/>
        </w:r>
      </w:hyperlink>
      <w:r w:rsidR="005705DB">
        <w:rPr>
          <w:noProof/>
        </w:rPr>
        <w:t>25</w:t>
      </w:r>
    </w:p>
    <w:p w:rsidR="00EA4CCF" w:rsidRDefault="000002F7" w:rsidP="00176E89">
      <w:pPr>
        <w:pStyle w:val="TOC3"/>
        <w:rPr>
          <w:rStyle w:val="Hyperlink"/>
          <w:noProof/>
        </w:rPr>
      </w:pPr>
      <w:r>
        <w:t xml:space="preserve">  </w:t>
      </w:r>
      <w:hyperlink w:anchor="_Toc286145907" w:history="1">
        <w:r w:rsidR="00EA4CCF">
          <w:t>Abiotic stress-related effets</w:t>
        </w:r>
        <w:r w:rsidR="00EA4CCF" w:rsidRPr="000F6FE1">
          <w:rPr>
            <w:noProof/>
            <w:webHidden/>
          </w:rPr>
          <w:tab/>
        </w:r>
      </w:hyperlink>
      <w:r w:rsidR="005705DB">
        <w:rPr>
          <w:noProof/>
        </w:rPr>
        <w:t>28</w:t>
      </w:r>
    </w:p>
    <w:p w:rsidR="00EA4CCF" w:rsidRPr="000F6FE1" w:rsidRDefault="00DD457B" w:rsidP="00176E89">
      <w:pPr>
        <w:pStyle w:val="TOC3"/>
        <w:rPr>
          <w:noProof/>
          <w:sz w:val="22"/>
          <w:szCs w:val="22"/>
        </w:rPr>
      </w:pPr>
      <w:hyperlink w:anchor="_Toc286145906" w:history="1">
        <w:r w:rsidR="008F29AA">
          <w:rPr>
            <w:rStyle w:val="Hyperlink"/>
            <w:noProof/>
          </w:rPr>
          <w:t>Perspectives and c</w:t>
        </w:r>
        <w:r w:rsidR="00EA4CCF">
          <w:rPr>
            <w:rStyle w:val="Hyperlink"/>
            <w:noProof/>
          </w:rPr>
          <w:t>onclusion</w:t>
        </w:r>
        <w:r w:rsidR="00EA4CCF" w:rsidRPr="000F6FE1">
          <w:rPr>
            <w:noProof/>
            <w:webHidden/>
          </w:rPr>
          <w:tab/>
        </w:r>
      </w:hyperlink>
      <w:r w:rsidR="005705DB">
        <w:rPr>
          <w:noProof/>
        </w:rPr>
        <w:t>32</w:t>
      </w:r>
    </w:p>
    <w:p w:rsidR="00EA4CCF" w:rsidRPr="000F6FE1" w:rsidRDefault="00DD457B" w:rsidP="00176E89">
      <w:pPr>
        <w:pStyle w:val="TOC3"/>
        <w:rPr>
          <w:noProof/>
          <w:sz w:val="22"/>
          <w:szCs w:val="22"/>
        </w:rPr>
      </w:pPr>
      <w:hyperlink w:anchor="_Toc286145906" w:history="1">
        <w:r w:rsidR="00EA4CCF">
          <w:rPr>
            <w:rStyle w:val="Hyperlink"/>
            <w:noProof/>
          </w:rPr>
          <w:t>References</w:t>
        </w:r>
        <w:r w:rsidR="00EA4CCF" w:rsidRPr="000F6FE1">
          <w:rPr>
            <w:noProof/>
            <w:webHidden/>
          </w:rPr>
          <w:tab/>
        </w:r>
      </w:hyperlink>
      <w:r w:rsidR="005705DB">
        <w:rPr>
          <w:noProof/>
        </w:rPr>
        <w:t>38</w:t>
      </w:r>
    </w:p>
    <w:p w:rsidR="00EA4CCF" w:rsidRPr="000F6FE1" w:rsidRDefault="00DD457B" w:rsidP="00176E89">
      <w:pPr>
        <w:pStyle w:val="TOC3"/>
        <w:rPr>
          <w:noProof/>
          <w:sz w:val="22"/>
          <w:szCs w:val="22"/>
        </w:rPr>
      </w:pPr>
      <w:hyperlink w:anchor="_Toc286145906" w:history="1">
        <w:r w:rsidR="00EA4CCF">
          <w:rPr>
            <w:rStyle w:val="Hyperlink"/>
            <w:noProof/>
          </w:rPr>
          <w:t>Appendix</w:t>
        </w:r>
        <w:r w:rsidR="002C1C5F">
          <w:rPr>
            <w:rStyle w:val="Hyperlink"/>
            <w:noProof/>
          </w:rPr>
          <w:t xml:space="preserve"> A</w:t>
        </w:r>
        <w:r w:rsidR="00EA4CCF" w:rsidRPr="000F6FE1">
          <w:rPr>
            <w:noProof/>
            <w:webHidden/>
          </w:rPr>
          <w:tab/>
        </w:r>
      </w:hyperlink>
      <w:r w:rsidR="005705DB">
        <w:rPr>
          <w:noProof/>
        </w:rPr>
        <w:t>46</w:t>
      </w:r>
    </w:p>
    <w:p w:rsidR="008F29AA" w:rsidRDefault="008F29AA" w:rsidP="008D176A">
      <w:pPr>
        <w:pStyle w:val="TOC1"/>
        <w:tabs>
          <w:tab w:val="right" w:leader="dot" w:pos="8630"/>
        </w:tabs>
        <w:rPr>
          <w:rStyle w:val="Hyperlink"/>
          <w:noProof/>
        </w:rPr>
      </w:pPr>
    </w:p>
    <w:p w:rsidR="00D41205" w:rsidRPr="000F6FE1" w:rsidRDefault="00DD457B" w:rsidP="008D176A">
      <w:pPr>
        <w:pStyle w:val="TOC1"/>
        <w:tabs>
          <w:tab w:val="right" w:leader="dot" w:pos="8630"/>
        </w:tabs>
        <w:rPr>
          <w:noProof/>
          <w:sz w:val="22"/>
          <w:szCs w:val="22"/>
        </w:rPr>
      </w:pPr>
      <w:hyperlink w:anchor="_Toc286145908" w:history="1">
        <w:r w:rsidR="000002F7">
          <w:rPr>
            <w:rStyle w:val="Hyperlink"/>
            <w:noProof/>
          </w:rPr>
          <w:t>CHAPTER 3</w:t>
        </w:r>
        <w:r w:rsidR="00EA4CCF">
          <w:rPr>
            <w:rStyle w:val="Hyperlink"/>
            <w:noProof/>
          </w:rPr>
          <w:t xml:space="preserve"> Two-year field analysis of reduced recalcitrance transgenic switchgrass</w:t>
        </w:r>
        <w:r w:rsidR="00D41205" w:rsidRPr="000F6FE1">
          <w:rPr>
            <w:noProof/>
            <w:webHidden/>
          </w:rPr>
          <w:tab/>
        </w:r>
      </w:hyperlink>
      <w:r w:rsidR="005705DB">
        <w:rPr>
          <w:noProof/>
        </w:rPr>
        <w:t>48</w:t>
      </w:r>
    </w:p>
    <w:p w:rsidR="00D41205" w:rsidRPr="000F6FE1" w:rsidRDefault="00DD457B" w:rsidP="008D176A">
      <w:pPr>
        <w:pStyle w:val="TOC2"/>
        <w:tabs>
          <w:tab w:val="right" w:leader="dot" w:pos="8630"/>
        </w:tabs>
        <w:rPr>
          <w:noProof/>
          <w:sz w:val="22"/>
          <w:szCs w:val="22"/>
        </w:rPr>
      </w:pPr>
      <w:hyperlink w:anchor="_Toc286145909" w:history="1">
        <w:r w:rsidR="00EA4CCF">
          <w:rPr>
            <w:rStyle w:val="Hyperlink"/>
            <w:noProof/>
          </w:rPr>
          <w:t>Abstract</w:t>
        </w:r>
        <w:r w:rsidR="00D41205" w:rsidRPr="000F6FE1">
          <w:rPr>
            <w:noProof/>
            <w:webHidden/>
          </w:rPr>
          <w:tab/>
        </w:r>
      </w:hyperlink>
      <w:r w:rsidR="005705DB">
        <w:rPr>
          <w:noProof/>
        </w:rPr>
        <w:t>49</w:t>
      </w:r>
    </w:p>
    <w:p w:rsidR="00EA4CCF" w:rsidRPr="000F6FE1" w:rsidRDefault="00DD457B" w:rsidP="008D176A">
      <w:pPr>
        <w:pStyle w:val="TOC2"/>
        <w:tabs>
          <w:tab w:val="right" w:leader="dot" w:pos="8630"/>
        </w:tabs>
        <w:rPr>
          <w:noProof/>
          <w:sz w:val="22"/>
          <w:szCs w:val="22"/>
        </w:rPr>
      </w:pPr>
      <w:hyperlink w:anchor="_Toc286145909" w:history="1">
        <w:r w:rsidR="00631FB3">
          <w:rPr>
            <w:rStyle w:val="Hyperlink"/>
            <w:noProof/>
          </w:rPr>
          <w:t>Introduction</w:t>
        </w:r>
        <w:r w:rsidR="00EA4CCF" w:rsidRPr="000F6FE1">
          <w:rPr>
            <w:noProof/>
            <w:webHidden/>
          </w:rPr>
          <w:tab/>
        </w:r>
      </w:hyperlink>
      <w:r w:rsidR="005705DB">
        <w:rPr>
          <w:noProof/>
        </w:rPr>
        <w:t>51</w:t>
      </w:r>
    </w:p>
    <w:p w:rsidR="00D41205" w:rsidRPr="000F6FE1" w:rsidRDefault="00DD457B" w:rsidP="008D176A">
      <w:pPr>
        <w:pStyle w:val="TOC2"/>
        <w:tabs>
          <w:tab w:val="right" w:leader="dot" w:pos="8630"/>
        </w:tabs>
        <w:rPr>
          <w:noProof/>
          <w:sz w:val="22"/>
          <w:szCs w:val="22"/>
        </w:rPr>
      </w:pPr>
      <w:hyperlink w:anchor="_Toc286145912" w:history="1">
        <w:r w:rsidR="00EA4CCF">
          <w:rPr>
            <w:rStyle w:val="Hyperlink"/>
            <w:noProof/>
          </w:rPr>
          <w:t>Materials and methods</w:t>
        </w:r>
        <w:r w:rsidR="00D41205" w:rsidRPr="000F6FE1">
          <w:rPr>
            <w:noProof/>
            <w:webHidden/>
          </w:rPr>
          <w:tab/>
        </w:r>
      </w:hyperlink>
      <w:r w:rsidR="00085EBF">
        <w:rPr>
          <w:noProof/>
        </w:rPr>
        <w:t>56</w:t>
      </w:r>
    </w:p>
    <w:p w:rsidR="00D41205" w:rsidRPr="000F6FE1" w:rsidRDefault="00DD457B" w:rsidP="00176E89">
      <w:pPr>
        <w:pStyle w:val="TOC3"/>
        <w:rPr>
          <w:noProof/>
          <w:sz w:val="22"/>
          <w:szCs w:val="22"/>
        </w:rPr>
      </w:pPr>
      <w:hyperlink w:anchor="_Toc286145913" w:history="1">
        <w:r w:rsidR="00EA4CCF">
          <w:rPr>
            <w:rStyle w:val="Hyperlink"/>
            <w:noProof/>
          </w:rPr>
          <w:t>Generation of plants used in the experiments</w:t>
        </w:r>
        <w:r w:rsidR="00D41205" w:rsidRPr="000F6FE1">
          <w:rPr>
            <w:noProof/>
            <w:webHidden/>
          </w:rPr>
          <w:tab/>
        </w:r>
      </w:hyperlink>
      <w:r w:rsidR="00085EBF">
        <w:rPr>
          <w:noProof/>
        </w:rPr>
        <w:t>56</w:t>
      </w:r>
    </w:p>
    <w:p w:rsidR="00D41205" w:rsidRDefault="00DD457B" w:rsidP="00176E89">
      <w:pPr>
        <w:pStyle w:val="TOC3"/>
        <w:rPr>
          <w:rStyle w:val="Hyperlink"/>
          <w:noProof/>
        </w:rPr>
      </w:pPr>
      <w:hyperlink w:anchor="_Toc286145914" w:history="1">
        <w:r w:rsidR="00EA4CCF">
          <w:rPr>
            <w:rStyle w:val="Hyperlink"/>
            <w:noProof/>
          </w:rPr>
          <w:t>Field design and maintenance</w:t>
        </w:r>
        <w:r w:rsidR="00D41205" w:rsidRPr="000F6FE1">
          <w:rPr>
            <w:noProof/>
            <w:webHidden/>
          </w:rPr>
          <w:tab/>
        </w:r>
      </w:hyperlink>
      <w:r w:rsidR="00085EBF">
        <w:rPr>
          <w:noProof/>
        </w:rPr>
        <w:t>57</w:t>
      </w:r>
    </w:p>
    <w:p w:rsidR="00EA4CCF" w:rsidRPr="000F6FE1" w:rsidRDefault="00DD457B" w:rsidP="00176E89">
      <w:pPr>
        <w:pStyle w:val="TOC3"/>
        <w:rPr>
          <w:noProof/>
          <w:sz w:val="22"/>
          <w:szCs w:val="22"/>
        </w:rPr>
      </w:pPr>
      <w:hyperlink w:anchor="_Toc286145914" w:history="1">
        <w:r w:rsidR="00EA4CCF">
          <w:rPr>
            <w:rStyle w:val="Hyperlink"/>
            <w:noProof/>
          </w:rPr>
          <w:t>Analysis of COMT transcript levels</w:t>
        </w:r>
        <w:r w:rsidR="00EA4CCF" w:rsidRPr="000F6FE1">
          <w:rPr>
            <w:noProof/>
            <w:webHidden/>
          </w:rPr>
          <w:tab/>
        </w:r>
      </w:hyperlink>
      <w:r w:rsidR="00085EBF">
        <w:rPr>
          <w:noProof/>
        </w:rPr>
        <w:t>58</w:t>
      </w:r>
    </w:p>
    <w:p w:rsidR="00EA4CCF" w:rsidRPr="000F6FE1" w:rsidRDefault="00DD457B" w:rsidP="00176E89">
      <w:pPr>
        <w:pStyle w:val="TOC3"/>
        <w:rPr>
          <w:noProof/>
          <w:sz w:val="22"/>
          <w:szCs w:val="22"/>
        </w:rPr>
      </w:pPr>
      <w:hyperlink w:anchor="_Toc286145914" w:history="1">
        <w:r w:rsidR="007E628E">
          <w:rPr>
            <w:rStyle w:val="Hyperlink"/>
            <w:noProof/>
          </w:rPr>
          <w:t>Green and senesced s</w:t>
        </w:r>
        <w:r w:rsidR="00EA4CCF">
          <w:rPr>
            <w:rStyle w:val="Hyperlink"/>
            <w:noProof/>
          </w:rPr>
          <w:t>ample collection and preparation</w:t>
        </w:r>
        <w:r w:rsidR="00EA4CCF" w:rsidRPr="000F6FE1">
          <w:rPr>
            <w:noProof/>
            <w:webHidden/>
          </w:rPr>
          <w:tab/>
        </w:r>
      </w:hyperlink>
      <w:r w:rsidR="00085EBF">
        <w:rPr>
          <w:noProof/>
        </w:rPr>
        <w:t>59</w:t>
      </w:r>
    </w:p>
    <w:p w:rsidR="00EA4CCF" w:rsidRPr="000F6FE1" w:rsidRDefault="00DD457B" w:rsidP="00176E89">
      <w:pPr>
        <w:pStyle w:val="TOC3"/>
        <w:rPr>
          <w:noProof/>
          <w:sz w:val="22"/>
          <w:szCs w:val="22"/>
        </w:rPr>
      </w:pPr>
      <w:hyperlink w:anchor="_Toc286145914" w:history="1">
        <w:r w:rsidR="007E628E">
          <w:rPr>
            <w:rStyle w:val="Hyperlink"/>
            <w:noProof/>
          </w:rPr>
          <w:t>Determination of l</w:t>
        </w:r>
        <w:r w:rsidR="00EA4CCF">
          <w:rPr>
            <w:rStyle w:val="Hyperlink"/>
            <w:noProof/>
          </w:rPr>
          <w:t>ignin content and composition</w:t>
        </w:r>
        <w:r w:rsidR="007E628E">
          <w:rPr>
            <w:rStyle w:val="Hyperlink"/>
            <w:noProof/>
          </w:rPr>
          <w:t xml:space="preserve"> by py-MBMS</w:t>
        </w:r>
        <w:r w:rsidR="00EA4CCF" w:rsidRPr="000F6FE1">
          <w:rPr>
            <w:noProof/>
            <w:webHidden/>
          </w:rPr>
          <w:tab/>
        </w:r>
      </w:hyperlink>
      <w:r w:rsidR="00085EBF">
        <w:rPr>
          <w:noProof/>
        </w:rPr>
        <w:t>60</w:t>
      </w:r>
    </w:p>
    <w:p w:rsidR="00EA4CCF" w:rsidRDefault="00DD457B" w:rsidP="00176E89">
      <w:pPr>
        <w:pStyle w:val="TOC3"/>
        <w:rPr>
          <w:rStyle w:val="Hyperlink"/>
          <w:noProof/>
        </w:rPr>
      </w:pPr>
      <w:hyperlink w:anchor="_Toc286145914" w:history="1">
        <w:r w:rsidR="00EA4CCF">
          <w:rPr>
            <w:rStyle w:val="Hyperlink"/>
            <w:noProof/>
          </w:rPr>
          <w:t>Cell wall composition by wet chemistry</w:t>
        </w:r>
        <w:r w:rsidR="00EA4CCF" w:rsidRPr="000F6FE1">
          <w:rPr>
            <w:noProof/>
            <w:webHidden/>
          </w:rPr>
          <w:tab/>
        </w:r>
      </w:hyperlink>
      <w:r w:rsidR="00085EBF">
        <w:rPr>
          <w:noProof/>
        </w:rPr>
        <w:t>61</w:t>
      </w:r>
    </w:p>
    <w:p w:rsidR="00EA4CCF" w:rsidRPr="000F6FE1" w:rsidRDefault="00DD457B" w:rsidP="00176E89">
      <w:pPr>
        <w:pStyle w:val="TOC3"/>
        <w:rPr>
          <w:noProof/>
          <w:sz w:val="22"/>
          <w:szCs w:val="22"/>
        </w:rPr>
      </w:pPr>
      <w:hyperlink w:anchor="_Toc286145914" w:history="1">
        <w:r w:rsidR="00153339">
          <w:rPr>
            <w:rStyle w:val="Hyperlink"/>
            <w:noProof/>
          </w:rPr>
          <w:t>Fourier transform infrared spectroscopy</w:t>
        </w:r>
        <w:r w:rsidR="00EA4CCF" w:rsidRPr="000F6FE1">
          <w:rPr>
            <w:noProof/>
            <w:webHidden/>
          </w:rPr>
          <w:tab/>
        </w:r>
      </w:hyperlink>
      <w:r w:rsidR="00085EBF">
        <w:rPr>
          <w:noProof/>
        </w:rPr>
        <w:t>63</w:t>
      </w:r>
    </w:p>
    <w:p w:rsidR="00EA4CCF" w:rsidRPr="000F6FE1" w:rsidRDefault="00DD457B" w:rsidP="00176E89">
      <w:pPr>
        <w:pStyle w:val="TOC3"/>
        <w:rPr>
          <w:noProof/>
          <w:sz w:val="22"/>
          <w:szCs w:val="22"/>
        </w:rPr>
      </w:pPr>
      <w:hyperlink w:anchor="_Toc286145914" w:history="1">
        <w:r w:rsidR="007E628E">
          <w:rPr>
            <w:rStyle w:val="Hyperlink"/>
            <w:noProof/>
          </w:rPr>
          <w:t>Sugar release</w:t>
        </w:r>
        <w:r w:rsidR="00EA4CCF" w:rsidRPr="000F6FE1">
          <w:rPr>
            <w:noProof/>
            <w:webHidden/>
          </w:rPr>
          <w:tab/>
        </w:r>
      </w:hyperlink>
      <w:r w:rsidR="00085EBF">
        <w:rPr>
          <w:noProof/>
        </w:rPr>
        <w:t>63</w:t>
      </w:r>
    </w:p>
    <w:p w:rsidR="00EA4CCF" w:rsidRPr="000F6FE1" w:rsidRDefault="00DD457B" w:rsidP="00176E89">
      <w:pPr>
        <w:pStyle w:val="TOC3"/>
        <w:rPr>
          <w:noProof/>
          <w:sz w:val="22"/>
          <w:szCs w:val="22"/>
        </w:rPr>
      </w:pPr>
      <w:hyperlink w:anchor="_Toc286145914" w:history="1">
        <w:r w:rsidR="00EA4CCF">
          <w:rPr>
            <w:rStyle w:val="Hyperlink"/>
            <w:noProof/>
          </w:rPr>
          <w:t>Quantitative saccharification, pretreatment, and fermentation</w:t>
        </w:r>
        <w:r w:rsidR="00EA4CCF" w:rsidRPr="000F6FE1">
          <w:rPr>
            <w:noProof/>
            <w:webHidden/>
          </w:rPr>
          <w:tab/>
        </w:r>
      </w:hyperlink>
      <w:r w:rsidR="00085EBF">
        <w:rPr>
          <w:noProof/>
        </w:rPr>
        <w:t>64</w:t>
      </w:r>
    </w:p>
    <w:p w:rsidR="00EA4CCF" w:rsidRPr="000F6FE1" w:rsidRDefault="00DD457B" w:rsidP="00176E89">
      <w:pPr>
        <w:pStyle w:val="TOC3"/>
        <w:rPr>
          <w:noProof/>
          <w:sz w:val="22"/>
          <w:szCs w:val="22"/>
        </w:rPr>
      </w:pPr>
      <w:hyperlink w:anchor="_Toc286145914" w:history="1">
        <w:r w:rsidR="00EA4CCF">
          <w:rPr>
            <w:rStyle w:val="Hyperlink"/>
            <w:noProof/>
          </w:rPr>
          <w:t>Agronomic performance</w:t>
        </w:r>
        <w:r w:rsidR="00EA4CCF" w:rsidRPr="000F6FE1">
          <w:rPr>
            <w:noProof/>
            <w:webHidden/>
          </w:rPr>
          <w:tab/>
        </w:r>
      </w:hyperlink>
      <w:r w:rsidR="00085EBF">
        <w:rPr>
          <w:noProof/>
        </w:rPr>
        <w:t>65</w:t>
      </w:r>
    </w:p>
    <w:p w:rsidR="00EA4CCF" w:rsidRPr="000F6FE1" w:rsidRDefault="00DD457B" w:rsidP="00176E89">
      <w:pPr>
        <w:pStyle w:val="TOC3"/>
        <w:rPr>
          <w:noProof/>
          <w:sz w:val="22"/>
          <w:szCs w:val="22"/>
        </w:rPr>
      </w:pPr>
      <w:hyperlink w:anchor="_Toc286145914" w:history="1">
        <w:r w:rsidR="00EA4CCF">
          <w:rPr>
            <w:rStyle w:val="Hyperlink"/>
            <w:noProof/>
          </w:rPr>
          <w:t>Rust evaluation</w:t>
        </w:r>
        <w:r w:rsidR="00EA4CCF" w:rsidRPr="000F6FE1">
          <w:rPr>
            <w:noProof/>
            <w:webHidden/>
          </w:rPr>
          <w:tab/>
        </w:r>
      </w:hyperlink>
      <w:r w:rsidR="00085EBF">
        <w:rPr>
          <w:noProof/>
        </w:rPr>
        <w:t>66</w:t>
      </w:r>
    </w:p>
    <w:p w:rsidR="00EA4CCF" w:rsidRDefault="00DD457B" w:rsidP="00176E89">
      <w:pPr>
        <w:pStyle w:val="TOC3"/>
        <w:rPr>
          <w:rStyle w:val="Hyperlink"/>
          <w:noProof/>
        </w:rPr>
      </w:pPr>
      <w:hyperlink w:anchor="_Toc286145914" w:history="1">
        <w:r w:rsidR="00EA4CCF">
          <w:rPr>
            <w:rStyle w:val="Hyperlink"/>
            <w:noProof/>
          </w:rPr>
          <w:t>Statistical analyses</w:t>
        </w:r>
        <w:r w:rsidR="00EA4CCF" w:rsidRPr="000F6FE1">
          <w:rPr>
            <w:noProof/>
            <w:webHidden/>
          </w:rPr>
          <w:tab/>
        </w:r>
      </w:hyperlink>
      <w:r w:rsidR="00085EBF">
        <w:rPr>
          <w:noProof/>
        </w:rPr>
        <w:t>66</w:t>
      </w:r>
    </w:p>
    <w:p w:rsidR="00EA4CCF" w:rsidRDefault="00DD457B" w:rsidP="008D176A">
      <w:pPr>
        <w:pStyle w:val="TOC2"/>
        <w:tabs>
          <w:tab w:val="right" w:leader="dot" w:pos="8630"/>
        </w:tabs>
        <w:rPr>
          <w:rStyle w:val="Hyperlink"/>
          <w:noProof/>
        </w:rPr>
      </w:pPr>
      <w:hyperlink w:anchor="_Toc286145912" w:history="1">
        <w:r w:rsidR="00EA4CCF">
          <w:rPr>
            <w:rStyle w:val="Hyperlink"/>
            <w:noProof/>
          </w:rPr>
          <w:t>Results</w:t>
        </w:r>
        <w:r w:rsidR="00EA4CCF" w:rsidRPr="000F6FE1">
          <w:rPr>
            <w:noProof/>
            <w:webHidden/>
          </w:rPr>
          <w:tab/>
        </w:r>
      </w:hyperlink>
      <w:r w:rsidR="00085EBF">
        <w:rPr>
          <w:noProof/>
        </w:rPr>
        <w:t>67</w:t>
      </w:r>
    </w:p>
    <w:p w:rsidR="00EA4CCF" w:rsidRPr="000F6FE1" w:rsidRDefault="00DD457B" w:rsidP="00176E89">
      <w:pPr>
        <w:pStyle w:val="TOC3"/>
        <w:rPr>
          <w:noProof/>
          <w:sz w:val="22"/>
          <w:szCs w:val="22"/>
        </w:rPr>
      </w:pPr>
      <w:hyperlink w:anchor="_Toc286145913" w:history="1">
        <w:r w:rsidR="00EA4CCF">
          <w:rPr>
            <w:rStyle w:val="Hyperlink"/>
            <w:noProof/>
          </w:rPr>
          <w:t>Analysis of COMT transcript levels</w:t>
        </w:r>
        <w:r w:rsidR="00EA4CCF" w:rsidRPr="000F6FE1">
          <w:rPr>
            <w:noProof/>
            <w:webHidden/>
          </w:rPr>
          <w:tab/>
        </w:r>
      </w:hyperlink>
      <w:r w:rsidR="00085EBF">
        <w:rPr>
          <w:noProof/>
        </w:rPr>
        <w:t>67</w:t>
      </w:r>
    </w:p>
    <w:p w:rsidR="00EA4CCF" w:rsidRDefault="00DD457B" w:rsidP="00176E89">
      <w:pPr>
        <w:pStyle w:val="TOC3"/>
        <w:rPr>
          <w:rStyle w:val="Hyperlink"/>
          <w:noProof/>
        </w:rPr>
      </w:pPr>
      <w:hyperlink w:anchor="_Toc286145914" w:history="1">
        <w:r w:rsidR="00EA4CCF">
          <w:rPr>
            <w:rStyle w:val="Hyperlink"/>
            <w:noProof/>
          </w:rPr>
          <w:t>Lignin content and composition</w:t>
        </w:r>
        <w:r w:rsidR="00EA4CCF" w:rsidRPr="000F6FE1">
          <w:rPr>
            <w:noProof/>
            <w:webHidden/>
          </w:rPr>
          <w:tab/>
        </w:r>
      </w:hyperlink>
      <w:r w:rsidR="00085EBF">
        <w:rPr>
          <w:noProof/>
        </w:rPr>
        <w:t>67</w:t>
      </w:r>
    </w:p>
    <w:p w:rsidR="00EA4CCF" w:rsidRPr="000F6FE1" w:rsidRDefault="00DD457B" w:rsidP="00176E89">
      <w:pPr>
        <w:pStyle w:val="TOC3"/>
        <w:rPr>
          <w:noProof/>
          <w:sz w:val="22"/>
          <w:szCs w:val="22"/>
        </w:rPr>
      </w:pPr>
      <w:hyperlink w:anchor="_Toc286145914" w:history="1">
        <w:r w:rsidR="00EA4CCF">
          <w:rPr>
            <w:rStyle w:val="Hyperlink"/>
            <w:noProof/>
          </w:rPr>
          <w:t>Cell wall composition and index of cellulose crystallinity</w:t>
        </w:r>
        <w:r w:rsidR="00EA4CCF" w:rsidRPr="000F6FE1">
          <w:rPr>
            <w:noProof/>
            <w:webHidden/>
          </w:rPr>
          <w:tab/>
        </w:r>
      </w:hyperlink>
      <w:r w:rsidR="00085EBF">
        <w:rPr>
          <w:noProof/>
        </w:rPr>
        <w:t>68</w:t>
      </w:r>
    </w:p>
    <w:p w:rsidR="00EA4CCF" w:rsidRPr="000F6FE1" w:rsidRDefault="00DD457B" w:rsidP="00176E89">
      <w:pPr>
        <w:pStyle w:val="TOC3"/>
        <w:rPr>
          <w:noProof/>
          <w:sz w:val="22"/>
          <w:szCs w:val="22"/>
        </w:rPr>
      </w:pPr>
      <w:hyperlink w:anchor="_Toc286145914" w:history="1">
        <w:r w:rsidR="00EA4CCF">
          <w:rPr>
            <w:rStyle w:val="Hyperlink"/>
            <w:noProof/>
          </w:rPr>
          <w:t>Sugar release efficiency</w:t>
        </w:r>
        <w:r w:rsidR="00EA4CCF" w:rsidRPr="000F6FE1">
          <w:rPr>
            <w:noProof/>
            <w:webHidden/>
          </w:rPr>
          <w:tab/>
        </w:r>
      </w:hyperlink>
      <w:r w:rsidR="00085EBF">
        <w:rPr>
          <w:noProof/>
        </w:rPr>
        <w:t>68</w:t>
      </w:r>
    </w:p>
    <w:p w:rsidR="00EA4CCF" w:rsidRPr="000F6FE1" w:rsidRDefault="00DD457B" w:rsidP="00176E89">
      <w:pPr>
        <w:pStyle w:val="TOC3"/>
        <w:rPr>
          <w:noProof/>
          <w:sz w:val="22"/>
          <w:szCs w:val="22"/>
        </w:rPr>
      </w:pPr>
      <w:hyperlink w:anchor="_Toc286145914" w:history="1">
        <w:r w:rsidR="00EA4CCF">
          <w:rPr>
            <w:rStyle w:val="Hyperlink"/>
            <w:noProof/>
          </w:rPr>
          <w:t>Ethanol yield</w:t>
        </w:r>
        <w:r w:rsidR="00EA4CCF" w:rsidRPr="000F6FE1">
          <w:rPr>
            <w:noProof/>
            <w:webHidden/>
          </w:rPr>
          <w:tab/>
        </w:r>
      </w:hyperlink>
      <w:r w:rsidR="00085EBF">
        <w:rPr>
          <w:noProof/>
        </w:rPr>
        <w:t>69</w:t>
      </w:r>
    </w:p>
    <w:p w:rsidR="00EA4CCF" w:rsidRDefault="00DD457B" w:rsidP="00176E89">
      <w:pPr>
        <w:pStyle w:val="TOC3"/>
        <w:rPr>
          <w:rStyle w:val="Hyperlink"/>
          <w:noProof/>
        </w:rPr>
      </w:pPr>
      <w:hyperlink w:anchor="_Toc286145914" w:history="1">
        <w:r w:rsidR="00EA4CCF">
          <w:rPr>
            <w:rStyle w:val="Hyperlink"/>
            <w:noProof/>
          </w:rPr>
          <w:t>Agronomic performance</w:t>
        </w:r>
        <w:r w:rsidR="00EA4CCF" w:rsidRPr="000F6FE1">
          <w:rPr>
            <w:noProof/>
            <w:webHidden/>
          </w:rPr>
          <w:tab/>
        </w:r>
      </w:hyperlink>
      <w:r w:rsidR="00085EBF">
        <w:rPr>
          <w:noProof/>
        </w:rPr>
        <w:t>70</w:t>
      </w:r>
    </w:p>
    <w:p w:rsidR="00EA4CCF" w:rsidRPr="000F6FE1" w:rsidRDefault="00DD457B" w:rsidP="00176E89">
      <w:pPr>
        <w:pStyle w:val="TOC3"/>
        <w:rPr>
          <w:noProof/>
          <w:sz w:val="22"/>
          <w:szCs w:val="22"/>
        </w:rPr>
      </w:pPr>
      <w:hyperlink w:anchor="_Toc286145914" w:history="1">
        <w:r w:rsidR="00EA4CCF">
          <w:rPr>
            <w:rStyle w:val="Hyperlink"/>
            <w:noProof/>
          </w:rPr>
          <w:t>Disease susceptibility</w:t>
        </w:r>
        <w:r w:rsidR="00EA4CCF" w:rsidRPr="000F6FE1">
          <w:rPr>
            <w:noProof/>
            <w:webHidden/>
          </w:rPr>
          <w:tab/>
        </w:r>
      </w:hyperlink>
      <w:r w:rsidR="00085EBF">
        <w:rPr>
          <w:noProof/>
        </w:rPr>
        <w:t>71</w:t>
      </w:r>
    </w:p>
    <w:p w:rsidR="00EA4CCF" w:rsidRDefault="00DD457B" w:rsidP="008D176A">
      <w:pPr>
        <w:pStyle w:val="TOC2"/>
        <w:tabs>
          <w:tab w:val="right" w:leader="dot" w:pos="8630"/>
        </w:tabs>
        <w:rPr>
          <w:rStyle w:val="Hyperlink"/>
          <w:noProof/>
        </w:rPr>
      </w:pPr>
      <w:hyperlink w:anchor="_Toc286145912" w:history="1">
        <w:r w:rsidR="00EA4CCF">
          <w:rPr>
            <w:rStyle w:val="Hyperlink"/>
            <w:noProof/>
          </w:rPr>
          <w:t>Discussion</w:t>
        </w:r>
        <w:r w:rsidR="00EA4CCF" w:rsidRPr="000F6FE1">
          <w:rPr>
            <w:noProof/>
            <w:webHidden/>
          </w:rPr>
          <w:tab/>
        </w:r>
      </w:hyperlink>
      <w:r w:rsidR="00085EBF">
        <w:rPr>
          <w:noProof/>
        </w:rPr>
        <w:t>72</w:t>
      </w:r>
    </w:p>
    <w:p w:rsidR="00EA4CCF" w:rsidRDefault="00DD457B" w:rsidP="008D176A">
      <w:pPr>
        <w:pStyle w:val="TOC2"/>
        <w:tabs>
          <w:tab w:val="right" w:leader="dot" w:pos="8630"/>
        </w:tabs>
        <w:rPr>
          <w:rStyle w:val="Hyperlink"/>
          <w:noProof/>
        </w:rPr>
      </w:pPr>
      <w:hyperlink w:anchor="_Toc286145912" w:history="1">
        <w:r w:rsidR="00EA4CCF">
          <w:rPr>
            <w:rStyle w:val="Hyperlink"/>
            <w:noProof/>
          </w:rPr>
          <w:t>References</w:t>
        </w:r>
        <w:r w:rsidR="00EA4CCF" w:rsidRPr="000F6FE1">
          <w:rPr>
            <w:noProof/>
            <w:webHidden/>
          </w:rPr>
          <w:tab/>
        </w:r>
      </w:hyperlink>
      <w:r w:rsidR="00631FB3">
        <w:rPr>
          <w:noProof/>
        </w:rPr>
        <w:t>80</w:t>
      </w:r>
    </w:p>
    <w:p w:rsidR="00EA4CCF" w:rsidRDefault="00DD457B" w:rsidP="008D176A">
      <w:pPr>
        <w:pStyle w:val="TOC2"/>
        <w:tabs>
          <w:tab w:val="right" w:leader="dot" w:pos="8630"/>
        </w:tabs>
        <w:rPr>
          <w:rStyle w:val="Hyperlink"/>
          <w:noProof/>
        </w:rPr>
      </w:pPr>
      <w:hyperlink w:anchor="_Toc286145912" w:history="1">
        <w:r w:rsidR="00EA4CCF">
          <w:rPr>
            <w:rStyle w:val="Hyperlink"/>
            <w:noProof/>
          </w:rPr>
          <w:t>Appendix</w:t>
        </w:r>
        <w:r w:rsidR="002C1C5F">
          <w:rPr>
            <w:rStyle w:val="Hyperlink"/>
            <w:noProof/>
          </w:rPr>
          <w:t xml:space="preserve"> B</w:t>
        </w:r>
        <w:r w:rsidR="00EA4CCF" w:rsidRPr="000F6FE1">
          <w:rPr>
            <w:noProof/>
            <w:webHidden/>
          </w:rPr>
          <w:tab/>
        </w:r>
      </w:hyperlink>
      <w:r w:rsidR="00631FB3">
        <w:rPr>
          <w:noProof/>
        </w:rPr>
        <w:t>84</w:t>
      </w:r>
    </w:p>
    <w:p w:rsidR="00EA4CCF" w:rsidRPr="000F6FE1" w:rsidRDefault="00DD457B" w:rsidP="008D176A">
      <w:pPr>
        <w:pStyle w:val="TOC1"/>
        <w:tabs>
          <w:tab w:val="right" w:leader="dot" w:pos="8630"/>
        </w:tabs>
        <w:rPr>
          <w:noProof/>
          <w:sz w:val="22"/>
          <w:szCs w:val="22"/>
        </w:rPr>
      </w:pPr>
      <w:hyperlink w:anchor="_Toc286145916" w:history="1">
        <w:r w:rsidR="000002F7">
          <w:rPr>
            <w:rStyle w:val="Hyperlink"/>
            <w:noProof/>
          </w:rPr>
          <w:t xml:space="preserve">CHAPTER 4 </w:t>
        </w:r>
        <w:r w:rsidR="00C21FBD">
          <w:rPr>
            <w:rStyle w:val="Hyperlink"/>
            <w:noProof/>
          </w:rPr>
          <w:t xml:space="preserve"> </w:t>
        </w:r>
        <w:r w:rsidR="000002F7">
          <w:rPr>
            <w:rStyle w:val="Hyperlink"/>
            <w:noProof/>
          </w:rPr>
          <w:t>Conclusion</w:t>
        </w:r>
        <w:r w:rsidR="005705DB">
          <w:rPr>
            <w:rStyle w:val="Hyperlink"/>
            <w:noProof/>
          </w:rPr>
          <w:t>s</w:t>
        </w:r>
        <w:r w:rsidR="00EA4CCF" w:rsidRPr="000F6FE1">
          <w:rPr>
            <w:noProof/>
            <w:webHidden/>
          </w:rPr>
          <w:tab/>
        </w:r>
      </w:hyperlink>
      <w:r w:rsidR="00631FB3">
        <w:rPr>
          <w:noProof/>
        </w:rPr>
        <w:t>102</w:t>
      </w:r>
    </w:p>
    <w:p w:rsidR="000002F7" w:rsidRPr="000F6FE1" w:rsidRDefault="00DD457B" w:rsidP="000002F7">
      <w:pPr>
        <w:pStyle w:val="TOC1"/>
        <w:tabs>
          <w:tab w:val="right" w:leader="dot" w:pos="8630"/>
        </w:tabs>
        <w:rPr>
          <w:noProof/>
          <w:sz w:val="22"/>
          <w:szCs w:val="22"/>
        </w:rPr>
      </w:pPr>
      <w:hyperlink w:anchor="_Toc286145916" w:history="1">
        <w:r w:rsidR="000002F7">
          <w:rPr>
            <w:rStyle w:val="Hyperlink"/>
            <w:noProof/>
          </w:rPr>
          <w:t>Vita</w:t>
        </w:r>
        <w:r w:rsidR="000002F7" w:rsidRPr="000F6FE1">
          <w:rPr>
            <w:noProof/>
            <w:webHidden/>
          </w:rPr>
          <w:tab/>
        </w:r>
      </w:hyperlink>
      <w:r w:rsidR="00730585">
        <w:rPr>
          <w:noProof/>
        </w:rPr>
        <w:t>104</w:t>
      </w:r>
    </w:p>
    <w:p w:rsidR="00EA4CCF" w:rsidRPr="00EA4CCF" w:rsidRDefault="00EA4CCF" w:rsidP="008D176A"/>
    <w:p w:rsidR="00236E6D" w:rsidRPr="000F6FE1" w:rsidRDefault="005D0D91" w:rsidP="008D176A">
      <w:pPr>
        <w:numPr>
          <w:ilvl w:val="12"/>
          <w:numId w:val="0"/>
        </w:numPr>
        <w:rPr>
          <w:b/>
          <w:bCs/>
          <w:sz w:val="28"/>
          <w:szCs w:val="28"/>
        </w:rPr>
      </w:pPr>
      <w:r w:rsidRPr="000F6FE1">
        <w:fldChar w:fldCharType="end"/>
      </w:r>
    </w:p>
    <w:p w:rsidR="007773E9" w:rsidRDefault="007773E9" w:rsidP="00097A19">
      <w:pPr>
        <w:numPr>
          <w:ilvl w:val="12"/>
          <w:numId w:val="0"/>
        </w:numPr>
        <w:spacing w:line="480" w:lineRule="auto"/>
        <w:jc w:val="center"/>
        <w:rPr>
          <w:b/>
        </w:rPr>
        <w:sectPr w:rsidR="007773E9" w:rsidSect="00D219AF">
          <w:headerReference w:type="even" r:id="rId8"/>
          <w:headerReference w:type="default" r:id="rId9"/>
          <w:footerReference w:type="default" r:id="rId10"/>
          <w:pgSz w:w="12240" w:h="15840" w:code="1"/>
          <w:pgMar w:top="1440" w:right="1296" w:bottom="1440" w:left="1296" w:header="720" w:footer="1440" w:gutter="0"/>
          <w:pgNumType w:fmt="lowerRoman" w:start="1"/>
          <w:cols w:space="720"/>
          <w:noEndnote/>
          <w:titlePg/>
          <w:docGrid w:linePitch="326"/>
        </w:sectPr>
      </w:pPr>
    </w:p>
    <w:p w:rsidR="00956898" w:rsidRPr="00956898" w:rsidRDefault="00956898" w:rsidP="008D176A">
      <w:pPr>
        <w:numPr>
          <w:ilvl w:val="12"/>
          <w:numId w:val="0"/>
        </w:numPr>
        <w:jc w:val="center"/>
      </w:pPr>
      <w:r w:rsidRPr="00956898">
        <w:rPr>
          <w:b/>
          <w:bCs/>
        </w:rPr>
        <w:lastRenderedPageBreak/>
        <w:t>LIST OF TABLES</w:t>
      </w:r>
    </w:p>
    <w:p w:rsidR="00956898" w:rsidRPr="00956898" w:rsidRDefault="00956898" w:rsidP="008D176A">
      <w:pPr>
        <w:numPr>
          <w:ilvl w:val="12"/>
          <w:numId w:val="0"/>
        </w:numPr>
        <w:jc w:val="center"/>
      </w:pPr>
    </w:p>
    <w:p w:rsidR="00956898" w:rsidRPr="00956898" w:rsidRDefault="00956898" w:rsidP="008D176A">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b/>
        </w:rPr>
      </w:pPr>
      <w:r w:rsidRPr="00956898">
        <w:rPr>
          <w:b/>
        </w:rPr>
        <w:t>Table</w:t>
      </w:r>
      <w:r w:rsidRPr="00956898">
        <w:rPr>
          <w:b/>
        </w:rPr>
        <w:tab/>
      </w:r>
      <w:r w:rsidRPr="00956898">
        <w:rPr>
          <w:b/>
        </w:rPr>
        <w:tab/>
      </w:r>
      <w:r w:rsidRPr="00956898">
        <w:rPr>
          <w:b/>
        </w:rPr>
        <w:tab/>
      </w:r>
      <w:r w:rsidRPr="00956898">
        <w:rPr>
          <w:b/>
        </w:rPr>
        <w:tab/>
      </w:r>
      <w:r w:rsidRPr="00956898">
        <w:rPr>
          <w:b/>
        </w:rPr>
        <w:tab/>
      </w:r>
      <w:r w:rsidRPr="00956898">
        <w:rPr>
          <w:b/>
        </w:rPr>
        <w:tab/>
      </w:r>
      <w:r w:rsidRPr="00956898">
        <w:rPr>
          <w:b/>
        </w:rPr>
        <w:tab/>
      </w:r>
      <w:r w:rsidRPr="00956898">
        <w:rPr>
          <w:b/>
        </w:rPr>
        <w:tab/>
      </w:r>
      <w:r w:rsidRPr="00956898">
        <w:rPr>
          <w:b/>
        </w:rPr>
        <w:tab/>
      </w:r>
      <w:r w:rsidRPr="00956898">
        <w:rPr>
          <w:b/>
        </w:rPr>
        <w:tab/>
        <w:t xml:space="preserve">    Page</w:t>
      </w:r>
    </w:p>
    <w:p w:rsidR="00956898" w:rsidRPr="00956898" w:rsidRDefault="00956898" w:rsidP="008D176A">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b/>
        </w:rPr>
      </w:pPr>
    </w:p>
    <w:p w:rsidR="00956898" w:rsidRPr="001E6579" w:rsidRDefault="00956898" w:rsidP="008D176A">
      <w:pPr>
        <w:tabs>
          <w:tab w:val="right" w:leader="dot" w:pos="8270"/>
        </w:tabs>
        <w:ind w:left="480" w:hanging="480"/>
        <w:rPr>
          <w:i/>
        </w:rPr>
      </w:pPr>
      <w:r w:rsidRPr="001E6579">
        <w:rPr>
          <w:i/>
        </w:rPr>
        <w:t>Appendix A</w:t>
      </w:r>
    </w:p>
    <w:p w:rsidR="00956898" w:rsidRDefault="005D0D91" w:rsidP="008D176A">
      <w:pPr>
        <w:tabs>
          <w:tab w:val="right" w:leader="dot" w:pos="8270"/>
        </w:tabs>
        <w:ind w:left="480" w:hanging="480"/>
      </w:pPr>
      <w:r w:rsidRPr="00956898">
        <w:fldChar w:fldCharType="begin"/>
      </w:r>
      <w:r w:rsidR="00956898" w:rsidRPr="00956898">
        <w:instrText xml:space="preserve"> TOC \h \z \c "Table" </w:instrText>
      </w:r>
      <w:r w:rsidRPr="00956898">
        <w:fldChar w:fldCharType="separate"/>
      </w:r>
      <w:hyperlink w:anchor="_Toc140573588" w:history="1">
        <w:r w:rsidR="00956898" w:rsidRPr="00956898">
          <w:rPr>
            <w:noProof/>
          </w:rPr>
          <w:t xml:space="preserve">Table </w:t>
        </w:r>
        <w:r w:rsidR="008F29AA">
          <w:rPr>
            <w:noProof/>
          </w:rPr>
          <w:t>A.</w:t>
        </w:r>
        <w:r w:rsidR="00956898" w:rsidRPr="00956898">
          <w:rPr>
            <w:noProof/>
          </w:rPr>
          <w:t>1. Summary of the effects of altered lignin biosynthesis in transgenic or mutant plants on the synthesis of phenylpropanoid-derived secondary metabolites.</w:t>
        </w:r>
        <w:r w:rsidR="00956898" w:rsidRPr="00956898">
          <w:rPr>
            <w:noProof/>
            <w:webHidden/>
          </w:rPr>
          <w:tab/>
        </w:r>
      </w:hyperlink>
      <w:r w:rsidR="00370C8F">
        <w:rPr>
          <w:noProof/>
        </w:rPr>
        <w:t>46</w:t>
      </w:r>
    </w:p>
    <w:p w:rsidR="00C02BCB" w:rsidRDefault="00C02BCB" w:rsidP="008D176A">
      <w:pPr>
        <w:tabs>
          <w:tab w:val="right" w:leader="dot" w:pos="8270"/>
        </w:tabs>
        <w:ind w:left="480" w:hanging="480"/>
      </w:pPr>
    </w:p>
    <w:p w:rsidR="00956898" w:rsidRPr="001E6579" w:rsidRDefault="00956898" w:rsidP="008D176A">
      <w:pPr>
        <w:tabs>
          <w:tab w:val="right" w:leader="dot" w:pos="8270"/>
        </w:tabs>
        <w:ind w:left="480" w:hanging="480"/>
        <w:rPr>
          <w:i/>
        </w:rPr>
      </w:pPr>
      <w:r w:rsidRPr="001E6579">
        <w:rPr>
          <w:i/>
        </w:rPr>
        <w:t>Appendix B</w:t>
      </w:r>
    </w:p>
    <w:p w:rsidR="00956898" w:rsidRDefault="00DD457B" w:rsidP="008D176A">
      <w:pPr>
        <w:tabs>
          <w:tab w:val="right" w:leader="dot" w:pos="8270"/>
        </w:tabs>
        <w:ind w:left="480" w:hanging="480"/>
      </w:pPr>
      <w:hyperlink w:anchor="_Toc140573588" w:history="1">
        <w:r w:rsidR="00956898" w:rsidRPr="00956898">
          <w:rPr>
            <w:noProof/>
          </w:rPr>
          <w:t xml:space="preserve">Table </w:t>
        </w:r>
        <w:r w:rsidR="008F29AA">
          <w:rPr>
            <w:noProof/>
          </w:rPr>
          <w:t>B.</w:t>
        </w:r>
        <w:r w:rsidR="00956898" w:rsidRPr="00956898">
          <w:rPr>
            <w:noProof/>
          </w:rPr>
          <w:t xml:space="preserve">1. </w:t>
        </w:r>
        <w:r w:rsidR="00C02BCB" w:rsidRPr="00C02BCB">
          <w:rPr>
            <w:noProof/>
          </w:rPr>
          <w:t>Chemical composition of senesced biomass on an extracti</w:t>
        </w:r>
        <w:r w:rsidR="00C02BCB">
          <w:rPr>
            <w:noProof/>
          </w:rPr>
          <w:t>ves-free basis in 2011 and 2012</w:t>
        </w:r>
        <w:r w:rsidR="00956898" w:rsidRPr="00956898">
          <w:rPr>
            <w:noProof/>
          </w:rPr>
          <w:t>.</w:t>
        </w:r>
        <w:r w:rsidR="00956898" w:rsidRPr="00956898">
          <w:rPr>
            <w:noProof/>
            <w:webHidden/>
          </w:rPr>
          <w:tab/>
        </w:r>
      </w:hyperlink>
      <w:r w:rsidR="00631FB3">
        <w:rPr>
          <w:noProof/>
        </w:rPr>
        <w:t>97</w:t>
      </w:r>
    </w:p>
    <w:p w:rsidR="00956898" w:rsidRDefault="00DD457B" w:rsidP="008D176A">
      <w:pPr>
        <w:tabs>
          <w:tab w:val="right" w:leader="dot" w:pos="8270"/>
        </w:tabs>
        <w:ind w:left="480" w:hanging="480"/>
      </w:pPr>
      <w:hyperlink w:anchor="_Toc140573588" w:history="1">
        <w:r w:rsidR="00956898">
          <w:rPr>
            <w:noProof/>
          </w:rPr>
          <w:t xml:space="preserve">Table </w:t>
        </w:r>
        <w:r w:rsidR="008F29AA">
          <w:rPr>
            <w:noProof/>
          </w:rPr>
          <w:t>B.</w:t>
        </w:r>
        <w:r w:rsidR="00956898">
          <w:rPr>
            <w:noProof/>
          </w:rPr>
          <w:t>2</w:t>
        </w:r>
        <w:r w:rsidR="00956898" w:rsidRPr="00956898">
          <w:rPr>
            <w:noProof/>
          </w:rPr>
          <w:t xml:space="preserve">. </w:t>
        </w:r>
        <w:r w:rsidR="00C02BCB" w:rsidRPr="00C02BCB">
          <w:rPr>
            <w:noProof/>
          </w:rPr>
          <w:t>Sugars released by enzymatic hydrolysis from green and senesced samples in 2011 and 2012</w:t>
        </w:r>
        <w:r w:rsidR="00C02BCB">
          <w:rPr>
            <w:noProof/>
          </w:rPr>
          <w:t>.</w:t>
        </w:r>
        <w:r w:rsidR="00956898" w:rsidRPr="00956898">
          <w:rPr>
            <w:noProof/>
            <w:webHidden/>
          </w:rPr>
          <w:tab/>
        </w:r>
      </w:hyperlink>
      <w:r w:rsidR="00631FB3">
        <w:rPr>
          <w:noProof/>
        </w:rPr>
        <w:t>99</w:t>
      </w:r>
    </w:p>
    <w:p w:rsidR="00956898" w:rsidRDefault="00DD457B" w:rsidP="008D176A">
      <w:pPr>
        <w:tabs>
          <w:tab w:val="right" w:leader="dot" w:pos="8270"/>
        </w:tabs>
        <w:ind w:left="480" w:hanging="480"/>
      </w:pPr>
      <w:hyperlink w:anchor="_Toc140573588" w:history="1">
        <w:r w:rsidR="00956898">
          <w:rPr>
            <w:noProof/>
          </w:rPr>
          <w:t xml:space="preserve">Table </w:t>
        </w:r>
        <w:r w:rsidR="008F29AA">
          <w:rPr>
            <w:noProof/>
          </w:rPr>
          <w:t>B.</w:t>
        </w:r>
        <w:r w:rsidR="00956898">
          <w:rPr>
            <w:noProof/>
          </w:rPr>
          <w:t>3</w:t>
        </w:r>
        <w:r w:rsidR="00956898" w:rsidRPr="00956898">
          <w:rPr>
            <w:noProof/>
          </w:rPr>
          <w:t xml:space="preserve">. </w:t>
        </w:r>
        <w:r w:rsidR="00C02BCB" w:rsidRPr="00C02BCB">
          <w:rPr>
            <w:noProof/>
          </w:rPr>
          <w:t>Morphology and dry weight biomass yield of field-grown transgenic events during the 2011 and 2012 growing seasons</w:t>
        </w:r>
        <w:r w:rsidR="00956898" w:rsidRPr="00956898">
          <w:rPr>
            <w:noProof/>
          </w:rPr>
          <w:t>.</w:t>
        </w:r>
        <w:r w:rsidR="00956898" w:rsidRPr="00956898">
          <w:rPr>
            <w:noProof/>
            <w:webHidden/>
          </w:rPr>
          <w:tab/>
        </w:r>
      </w:hyperlink>
      <w:r w:rsidR="00631FB3">
        <w:rPr>
          <w:noProof/>
        </w:rPr>
        <w:t>100</w:t>
      </w:r>
    </w:p>
    <w:p w:rsidR="00C02BCB" w:rsidRDefault="00DD457B" w:rsidP="008D176A">
      <w:pPr>
        <w:tabs>
          <w:tab w:val="right" w:leader="dot" w:pos="8270"/>
        </w:tabs>
        <w:ind w:left="480" w:hanging="480"/>
      </w:pPr>
      <w:hyperlink w:anchor="_Toc140573588" w:history="1">
        <w:r w:rsidR="00956898">
          <w:rPr>
            <w:noProof/>
          </w:rPr>
          <w:t xml:space="preserve">Table </w:t>
        </w:r>
        <w:r w:rsidR="008F29AA">
          <w:rPr>
            <w:noProof/>
          </w:rPr>
          <w:t>B.</w:t>
        </w:r>
        <w:r w:rsidR="00956898">
          <w:rPr>
            <w:noProof/>
          </w:rPr>
          <w:t>4</w:t>
        </w:r>
        <w:r w:rsidR="00956898" w:rsidRPr="00956898">
          <w:rPr>
            <w:noProof/>
          </w:rPr>
          <w:t xml:space="preserve">. </w:t>
        </w:r>
        <w:r w:rsidR="00C02BCB" w:rsidRPr="00C02BCB">
          <w:rPr>
            <w:noProof/>
          </w:rPr>
          <w:t>Summary of the differences between each transgenic event and its corresponding control for years one (2011) and two (2012) in the field experiment.</w:t>
        </w:r>
        <w:r w:rsidR="00956898" w:rsidRPr="00956898">
          <w:rPr>
            <w:noProof/>
          </w:rPr>
          <w:t>.</w:t>
        </w:r>
        <w:r w:rsidR="00956898" w:rsidRPr="00956898">
          <w:rPr>
            <w:noProof/>
            <w:webHidden/>
          </w:rPr>
          <w:tab/>
        </w:r>
      </w:hyperlink>
      <w:r w:rsidR="00631FB3">
        <w:rPr>
          <w:noProof/>
        </w:rPr>
        <w:t>101</w:t>
      </w:r>
    </w:p>
    <w:p w:rsidR="007773E9" w:rsidRDefault="007773E9" w:rsidP="008D176A">
      <w:pPr>
        <w:numPr>
          <w:ilvl w:val="12"/>
          <w:numId w:val="0"/>
        </w:numPr>
        <w:jc w:val="center"/>
      </w:pPr>
    </w:p>
    <w:p w:rsidR="007773E9" w:rsidRDefault="007773E9" w:rsidP="007773E9">
      <w:pPr>
        <w:numPr>
          <w:ilvl w:val="12"/>
          <w:numId w:val="0"/>
        </w:numPr>
        <w:tabs>
          <w:tab w:val="left" w:pos="1182"/>
        </w:tabs>
      </w:pPr>
    </w:p>
    <w:p w:rsidR="007773E9" w:rsidRDefault="007773E9" w:rsidP="008D176A">
      <w:pPr>
        <w:numPr>
          <w:ilvl w:val="12"/>
          <w:numId w:val="0"/>
        </w:numPr>
        <w:jc w:val="center"/>
      </w:pPr>
    </w:p>
    <w:p w:rsidR="007773E9" w:rsidRDefault="005D0D91" w:rsidP="008D176A">
      <w:pPr>
        <w:numPr>
          <w:ilvl w:val="12"/>
          <w:numId w:val="0"/>
        </w:numPr>
        <w:jc w:val="center"/>
      </w:pPr>
      <w:r w:rsidRPr="00956898">
        <w:fldChar w:fldCharType="end"/>
      </w:r>
    </w:p>
    <w:p w:rsidR="007773E9" w:rsidRDefault="007773E9">
      <w:r>
        <w:br w:type="page"/>
      </w:r>
    </w:p>
    <w:p w:rsidR="00C02BCB" w:rsidRPr="00C02BCB" w:rsidRDefault="00C02BCB" w:rsidP="008D176A">
      <w:pPr>
        <w:numPr>
          <w:ilvl w:val="12"/>
          <w:numId w:val="0"/>
        </w:numPr>
        <w:jc w:val="center"/>
        <w:rPr>
          <w:b/>
        </w:rPr>
      </w:pPr>
      <w:r w:rsidRPr="00C02BCB">
        <w:rPr>
          <w:b/>
          <w:bCs/>
        </w:rPr>
        <w:lastRenderedPageBreak/>
        <w:t>LIST OF FIGURES</w:t>
      </w:r>
    </w:p>
    <w:p w:rsidR="00C02BCB" w:rsidRPr="00C02BCB" w:rsidRDefault="00C02BCB" w:rsidP="008D176A">
      <w:pPr>
        <w:numPr>
          <w:ilvl w:val="12"/>
          <w:numId w:val="0"/>
        </w:numPr>
        <w:rPr>
          <w:b/>
        </w:rPr>
      </w:pPr>
    </w:p>
    <w:p w:rsidR="00C02BCB" w:rsidRPr="00C02BCB" w:rsidRDefault="00C02BCB" w:rsidP="008D176A">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667"/>
          <w:tab w:val="left" w:pos="7920"/>
        </w:tabs>
        <w:ind w:left="8280" w:hanging="8280"/>
        <w:rPr>
          <w:b/>
        </w:rPr>
      </w:pPr>
      <w:r w:rsidRPr="00C02BCB">
        <w:rPr>
          <w:b/>
        </w:rPr>
        <w:t>Figure</w:t>
      </w:r>
      <w:r w:rsidRPr="00C02BCB">
        <w:rPr>
          <w:b/>
        </w:rPr>
        <w:tab/>
      </w:r>
      <w:r w:rsidRPr="00C02BCB">
        <w:rPr>
          <w:b/>
        </w:rPr>
        <w:tab/>
      </w:r>
      <w:r w:rsidRPr="00C02BCB">
        <w:rPr>
          <w:b/>
        </w:rPr>
        <w:tab/>
      </w:r>
      <w:r w:rsidRPr="00C02BCB">
        <w:rPr>
          <w:b/>
        </w:rPr>
        <w:tab/>
      </w:r>
      <w:r w:rsidRPr="00C02BCB">
        <w:rPr>
          <w:b/>
        </w:rPr>
        <w:tab/>
      </w:r>
      <w:r w:rsidRPr="00C02BCB">
        <w:rPr>
          <w:b/>
        </w:rPr>
        <w:tab/>
      </w:r>
      <w:r w:rsidRPr="00C02BCB">
        <w:rPr>
          <w:b/>
        </w:rPr>
        <w:tab/>
      </w:r>
      <w:r w:rsidRPr="00C02BCB">
        <w:rPr>
          <w:b/>
        </w:rPr>
        <w:tab/>
      </w:r>
      <w:r w:rsidRPr="00C02BCB">
        <w:rPr>
          <w:b/>
        </w:rPr>
        <w:tab/>
      </w:r>
      <w:r w:rsidRPr="00C02BCB">
        <w:rPr>
          <w:b/>
        </w:rPr>
        <w:tab/>
      </w:r>
      <w:r w:rsidRPr="00C02BCB">
        <w:rPr>
          <w:b/>
        </w:rPr>
        <w:tab/>
        <w:t>Page</w:t>
      </w:r>
    </w:p>
    <w:p w:rsidR="00C02BCB" w:rsidRDefault="00C02BCB" w:rsidP="008D176A">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b/>
        </w:rPr>
      </w:pPr>
    </w:p>
    <w:p w:rsidR="00C02BCB" w:rsidRPr="00176E89" w:rsidRDefault="005D0D91" w:rsidP="00176E89">
      <w:pPr>
        <w:pStyle w:val="TableofFigures"/>
        <w:tabs>
          <w:tab w:val="right" w:leader="dot" w:pos="8270"/>
        </w:tabs>
        <w:ind w:left="0" w:firstLine="0"/>
        <w:jc w:val="both"/>
      </w:pPr>
      <w:r w:rsidRPr="00C02BCB">
        <w:fldChar w:fldCharType="begin"/>
      </w:r>
      <w:r w:rsidR="00C02BCB" w:rsidRPr="00C02BCB">
        <w:instrText xml:space="preserve"> TOC \h \z \c "Figure" </w:instrText>
      </w:r>
      <w:r w:rsidRPr="00C02BCB">
        <w:fldChar w:fldCharType="separate"/>
      </w:r>
    </w:p>
    <w:p w:rsidR="00C02BCB" w:rsidRPr="001E6579" w:rsidRDefault="00C02BCB" w:rsidP="008D176A">
      <w:pPr>
        <w:rPr>
          <w:i/>
        </w:rPr>
      </w:pPr>
      <w:r w:rsidRPr="001E6579">
        <w:rPr>
          <w:i/>
        </w:rPr>
        <w:t>Appendix B</w:t>
      </w:r>
    </w:p>
    <w:p w:rsidR="008F29AA" w:rsidRDefault="00DD457B" w:rsidP="008D176A">
      <w:pPr>
        <w:pStyle w:val="TableofFigures"/>
        <w:tabs>
          <w:tab w:val="right" w:leader="dot" w:pos="8270"/>
        </w:tabs>
        <w:jc w:val="both"/>
      </w:pPr>
      <w:hyperlink w:anchor="_Toc140575285" w:history="1">
        <w:r w:rsidR="008F29AA" w:rsidRPr="00C02BCB">
          <w:rPr>
            <w:rStyle w:val="Hyperlink"/>
            <w:noProof/>
          </w:rPr>
          <w:t xml:space="preserve">Figure </w:t>
        </w:r>
        <w:r w:rsidR="008F29AA">
          <w:rPr>
            <w:rStyle w:val="Hyperlink"/>
            <w:noProof/>
          </w:rPr>
          <w:t>B.</w:t>
        </w:r>
        <w:r w:rsidR="008F29AA" w:rsidRPr="00C02BCB">
          <w:rPr>
            <w:rStyle w:val="Hyperlink"/>
            <w:noProof/>
          </w:rPr>
          <w:t xml:space="preserve">1. </w:t>
        </w:r>
        <w:r w:rsidR="008F29AA">
          <w:rPr>
            <w:rStyle w:val="Hyperlink"/>
            <w:noProof/>
          </w:rPr>
          <w:t>COMT switchgrass field design.</w:t>
        </w:r>
        <w:r w:rsidR="008F29AA" w:rsidRPr="00C02BCB">
          <w:rPr>
            <w:noProof/>
            <w:webHidden/>
          </w:rPr>
          <w:tab/>
        </w:r>
      </w:hyperlink>
      <w:r w:rsidR="00631FB3">
        <w:rPr>
          <w:noProof/>
        </w:rPr>
        <w:t>84</w:t>
      </w:r>
    </w:p>
    <w:p w:rsidR="008F29AA" w:rsidRPr="00C02BCB" w:rsidRDefault="005D0D91" w:rsidP="008D176A">
      <w:pPr>
        <w:pStyle w:val="TableofFigures"/>
        <w:tabs>
          <w:tab w:val="right" w:leader="dot" w:pos="8270"/>
        </w:tabs>
        <w:jc w:val="both"/>
        <w:rPr>
          <w:noProof/>
        </w:rPr>
      </w:pPr>
      <w:r w:rsidRPr="00C02BCB">
        <w:fldChar w:fldCharType="begin"/>
      </w:r>
      <w:r w:rsidR="008F29AA" w:rsidRPr="00C02BCB">
        <w:instrText xml:space="preserve"> TOC \h \z \c "Figure" </w:instrText>
      </w:r>
      <w:r w:rsidRPr="00C02BCB">
        <w:fldChar w:fldCharType="separate"/>
      </w:r>
      <w:hyperlink w:anchor="_Toc140575285" w:history="1">
        <w:r w:rsidR="008F29AA">
          <w:rPr>
            <w:rStyle w:val="Hyperlink"/>
            <w:noProof/>
          </w:rPr>
          <w:t xml:space="preserve">Figure B.2. </w:t>
        </w:r>
        <w:r w:rsidR="008F29AA" w:rsidRPr="008F29AA">
          <w:rPr>
            <w:rStyle w:val="Hyperlink"/>
            <w:noProof/>
          </w:rPr>
          <w:t xml:space="preserve">Pictures of the COMT field </w:t>
        </w:r>
        <w:r w:rsidR="008F29AA">
          <w:rPr>
            <w:rStyle w:val="Hyperlink"/>
            <w:noProof/>
          </w:rPr>
          <w:t xml:space="preserve">site </w:t>
        </w:r>
        <w:r w:rsidR="008F29AA" w:rsidRPr="008F29AA">
          <w:rPr>
            <w:rStyle w:val="Hyperlink"/>
            <w:noProof/>
          </w:rPr>
          <w:t>at different time point</w:t>
        </w:r>
        <w:r w:rsidR="00176E89">
          <w:rPr>
            <w:rStyle w:val="Hyperlink"/>
            <w:noProof/>
          </w:rPr>
          <w:t>s</w:t>
        </w:r>
        <w:r w:rsidR="008F29AA">
          <w:rPr>
            <w:rStyle w:val="Hyperlink"/>
            <w:noProof/>
          </w:rPr>
          <w:t>.</w:t>
        </w:r>
        <w:r w:rsidR="008F29AA" w:rsidRPr="00C02BCB">
          <w:rPr>
            <w:noProof/>
            <w:webHidden/>
          </w:rPr>
          <w:tab/>
        </w:r>
      </w:hyperlink>
      <w:r w:rsidR="00631FB3">
        <w:rPr>
          <w:noProof/>
        </w:rPr>
        <w:t>86</w:t>
      </w:r>
    </w:p>
    <w:p w:rsidR="008F29AA" w:rsidRDefault="005D0D91" w:rsidP="008D176A">
      <w:pPr>
        <w:pStyle w:val="TableofFigures"/>
        <w:tabs>
          <w:tab w:val="right" w:leader="dot" w:pos="8270"/>
        </w:tabs>
        <w:jc w:val="both"/>
      </w:pPr>
      <w:r w:rsidRPr="00C02BCB">
        <w:fldChar w:fldCharType="end"/>
      </w:r>
      <w:hyperlink w:anchor="_Toc140575285" w:history="1">
        <w:r w:rsidR="008F29AA">
          <w:rPr>
            <w:rStyle w:val="Hyperlink"/>
            <w:noProof/>
          </w:rPr>
          <w:t>Figure B.3</w:t>
        </w:r>
        <w:r w:rsidR="008F29AA" w:rsidRPr="00C02BCB">
          <w:rPr>
            <w:rStyle w:val="Hyperlink"/>
            <w:noProof/>
          </w:rPr>
          <w:t xml:space="preserve">. </w:t>
        </w:r>
        <w:r w:rsidR="008F29AA" w:rsidRPr="008F29AA">
          <w:rPr>
            <w:rStyle w:val="Hyperlink"/>
            <w:noProof/>
          </w:rPr>
          <w:t>Analysis of COMT transcript levels for 2011 (a) and 2012 (b)</w:t>
        </w:r>
        <w:r w:rsidR="008F29AA">
          <w:rPr>
            <w:rStyle w:val="Hyperlink"/>
            <w:noProof/>
          </w:rPr>
          <w:t>.</w:t>
        </w:r>
        <w:r w:rsidR="008F29AA" w:rsidRPr="00C02BCB">
          <w:rPr>
            <w:noProof/>
            <w:webHidden/>
          </w:rPr>
          <w:tab/>
        </w:r>
      </w:hyperlink>
      <w:r w:rsidR="00631FB3">
        <w:rPr>
          <w:noProof/>
        </w:rPr>
        <w:t>87</w:t>
      </w:r>
    </w:p>
    <w:p w:rsidR="008F29AA" w:rsidRDefault="005D0D91" w:rsidP="008D176A">
      <w:pPr>
        <w:pStyle w:val="TableofFigures"/>
        <w:tabs>
          <w:tab w:val="right" w:leader="dot" w:pos="8270"/>
        </w:tabs>
        <w:jc w:val="both"/>
      </w:pPr>
      <w:r w:rsidRPr="00C02BCB">
        <w:fldChar w:fldCharType="begin"/>
      </w:r>
      <w:r w:rsidR="008F29AA" w:rsidRPr="00C02BCB">
        <w:instrText xml:space="preserve"> TOC \h \z \c "Figure" </w:instrText>
      </w:r>
      <w:r w:rsidRPr="00C02BCB">
        <w:fldChar w:fldCharType="separate"/>
      </w:r>
      <w:hyperlink w:anchor="_Toc140575285" w:history="1">
        <w:r w:rsidR="008F29AA">
          <w:rPr>
            <w:rStyle w:val="Hyperlink"/>
            <w:noProof/>
          </w:rPr>
          <w:t xml:space="preserve">Figure B.4. </w:t>
        </w:r>
        <w:r w:rsidR="008F29AA" w:rsidRPr="008F29AA">
          <w:rPr>
            <w:rStyle w:val="Hyperlink"/>
            <w:noProof/>
          </w:rPr>
          <w:t>Lignin content and S/G ratio of green tissue samples, as estimated by pyrolysis-molecular beam mass spectrometry, for 2011 (a-b) and 2012 (c-d)</w:t>
        </w:r>
        <w:r w:rsidR="008F29AA" w:rsidRPr="00C02BCB">
          <w:rPr>
            <w:noProof/>
            <w:webHidden/>
          </w:rPr>
          <w:tab/>
        </w:r>
      </w:hyperlink>
      <w:r w:rsidR="00631FB3">
        <w:rPr>
          <w:noProof/>
        </w:rPr>
        <w:t>88</w:t>
      </w:r>
    </w:p>
    <w:p w:rsidR="008F29AA" w:rsidRDefault="005D0D91" w:rsidP="008D176A">
      <w:pPr>
        <w:pStyle w:val="TableofFigures"/>
        <w:tabs>
          <w:tab w:val="right" w:leader="dot" w:pos="8270"/>
        </w:tabs>
        <w:jc w:val="both"/>
      </w:pPr>
      <w:r w:rsidRPr="00C02BCB">
        <w:fldChar w:fldCharType="end"/>
      </w:r>
      <w:hyperlink w:anchor="_Toc140575285" w:history="1">
        <w:r w:rsidR="008F29AA">
          <w:rPr>
            <w:rStyle w:val="Hyperlink"/>
            <w:noProof/>
          </w:rPr>
          <w:t>Figure B.5</w:t>
        </w:r>
        <w:r w:rsidR="008F29AA" w:rsidRPr="00C02BCB">
          <w:rPr>
            <w:rStyle w:val="Hyperlink"/>
            <w:noProof/>
          </w:rPr>
          <w:t>.</w:t>
        </w:r>
        <w:r w:rsidR="008F29AA" w:rsidRPr="008F29AA">
          <w:t xml:space="preserve"> </w:t>
        </w:r>
        <w:r w:rsidR="008F29AA" w:rsidRPr="008F29AA">
          <w:rPr>
            <w:rStyle w:val="Hyperlink"/>
            <w:noProof/>
          </w:rPr>
          <w:t>Lignin content and S/G ratio of senes</w:t>
        </w:r>
        <w:r w:rsidR="00370C8F">
          <w:rPr>
            <w:rStyle w:val="Hyperlink"/>
            <w:noProof/>
          </w:rPr>
          <w:t>ced tissue samples, as estimated</w:t>
        </w:r>
        <w:r w:rsidR="008F29AA" w:rsidRPr="008F29AA">
          <w:rPr>
            <w:rStyle w:val="Hyperlink"/>
            <w:noProof/>
          </w:rPr>
          <w:t xml:space="preserve"> by pyrolysis-molecular beam mass spectrometry, for 2011 (a-b) and 2012 (c-d)</w:t>
        </w:r>
        <w:r w:rsidR="008F29AA">
          <w:rPr>
            <w:rStyle w:val="Hyperlink"/>
            <w:noProof/>
          </w:rPr>
          <w:t>.</w:t>
        </w:r>
        <w:r w:rsidR="008F29AA" w:rsidRPr="00C02BCB">
          <w:rPr>
            <w:noProof/>
            <w:webHidden/>
          </w:rPr>
          <w:tab/>
        </w:r>
      </w:hyperlink>
      <w:r w:rsidR="00631FB3">
        <w:rPr>
          <w:noProof/>
        </w:rPr>
        <w:t>89</w:t>
      </w:r>
    </w:p>
    <w:p w:rsidR="008F29AA" w:rsidRPr="00C02BCB" w:rsidRDefault="005D0D91" w:rsidP="008D176A">
      <w:pPr>
        <w:pStyle w:val="TableofFigures"/>
        <w:tabs>
          <w:tab w:val="right" w:leader="dot" w:pos="8270"/>
        </w:tabs>
        <w:jc w:val="both"/>
        <w:rPr>
          <w:noProof/>
        </w:rPr>
      </w:pPr>
      <w:r w:rsidRPr="00C02BCB">
        <w:fldChar w:fldCharType="begin"/>
      </w:r>
      <w:r w:rsidR="008F29AA" w:rsidRPr="00C02BCB">
        <w:instrText xml:space="preserve"> TOC \h \z \c "Figure" </w:instrText>
      </w:r>
      <w:r w:rsidRPr="00C02BCB">
        <w:fldChar w:fldCharType="separate"/>
      </w:r>
      <w:hyperlink w:anchor="_Toc140575285" w:history="1">
        <w:r w:rsidR="008F29AA">
          <w:rPr>
            <w:rStyle w:val="Hyperlink"/>
            <w:noProof/>
          </w:rPr>
          <w:t xml:space="preserve">Figure B.6. </w:t>
        </w:r>
        <w:r w:rsidR="008F29AA" w:rsidRPr="008F29AA">
          <w:rPr>
            <w:rStyle w:val="Hyperlink"/>
            <w:noProof/>
          </w:rPr>
          <w:t>Index of cellulose crystallinity as determined by Fourier transform infrared spectroscopy of senesced tissue samples</w:t>
        </w:r>
        <w:r w:rsidR="008F29AA">
          <w:rPr>
            <w:rStyle w:val="Hyperlink"/>
            <w:noProof/>
          </w:rPr>
          <w:t>.</w:t>
        </w:r>
        <w:r w:rsidR="008F29AA" w:rsidRPr="00C02BCB">
          <w:rPr>
            <w:noProof/>
            <w:webHidden/>
          </w:rPr>
          <w:tab/>
        </w:r>
      </w:hyperlink>
      <w:r w:rsidR="00631FB3">
        <w:rPr>
          <w:noProof/>
        </w:rPr>
        <w:t>90</w:t>
      </w:r>
    </w:p>
    <w:p w:rsidR="008F29AA" w:rsidRDefault="005D0D91" w:rsidP="008D176A">
      <w:pPr>
        <w:pStyle w:val="TableofFigures"/>
        <w:tabs>
          <w:tab w:val="right" w:leader="dot" w:pos="8270"/>
        </w:tabs>
        <w:jc w:val="both"/>
      </w:pPr>
      <w:r w:rsidRPr="00C02BCB">
        <w:fldChar w:fldCharType="end"/>
      </w:r>
      <w:hyperlink w:anchor="_Toc140575285" w:history="1">
        <w:r w:rsidR="008F29AA">
          <w:rPr>
            <w:rStyle w:val="Hyperlink"/>
            <w:noProof/>
          </w:rPr>
          <w:t>Figure B.7</w:t>
        </w:r>
        <w:r w:rsidR="008F29AA" w:rsidRPr="00C02BCB">
          <w:rPr>
            <w:rStyle w:val="Hyperlink"/>
            <w:noProof/>
          </w:rPr>
          <w:t xml:space="preserve">. </w:t>
        </w:r>
        <w:r w:rsidR="008F29AA" w:rsidRPr="008F29AA">
          <w:rPr>
            <w:rStyle w:val="Hyperlink"/>
            <w:noProof/>
          </w:rPr>
          <w:t>Ethanol yield as determined by simultaneous saccharification and fermentation of whole aboveground senesced biomass in 2011</w:t>
        </w:r>
        <w:r w:rsidR="008F29AA">
          <w:rPr>
            <w:rStyle w:val="Hyperlink"/>
            <w:noProof/>
          </w:rPr>
          <w:t>.</w:t>
        </w:r>
        <w:r w:rsidR="008F29AA" w:rsidRPr="00C02BCB">
          <w:rPr>
            <w:noProof/>
            <w:webHidden/>
          </w:rPr>
          <w:tab/>
        </w:r>
      </w:hyperlink>
      <w:r w:rsidR="00631FB3">
        <w:rPr>
          <w:noProof/>
        </w:rPr>
        <w:t>91</w:t>
      </w:r>
    </w:p>
    <w:p w:rsidR="008F29AA" w:rsidRDefault="005D0D91" w:rsidP="008D176A">
      <w:pPr>
        <w:pStyle w:val="TableofFigures"/>
        <w:tabs>
          <w:tab w:val="right" w:leader="dot" w:pos="8270"/>
        </w:tabs>
        <w:jc w:val="both"/>
      </w:pPr>
      <w:r w:rsidRPr="00C02BCB">
        <w:fldChar w:fldCharType="begin"/>
      </w:r>
      <w:r w:rsidR="008F29AA" w:rsidRPr="00C02BCB">
        <w:instrText xml:space="preserve"> TOC \h \z \c "Figure" </w:instrText>
      </w:r>
      <w:r w:rsidRPr="00C02BCB">
        <w:fldChar w:fldCharType="separate"/>
      </w:r>
      <w:hyperlink w:anchor="_Toc140575285" w:history="1">
        <w:r w:rsidR="008F29AA">
          <w:rPr>
            <w:rStyle w:val="Hyperlink"/>
            <w:noProof/>
          </w:rPr>
          <w:t xml:space="preserve">Figure B.8. </w:t>
        </w:r>
        <w:r w:rsidR="008F29AA" w:rsidRPr="008F29AA">
          <w:rPr>
            <w:rStyle w:val="Hyperlink"/>
            <w:noProof/>
          </w:rPr>
          <w:t>Ethanol yield as determined by simultaneous saccharification and fermentation of whole abov</w:t>
        </w:r>
        <w:r w:rsidR="008F29AA">
          <w:rPr>
            <w:rStyle w:val="Hyperlink"/>
            <w:noProof/>
          </w:rPr>
          <w:t>eground senesced biomass in 2012</w:t>
        </w:r>
        <w:r w:rsidR="008F29AA" w:rsidRPr="00C02BCB">
          <w:rPr>
            <w:rStyle w:val="Hyperlink"/>
            <w:noProof/>
          </w:rPr>
          <w:t>.</w:t>
        </w:r>
        <w:r w:rsidR="008F29AA" w:rsidRPr="00C02BCB">
          <w:rPr>
            <w:noProof/>
            <w:webHidden/>
          </w:rPr>
          <w:tab/>
        </w:r>
      </w:hyperlink>
      <w:r w:rsidR="00631FB3">
        <w:rPr>
          <w:noProof/>
        </w:rPr>
        <w:t>93</w:t>
      </w:r>
    </w:p>
    <w:p w:rsidR="008F29AA" w:rsidRDefault="005D0D91" w:rsidP="008D176A">
      <w:pPr>
        <w:pStyle w:val="TableofFigures"/>
        <w:tabs>
          <w:tab w:val="right" w:leader="dot" w:pos="8270"/>
        </w:tabs>
        <w:jc w:val="both"/>
      </w:pPr>
      <w:r w:rsidRPr="00C02BCB">
        <w:fldChar w:fldCharType="end"/>
      </w:r>
      <w:r w:rsidR="008F29AA" w:rsidRPr="00C02BCB">
        <w:t xml:space="preserve"> </w:t>
      </w:r>
      <w:hyperlink w:anchor="_Toc140575285" w:history="1">
        <w:r w:rsidR="008F29AA">
          <w:rPr>
            <w:rStyle w:val="Hyperlink"/>
            <w:noProof/>
          </w:rPr>
          <w:t xml:space="preserve">Figure B.9. </w:t>
        </w:r>
        <w:r w:rsidR="008F29AA" w:rsidRPr="008F29AA">
          <w:rPr>
            <w:rStyle w:val="Hyperlink"/>
            <w:noProof/>
          </w:rPr>
          <w:t>Rust susceptibility of field-grown transgenic plants</w:t>
        </w:r>
        <w:r w:rsidR="008F29AA">
          <w:rPr>
            <w:rStyle w:val="Hyperlink"/>
            <w:noProof/>
          </w:rPr>
          <w:t>.</w:t>
        </w:r>
        <w:r w:rsidR="008F29AA" w:rsidRPr="00C02BCB">
          <w:rPr>
            <w:noProof/>
            <w:webHidden/>
          </w:rPr>
          <w:tab/>
        </w:r>
      </w:hyperlink>
      <w:r w:rsidR="00631FB3">
        <w:rPr>
          <w:noProof/>
        </w:rPr>
        <w:t>95</w:t>
      </w:r>
    </w:p>
    <w:p w:rsidR="00C02BCB" w:rsidRPr="00C02BCB" w:rsidRDefault="00C02BCB" w:rsidP="008D176A">
      <w:pPr>
        <w:pStyle w:val="TableofFigures"/>
        <w:tabs>
          <w:tab w:val="right" w:leader="dot" w:pos="8270"/>
        </w:tabs>
        <w:jc w:val="both"/>
      </w:pPr>
    </w:p>
    <w:p w:rsidR="00C02BCB" w:rsidRPr="00C02BCB" w:rsidRDefault="005D0D91" w:rsidP="008D176A">
      <w:pPr>
        <w:numPr>
          <w:ilvl w:val="12"/>
          <w:numId w:val="0"/>
        </w:numPr>
        <w:jc w:val="both"/>
        <w:sectPr w:rsidR="00C02BCB" w:rsidRPr="00C02BCB" w:rsidSect="001E52EE">
          <w:footerReference w:type="default" r:id="rId11"/>
          <w:footerReference w:type="first" r:id="rId12"/>
          <w:pgSz w:w="12240" w:h="15840" w:code="1"/>
          <w:pgMar w:top="1440" w:right="1800" w:bottom="1440" w:left="1800" w:header="720" w:footer="1440" w:gutter="0"/>
          <w:pgNumType w:fmt="lowerRoman" w:start="6"/>
          <w:cols w:space="720"/>
          <w:noEndnote/>
          <w:docGrid w:linePitch="326"/>
        </w:sectPr>
      </w:pPr>
      <w:r w:rsidRPr="00C02BCB">
        <w:fldChar w:fldCharType="end"/>
      </w:r>
    </w:p>
    <w:p w:rsidR="000002F7" w:rsidRDefault="000002F7" w:rsidP="000002F7">
      <w:pPr>
        <w:pStyle w:val="Heading1"/>
        <w:rPr>
          <w:szCs w:val="28"/>
        </w:rPr>
      </w:pPr>
      <w:r>
        <w:lastRenderedPageBreak/>
        <w:t>CHAPTER 1</w:t>
      </w:r>
      <w:r w:rsidRPr="000F6FE1">
        <w:t xml:space="preserve"> </w:t>
      </w:r>
      <w:r w:rsidRPr="000F6FE1">
        <w:br/>
      </w:r>
      <w:r>
        <w:rPr>
          <w:szCs w:val="28"/>
        </w:rPr>
        <w:t>Introduction</w:t>
      </w:r>
    </w:p>
    <w:p w:rsidR="000002F7" w:rsidRDefault="000002F7">
      <w:pPr>
        <w:rPr>
          <w:b/>
          <w:bCs/>
          <w:caps/>
          <w:sz w:val="28"/>
          <w:szCs w:val="28"/>
        </w:rPr>
      </w:pPr>
      <w:r>
        <w:rPr>
          <w:szCs w:val="28"/>
        </w:rPr>
        <w:br w:type="page"/>
      </w:r>
    </w:p>
    <w:p w:rsidR="00E968B8" w:rsidRPr="008D176A" w:rsidRDefault="00CE66DB" w:rsidP="00097A19">
      <w:pPr>
        <w:spacing w:line="480" w:lineRule="auto"/>
      </w:pPr>
      <w:r>
        <w:lastRenderedPageBreak/>
        <w:t>The use of plant biomass as a renewable energy source has</w:t>
      </w:r>
      <w:r w:rsidR="00E968B8" w:rsidRPr="008D176A">
        <w:t xml:space="preserve"> the potential to benefit the environment by reducing greenhouse gas emissions compared to conventional energy sources, while simultaneously </w:t>
      </w:r>
      <w:r w:rsidR="009540EC" w:rsidRPr="008D176A">
        <w:t>promoting</w:t>
      </w:r>
      <w:r w:rsidR="00E968B8" w:rsidRPr="008D176A">
        <w:t xml:space="preserve"> energy </w:t>
      </w:r>
      <w:r w:rsidR="009540EC" w:rsidRPr="008D176A">
        <w:t xml:space="preserve">independence and </w:t>
      </w:r>
      <w:r w:rsidR="00E968B8" w:rsidRPr="008D176A">
        <w:t xml:space="preserve">security </w:t>
      </w:r>
      <w:r w:rsidR="005E0CDA" w:rsidRPr="008D176A">
        <w:t>[</w:t>
      </w:r>
      <w:r w:rsidR="00631FB3">
        <w:t>1</w:t>
      </w:r>
      <w:r w:rsidR="005E0CDA" w:rsidRPr="008D176A">
        <w:t>].</w:t>
      </w:r>
      <w:r w:rsidR="008119C5">
        <w:t xml:space="preserve"> </w:t>
      </w:r>
      <w:r w:rsidR="00993CB3" w:rsidRPr="008D176A">
        <w:t>First generation biofuels</w:t>
      </w:r>
      <w:r w:rsidR="00E03CEC" w:rsidRPr="008D176A">
        <w:t>,</w:t>
      </w:r>
      <w:r w:rsidR="00993CB3" w:rsidRPr="008D176A">
        <w:t xml:space="preserve"> </w:t>
      </w:r>
      <w:r w:rsidR="00250B5F" w:rsidRPr="008D176A">
        <w:t>produced</w:t>
      </w:r>
      <w:r w:rsidR="00993CB3" w:rsidRPr="008D176A">
        <w:t xml:space="preserve"> from the sugars </w:t>
      </w:r>
      <w:r w:rsidR="00E03CEC" w:rsidRPr="008D176A">
        <w:t>or</w:t>
      </w:r>
      <w:r w:rsidR="00993CB3" w:rsidRPr="008D176A">
        <w:t xml:space="preserve"> starches of food crops</w:t>
      </w:r>
      <w:r w:rsidR="00E03CEC" w:rsidRPr="008D176A">
        <w:t xml:space="preserve">, </w:t>
      </w:r>
      <w:r w:rsidR="009540EC" w:rsidRPr="008D176A">
        <w:t>are</w:t>
      </w:r>
      <w:r w:rsidR="00E968B8" w:rsidRPr="008D176A">
        <w:t xml:space="preserve"> used in low percentage blends with conventional fuels to reduce </w:t>
      </w:r>
      <w:r w:rsidR="004C501E" w:rsidRPr="008D176A">
        <w:t>carbon dioxide</w:t>
      </w:r>
      <w:r w:rsidR="00E968B8" w:rsidRPr="008D176A">
        <w:t xml:space="preserve"> emissions. However, the</w:t>
      </w:r>
      <w:r w:rsidR="00B17F4A">
        <w:t xml:space="preserve">re </w:t>
      </w:r>
      <w:r w:rsidR="00720FA0">
        <w:t>is concern</w:t>
      </w:r>
      <w:r w:rsidR="00B17F4A">
        <w:t xml:space="preserve"> </w:t>
      </w:r>
      <w:r w:rsidR="00720FA0">
        <w:t xml:space="preserve">that the </w:t>
      </w:r>
      <w:r w:rsidR="00E53F59">
        <w:t>use of food crops for biofuel production</w:t>
      </w:r>
      <w:r w:rsidR="00720FA0">
        <w:t xml:space="preserve"> </w:t>
      </w:r>
      <w:r w:rsidR="00E968B8" w:rsidRPr="008D176A">
        <w:t xml:space="preserve">could </w:t>
      </w:r>
      <w:r w:rsidR="0041158C">
        <w:t xml:space="preserve">raise food commodity prices by creating competition between food and fuel </w:t>
      </w:r>
      <w:r w:rsidR="009E219E">
        <w:t>crops f</w:t>
      </w:r>
      <w:r w:rsidR="0041158C">
        <w:t xml:space="preserve">or the use of agricultural land. </w:t>
      </w:r>
      <w:r w:rsidR="00B741E9">
        <w:t>A more sustainable route for fuel p</w:t>
      </w:r>
      <w:r w:rsidR="00145CCE">
        <w:t xml:space="preserve">roduction from plant biomass lies in </w:t>
      </w:r>
      <w:r w:rsidR="00A86D01">
        <w:t>the</w:t>
      </w:r>
      <w:r w:rsidR="00E968B8" w:rsidRPr="008D176A">
        <w:t xml:space="preserve"> development of second-generation biofuels</w:t>
      </w:r>
      <w:r w:rsidR="00B741E9">
        <w:t>,</w:t>
      </w:r>
      <w:r w:rsidR="00B17F4A">
        <w:t xml:space="preserve"> which are </w:t>
      </w:r>
      <w:r w:rsidR="00E968B8" w:rsidRPr="008D176A">
        <w:t>derived primarily from cellulose</w:t>
      </w:r>
      <w:r w:rsidR="002F2C92">
        <w:t xml:space="preserve"> and hemicellulose</w:t>
      </w:r>
      <w:r w:rsidR="00E968B8" w:rsidRPr="008D176A">
        <w:t xml:space="preserve"> in the cell walls of woody or herbaceous lignocellulosic </w:t>
      </w:r>
      <w:r w:rsidR="00B741E9">
        <w:t>plants</w:t>
      </w:r>
      <w:r w:rsidR="00E968B8" w:rsidRPr="008D176A">
        <w:t xml:space="preserve">. </w:t>
      </w:r>
      <w:r w:rsidR="00A32EA2">
        <w:t xml:space="preserve">Ideally, these </w:t>
      </w:r>
      <w:r w:rsidR="008049E8">
        <w:t>plants</w:t>
      </w:r>
      <w:r w:rsidR="00A32EA2">
        <w:t xml:space="preserve"> should be high-yielding, require minimal inputs, and grow well on lands not suitable for food crop production. </w:t>
      </w:r>
      <w:r w:rsidR="001B34F2">
        <w:t xml:space="preserve">The use of nonfood </w:t>
      </w:r>
      <w:r w:rsidR="008049E8">
        <w:t>crops</w:t>
      </w:r>
      <w:r w:rsidR="001B34F2">
        <w:t xml:space="preserve"> as a biofuel source could</w:t>
      </w:r>
      <w:r w:rsidR="00E968B8" w:rsidRPr="008D176A">
        <w:t xml:space="preserve"> significantly </w:t>
      </w:r>
      <w:r w:rsidR="00102990" w:rsidRPr="008D176A">
        <w:t>reduce greenhouse gas emissions</w:t>
      </w:r>
      <w:r w:rsidR="00E968B8" w:rsidRPr="008D176A">
        <w:t xml:space="preserve"> without interfering </w:t>
      </w:r>
      <w:r w:rsidR="005E0CDA" w:rsidRPr="008D176A">
        <w:t>with food production [</w:t>
      </w:r>
      <w:r w:rsidR="00631FB3">
        <w:t>2</w:t>
      </w:r>
      <w:r w:rsidR="005E0CDA" w:rsidRPr="008D176A">
        <w:t>]</w:t>
      </w:r>
      <w:r w:rsidR="00E968B8" w:rsidRPr="008D176A">
        <w:t xml:space="preserve">. </w:t>
      </w:r>
    </w:p>
    <w:p w:rsidR="00E968B8" w:rsidRPr="008D176A" w:rsidRDefault="00E968B8" w:rsidP="00097A19">
      <w:pPr>
        <w:spacing w:line="480" w:lineRule="auto"/>
      </w:pPr>
    </w:p>
    <w:p w:rsidR="00022E6D" w:rsidRDefault="00E968B8" w:rsidP="00097A19">
      <w:pPr>
        <w:spacing w:line="480" w:lineRule="auto"/>
      </w:pPr>
      <w:r w:rsidRPr="008D176A">
        <w:t xml:space="preserve">Despite the advantages of second-generation biofuels, the complex cell walls that comprise lignocellulosic feedstocks </w:t>
      </w:r>
      <w:r w:rsidR="00145CCE">
        <w:t>are</w:t>
      </w:r>
      <w:r w:rsidRPr="008D176A">
        <w:t xml:space="preserve"> significantly more difficult to break down relative to the easily-digestible sugars and starches of first generation biofuel source materials. Lignin, an aromatic polymer comprised of phenylpropanoid units, contribut</w:t>
      </w:r>
      <w:r w:rsidR="00000304">
        <w:t>es structural stability to the body of the p</w:t>
      </w:r>
      <w:r w:rsidRPr="008D176A">
        <w:t>lant, aids in water transport</w:t>
      </w:r>
      <w:r w:rsidR="00000304">
        <w:t xml:space="preserve"> and cell wall hydrophobicity</w:t>
      </w:r>
      <w:r w:rsidRPr="008D176A">
        <w:t>, and protects cell wall polysaccharides from bacterial and f</w:t>
      </w:r>
      <w:r w:rsidR="005E0CDA" w:rsidRPr="008D176A">
        <w:t>ungal degradation [</w:t>
      </w:r>
      <w:r w:rsidR="00631FB3">
        <w:t>3</w:t>
      </w:r>
      <w:r w:rsidR="005E0CDA" w:rsidRPr="008D176A">
        <w:t>]</w:t>
      </w:r>
      <w:r w:rsidRPr="008D176A">
        <w:t xml:space="preserve">. Because it interferes with enzymatic access to </w:t>
      </w:r>
      <w:r w:rsidR="001B34F2">
        <w:t>polysaccharides</w:t>
      </w:r>
      <w:r w:rsidRPr="008D176A">
        <w:t xml:space="preserve">, the presence of lignin in the cell wall </w:t>
      </w:r>
      <w:r w:rsidR="00250B5F" w:rsidRPr="008D176A">
        <w:lastRenderedPageBreak/>
        <w:t>is</w:t>
      </w:r>
      <w:r w:rsidRPr="008D176A">
        <w:t xml:space="preserve"> </w:t>
      </w:r>
      <w:r w:rsidR="00E62A4F" w:rsidRPr="008D176A">
        <w:t>a</w:t>
      </w:r>
      <w:r w:rsidRPr="008D176A">
        <w:t xml:space="preserve"> primary contributor to</w:t>
      </w:r>
      <w:r w:rsidR="001B34F2">
        <w:t xml:space="preserve"> the resistance of</w:t>
      </w:r>
      <w:r w:rsidR="00250B5F" w:rsidRPr="008D176A">
        <w:t xml:space="preserve"> biomass to</w:t>
      </w:r>
      <w:r w:rsidRPr="008D176A">
        <w:t xml:space="preserve"> conversion into biofuels, also known as bio</w:t>
      </w:r>
      <w:r w:rsidR="005E0CDA" w:rsidRPr="008D176A">
        <w:t>mass recalcitrance [</w:t>
      </w:r>
      <w:r w:rsidR="00631FB3">
        <w:t>4</w:t>
      </w:r>
      <w:r w:rsidR="005E0CDA" w:rsidRPr="008D176A">
        <w:t>]</w:t>
      </w:r>
      <w:r w:rsidR="00000304">
        <w:t>.</w:t>
      </w:r>
      <w:r w:rsidR="00136890" w:rsidRPr="008D176A">
        <w:t xml:space="preserve"> </w:t>
      </w:r>
      <w:r w:rsidRPr="008D176A">
        <w:t xml:space="preserve">Overcoming the </w:t>
      </w:r>
      <w:r w:rsidR="00000304">
        <w:t>recalcitrant structure</w:t>
      </w:r>
      <w:r w:rsidRPr="008D176A">
        <w:t xml:space="preserve"> of lignocellulosic </w:t>
      </w:r>
      <w:r w:rsidR="00000304">
        <w:t>cell walls</w:t>
      </w:r>
      <w:r w:rsidRPr="008D176A">
        <w:t xml:space="preserve"> necessitates the use of thermochemical pretreatments prior to fermentation in order to improve the </w:t>
      </w:r>
      <w:r w:rsidRPr="00022E6D">
        <w:t xml:space="preserve">accessibility of cell wall polysaccharides </w:t>
      </w:r>
      <w:r w:rsidR="00DE0E11" w:rsidRPr="00022E6D">
        <w:t>for enzymatic conversion into fermentable sugars</w:t>
      </w:r>
      <w:r w:rsidRPr="00022E6D">
        <w:t xml:space="preserve">.  </w:t>
      </w:r>
      <w:r w:rsidR="00250B5F" w:rsidRPr="00022E6D">
        <w:t>This pretreatment step</w:t>
      </w:r>
      <w:r w:rsidR="00957266">
        <w:t xml:space="preserve"> is a major limiting factor in cost-effective fuel production from lignocellulosic biomass</w:t>
      </w:r>
      <w:r w:rsidR="001B34F2">
        <w:t>,</w:t>
      </w:r>
      <w:r w:rsidR="00957266">
        <w:t xml:space="preserve"> as it adds significant costs to the conversion process. </w:t>
      </w:r>
      <w:r w:rsidR="00865546">
        <w:t xml:space="preserve"> </w:t>
      </w:r>
    </w:p>
    <w:p w:rsidR="00E968B8" w:rsidRPr="008D176A" w:rsidRDefault="00E968B8" w:rsidP="00097A19">
      <w:pPr>
        <w:spacing w:line="480" w:lineRule="auto"/>
        <w:ind w:firstLine="720"/>
      </w:pPr>
    </w:p>
    <w:p w:rsidR="00E968B8" w:rsidRPr="008D176A" w:rsidRDefault="00E968B8" w:rsidP="00097A19">
      <w:pPr>
        <w:spacing w:line="480" w:lineRule="auto"/>
      </w:pPr>
      <w:r w:rsidRPr="008D176A">
        <w:t xml:space="preserve">Genetic engineering of enzymes in the lignin biosynthetic pathway to reduce lignin content or modify its structure can improve the release of sugars from the cell wall, and therefore has the potential to lower </w:t>
      </w:r>
      <w:r w:rsidR="00957266">
        <w:t>conversion</w:t>
      </w:r>
      <w:r w:rsidRPr="008D176A">
        <w:t xml:space="preserve"> costs by reducing or eliminating the pretreatme</w:t>
      </w:r>
      <w:r w:rsidR="005E0CDA" w:rsidRPr="008D176A">
        <w:t>nt step [</w:t>
      </w:r>
      <w:r w:rsidR="00631FB3">
        <w:t>5</w:t>
      </w:r>
      <w:r w:rsidR="005E0CDA" w:rsidRPr="008D176A">
        <w:t>]</w:t>
      </w:r>
      <w:r w:rsidRPr="008D176A">
        <w:t xml:space="preserve">. In alfalfa, </w:t>
      </w:r>
      <w:r w:rsidR="00957266">
        <w:t>the downregulation of individual lignin biosynthetic enzymes</w:t>
      </w:r>
      <w:r w:rsidRPr="008D176A">
        <w:t xml:space="preserve"> nearly doubled the amount of sugars released from the cell walls in some transgenic lines relative to their</w:t>
      </w:r>
      <w:r w:rsidR="005E0CDA" w:rsidRPr="008D176A">
        <w:t xml:space="preserve"> controls [</w:t>
      </w:r>
      <w:r w:rsidR="00631FB3">
        <w:t>6</w:t>
      </w:r>
      <w:r w:rsidR="005E0CDA" w:rsidRPr="008D176A">
        <w:t>]</w:t>
      </w:r>
      <w:r w:rsidRPr="008D176A">
        <w:t xml:space="preserve">. More recently, </w:t>
      </w:r>
      <w:r w:rsidR="00957266">
        <w:t>lignin pathway modifications</w:t>
      </w:r>
      <w:r w:rsidRPr="008D176A">
        <w:t xml:space="preserve"> </w:t>
      </w:r>
      <w:r w:rsidR="00957266">
        <w:t>have</w:t>
      </w:r>
      <w:r w:rsidRPr="008D176A">
        <w:t xml:space="preserve"> been successful in enhancing </w:t>
      </w:r>
      <w:r w:rsidR="004A1826">
        <w:t>cell wall deconstruction</w:t>
      </w:r>
      <w:r w:rsidRPr="008D176A">
        <w:t xml:space="preserve"> in several candidate bioenergy fe</w:t>
      </w:r>
      <w:r w:rsidR="005E0CDA" w:rsidRPr="008D176A">
        <w:t>edstocks, including switchgrass</w:t>
      </w:r>
      <w:r w:rsidR="00B741E9">
        <w:t xml:space="preserve"> (</w:t>
      </w:r>
      <w:r w:rsidR="00B741E9" w:rsidRPr="00B741E9">
        <w:rPr>
          <w:i/>
        </w:rPr>
        <w:t>Panicum virgatum</w:t>
      </w:r>
      <w:r w:rsidR="00B741E9">
        <w:t xml:space="preserve"> L</w:t>
      </w:r>
      <w:r w:rsidR="00D71D89">
        <w:t>.</w:t>
      </w:r>
      <w:r w:rsidR="00B741E9">
        <w:t>)</w:t>
      </w:r>
      <w:r w:rsidR="005E0CDA" w:rsidRPr="008D176A">
        <w:t xml:space="preserve"> [</w:t>
      </w:r>
      <w:r w:rsidR="00631FB3">
        <w:t>7</w:t>
      </w:r>
      <w:r w:rsidR="005E0CDA" w:rsidRPr="008D176A">
        <w:t xml:space="preserve">, </w:t>
      </w:r>
      <w:r w:rsidR="00631FB3">
        <w:t>8</w:t>
      </w:r>
      <w:r w:rsidR="005E0CDA" w:rsidRPr="008D176A">
        <w:t>,</w:t>
      </w:r>
      <w:r w:rsidR="0080315A">
        <w:t xml:space="preserve"> </w:t>
      </w:r>
      <w:r w:rsidR="00631FB3">
        <w:t>9</w:t>
      </w:r>
      <w:r w:rsidR="0080315A">
        <w:t>,</w:t>
      </w:r>
      <w:r w:rsidR="005E0CDA" w:rsidRPr="008D176A">
        <w:t xml:space="preserve"> </w:t>
      </w:r>
      <w:r w:rsidR="00631FB3">
        <w:t>10</w:t>
      </w:r>
      <w:r w:rsidR="005E0CDA" w:rsidRPr="008D176A">
        <w:t xml:space="preserve">], poplar </w:t>
      </w:r>
      <w:r w:rsidR="00D71D89">
        <w:t>(</w:t>
      </w:r>
      <w:r w:rsidR="00D71D89" w:rsidRPr="00D71D89">
        <w:rPr>
          <w:i/>
        </w:rPr>
        <w:t>Populus</w:t>
      </w:r>
      <w:r w:rsidR="00D71D89" w:rsidRPr="00D71D89">
        <w:t xml:space="preserve"> spp.</w:t>
      </w:r>
      <w:r w:rsidR="00D71D89">
        <w:t>)</w:t>
      </w:r>
      <w:r w:rsidR="00D71D89" w:rsidRPr="00D71D89">
        <w:t xml:space="preserve"> </w:t>
      </w:r>
      <w:r w:rsidR="005E0CDA" w:rsidRPr="008D176A">
        <w:t>[</w:t>
      </w:r>
      <w:r w:rsidR="00631FB3">
        <w:t>11</w:t>
      </w:r>
      <w:r w:rsidR="005E0CDA" w:rsidRPr="008D176A">
        <w:t xml:space="preserve">], and sugarcane </w:t>
      </w:r>
      <w:r w:rsidR="00D71D89">
        <w:t>(</w:t>
      </w:r>
      <w:r w:rsidR="00D71D89" w:rsidRPr="00D71D89">
        <w:rPr>
          <w:i/>
        </w:rPr>
        <w:t>Saccharum</w:t>
      </w:r>
      <w:r w:rsidR="00D71D89">
        <w:t xml:space="preserve"> spp.) </w:t>
      </w:r>
      <w:r w:rsidR="005E0CDA" w:rsidRPr="008D176A">
        <w:t>[</w:t>
      </w:r>
      <w:r w:rsidR="00631FB3">
        <w:t>12</w:t>
      </w:r>
      <w:r w:rsidR="005E0CDA" w:rsidRPr="008D176A">
        <w:t>]</w:t>
      </w:r>
      <w:r w:rsidR="00D71D89">
        <w:t>. Switchgrass</w:t>
      </w:r>
      <w:r w:rsidRPr="008D176A">
        <w:t>, a warm-season C4 perennial grass native to North America, is a particularly promising biofuel candidate due to its high biomass production, minimal water and nutritional requirements, widespread adaptability, and high n</w:t>
      </w:r>
      <w:r w:rsidR="005E0CDA" w:rsidRPr="008D176A">
        <w:t>et energy gain [</w:t>
      </w:r>
      <w:r w:rsidR="00631FB3">
        <w:t>13</w:t>
      </w:r>
      <w:r w:rsidR="005E0CDA" w:rsidRPr="008D176A">
        <w:t>]</w:t>
      </w:r>
      <w:r w:rsidRPr="008D176A">
        <w:t xml:space="preserve">.  As a lignocellulosic plant, the carbohydrates in switchgrass cell walls are not readily available for enzymatic hydrolysis. Manipulating lignin biosynthesis, either by downregulating individual lignin genes or by </w:t>
      </w:r>
      <w:r w:rsidRPr="008D176A">
        <w:lastRenderedPageBreak/>
        <w:t xml:space="preserve">overexpressing a transcriptional regulator of lignin biosynthesis, </w:t>
      </w:r>
      <w:r w:rsidR="006A5745">
        <w:t>significantly increases</w:t>
      </w:r>
      <w:r w:rsidRPr="008D176A">
        <w:t xml:space="preserve"> saccharification and ethanol yield </w:t>
      </w:r>
      <w:r w:rsidR="006A5745">
        <w:t xml:space="preserve">in </w:t>
      </w:r>
      <w:r w:rsidR="008766FA">
        <w:t xml:space="preserve">switchgrass </w:t>
      </w:r>
      <w:r w:rsidR="006A5745">
        <w:t>plants grown under</w:t>
      </w:r>
      <w:r w:rsidR="00D71D89">
        <w:t xml:space="preserve"> greenhouse conditions</w:t>
      </w:r>
      <w:r w:rsidR="005E0CDA" w:rsidRPr="008D176A">
        <w:t xml:space="preserve"> [</w:t>
      </w:r>
      <w:r w:rsidR="00631FB3">
        <w:t>7</w:t>
      </w:r>
      <w:r w:rsidR="005E0CDA" w:rsidRPr="008D176A">
        <w:t xml:space="preserve">, </w:t>
      </w:r>
      <w:r w:rsidR="00631FB3">
        <w:t>8</w:t>
      </w:r>
      <w:r w:rsidR="005E0CDA" w:rsidRPr="008D176A">
        <w:t>,</w:t>
      </w:r>
      <w:r w:rsidR="0080315A">
        <w:t xml:space="preserve"> </w:t>
      </w:r>
      <w:r w:rsidR="00631FB3">
        <w:t>9</w:t>
      </w:r>
      <w:r w:rsidR="0080315A">
        <w:t>,</w:t>
      </w:r>
      <w:r w:rsidR="005E0CDA" w:rsidRPr="008D176A">
        <w:t xml:space="preserve"> </w:t>
      </w:r>
      <w:r w:rsidR="00631FB3">
        <w:t>10</w:t>
      </w:r>
      <w:r w:rsidR="005E0CDA" w:rsidRPr="008D176A">
        <w:t>]</w:t>
      </w:r>
      <w:r w:rsidRPr="008D176A">
        <w:t>. The first of these studies found that the downregulation caffeic acid O-methyltransferase (COMT), an enzyme involved in monolignol biosynthesis, produced switchgrass plants with a reduction in total lignin content (11.4-13.4%) and th</w:t>
      </w:r>
      <w:r w:rsidR="00D71D89">
        <w:t>e S/G lignin monomer ratio (44-46</w:t>
      </w:r>
      <w:r w:rsidRPr="008D176A">
        <w:t xml:space="preserve">%). </w:t>
      </w:r>
      <w:r w:rsidR="00810B90">
        <w:t>COMT-downregulated plants exhibited</w:t>
      </w:r>
      <w:r w:rsidRPr="008D176A">
        <w:t xml:space="preserve"> an increase in the enzymatic release of sugars (17-22%) and a higher ethanol yield (30-38%) rela</w:t>
      </w:r>
      <w:r w:rsidR="008F3F3F">
        <w:t>tive to controls. Additionally, improvements in sugar release and ethanol yield</w:t>
      </w:r>
      <w:r w:rsidRPr="008D176A">
        <w:t xml:space="preserve"> </w:t>
      </w:r>
      <w:r w:rsidR="008F3F3F">
        <w:t xml:space="preserve">were </w:t>
      </w:r>
      <w:r w:rsidRPr="008D176A">
        <w:t xml:space="preserve">observed </w:t>
      </w:r>
      <w:r w:rsidR="008F3F3F">
        <w:t xml:space="preserve">whether or not a pretreatment was performed </w:t>
      </w:r>
      <w:r w:rsidR="005E0CDA" w:rsidRPr="008D176A">
        <w:t>[</w:t>
      </w:r>
      <w:r w:rsidR="00631FB3">
        <w:t>7</w:t>
      </w:r>
      <w:r w:rsidR="005E0CDA" w:rsidRPr="008D176A">
        <w:t>]</w:t>
      </w:r>
      <w:r w:rsidRPr="008D176A">
        <w:t xml:space="preserve">. </w:t>
      </w:r>
    </w:p>
    <w:p w:rsidR="00E968B8" w:rsidRPr="008D176A" w:rsidRDefault="00E968B8" w:rsidP="00097A19">
      <w:pPr>
        <w:spacing w:line="480" w:lineRule="auto"/>
      </w:pPr>
    </w:p>
    <w:p w:rsidR="00E968B8" w:rsidRDefault="00E968B8" w:rsidP="00097A19">
      <w:pPr>
        <w:spacing w:line="480" w:lineRule="auto"/>
      </w:pPr>
      <w:r w:rsidRPr="008D176A">
        <w:t xml:space="preserve">While </w:t>
      </w:r>
      <w:r w:rsidR="00A76BE8">
        <w:t>lignin engineering</w:t>
      </w:r>
      <w:r w:rsidRPr="008D176A">
        <w:t xml:space="preserve"> has produced promising results in greenhouse experiments with switchgrass and other </w:t>
      </w:r>
      <w:r w:rsidR="004A1826">
        <w:t>biofuel feedstock candidates</w:t>
      </w:r>
      <w:r w:rsidRPr="008D176A">
        <w:t xml:space="preserve">, only a few studies to date have extended these experiments into the field. </w:t>
      </w:r>
      <w:r w:rsidR="00EC2E37">
        <w:t>Due to environmental effects, knowledge acquired from greenhouse studies</w:t>
      </w:r>
      <w:r w:rsidR="008F3F3F">
        <w:t xml:space="preserve"> with transgenic plants</w:t>
      </w:r>
      <w:r w:rsidR="00EC2E37">
        <w:t xml:space="preserve"> may not necessarily be translatable to the field. </w:t>
      </w:r>
      <w:r w:rsidR="00FF32E6" w:rsidDel="00EC2E37">
        <w:t xml:space="preserve">Lignin </w:t>
      </w:r>
      <w:r w:rsidR="00476C55">
        <w:t>biosynthesis</w:t>
      </w:r>
      <w:r w:rsidR="00957266">
        <w:t xml:space="preserve"> is</w:t>
      </w:r>
      <w:r w:rsidR="00FF32E6" w:rsidDel="00EC2E37">
        <w:t xml:space="preserve"> strongly influenced by environmental factors, </w:t>
      </w:r>
      <w:r w:rsidR="007C71B9" w:rsidDel="00EC2E37">
        <w:t>and exposure to biotic and abiotic stresses can result</w:t>
      </w:r>
      <w:r w:rsidR="00FF32E6" w:rsidDel="00EC2E37">
        <w:t xml:space="preserve"> in modifications to lignin content and composition</w:t>
      </w:r>
      <w:r w:rsidR="00A76BE8">
        <w:t xml:space="preserve"> [</w:t>
      </w:r>
      <w:r w:rsidR="00631FB3">
        <w:t>14</w:t>
      </w:r>
      <w:r w:rsidR="00A76BE8">
        <w:t>]</w:t>
      </w:r>
      <w:r w:rsidR="00FF32E6" w:rsidDel="00EC2E37">
        <w:t>.</w:t>
      </w:r>
      <w:r w:rsidR="00FF32E6" w:rsidDel="008D7C58">
        <w:t xml:space="preserve"> </w:t>
      </w:r>
      <w:r w:rsidR="00A76BE8">
        <w:t>Therefore, characterization of lignin-modified plants in the field is necessary to ensure that the improved biofuel-related traits are maintained under both greenhouse and field conditions. Another relevant concern is that the reduced lignin content could compromise plant susceptibility to fungal and bacterial pathogens in the field, since plants accumulate lignin as a defense mechanism against pathogens to strengthen the cell wall and prevent further infection [</w:t>
      </w:r>
      <w:r w:rsidR="00631FB3">
        <w:t>15</w:t>
      </w:r>
      <w:r w:rsidR="00A76BE8">
        <w:t xml:space="preserve">, </w:t>
      </w:r>
      <w:r w:rsidR="00631FB3">
        <w:t>16</w:t>
      </w:r>
      <w:r w:rsidR="00A76BE8">
        <w:t xml:space="preserve">]. Additionally, modifying </w:t>
      </w:r>
      <w:r w:rsidR="00A76BE8">
        <w:lastRenderedPageBreak/>
        <w:t>genes involved in lignin biosynthesis can have indirect effects on the synthesis of stress-related secondary metabolites, as well as the expression of defense-related genes [</w:t>
      </w:r>
      <w:r w:rsidR="00631FB3">
        <w:t>17</w:t>
      </w:r>
      <w:r w:rsidR="00A76BE8">
        <w:t xml:space="preserve">, </w:t>
      </w:r>
      <w:r w:rsidR="00631FB3">
        <w:t>18</w:t>
      </w:r>
      <w:r w:rsidR="00A76BE8">
        <w:t xml:space="preserve">, </w:t>
      </w:r>
      <w:r w:rsidR="00631FB3">
        <w:t>19</w:t>
      </w:r>
      <w:r w:rsidR="00A76BE8">
        <w:t xml:space="preserve">], which could further influence how </w:t>
      </w:r>
      <w:r w:rsidR="00957266">
        <w:t xml:space="preserve">these </w:t>
      </w:r>
      <w:r w:rsidR="00A76BE8">
        <w:t xml:space="preserve">plants respond to stresses in the field. </w:t>
      </w:r>
    </w:p>
    <w:p w:rsidR="00DC5BE0" w:rsidRPr="008D176A" w:rsidRDefault="00DC5BE0" w:rsidP="00097A19">
      <w:pPr>
        <w:spacing w:line="480" w:lineRule="auto"/>
      </w:pPr>
    </w:p>
    <w:p w:rsidR="00CD2C0E" w:rsidRDefault="006C1007" w:rsidP="00097A19">
      <w:pPr>
        <w:spacing w:line="480" w:lineRule="auto"/>
      </w:pPr>
      <w:r>
        <w:t>T</w:t>
      </w:r>
      <w:r w:rsidR="00E968B8" w:rsidRPr="008D176A">
        <w:t>he general goal of this</w:t>
      </w:r>
      <w:r w:rsidR="00DC5BE0">
        <w:t xml:space="preserve"> research project was to gain an improved</w:t>
      </w:r>
      <w:r w:rsidR="00E968B8" w:rsidRPr="008D176A">
        <w:t xml:space="preserve"> understanding how </w:t>
      </w:r>
      <w:r w:rsidR="00A41AB5">
        <w:t>feedstocks with altered lignin biosynthesis</w:t>
      </w:r>
      <w:r w:rsidR="00E968B8" w:rsidRPr="008D176A">
        <w:t xml:space="preserve"> </w:t>
      </w:r>
      <w:r w:rsidR="008F49A4">
        <w:t xml:space="preserve">might </w:t>
      </w:r>
      <w:r w:rsidR="00E968B8" w:rsidRPr="008D176A">
        <w:t xml:space="preserve">perform in </w:t>
      </w:r>
      <w:r w:rsidR="0080315A">
        <w:t>an agronomic setting</w:t>
      </w:r>
      <w:r w:rsidR="00E968B8" w:rsidRPr="008D176A">
        <w:t xml:space="preserve">. </w:t>
      </w:r>
      <w:r w:rsidR="00CD2C0E">
        <w:t>Chapter two</w:t>
      </w:r>
      <w:r w:rsidR="00E968B8" w:rsidRPr="008D176A">
        <w:t xml:space="preserve"> </w:t>
      </w:r>
      <w:r w:rsidR="00810B90">
        <w:t>reviews</w:t>
      </w:r>
      <w:r w:rsidR="008119C5">
        <w:t xml:space="preserve"> the </w:t>
      </w:r>
      <w:r w:rsidR="003D1795">
        <w:t>effects</w:t>
      </w:r>
      <w:r w:rsidR="00810B90">
        <w:t xml:space="preserve"> of</w:t>
      </w:r>
      <w:r w:rsidR="00E968B8" w:rsidRPr="008D176A">
        <w:t xml:space="preserve"> lignin </w:t>
      </w:r>
      <w:r w:rsidR="00810B90">
        <w:t>pathway modifications</w:t>
      </w:r>
      <w:r w:rsidR="00E968B8" w:rsidRPr="008D176A">
        <w:t xml:space="preserve"> </w:t>
      </w:r>
      <w:r w:rsidR="00810B90">
        <w:t>on plant stress metabolism</w:t>
      </w:r>
      <w:r w:rsidR="00A41AB5">
        <w:t>,</w:t>
      </w:r>
      <w:r w:rsidR="00810B90">
        <w:t xml:space="preserve"> and how such changes could ultimately influence how plants respond and adapt to stress</w:t>
      </w:r>
      <w:r w:rsidR="003D1795">
        <w:t>es</w:t>
      </w:r>
      <w:r w:rsidR="00810B90">
        <w:t xml:space="preserve"> in </w:t>
      </w:r>
      <w:r w:rsidR="003D1795">
        <w:t>a field</w:t>
      </w:r>
      <w:r w:rsidR="00810B90">
        <w:t xml:space="preserve"> environment. </w:t>
      </w:r>
      <w:r w:rsidR="00E968B8" w:rsidRPr="008D176A">
        <w:t xml:space="preserve">Chapter </w:t>
      </w:r>
      <w:r w:rsidR="00CD2C0E">
        <w:t>three</w:t>
      </w:r>
      <w:r w:rsidR="00E968B8" w:rsidRPr="008D176A">
        <w:t xml:space="preserve"> describes </w:t>
      </w:r>
      <w:r w:rsidR="008F3F3F">
        <w:t>a two-year field evaluation of</w:t>
      </w:r>
      <w:r w:rsidR="00D71D89">
        <w:t xml:space="preserve"> COMT-downregulated switchgrass</w:t>
      </w:r>
      <w:r w:rsidR="00E968B8" w:rsidRPr="008D176A">
        <w:t xml:space="preserve"> </w:t>
      </w:r>
      <w:r w:rsidR="008F3F3F">
        <w:t xml:space="preserve">for chemical composition, sugar release and ethanol yield, agronomic performance, and disease susceptibility. </w:t>
      </w:r>
    </w:p>
    <w:p w:rsidR="00CD2C0E" w:rsidRDefault="00CD2C0E">
      <w:r>
        <w:br w:type="page"/>
      </w:r>
    </w:p>
    <w:p w:rsidR="00E968B8" w:rsidRDefault="00DC5BE0" w:rsidP="00CD2C0E">
      <w:pPr>
        <w:pStyle w:val="Heading2"/>
        <w:jc w:val="left"/>
      </w:pPr>
      <w:r>
        <w:lastRenderedPageBreak/>
        <w:t>References</w:t>
      </w:r>
    </w:p>
    <w:p w:rsidR="00E968B8" w:rsidRPr="00E968B8" w:rsidRDefault="00E968B8" w:rsidP="00097A19">
      <w:pPr>
        <w:rPr>
          <w:sz w:val="26"/>
          <w:szCs w:val="26"/>
        </w:rPr>
      </w:pPr>
      <w:r w:rsidRPr="00E968B8">
        <w:rPr>
          <w:sz w:val="26"/>
          <w:szCs w:val="26"/>
        </w:rPr>
        <w:t> </w:t>
      </w:r>
    </w:p>
    <w:p w:rsidR="00E968B8" w:rsidRPr="00DC5BE0" w:rsidRDefault="00DC5BE0" w:rsidP="00097A19">
      <w:pPr>
        <w:pStyle w:val="ListParagraph"/>
        <w:numPr>
          <w:ilvl w:val="0"/>
          <w:numId w:val="45"/>
        </w:numPr>
        <w:spacing w:line="240" w:lineRule="auto"/>
        <w:rPr>
          <w:rFonts w:ascii="Times New Roman" w:hAnsi="Times New Roman"/>
          <w:sz w:val="24"/>
          <w:szCs w:val="24"/>
        </w:rPr>
      </w:pPr>
      <w:bookmarkStart w:id="0" w:name="_Ref372299330"/>
      <w:r>
        <w:rPr>
          <w:rFonts w:ascii="Times New Roman" w:hAnsi="Times New Roman"/>
          <w:sz w:val="24"/>
          <w:szCs w:val="24"/>
        </w:rPr>
        <w:t>Nigam PS, Singh</w:t>
      </w:r>
      <w:r w:rsidR="00E968B8" w:rsidRPr="005E0CDA">
        <w:rPr>
          <w:rFonts w:ascii="Times New Roman" w:hAnsi="Times New Roman"/>
          <w:sz w:val="24"/>
          <w:szCs w:val="24"/>
        </w:rPr>
        <w:t xml:space="preserve"> A. Production of liquid biofuels from renewable resources. </w:t>
      </w:r>
      <w:r w:rsidRPr="00DC5BE0">
        <w:rPr>
          <w:rFonts w:ascii="Times New Roman" w:hAnsi="Times New Roman"/>
          <w:i/>
          <w:sz w:val="24"/>
          <w:szCs w:val="24"/>
        </w:rPr>
        <w:t>Prog Energ Combust</w:t>
      </w:r>
      <w:r>
        <w:rPr>
          <w:rFonts w:ascii="Times New Roman" w:hAnsi="Times New Roman"/>
          <w:sz w:val="24"/>
          <w:szCs w:val="24"/>
        </w:rPr>
        <w:t>.</w:t>
      </w:r>
      <w:r w:rsidR="00E968B8" w:rsidRPr="005E0CDA">
        <w:rPr>
          <w:rFonts w:ascii="Times New Roman" w:hAnsi="Times New Roman"/>
          <w:sz w:val="24"/>
          <w:szCs w:val="24"/>
        </w:rPr>
        <w:t xml:space="preserve"> 37(1), 52-</w:t>
      </w:r>
      <w:r w:rsidR="00E968B8" w:rsidRPr="00DC5BE0">
        <w:rPr>
          <w:rFonts w:ascii="Times New Roman" w:hAnsi="Times New Roman"/>
          <w:sz w:val="24"/>
          <w:szCs w:val="24"/>
        </w:rPr>
        <w:t>68</w:t>
      </w:r>
      <w:bookmarkEnd w:id="0"/>
      <w:r w:rsidRPr="00DC5BE0">
        <w:rPr>
          <w:rFonts w:ascii="Times New Roman" w:hAnsi="Times New Roman"/>
          <w:sz w:val="24"/>
          <w:szCs w:val="24"/>
        </w:rPr>
        <w:t xml:space="preserve"> (2011).</w:t>
      </w:r>
    </w:p>
    <w:p w:rsidR="00E968B8" w:rsidRPr="00DC5BE0" w:rsidRDefault="00DC5BE0" w:rsidP="00097A19">
      <w:pPr>
        <w:pStyle w:val="ListParagraph"/>
        <w:numPr>
          <w:ilvl w:val="0"/>
          <w:numId w:val="45"/>
        </w:numPr>
        <w:spacing w:line="240" w:lineRule="auto"/>
        <w:rPr>
          <w:rFonts w:ascii="Times New Roman" w:hAnsi="Times New Roman"/>
          <w:sz w:val="24"/>
          <w:szCs w:val="24"/>
        </w:rPr>
      </w:pPr>
      <w:bookmarkStart w:id="1" w:name="_Ref372299346"/>
      <w:r w:rsidRPr="00DC5BE0">
        <w:rPr>
          <w:rFonts w:ascii="Times New Roman" w:hAnsi="Times New Roman"/>
          <w:sz w:val="24"/>
          <w:szCs w:val="24"/>
        </w:rPr>
        <w:t xml:space="preserve">Naik, SN, Goud VV, Rout PK </w:t>
      </w:r>
      <w:r w:rsidRPr="00573A23">
        <w:rPr>
          <w:rFonts w:ascii="Times New Roman" w:hAnsi="Times New Roman"/>
          <w:i/>
          <w:sz w:val="24"/>
          <w:szCs w:val="24"/>
        </w:rPr>
        <w:t>et al</w:t>
      </w:r>
      <w:r w:rsidRPr="00DC5BE0">
        <w:rPr>
          <w:rFonts w:ascii="Times New Roman" w:hAnsi="Times New Roman"/>
          <w:sz w:val="24"/>
          <w:szCs w:val="24"/>
        </w:rPr>
        <w:t xml:space="preserve">. </w:t>
      </w:r>
      <w:r w:rsidR="00E968B8" w:rsidRPr="00DC5BE0">
        <w:rPr>
          <w:rFonts w:ascii="Times New Roman" w:hAnsi="Times New Roman"/>
          <w:sz w:val="24"/>
          <w:szCs w:val="24"/>
        </w:rPr>
        <w:t xml:space="preserve">Production of first and second generation biofuels: a comprehensive review. </w:t>
      </w:r>
      <w:r w:rsidRPr="00DC5BE0">
        <w:rPr>
          <w:rFonts w:ascii="Times New Roman" w:hAnsi="Times New Roman"/>
          <w:sz w:val="24"/>
          <w:szCs w:val="24"/>
        </w:rPr>
        <w:t>Renew Sust Energ Rev.</w:t>
      </w:r>
      <w:r w:rsidR="00E968B8" w:rsidRPr="00DC5BE0">
        <w:rPr>
          <w:rFonts w:ascii="Times New Roman" w:hAnsi="Times New Roman"/>
          <w:sz w:val="24"/>
          <w:szCs w:val="24"/>
        </w:rPr>
        <w:t xml:space="preserve"> 14(2), 578-597</w:t>
      </w:r>
      <w:bookmarkEnd w:id="1"/>
      <w:r w:rsidRPr="00DC5BE0">
        <w:rPr>
          <w:rFonts w:ascii="Times New Roman" w:hAnsi="Times New Roman"/>
          <w:sz w:val="24"/>
          <w:szCs w:val="24"/>
        </w:rPr>
        <w:t xml:space="preserve"> (2010).</w:t>
      </w:r>
    </w:p>
    <w:p w:rsidR="00E968B8" w:rsidRPr="005E0CDA" w:rsidRDefault="00DC5BE0" w:rsidP="00097A19">
      <w:pPr>
        <w:pStyle w:val="ListParagraph"/>
        <w:numPr>
          <w:ilvl w:val="0"/>
          <w:numId w:val="45"/>
        </w:numPr>
        <w:spacing w:line="240" w:lineRule="auto"/>
        <w:rPr>
          <w:rFonts w:ascii="Times New Roman" w:hAnsi="Times New Roman"/>
          <w:sz w:val="24"/>
          <w:szCs w:val="24"/>
        </w:rPr>
      </w:pPr>
      <w:bookmarkStart w:id="2" w:name="_Ref372299360"/>
      <w:r w:rsidRPr="00DC5BE0">
        <w:rPr>
          <w:rFonts w:ascii="Times New Roman" w:hAnsi="Times New Roman"/>
          <w:sz w:val="24"/>
          <w:szCs w:val="24"/>
        </w:rPr>
        <w:t xml:space="preserve">Grabber, JH, Ralph J, Lapierre C </w:t>
      </w:r>
      <w:r w:rsidRPr="00573A23">
        <w:rPr>
          <w:rFonts w:ascii="Times New Roman" w:hAnsi="Times New Roman"/>
          <w:i/>
          <w:sz w:val="24"/>
          <w:szCs w:val="24"/>
        </w:rPr>
        <w:t>et al</w:t>
      </w:r>
      <w:r>
        <w:rPr>
          <w:rFonts w:ascii="Times New Roman" w:hAnsi="Times New Roman"/>
          <w:sz w:val="24"/>
          <w:szCs w:val="24"/>
        </w:rPr>
        <w:t xml:space="preserve">. </w:t>
      </w:r>
      <w:r w:rsidR="00E968B8" w:rsidRPr="005E0CDA">
        <w:rPr>
          <w:rFonts w:ascii="Times New Roman" w:hAnsi="Times New Roman"/>
          <w:sz w:val="24"/>
          <w:szCs w:val="24"/>
        </w:rPr>
        <w:t>Genetic and molecular basis of grass cell-wall degradability. I. Lignin–cell wall matrix interac</w:t>
      </w:r>
      <w:r>
        <w:rPr>
          <w:rFonts w:ascii="Times New Roman" w:hAnsi="Times New Roman"/>
          <w:sz w:val="24"/>
          <w:szCs w:val="24"/>
        </w:rPr>
        <w:t xml:space="preserve">tions. </w:t>
      </w:r>
      <w:r w:rsidRPr="00DC5BE0">
        <w:rPr>
          <w:rFonts w:ascii="Times New Roman" w:hAnsi="Times New Roman"/>
          <w:i/>
          <w:sz w:val="24"/>
          <w:szCs w:val="24"/>
        </w:rPr>
        <w:t>Comptes rendus biologies</w:t>
      </w:r>
      <w:r w:rsidR="00E968B8" w:rsidRPr="005E0CDA">
        <w:rPr>
          <w:rFonts w:ascii="Times New Roman" w:hAnsi="Times New Roman"/>
          <w:sz w:val="24"/>
          <w:szCs w:val="24"/>
        </w:rPr>
        <w:t xml:space="preserve"> 327(5), 455-465</w:t>
      </w:r>
      <w:bookmarkEnd w:id="2"/>
      <w:r w:rsidRPr="00DC5BE0">
        <w:rPr>
          <w:rFonts w:ascii="Times New Roman" w:hAnsi="Times New Roman"/>
          <w:sz w:val="24"/>
          <w:szCs w:val="24"/>
        </w:rPr>
        <w:t xml:space="preserve"> </w:t>
      </w:r>
      <w:r w:rsidRPr="005E0CDA">
        <w:rPr>
          <w:rFonts w:ascii="Times New Roman" w:hAnsi="Times New Roman"/>
          <w:sz w:val="24"/>
          <w:szCs w:val="24"/>
        </w:rPr>
        <w:t>(2004).</w:t>
      </w:r>
    </w:p>
    <w:p w:rsidR="00E968B8" w:rsidRPr="005E0CDA" w:rsidRDefault="00DC5BE0" w:rsidP="00097A19">
      <w:pPr>
        <w:pStyle w:val="ListParagraph"/>
        <w:numPr>
          <w:ilvl w:val="0"/>
          <w:numId w:val="45"/>
        </w:numPr>
        <w:spacing w:line="240" w:lineRule="auto"/>
        <w:rPr>
          <w:rFonts w:ascii="Times New Roman" w:hAnsi="Times New Roman"/>
          <w:sz w:val="24"/>
          <w:szCs w:val="24"/>
        </w:rPr>
      </w:pPr>
      <w:bookmarkStart w:id="3" w:name="_Ref372299372"/>
      <w:r>
        <w:rPr>
          <w:rFonts w:ascii="Times New Roman" w:hAnsi="Times New Roman"/>
          <w:sz w:val="24"/>
          <w:szCs w:val="24"/>
        </w:rPr>
        <w:t>Himmel ME, Ding SY</w:t>
      </w:r>
      <w:r w:rsidR="00E968B8" w:rsidRPr="005E0CDA">
        <w:rPr>
          <w:rFonts w:ascii="Times New Roman" w:hAnsi="Times New Roman"/>
          <w:sz w:val="24"/>
          <w:szCs w:val="24"/>
        </w:rPr>
        <w:t>, Joh</w:t>
      </w:r>
      <w:r w:rsidR="00573A23">
        <w:rPr>
          <w:rFonts w:ascii="Times New Roman" w:hAnsi="Times New Roman"/>
          <w:sz w:val="24"/>
          <w:szCs w:val="24"/>
        </w:rPr>
        <w:t>nson DK</w:t>
      </w:r>
      <w:r>
        <w:rPr>
          <w:rFonts w:ascii="Times New Roman" w:hAnsi="Times New Roman"/>
          <w:sz w:val="24"/>
          <w:szCs w:val="24"/>
        </w:rPr>
        <w:t xml:space="preserve"> </w:t>
      </w:r>
      <w:r w:rsidRPr="00573A23">
        <w:rPr>
          <w:rFonts w:ascii="Times New Roman" w:hAnsi="Times New Roman"/>
          <w:i/>
          <w:sz w:val="24"/>
          <w:szCs w:val="24"/>
        </w:rPr>
        <w:t>et al</w:t>
      </w:r>
      <w:r w:rsidR="00E968B8" w:rsidRPr="00DC5BE0">
        <w:rPr>
          <w:rFonts w:ascii="Times New Roman" w:hAnsi="Times New Roman"/>
          <w:sz w:val="24"/>
          <w:szCs w:val="24"/>
        </w:rPr>
        <w:t>.</w:t>
      </w:r>
      <w:r w:rsidR="00E968B8" w:rsidRPr="005E0CDA">
        <w:rPr>
          <w:rFonts w:ascii="Times New Roman" w:hAnsi="Times New Roman"/>
          <w:sz w:val="24"/>
          <w:szCs w:val="24"/>
        </w:rPr>
        <w:t xml:space="preserve"> Biomass recalcitrance: engineering plants and en</w:t>
      </w:r>
      <w:r>
        <w:rPr>
          <w:rFonts w:ascii="Times New Roman" w:hAnsi="Times New Roman"/>
          <w:sz w:val="24"/>
          <w:szCs w:val="24"/>
        </w:rPr>
        <w:t xml:space="preserve">zymes for biofuels production. </w:t>
      </w:r>
      <w:r w:rsidRPr="00DC5BE0">
        <w:rPr>
          <w:rFonts w:ascii="Times New Roman" w:hAnsi="Times New Roman"/>
          <w:i/>
          <w:sz w:val="24"/>
          <w:szCs w:val="24"/>
        </w:rPr>
        <w:t>Science</w:t>
      </w:r>
      <w:r>
        <w:rPr>
          <w:rFonts w:ascii="Times New Roman" w:hAnsi="Times New Roman"/>
          <w:sz w:val="24"/>
          <w:szCs w:val="24"/>
        </w:rPr>
        <w:t xml:space="preserve"> </w:t>
      </w:r>
      <w:r w:rsidR="00E968B8" w:rsidRPr="005E0CDA">
        <w:rPr>
          <w:rFonts w:ascii="Times New Roman" w:hAnsi="Times New Roman"/>
          <w:sz w:val="24"/>
          <w:szCs w:val="24"/>
        </w:rPr>
        <w:t>315(5813), 804-807</w:t>
      </w:r>
      <w:bookmarkEnd w:id="3"/>
      <w:r w:rsidRPr="00DC5BE0">
        <w:rPr>
          <w:rFonts w:ascii="Times New Roman" w:hAnsi="Times New Roman"/>
          <w:sz w:val="24"/>
          <w:szCs w:val="24"/>
        </w:rPr>
        <w:t xml:space="preserve"> </w:t>
      </w:r>
      <w:r w:rsidRPr="005E0CDA">
        <w:rPr>
          <w:rFonts w:ascii="Times New Roman" w:hAnsi="Times New Roman"/>
          <w:sz w:val="24"/>
          <w:szCs w:val="24"/>
        </w:rPr>
        <w:t>(2007).</w:t>
      </w:r>
    </w:p>
    <w:p w:rsidR="00E968B8" w:rsidRPr="005E0CDA" w:rsidRDefault="00DC5BE0" w:rsidP="00097A19">
      <w:pPr>
        <w:pStyle w:val="ListParagraph"/>
        <w:numPr>
          <w:ilvl w:val="0"/>
          <w:numId w:val="45"/>
        </w:numPr>
        <w:spacing w:line="240" w:lineRule="auto"/>
        <w:rPr>
          <w:rFonts w:ascii="Times New Roman" w:hAnsi="Times New Roman"/>
          <w:sz w:val="24"/>
          <w:szCs w:val="24"/>
        </w:rPr>
      </w:pPr>
      <w:bookmarkStart w:id="4" w:name="_Ref372299387"/>
      <w:r>
        <w:rPr>
          <w:rFonts w:ascii="Times New Roman" w:hAnsi="Times New Roman"/>
          <w:sz w:val="24"/>
          <w:szCs w:val="24"/>
        </w:rPr>
        <w:t>Hisano H, Nandakumar R, Wang, Z</w:t>
      </w:r>
      <w:r w:rsidR="00E968B8" w:rsidRPr="005E0CDA">
        <w:rPr>
          <w:rFonts w:ascii="Times New Roman" w:hAnsi="Times New Roman"/>
          <w:sz w:val="24"/>
          <w:szCs w:val="24"/>
        </w:rPr>
        <w:t xml:space="preserve">Y. Genetic modification of lignin biosynthesis for improved biofuel production. </w:t>
      </w:r>
      <w:r w:rsidR="00E968B8" w:rsidRPr="00DC5BE0">
        <w:rPr>
          <w:rFonts w:ascii="Times New Roman" w:hAnsi="Times New Roman"/>
          <w:i/>
          <w:sz w:val="24"/>
          <w:szCs w:val="24"/>
        </w:rPr>
        <w:t xml:space="preserve">In Vitro </w:t>
      </w:r>
      <w:r w:rsidRPr="00DC5BE0">
        <w:rPr>
          <w:rFonts w:ascii="Times New Roman" w:hAnsi="Times New Roman"/>
          <w:i/>
          <w:sz w:val="24"/>
          <w:szCs w:val="24"/>
        </w:rPr>
        <w:t>Cell Dev</w:t>
      </w:r>
      <w:r w:rsidR="00E968B8" w:rsidRPr="00DC5BE0">
        <w:rPr>
          <w:rFonts w:ascii="Times New Roman" w:hAnsi="Times New Roman"/>
          <w:i/>
          <w:sz w:val="24"/>
          <w:szCs w:val="24"/>
        </w:rPr>
        <w:t>-</w:t>
      </w:r>
      <w:r w:rsidRPr="00DC5BE0">
        <w:rPr>
          <w:rFonts w:ascii="Times New Roman" w:hAnsi="Times New Roman"/>
          <w:i/>
          <w:sz w:val="24"/>
          <w:szCs w:val="24"/>
        </w:rPr>
        <w:t>Pl</w:t>
      </w:r>
      <w:r>
        <w:rPr>
          <w:rFonts w:ascii="Times New Roman" w:hAnsi="Times New Roman"/>
          <w:sz w:val="24"/>
          <w:szCs w:val="24"/>
        </w:rPr>
        <w:t>.</w:t>
      </w:r>
      <w:r w:rsidR="00E968B8" w:rsidRPr="005E0CDA">
        <w:rPr>
          <w:rFonts w:ascii="Times New Roman" w:hAnsi="Times New Roman"/>
          <w:sz w:val="24"/>
          <w:szCs w:val="24"/>
        </w:rPr>
        <w:t xml:space="preserve"> 45(3), 306-313</w:t>
      </w:r>
      <w:bookmarkEnd w:id="4"/>
      <w:r>
        <w:rPr>
          <w:rFonts w:ascii="Times New Roman" w:hAnsi="Times New Roman"/>
          <w:sz w:val="24"/>
          <w:szCs w:val="24"/>
        </w:rPr>
        <w:t xml:space="preserve"> </w:t>
      </w:r>
      <w:r w:rsidRPr="005E0CDA">
        <w:rPr>
          <w:rFonts w:ascii="Times New Roman" w:hAnsi="Times New Roman"/>
          <w:sz w:val="24"/>
          <w:szCs w:val="24"/>
        </w:rPr>
        <w:t>(2009).</w:t>
      </w:r>
    </w:p>
    <w:p w:rsidR="00DC5BE0" w:rsidRPr="00DC5BE0" w:rsidRDefault="00DC5BE0" w:rsidP="00DC5BE0">
      <w:pPr>
        <w:pStyle w:val="ListParagraph"/>
        <w:numPr>
          <w:ilvl w:val="0"/>
          <w:numId w:val="45"/>
        </w:numPr>
        <w:rPr>
          <w:rFonts w:ascii="Times New Roman" w:hAnsi="Times New Roman"/>
          <w:sz w:val="24"/>
          <w:szCs w:val="24"/>
        </w:rPr>
      </w:pPr>
      <w:bookmarkStart w:id="5" w:name="_Ref376783721"/>
      <w:bookmarkStart w:id="6" w:name="_Ref372299430"/>
      <w:r w:rsidRPr="00DC5BE0">
        <w:rPr>
          <w:rFonts w:ascii="Times New Roman" w:hAnsi="Times New Roman"/>
          <w:sz w:val="24"/>
          <w:szCs w:val="24"/>
        </w:rPr>
        <w:t xml:space="preserve">Chen F, Dixon RA. Lignin modification improves fermentable sugar yields for biofuel production. </w:t>
      </w:r>
      <w:r w:rsidRPr="00DC5BE0">
        <w:rPr>
          <w:rFonts w:ascii="Times New Roman" w:hAnsi="Times New Roman"/>
          <w:i/>
          <w:sz w:val="24"/>
          <w:szCs w:val="24"/>
        </w:rPr>
        <w:t>Nat Biotech</w:t>
      </w:r>
      <w:r w:rsidRPr="00DC5BE0">
        <w:rPr>
          <w:rFonts w:ascii="Times New Roman" w:hAnsi="Times New Roman"/>
          <w:sz w:val="24"/>
          <w:szCs w:val="24"/>
        </w:rPr>
        <w:t>. 25, 759-761 (2007).</w:t>
      </w:r>
      <w:bookmarkEnd w:id="5"/>
    </w:p>
    <w:p w:rsidR="00DC5BE0" w:rsidRPr="00DC5BE0" w:rsidRDefault="00DC5BE0" w:rsidP="00DC5BE0">
      <w:pPr>
        <w:pStyle w:val="ListParagraph"/>
        <w:numPr>
          <w:ilvl w:val="0"/>
          <w:numId w:val="45"/>
        </w:numPr>
        <w:rPr>
          <w:rFonts w:ascii="Times New Roman" w:hAnsi="Times New Roman"/>
          <w:sz w:val="24"/>
          <w:szCs w:val="24"/>
        </w:rPr>
      </w:pPr>
      <w:bookmarkStart w:id="7" w:name="_Ref376783980"/>
      <w:bookmarkStart w:id="8" w:name="_Ref372299432"/>
      <w:bookmarkEnd w:id="6"/>
      <w:r w:rsidRPr="008119C5">
        <w:rPr>
          <w:rFonts w:ascii="Times New Roman" w:hAnsi="Times New Roman"/>
          <w:sz w:val="24"/>
          <w:szCs w:val="24"/>
          <w:lang w:val="es-ES"/>
        </w:rPr>
        <w:t xml:space="preserve">Fu C, Mielenz JR, Xiao X </w:t>
      </w:r>
      <w:r w:rsidRPr="008119C5">
        <w:rPr>
          <w:rFonts w:ascii="Times New Roman" w:hAnsi="Times New Roman"/>
          <w:i/>
          <w:sz w:val="24"/>
          <w:szCs w:val="24"/>
          <w:lang w:val="es-ES"/>
        </w:rPr>
        <w:t>et al</w:t>
      </w:r>
      <w:r w:rsidRPr="008119C5">
        <w:rPr>
          <w:rFonts w:ascii="Times New Roman" w:hAnsi="Times New Roman"/>
          <w:sz w:val="24"/>
          <w:szCs w:val="24"/>
          <w:lang w:val="es-ES"/>
        </w:rPr>
        <w:t xml:space="preserve">. </w:t>
      </w:r>
      <w:r w:rsidRPr="00DC5BE0">
        <w:rPr>
          <w:rFonts w:ascii="Times New Roman" w:hAnsi="Times New Roman"/>
          <w:sz w:val="24"/>
          <w:szCs w:val="24"/>
        </w:rPr>
        <w:t xml:space="preserve">Genetic manipulation of lignin reduces recalcitrance and improves ethanol production from switchgrass. </w:t>
      </w:r>
      <w:r w:rsidRPr="00DC5BE0">
        <w:rPr>
          <w:rFonts w:ascii="Times New Roman" w:hAnsi="Times New Roman"/>
          <w:i/>
          <w:sz w:val="24"/>
          <w:szCs w:val="24"/>
        </w:rPr>
        <w:t>Proc. Natl Acad. Sci. USA</w:t>
      </w:r>
      <w:r w:rsidRPr="00DC5BE0">
        <w:rPr>
          <w:rFonts w:ascii="Times New Roman" w:hAnsi="Times New Roman"/>
          <w:sz w:val="24"/>
          <w:szCs w:val="24"/>
        </w:rPr>
        <w:t xml:space="preserve"> 108(9), 3803-3808 (2011).</w:t>
      </w:r>
      <w:bookmarkEnd w:id="7"/>
      <w:r w:rsidRPr="00DC5BE0">
        <w:rPr>
          <w:rFonts w:ascii="Times New Roman" w:hAnsi="Times New Roman"/>
          <w:sz w:val="24"/>
          <w:szCs w:val="24"/>
        </w:rPr>
        <w:t xml:space="preserve"> </w:t>
      </w:r>
    </w:p>
    <w:p w:rsidR="00DC5BE0" w:rsidRPr="00DC5BE0" w:rsidRDefault="00E968B8" w:rsidP="00DC5BE0">
      <w:pPr>
        <w:pStyle w:val="ListParagraph"/>
        <w:numPr>
          <w:ilvl w:val="0"/>
          <w:numId w:val="45"/>
        </w:numPr>
        <w:rPr>
          <w:rFonts w:ascii="Times New Roman" w:hAnsi="Times New Roman"/>
          <w:sz w:val="24"/>
          <w:szCs w:val="24"/>
        </w:rPr>
      </w:pPr>
      <w:r w:rsidRPr="008119C5">
        <w:rPr>
          <w:rFonts w:ascii="Times New Roman" w:hAnsi="Times New Roman"/>
          <w:sz w:val="24"/>
          <w:szCs w:val="24"/>
          <w:lang w:val="es-ES"/>
        </w:rPr>
        <w:t>F</w:t>
      </w:r>
      <w:bookmarkStart w:id="9" w:name="_Ref372299435"/>
      <w:bookmarkEnd w:id="8"/>
      <w:r w:rsidR="00DC5BE0" w:rsidRPr="00DC5BE0">
        <w:rPr>
          <w:rFonts w:ascii="Times New Roman" w:hAnsi="Times New Roman"/>
          <w:sz w:val="24"/>
          <w:szCs w:val="24"/>
          <w:lang w:val="fr-FR"/>
        </w:rPr>
        <w:t xml:space="preserve">u C, Xiao X, Xi Y </w:t>
      </w:r>
      <w:r w:rsidR="00DC5BE0" w:rsidRPr="00DC5BE0">
        <w:rPr>
          <w:rFonts w:ascii="Times New Roman" w:hAnsi="Times New Roman"/>
          <w:i/>
          <w:sz w:val="24"/>
          <w:szCs w:val="24"/>
          <w:lang w:val="fr-FR"/>
        </w:rPr>
        <w:t>et al</w:t>
      </w:r>
      <w:r w:rsidR="00DC5BE0" w:rsidRPr="00DC5BE0">
        <w:rPr>
          <w:rFonts w:ascii="Times New Roman" w:hAnsi="Times New Roman"/>
          <w:sz w:val="24"/>
          <w:szCs w:val="24"/>
          <w:lang w:val="fr-FR"/>
        </w:rPr>
        <w:t xml:space="preserve">. </w:t>
      </w:r>
      <w:r w:rsidR="00DC5BE0" w:rsidRPr="00DC5BE0">
        <w:rPr>
          <w:rFonts w:ascii="Times New Roman" w:hAnsi="Times New Roman"/>
          <w:sz w:val="24"/>
          <w:szCs w:val="24"/>
        </w:rPr>
        <w:t>Downregulation of cinnamyl alcohol dehydrogenase (CAD) leads to improved saccharification efficiency in switchgrass. </w:t>
      </w:r>
      <w:r w:rsidR="00DC5BE0" w:rsidRPr="00DC5BE0">
        <w:rPr>
          <w:rFonts w:ascii="Times New Roman" w:hAnsi="Times New Roman"/>
          <w:i/>
          <w:iCs/>
          <w:sz w:val="24"/>
          <w:szCs w:val="24"/>
        </w:rPr>
        <w:t>BioEnergy Res.</w:t>
      </w:r>
      <w:r w:rsidR="00DC5BE0" w:rsidRPr="00DC5BE0">
        <w:rPr>
          <w:rFonts w:ascii="Times New Roman" w:hAnsi="Times New Roman"/>
          <w:sz w:val="24"/>
          <w:szCs w:val="24"/>
        </w:rPr>
        <w:t> </w:t>
      </w:r>
      <w:r w:rsidR="00DC5BE0" w:rsidRPr="00DC5BE0">
        <w:rPr>
          <w:rFonts w:ascii="Times New Roman" w:hAnsi="Times New Roman"/>
          <w:iCs/>
          <w:sz w:val="24"/>
          <w:szCs w:val="24"/>
        </w:rPr>
        <w:t>4</w:t>
      </w:r>
      <w:r w:rsidR="00DC5BE0" w:rsidRPr="00DC5BE0">
        <w:rPr>
          <w:rFonts w:ascii="Times New Roman" w:hAnsi="Times New Roman"/>
          <w:sz w:val="24"/>
          <w:szCs w:val="24"/>
        </w:rPr>
        <w:t>(3), 153-164 (2011).</w:t>
      </w:r>
    </w:p>
    <w:p w:rsidR="00E968B8" w:rsidRPr="00DC5BE0" w:rsidRDefault="00DC5BE0" w:rsidP="00000304">
      <w:pPr>
        <w:pStyle w:val="ListParagraph"/>
        <w:numPr>
          <w:ilvl w:val="0"/>
          <w:numId w:val="45"/>
        </w:numPr>
        <w:spacing w:line="240" w:lineRule="auto"/>
        <w:rPr>
          <w:rFonts w:ascii="Times New Roman" w:hAnsi="Times New Roman"/>
          <w:sz w:val="24"/>
          <w:szCs w:val="24"/>
        </w:rPr>
      </w:pPr>
      <w:bookmarkStart w:id="10" w:name="_Ref376783854"/>
      <w:r>
        <w:rPr>
          <w:rFonts w:ascii="Times New Roman" w:hAnsi="Times New Roman"/>
          <w:sz w:val="24"/>
          <w:szCs w:val="24"/>
        </w:rPr>
        <w:t>Saathoff</w:t>
      </w:r>
      <w:r w:rsidR="00E968B8" w:rsidRPr="00DC5BE0">
        <w:rPr>
          <w:rFonts w:ascii="Times New Roman" w:hAnsi="Times New Roman"/>
          <w:sz w:val="24"/>
          <w:szCs w:val="24"/>
        </w:rPr>
        <w:t xml:space="preserve"> </w:t>
      </w:r>
      <w:bookmarkEnd w:id="9"/>
      <w:r w:rsidRPr="00DC5BE0">
        <w:rPr>
          <w:rFonts w:ascii="Times New Roman" w:hAnsi="Times New Roman"/>
          <w:sz w:val="24"/>
          <w:szCs w:val="24"/>
        </w:rPr>
        <w:t>AJ, Sarath G, Chow EK, Dien BS, Tobias CM. Downregulation of cinnamyl-alcohol dehydrogenase in switchgrass by RNA silencing results in enhanced glucose release after cellulase treatment. </w:t>
      </w:r>
      <w:r w:rsidRPr="00DC5BE0">
        <w:rPr>
          <w:rFonts w:ascii="Times New Roman" w:hAnsi="Times New Roman"/>
          <w:i/>
          <w:iCs/>
          <w:sz w:val="24"/>
          <w:szCs w:val="24"/>
        </w:rPr>
        <w:t>PLoS ONE</w:t>
      </w:r>
      <w:r w:rsidRPr="00DC5BE0">
        <w:rPr>
          <w:rFonts w:ascii="Times New Roman" w:hAnsi="Times New Roman"/>
          <w:sz w:val="24"/>
          <w:szCs w:val="24"/>
        </w:rPr>
        <w:t xml:space="preserve"> </w:t>
      </w:r>
      <w:r w:rsidRPr="00DC5BE0">
        <w:rPr>
          <w:rFonts w:ascii="Times New Roman" w:hAnsi="Times New Roman"/>
          <w:iCs/>
          <w:sz w:val="24"/>
          <w:szCs w:val="24"/>
        </w:rPr>
        <w:t xml:space="preserve">6 </w:t>
      </w:r>
      <w:r w:rsidRPr="00DC5BE0">
        <w:rPr>
          <w:rFonts w:ascii="Times New Roman" w:hAnsi="Times New Roman"/>
          <w:sz w:val="24"/>
          <w:szCs w:val="24"/>
        </w:rPr>
        <w:t>(1), e16416 (2011).</w:t>
      </w:r>
      <w:bookmarkEnd w:id="10"/>
    </w:p>
    <w:p w:rsidR="00E968B8" w:rsidRPr="005E0CDA" w:rsidRDefault="00E968B8" w:rsidP="00097A19">
      <w:pPr>
        <w:pStyle w:val="ListParagraph"/>
        <w:numPr>
          <w:ilvl w:val="0"/>
          <w:numId w:val="45"/>
        </w:numPr>
        <w:spacing w:line="240" w:lineRule="auto"/>
        <w:rPr>
          <w:rFonts w:ascii="Times New Roman" w:hAnsi="Times New Roman"/>
          <w:sz w:val="24"/>
          <w:szCs w:val="24"/>
        </w:rPr>
      </w:pPr>
      <w:bookmarkStart w:id="11" w:name="_Ref372299500"/>
      <w:bookmarkStart w:id="12" w:name="_Ref380494131"/>
      <w:r w:rsidRPr="008119C5">
        <w:rPr>
          <w:rFonts w:ascii="Times New Roman" w:hAnsi="Times New Roman"/>
          <w:sz w:val="24"/>
          <w:szCs w:val="24"/>
          <w:lang w:val="es-ES"/>
        </w:rPr>
        <w:t xml:space="preserve">Xu </w:t>
      </w:r>
      <w:bookmarkEnd w:id="11"/>
      <w:r w:rsidR="00DC5BE0" w:rsidRPr="008119C5">
        <w:rPr>
          <w:rFonts w:ascii="Times New Roman" w:hAnsi="Times New Roman"/>
          <w:sz w:val="24"/>
          <w:szCs w:val="24"/>
          <w:lang w:val="es-ES"/>
        </w:rPr>
        <w:t xml:space="preserve">B, Escamilla-Treviño LL, Sathitsuksanoh N </w:t>
      </w:r>
      <w:r w:rsidR="00DC5BE0" w:rsidRPr="008119C5">
        <w:rPr>
          <w:rFonts w:ascii="Times New Roman" w:hAnsi="Times New Roman"/>
          <w:i/>
          <w:sz w:val="24"/>
          <w:szCs w:val="24"/>
          <w:lang w:val="es-ES"/>
        </w:rPr>
        <w:t>et al</w:t>
      </w:r>
      <w:r w:rsidR="00DC5BE0" w:rsidRPr="008119C5">
        <w:rPr>
          <w:rFonts w:ascii="Times New Roman" w:hAnsi="Times New Roman"/>
          <w:sz w:val="24"/>
          <w:szCs w:val="24"/>
          <w:lang w:val="es-ES"/>
        </w:rPr>
        <w:t xml:space="preserve">. </w:t>
      </w:r>
      <w:r w:rsidR="00DC5BE0" w:rsidRPr="00DC5BE0">
        <w:rPr>
          <w:rFonts w:ascii="Times New Roman" w:hAnsi="Times New Roman"/>
          <w:sz w:val="24"/>
          <w:szCs w:val="24"/>
        </w:rPr>
        <w:t>Silencing of 4-coumarate: coenzyme A ligase in switchgrass leads to reduced lignin content and improved fermentable sugar yields for biofuel production. </w:t>
      </w:r>
      <w:r w:rsidR="00DC5BE0" w:rsidRPr="00DC5BE0">
        <w:rPr>
          <w:rFonts w:ascii="Times New Roman" w:hAnsi="Times New Roman"/>
          <w:i/>
          <w:iCs/>
          <w:sz w:val="24"/>
          <w:szCs w:val="24"/>
        </w:rPr>
        <w:t>New Phytol.</w:t>
      </w:r>
      <w:r w:rsidR="00DC5BE0" w:rsidRPr="00DC5BE0">
        <w:rPr>
          <w:rFonts w:ascii="Times New Roman" w:hAnsi="Times New Roman"/>
          <w:sz w:val="24"/>
          <w:szCs w:val="24"/>
        </w:rPr>
        <w:t> </w:t>
      </w:r>
      <w:r w:rsidR="00DC5BE0" w:rsidRPr="00DC5BE0">
        <w:rPr>
          <w:rFonts w:ascii="Times New Roman" w:hAnsi="Times New Roman"/>
          <w:iCs/>
          <w:sz w:val="24"/>
          <w:szCs w:val="24"/>
        </w:rPr>
        <w:t>192</w:t>
      </w:r>
      <w:r w:rsidR="00DC5BE0" w:rsidRPr="00DC5BE0">
        <w:rPr>
          <w:rFonts w:ascii="Times New Roman" w:hAnsi="Times New Roman"/>
          <w:sz w:val="24"/>
          <w:szCs w:val="24"/>
        </w:rPr>
        <w:t>(3), 611-625 (2011).</w:t>
      </w:r>
      <w:bookmarkEnd w:id="12"/>
    </w:p>
    <w:p w:rsidR="00E968B8" w:rsidRPr="00DC5BE0" w:rsidRDefault="00E968B8" w:rsidP="00097A19">
      <w:pPr>
        <w:pStyle w:val="ListParagraph"/>
        <w:numPr>
          <w:ilvl w:val="0"/>
          <w:numId w:val="45"/>
        </w:numPr>
        <w:spacing w:line="240" w:lineRule="auto"/>
        <w:rPr>
          <w:rFonts w:ascii="Times New Roman" w:hAnsi="Times New Roman"/>
          <w:sz w:val="24"/>
          <w:szCs w:val="24"/>
        </w:rPr>
      </w:pPr>
      <w:bookmarkStart w:id="13" w:name="_Ref372299489"/>
      <w:bookmarkStart w:id="14" w:name="_Ref376783870"/>
      <w:r w:rsidRPr="00DC5BE0">
        <w:rPr>
          <w:rFonts w:ascii="Times New Roman" w:hAnsi="Times New Roman"/>
          <w:sz w:val="24"/>
          <w:szCs w:val="24"/>
        </w:rPr>
        <w:t xml:space="preserve">Wang </w:t>
      </w:r>
      <w:bookmarkEnd w:id="13"/>
      <w:r w:rsidR="00DC5BE0" w:rsidRPr="00DC5BE0">
        <w:rPr>
          <w:rFonts w:ascii="Times New Roman" w:hAnsi="Times New Roman"/>
          <w:sz w:val="24"/>
          <w:szCs w:val="24"/>
        </w:rPr>
        <w:t xml:space="preserve">H, Xue Y, Chen Y, Li R, Wei J. Lignin modification improves the biofuel production potential in transgenic </w:t>
      </w:r>
      <w:r w:rsidR="00DC5BE0" w:rsidRPr="00DC5BE0">
        <w:rPr>
          <w:rFonts w:ascii="Times New Roman" w:hAnsi="Times New Roman"/>
          <w:i/>
          <w:sz w:val="24"/>
          <w:szCs w:val="24"/>
        </w:rPr>
        <w:t>Populus tomentosa</w:t>
      </w:r>
      <w:r w:rsidR="00DC5BE0" w:rsidRPr="00DC5BE0">
        <w:rPr>
          <w:rFonts w:ascii="Times New Roman" w:hAnsi="Times New Roman"/>
          <w:sz w:val="24"/>
          <w:szCs w:val="24"/>
        </w:rPr>
        <w:t>. </w:t>
      </w:r>
      <w:r w:rsidR="00DC5BE0" w:rsidRPr="00DC5BE0">
        <w:rPr>
          <w:rFonts w:ascii="Times New Roman" w:hAnsi="Times New Roman"/>
          <w:i/>
          <w:iCs/>
          <w:sz w:val="24"/>
          <w:szCs w:val="24"/>
        </w:rPr>
        <w:t>Ind. Crop. Prod</w:t>
      </w:r>
      <w:r w:rsidR="00DC5BE0" w:rsidRPr="00DC5BE0">
        <w:rPr>
          <w:rFonts w:ascii="Times New Roman" w:hAnsi="Times New Roman"/>
          <w:sz w:val="24"/>
          <w:szCs w:val="24"/>
        </w:rPr>
        <w:t>. </w:t>
      </w:r>
      <w:r w:rsidR="00DC5BE0" w:rsidRPr="00DC5BE0">
        <w:rPr>
          <w:rFonts w:ascii="Times New Roman" w:hAnsi="Times New Roman"/>
          <w:iCs/>
          <w:sz w:val="24"/>
          <w:szCs w:val="24"/>
        </w:rPr>
        <w:t>37</w:t>
      </w:r>
      <w:r w:rsidR="00DC5BE0" w:rsidRPr="00DC5BE0">
        <w:rPr>
          <w:rFonts w:ascii="Times New Roman" w:hAnsi="Times New Roman"/>
          <w:sz w:val="24"/>
          <w:szCs w:val="24"/>
        </w:rPr>
        <w:t>(1), 170-177 (2012).</w:t>
      </w:r>
      <w:bookmarkEnd w:id="14"/>
    </w:p>
    <w:p w:rsidR="00DC5BE0" w:rsidRPr="00DC5BE0" w:rsidRDefault="00E968B8" w:rsidP="00DC5BE0">
      <w:pPr>
        <w:pStyle w:val="ListParagraph"/>
        <w:numPr>
          <w:ilvl w:val="0"/>
          <w:numId w:val="45"/>
        </w:numPr>
        <w:rPr>
          <w:rFonts w:ascii="Times New Roman" w:hAnsi="Times New Roman"/>
          <w:sz w:val="24"/>
          <w:szCs w:val="24"/>
        </w:rPr>
      </w:pPr>
      <w:bookmarkStart w:id="15" w:name="_Ref372299552"/>
      <w:bookmarkStart w:id="16" w:name="_Ref376783874"/>
      <w:r w:rsidRPr="00DC5BE0">
        <w:rPr>
          <w:rFonts w:ascii="Times New Roman" w:hAnsi="Times New Roman"/>
          <w:sz w:val="24"/>
          <w:szCs w:val="24"/>
        </w:rPr>
        <w:t xml:space="preserve">Jung </w:t>
      </w:r>
      <w:bookmarkStart w:id="17" w:name="_Ref372299590"/>
      <w:bookmarkEnd w:id="15"/>
      <w:r w:rsidR="00DC5BE0" w:rsidRPr="00DC5BE0">
        <w:rPr>
          <w:rFonts w:ascii="Times New Roman" w:hAnsi="Times New Roman"/>
          <w:sz w:val="24"/>
          <w:szCs w:val="24"/>
        </w:rPr>
        <w:t>J, Fouad WM, Vermerris,W, Gallo M,  Altpeter F. RNAi suppression of lignin biosynthesis in sugarcane reduces recalcitrance for biofuel production from lignocellulosic biomass. </w:t>
      </w:r>
      <w:r w:rsidR="00DC5BE0" w:rsidRPr="00DC5BE0">
        <w:rPr>
          <w:rFonts w:ascii="Times New Roman" w:hAnsi="Times New Roman"/>
          <w:i/>
          <w:iCs/>
          <w:sz w:val="24"/>
          <w:szCs w:val="24"/>
        </w:rPr>
        <w:t>Plant Biotechnol. J</w:t>
      </w:r>
      <w:r w:rsidR="00DC5BE0" w:rsidRPr="00DC5BE0">
        <w:rPr>
          <w:rFonts w:ascii="Times New Roman" w:hAnsi="Times New Roman"/>
          <w:sz w:val="24"/>
          <w:szCs w:val="24"/>
        </w:rPr>
        <w:t xml:space="preserve">. </w:t>
      </w:r>
      <w:r w:rsidR="00DC5BE0" w:rsidRPr="00DC5BE0">
        <w:rPr>
          <w:rFonts w:ascii="Times New Roman" w:hAnsi="Times New Roman"/>
          <w:iCs/>
          <w:sz w:val="24"/>
          <w:szCs w:val="24"/>
        </w:rPr>
        <w:t>10</w:t>
      </w:r>
      <w:r w:rsidR="00DC5BE0" w:rsidRPr="00DC5BE0">
        <w:rPr>
          <w:rFonts w:ascii="Times New Roman" w:hAnsi="Times New Roman"/>
          <w:sz w:val="24"/>
          <w:szCs w:val="24"/>
        </w:rPr>
        <w:t>(9), 1067-1076 (2012).</w:t>
      </w:r>
      <w:bookmarkEnd w:id="16"/>
    </w:p>
    <w:p w:rsidR="00E968B8" w:rsidRDefault="00DC5BE0" w:rsidP="00000304">
      <w:pPr>
        <w:pStyle w:val="ListParagraph"/>
        <w:numPr>
          <w:ilvl w:val="0"/>
          <w:numId w:val="45"/>
        </w:numPr>
        <w:spacing w:line="240" w:lineRule="auto"/>
        <w:rPr>
          <w:rFonts w:ascii="Times New Roman" w:hAnsi="Times New Roman"/>
          <w:sz w:val="24"/>
          <w:szCs w:val="24"/>
        </w:rPr>
      </w:pPr>
      <w:bookmarkStart w:id="18" w:name="_Ref376783921"/>
      <w:r>
        <w:rPr>
          <w:rFonts w:ascii="Times New Roman" w:hAnsi="Times New Roman"/>
          <w:sz w:val="24"/>
          <w:szCs w:val="24"/>
        </w:rPr>
        <w:t>McLaughlin SB, Kszos</w:t>
      </w:r>
      <w:r w:rsidR="00E968B8" w:rsidRPr="00DC5BE0">
        <w:rPr>
          <w:rFonts w:ascii="Times New Roman" w:hAnsi="Times New Roman"/>
          <w:sz w:val="24"/>
          <w:szCs w:val="24"/>
        </w:rPr>
        <w:t xml:space="preserve"> LA. Development of switchgrass (</w:t>
      </w:r>
      <w:r w:rsidR="00E968B8" w:rsidRPr="00DC5BE0">
        <w:rPr>
          <w:rFonts w:ascii="Times New Roman" w:hAnsi="Times New Roman"/>
          <w:i/>
          <w:sz w:val="24"/>
          <w:szCs w:val="24"/>
        </w:rPr>
        <w:t>Panicum virgatum</w:t>
      </w:r>
      <w:r w:rsidR="00E968B8" w:rsidRPr="00DC5BE0">
        <w:rPr>
          <w:rFonts w:ascii="Times New Roman" w:hAnsi="Times New Roman"/>
          <w:sz w:val="24"/>
          <w:szCs w:val="24"/>
        </w:rPr>
        <w:t xml:space="preserve">) as a bioenergy feedstock in the United States. </w:t>
      </w:r>
      <w:r w:rsidR="00E968B8" w:rsidRPr="00DC5BE0">
        <w:rPr>
          <w:rFonts w:ascii="Times New Roman" w:hAnsi="Times New Roman"/>
          <w:i/>
          <w:sz w:val="24"/>
          <w:szCs w:val="24"/>
        </w:rPr>
        <w:t>Biomass and Bioenergy</w:t>
      </w:r>
      <w:r w:rsidR="00E968B8" w:rsidRPr="00DC5BE0">
        <w:rPr>
          <w:rFonts w:ascii="Times New Roman" w:hAnsi="Times New Roman"/>
          <w:sz w:val="24"/>
          <w:szCs w:val="24"/>
        </w:rPr>
        <w:t xml:space="preserve"> 28, 515-535 (2005).</w:t>
      </w:r>
      <w:bookmarkEnd w:id="17"/>
      <w:bookmarkEnd w:id="18"/>
    </w:p>
    <w:p w:rsidR="00A76BE8" w:rsidRPr="000D3F86" w:rsidRDefault="00A76BE8" w:rsidP="00A76BE8">
      <w:pPr>
        <w:pStyle w:val="ListParagraph"/>
        <w:numPr>
          <w:ilvl w:val="0"/>
          <w:numId w:val="45"/>
        </w:numPr>
        <w:autoSpaceDE w:val="0"/>
        <w:autoSpaceDN w:val="0"/>
        <w:adjustRightInd w:val="0"/>
        <w:spacing w:after="0" w:line="240" w:lineRule="auto"/>
        <w:rPr>
          <w:rFonts w:ascii="Times New Roman" w:hAnsi="Times New Roman"/>
          <w:sz w:val="24"/>
          <w:szCs w:val="24"/>
        </w:rPr>
      </w:pPr>
      <w:bookmarkStart w:id="19" w:name="_Ref380585671"/>
      <w:r w:rsidRPr="008119C5">
        <w:rPr>
          <w:rFonts w:ascii="Times New Roman" w:hAnsi="Times New Roman"/>
          <w:sz w:val="24"/>
          <w:szCs w:val="24"/>
          <w:lang w:val="es-ES"/>
        </w:rPr>
        <w:t xml:space="preserve">Moura, J.C.M.S. </w:t>
      </w:r>
      <w:r w:rsidRPr="008119C5">
        <w:rPr>
          <w:rFonts w:ascii="Times New Roman" w:hAnsi="Times New Roman"/>
          <w:i/>
          <w:sz w:val="24"/>
          <w:szCs w:val="24"/>
          <w:lang w:val="es-ES"/>
        </w:rPr>
        <w:t>et al</w:t>
      </w:r>
      <w:r w:rsidRPr="008119C5">
        <w:rPr>
          <w:rFonts w:ascii="Times New Roman" w:hAnsi="Times New Roman"/>
          <w:sz w:val="24"/>
          <w:szCs w:val="24"/>
          <w:lang w:val="es-ES"/>
        </w:rPr>
        <w:t xml:space="preserve">. </w:t>
      </w:r>
      <w:r w:rsidRPr="000D3F86">
        <w:rPr>
          <w:rFonts w:ascii="Times New Roman" w:hAnsi="Times New Roman"/>
          <w:sz w:val="24"/>
          <w:szCs w:val="24"/>
        </w:rPr>
        <w:t xml:space="preserve">Abiotic and biotic stresses and changes in the lignin content and composition in plants. </w:t>
      </w:r>
      <w:r w:rsidRPr="000D3F86">
        <w:rPr>
          <w:rFonts w:ascii="Times New Roman" w:hAnsi="Times New Roman"/>
          <w:i/>
          <w:sz w:val="24"/>
          <w:szCs w:val="24"/>
        </w:rPr>
        <w:t>J. Integr. Plant Biol.</w:t>
      </w:r>
      <w:r w:rsidRPr="000D3F86">
        <w:rPr>
          <w:rFonts w:ascii="Times New Roman" w:hAnsi="Times New Roman"/>
          <w:sz w:val="24"/>
          <w:szCs w:val="24"/>
        </w:rPr>
        <w:t xml:space="preserve"> </w:t>
      </w:r>
      <w:r w:rsidRPr="000D3F86">
        <w:rPr>
          <w:rFonts w:ascii="Times New Roman" w:hAnsi="Times New Roman"/>
          <w:b/>
          <w:sz w:val="24"/>
          <w:szCs w:val="24"/>
        </w:rPr>
        <w:t>52</w:t>
      </w:r>
      <w:r w:rsidRPr="000D3F86">
        <w:rPr>
          <w:rFonts w:ascii="Times New Roman" w:hAnsi="Times New Roman"/>
          <w:sz w:val="24"/>
          <w:szCs w:val="24"/>
        </w:rPr>
        <w:t>, 360-376 (2010).</w:t>
      </w:r>
      <w:bookmarkEnd w:id="19"/>
    </w:p>
    <w:p w:rsidR="00E968B8" w:rsidRPr="00DC5BE0" w:rsidRDefault="00E968B8" w:rsidP="00097A19">
      <w:pPr>
        <w:pStyle w:val="ListParagraph"/>
        <w:numPr>
          <w:ilvl w:val="0"/>
          <w:numId w:val="45"/>
        </w:numPr>
        <w:spacing w:line="240" w:lineRule="auto"/>
        <w:rPr>
          <w:rFonts w:ascii="Times New Roman" w:hAnsi="Times New Roman"/>
          <w:sz w:val="24"/>
          <w:szCs w:val="24"/>
        </w:rPr>
      </w:pPr>
      <w:bookmarkStart w:id="20" w:name="_Ref372299684"/>
      <w:bookmarkStart w:id="21" w:name="_Ref380585459"/>
      <w:r w:rsidRPr="00DC5BE0">
        <w:rPr>
          <w:rFonts w:ascii="Times New Roman" w:hAnsi="Times New Roman"/>
          <w:sz w:val="24"/>
          <w:szCs w:val="24"/>
        </w:rPr>
        <w:t>Vance</w:t>
      </w:r>
      <w:bookmarkEnd w:id="20"/>
      <w:r w:rsidR="00DC5BE0" w:rsidRPr="00DC5BE0">
        <w:rPr>
          <w:rFonts w:ascii="Times New Roman" w:hAnsi="Times New Roman"/>
          <w:sz w:val="24"/>
          <w:szCs w:val="24"/>
        </w:rPr>
        <w:t xml:space="preserve"> CP, Kirk TK, Sherwood RT. Lignification as a mechanism of disease resistance. </w:t>
      </w:r>
      <w:r w:rsidR="00DC5BE0" w:rsidRPr="00DC5BE0">
        <w:rPr>
          <w:rFonts w:ascii="Times New Roman" w:hAnsi="Times New Roman"/>
          <w:i/>
          <w:iCs/>
          <w:sz w:val="24"/>
          <w:szCs w:val="24"/>
        </w:rPr>
        <w:t>Annu. Rev. Phytopathol.</w:t>
      </w:r>
      <w:r w:rsidR="00DC5BE0" w:rsidRPr="00DC5BE0">
        <w:rPr>
          <w:rFonts w:ascii="Times New Roman" w:hAnsi="Times New Roman"/>
          <w:sz w:val="24"/>
          <w:szCs w:val="24"/>
        </w:rPr>
        <w:t>18, 259–288 (1980).</w:t>
      </w:r>
      <w:bookmarkEnd w:id="21"/>
      <w:r w:rsidR="00DC5BE0" w:rsidRPr="00DC5BE0">
        <w:rPr>
          <w:rFonts w:ascii="Times New Roman" w:hAnsi="Times New Roman"/>
          <w:sz w:val="24"/>
          <w:szCs w:val="24"/>
        </w:rPr>
        <w:t> </w:t>
      </w:r>
    </w:p>
    <w:p w:rsidR="00E968B8" w:rsidRPr="00DC5BE0" w:rsidRDefault="00DC5BE0" w:rsidP="00097A19">
      <w:pPr>
        <w:pStyle w:val="ListParagraph"/>
        <w:numPr>
          <w:ilvl w:val="0"/>
          <w:numId w:val="45"/>
        </w:numPr>
        <w:spacing w:line="240" w:lineRule="auto"/>
        <w:rPr>
          <w:rFonts w:ascii="Times New Roman" w:hAnsi="Times New Roman"/>
          <w:sz w:val="24"/>
          <w:szCs w:val="24"/>
        </w:rPr>
      </w:pPr>
      <w:bookmarkStart w:id="22" w:name="_Ref372299685"/>
      <w:bookmarkStart w:id="23" w:name="_Ref380585461"/>
      <w:r>
        <w:rPr>
          <w:rFonts w:ascii="Times New Roman" w:hAnsi="Times New Roman"/>
          <w:sz w:val="24"/>
          <w:szCs w:val="24"/>
        </w:rPr>
        <w:lastRenderedPageBreak/>
        <w:t>Nicholson RL, Hammerschmidt</w:t>
      </w:r>
      <w:r w:rsidR="00E968B8" w:rsidRPr="005E0CDA">
        <w:rPr>
          <w:rFonts w:ascii="Times New Roman" w:hAnsi="Times New Roman"/>
          <w:sz w:val="24"/>
          <w:szCs w:val="24"/>
        </w:rPr>
        <w:t xml:space="preserve"> R. Phenolic compounds and their role in disease </w:t>
      </w:r>
      <w:r w:rsidR="00E968B8" w:rsidRPr="00DC5BE0">
        <w:rPr>
          <w:rFonts w:ascii="Times New Roman" w:hAnsi="Times New Roman"/>
          <w:sz w:val="24"/>
          <w:szCs w:val="24"/>
        </w:rPr>
        <w:t xml:space="preserve">resistance. </w:t>
      </w:r>
      <w:r w:rsidRPr="00DC5BE0">
        <w:rPr>
          <w:rFonts w:ascii="Times New Roman" w:hAnsi="Times New Roman"/>
          <w:i/>
          <w:sz w:val="24"/>
          <w:szCs w:val="24"/>
        </w:rPr>
        <w:t>Annu. Rev. Phytopathol</w:t>
      </w:r>
      <w:r w:rsidRPr="00DC5BE0">
        <w:rPr>
          <w:rFonts w:ascii="Times New Roman" w:hAnsi="Times New Roman"/>
          <w:sz w:val="24"/>
          <w:szCs w:val="24"/>
        </w:rPr>
        <w:t xml:space="preserve">. </w:t>
      </w:r>
      <w:r w:rsidR="00E968B8" w:rsidRPr="00DC5BE0">
        <w:rPr>
          <w:rFonts w:ascii="Times New Roman" w:hAnsi="Times New Roman"/>
          <w:sz w:val="24"/>
          <w:szCs w:val="24"/>
        </w:rPr>
        <w:t>30(1), 369-389</w:t>
      </w:r>
      <w:bookmarkEnd w:id="22"/>
      <w:r w:rsidRPr="00DC5BE0">
        <w:rPr>
          <w:rFonts w:ascii="Times New Roman" w:hAnsi="Times New Roman"/>
          <w:sz w:val="24"/>
          <w:szCs w:val="24"/>
        </w:rPr>
        <w:t xml:space="preserve"> (1992).</w:t>
      </w:r>
      <w:bookmarkEnd w:id="23"/>
    </w:p>
    <w:p w:rsidR="00DC5BE0" w:rsidRPr="00DC5BE0" w:rsidRDefault="00DC5BE0" w:rsidP="00DC5BE0">
      <w:pPr>
        <w:pStyle w:val="ListParagraph"/>
        <w:numPr>
          <w:ilvl w:val="0"/>
          <w:numId w:val="45"/>
        </w:numPr>
        <w:rPr>
          <w:rFonts w:ascii="Times New Roman" w:hAnsi="Times New Roman"/>
          <w:sz w:val="24"/>
          <w:szCs w:val="24"/>
        </w:rPr>
      </w:pPr>
      <w:bookmarkStart w:id="24" w:name="_Ref372456661"/>
      <w:bookmarkStart w:id="25" w:name="_Ref380585488"/>
      <w:r w:rsidRPr="00DC5BE0">
        <w:rPr>
          <w:rFonts w:ascii="Times New Roman" w:hAnsi="Times New Roman"/>
          <w:sz w:val="24"/>
          <w:szCs w:val="24"/>
        </w:rPr>
        <w:t>Dauwe</w:t>
      </w:r>
      <w:bookmarkEnd w:id="24"/>
      <w:r w:rsidRPr="00DC5BE0">
        <w:rPr>
          <w:rFonts w:ascii="Times New Roman" w:hAnsi="Times New Roman"/>
          <w:sz w:val="24"/>
          <w:szCs w:val="24"/>
          <w:bdr w:val="none" w:sz="0" w:space="0" w:color="auto" w:frame="1"/>
          <w:shd w:val="clear" w:color="auto" w:fill="FFFFFF"/>
          <w:lang w:val="nl-NL"/>
        </w:rPr>
        <w:t xml:space="preserve"> </w:t>
      </w:r>
      <w:r w:rsidRPr="00DC5BE0">
        <w:rPr>
          <w:rFonts w:ascii="Times New Roman" w:hAnsi="Times New Roman"/>
          <w:sz w:val="24"/>
          <w:szCs w:val="24"/>
          <w:lang w:val="nl-NL"/>
        </w:rPr>
        <w:t>R, Morreel K, Goeminne G </w:t>
      </w:r>
      <w:r w:rsidRPr="00DC5BE0">
        <w:rPr>
          <w:rFonts w:ascii="Times New Roman" w:hAnsi="Times New Roman"/>
          <w:i/>
          <w:sz w:val="24"/>
          <w:szCs w:val="24"/>
          <w:lang w:val="nl-NL"/>
        </w:rPr>
        <w:t>et al</w:t>
      </w:r>
      <w:r w:rsidRPr="00DC5BE0">
        <w:rPr>
          <w:rFonts w:ascii="Times New Roman" w:hAnsi="Times New Roman"/>
          <w:sz w:val="24"/>
          <w:szCs w:val="24"/>
          <w:lang w:val="nl-NL"/>
        </w:rPr>
        <w:t xml:space="preserve">. </w:t>
      </w:r>
      <w:r w:rsidRPr="00DC5BE0">
        <w:rPr>
          <w:rFonts w:ascii="Times New Roman" w:hAnsi="Times New Roman"/>
          <w:sz w:val="24"/>
          <w:szCs w:val="24"/>
        </w:rPr>
        <w:t>Molecular phenotyping of lignin-modified tobacco reveals associated changes in cell-wall metabolism, primary metabolism, stress metabolism and photorespiration. </w:t>
      </w:r>
      <w:r w:rsidRPr="00DC5BE0">
        <w:rPr>
          <w:rFonts w:ascii="Times New Roman" w:hAnsi="Times New Roman"/>
          <w:i/>
          <w:iCs/>
          <w:sz w:val="24"/>
          <w:szCs w:val="24"/>
        </w:rPr>
        <w:t>Plant J.</w:t>
      </w:r>
      <w:r w:rsidRPr="00DC5BE0">
        <w:rPr>
          <w:rFonts w:ascii="Times New Roman" w:hAnsi="Times New Roman"/>
          <w:sz w:val="24"/>
          <w:szCs w:val="24"/>
        </w:rPr>
        <w:t> </w:t>
      </w:r>
      <w:r w:rsidRPr="00DC5BE0">
        <w:rPr>
          <w:rFonts w:ascii="Times New Roman" w:hAnsi="Times New Roman"/>
          <w:bCs/>
          <w:sz w:val="24"/>
          <w:szCs w:val="24"/>
        </w:rPr>
        <w:t>52</w:t>
      </w:r>
      <w:r w:rsidRPr="00DC5BE0">
        <w:rPr>
          <w:rFonts w:ascii="Times New Roman" w:hAnsi="Times New Roman"/>
          <w:sz w:val="24"/>
          <w:szCs w:val="24"/>
        </w:rPr>
        <w:t>, 263–285 (2007).</w:t>
      </w:r>
      <w:bookmarkEnd w:id="25"/>
    </w:p>
    <w:p w:rsidR="00DC5BE0" w:rsidRPr="00DC5BE0" w:rsidRDefault="00DC5BE0" w:rsidP="00DC5BE0">
      <w:pPr>
        <w:pStyle w:val="ListParagraph"/>
        <w:numPr>
          <w:ilvl w:val="0"/>
          <w:numId w:val="45"/>
        </w:numPr>
        <w:spacing w:line="240" w:lineRule="auto"/>
        <w:rPr>
          <w:rFonts w:ascii="Times New Roman" w:hAnsi="Times New Roman"/>
          <w:sz w:val="24"/>
          <w:szCs w:val="24"/>
        </w:rPr>
      </w:pPr>
      <w:bookmarkStart w:id="26" w:name="_Ref372456663"/>
      <w:bookmarkStart w:id="27" w:name="_Ref380585490"/>
      <w:r w:rsidRPr="008119C5">
        <w:rPr>
          <w:rFonts w:ascii="Times New Roman" w:hAnsi="Times New Roman"/>
          <w:sz w:val="24"/>
          <w:szCs w:val="24"/>
          <w:lang w:val="es-ES"/>
        </w:rPr>
        <w:t>Gallego</w:t>
      </w:r>
      <w:r w:rsidRPr="008119C5">
        <w:rPr>
          <w:rFonts w:ascii="Cambria Math" w:hAnsi="Cambria Math" w:cs="Cambria Math"/>
          <w:sz w:val="24"/>
          <w:szCs w:val="24"/>
          <w:lang w:val="es-ES"/>
        </w:rPr>
        <w:t>‐</w:t>
      </w:r>
      <w:r w:rsidRPr="008119C5">
        <w:rPr>
          <w:rFonts w:ascii="Times New Roman" w:hAnsi="Times New Roman"/>
          <w:sz w:val="24"/>
          <w:szCs w:val="24"/>
          <w:lang w:val="es-ES"/>
        </w:rPr>
        <w:t>Giraldo</w:t>
      </w:r>
      <w:bookmarkEnd w:id="26"/>
      <w:r w:rsidRPr="008119C5">
        <w:rPr>
          <w:rFonts w:ascii="Times New Roman" w:hAnsi="Times New Roman"/>
          <w:sz w:val="24"/>
          <w:szCs w:val="24"/>
          <w:lang w:val="es-ES"/>
        </w:rPr>
        <w:t xml:space="preserve"> L, Jikumaru Y, Kamiya Y, Tang Y, Dixon RA. </w:t>
      </w:r>
      <w:r w:rsidRPr="00DC5BE0">
        <w:rPr>
          <w:rFonts w:ascii="Times New Roman" w:hAnsi="Times New Roman"/>
          <w:sz w:val="24"/>
          <w:szCs w:val="24"/>
        </w:rPr>
        <w:t>Selective lignin downregulation leads to constitutive defense response expression in alfalfa (</w:t>
      </w:r>
      <w:r w:rsidRPr="00DC5BE0">
        <w:rPr>
          <w:rFonts w:ascii="Times New Roman" w:hAnsi="Times New Roman"/>
          <w:i/>
          <w:sz w:val="24"/>
          <w:szCs w:val="24"/>
        </w:rPr>
        <w:t>Medicago sativa</w:t>
      </w:r>
      <w:r w:rsidRPr="00DC5BE0">
        <w:rPr>
          <w:rFonts w:ascii="Times New Roman" w:hAnsi="Times New Roman"/>
          <w:sz w:val="24"/>
          <w:szCs w:val="24"/>
        </w:rPr>
        <w:t xml:space="preserve"> L.). </w:t>
      </w:r>
      <w:r w:rsidRPr="00DC5BE0">
        <w:rPr>
          <w:rFonts w:ascii="Times New Roman" w:hAnsi="Times New Roman"/>
          <w:i/>
          <w:sz w:val="24"/>
          <w:szCs w:val="24"/>
        </w:rPr>
        <w:t>New Phytol</w:t>
      </w:r>
      <w:r w:rsidRPr="00DC5BE0">
        <w:rPr>
          <w:rFonts w:ascii="Times New Roman" w:hAnsi="Times New Roman"/>
          <w:sz w:val="24"/>
          <w:szCs w:val="24"/>
        </w:rPr>
        <w:t>. 190, 627-639 (2011).</w:t>
      </w:r>
      <w:bookmarkEnd w:id="27"/>
    </w:p>
    <w:p w:rsidR="00DC5BE0" w:rsidRDefault="00DC5BE0" w:rsidP="00DC5BE0">
      <w:pPr>
        <w:pStyle w:val="ListParagraph"/>
        <w:numPr>
          <w:ilvl w:val="0"/>
          <w:numId w:val="45"/>
        </w:numPr>
        <w:spacing w:line="240" w:lineRule="auto"/>
        <w:rPr>
          <w:rFonts w:ascii="Times New Roman" w:hAnsi="Times New Roman"/>
          <w:sz w:val="24"/>
          <w:szCs w:val="24"/>
        </w:rPr>
      </w:pPr>
      <w:bookmarkStart w:id="28" w:name="_Ref372456666"/>
      <w:bookmarkStart w:id="29" w:name="_Ref380585493"/>
      <w:r w:rsidRPr="00DC5BE0">
        <w:rPr>
          <w:rFonts w:ascii="Times New Roman" w:hAnsi="Times New Roman"/>
          <w:sz w:val="24"/>
          <w:szCs w:val="24"/>
        </w:rPr>
        <w:t>Coleman</w:t>
      </w:r>
      <w:bookmarkEnd w:id="28"/>
      <w:r>
        <w:rPr>
          <w:rFonts w:ascii="Times New Roman" w:hAnsi="Times New Roman"/>
          <w:sz w:val="24"/>
          <w:szCs w:val="24"/>
        </w:rPr>
        <w:t xml:space="preserve"> </w:t>
      </w:r>
      <w:r w:rsidRPr="00DC5BE0">
        <w:rPr>
          <w:rFonts w:ascii="Times New Roman" w:hAnsi="Times New Roman"/>
          <w:sz w:val="24"/>
          <w:szCs w:val="24"/>
        </w:rPr>
        <w:t xml:space="preserve">HD, Park J-Y, Nair R, Chapple C, Mansfield SD. RNAi-mediated suppression of p-coumaroyl-CoA 3′-hydroxylase in hybrid poplar impacts lignin deposition and soluble secondary metabolism. </w:t>
      </w:r>
      <w:r w:rsidRPr="00DC5BE0">
        <w:rPr>
          <w:rFonts w:ascii="Times New Roman" w:hAnsi="Times New Roman"/>
          <w:i/>
          <w:sz w:val="24"/>
          <w:szCs w:val="24"/>
        </w:rPr>
        <w:t xml:space="preserve">Proc. Natl Acad. Sci. USA </w:t>
      </w:r>
      <w:r w:rsidRPr="00DC5BE0">
        <w:rPr>
          <w:rFonts w:ascii="Times New Roman" w:hAnsi="Times New Roman"/>
          <w:sz w:val="24"/>
          <w:szCs w:val="24"/>
        </w:rPr>
        <w:t>105, 4501–4506 (2008).</w:t>
      </w:r>
      <w:bookmarkEnd w:id="29"/>
    </w:p>
    <w:p w:rsidR="00DC5BE0" w:rsidRDefault="00DC5BE0">
      <w:pPr>
        <w:rPr>
          <w:rFonts w:eastAsia="Calibri"/>
        </w:rPr>
      </w:pPr>
      <w:r>
        <w:br w:type="page"/>
      </w:r>
    </w:p>
    <w:p w:rsidR="008119C5" w:rsidRDefault="00D219AF" w:rsidP="00097A19">
      <w:pPr>
        <w:pStyle w:val="Heading1"/>
        <w:rPr>
          <w:szCs w:val="28"/>
        </w:rPr>
      </w:pPr>
      <w:r>
        <w:lastRenderedPageBreak/>
        <w:t>CHAPTER 2</w:t>
      </w:r>
      <w:r w:rsidR="00E459DC" w:rsidRPr="000F6FE1">
        <w:t xml:space="preserve"> </w:t>
      </w:r>
      <w:r w:rsidR="00E459DC" w:rsidRPr="000F6FE1">
        <w:br/>
      </w:r>
      <w:r w:rsidR="00E968B8" w:rsidRPr="00E968B8">
        <w:rPr>
          <w:szCs w:val="28"/>
        </w:rPr>
        <w:t>Effects of altered lignin biosynthesis on phenylpropanoid metabolism and plant stress</w:t>
      </w:r>
    </w:p>
    <w:p w:rsidR="008119C5" w:rsidRDefault="008119C5">
      <w:pPr>
        <w:rPr>
          <w:b/>
          <w:bCs/>
          <w:caps/>
          <w:sz w:val="28"/>
          <w:szCs w:val="28"/>
        </w:rPr>
      </w:pPr>
      <w:r>
        <w:rPr>
          <w:szCs w:val="28"/>
        </w:rPr>
        <w:br w:type="page"/>
      </w:r>
    </w:p>
    <w:p w:rsidR="008119C5" w:rsidRDefault="008119C5" w:rsidP="008119C5">
      <w:pPr>
        <w:pStyle w:val="Caption"/>
        <w:rPr>
          <w:b w:val="0"/>
          <w:sz w:val="24"/>
          <w:szCs w:val="24"/>
        </w:rPr>
      </w:pPr>
      <w:r w:rsidRPr="008119C5">
        <w:rPr>
          <w:b w:val="0"/>
          <w:sz w:val="24"/>
          <w:szCs w:val="24"/>
        </w:rPr>
        <w:lastRenderedPageBreak/>
        <w:t xml:space="preserve">A version of this chapter was published </w:t>
      </w:r>
      <w:r>
        <w:rPr>
          <w:b w:val="0"/>
          <w:sz w:val="24"/>
          <w:szCs w:val="24"/>
        </w:rPr>
        <w:t xml:space="preserve">in </w:t>
      </w:r>
      <w:r w:rsidRPr="008119C5">
        <w:rPr>
          <w:b w:val="0"/>
          <w:i/>
          <w:sz w:val="24"/>
          <w:szCs w:val="24"/>
        </w:rPr>
        <w:t>Biofuels</w:t>
      </w:r>
      <w:r>
        <w:rPr>
          <w:b w:val="0"/>
          <w:sz w:val="24"/>
          <w:szCs w:val="24"/>
        </w:rPr>
        <w:t xml:space="preserve"> </w:t>
      </w:r>
      <w:r w:rsidRPr="008119C5">
        <w:rPr>
          <w:b w:val="0"/>
          <w:sz w:val="24"/>
          <w:szCs w:val="24"/>
        </w:rPr>
        <w:t xml:space="preserve">by </w:t>
      </w:r>
      <w:r>
        <w:rPr>
          <w:b w:val="0"/>
          <w:sz w:val="24"/>
          <w:szCs w:val="24"/>
        </w:rPr>
        <w:t>Holly L. Baxter and C. Neal Stewart, Jr</w:t>
      </w:r>
      <w:r w:rsidRPr="008119C5">
        <w:rPr>
          <w:b w:val="0"/>
          <w:sz w:val="24"/>
          <w:szCs w:val="24"/>
        </w:rPr>
        <w:t>:</w:t>
      </w:r>
    </w:p>
    <w:p w:rsidR="008119C5" w:rsidRDefault="008119C5" w:rsidP="008119C5"/>
    <w:p w:rsidR="008119C5" w:rsidRDefault="008119C5" w:rsidP="008119C5">
      <w:pPr>
        <w:ind w:firstLine="720"/>
      </w:pPr>
      <w:r>
        <w:t xml:space="preserve">Baxter, H.L., &amp; Stewart Jr, C.N. Effects of altered lignin biosynthesis on phenylpropanoid metabolism and plant stress. </w:t>
      </w:r>
      <w:r>
        <w:rPr>
          <w:i/>
          <w:iCs/>
        </w:rPr>
        <w:t>Biofuels</w:t>
      </w:r>
      <w:r>
        <w:t xml:space="preserve"> </w:t>
      </w:r>
      <w:r w:rsidRPr="00B940FA">
        <w:rPr>
          <w:b/>
          <w:iCs/>
        </w:rPr>
        <w:t>4</w:t>
      </w:r>
      <w:r w:rsidRPr="00B940FA">
        <w:rPr>
          <w:b/>
        </w:rPr>
        <w:t>(6)</w:t>
      </w:r>
      <w:r>
        <w:t>, 635-650</w:t>
      </w:r>
      <w:r w:rsidRPr="00B940FA">
        <w:t xml:space="preserve"> </w:t>
      </w:r>
      <w:r>
        <w:t>(2013)</w:t>
      </w:r>
    </w:p>
    <w:p w:rsidR="005D4915" w:rsidRDefault="005D4915" w:rsidP="005D4915"/>
    <w:p w:rsidR="005D4915" w:rsidRPr="005D4915" w:rsidRDefault="005D4915" w:rsidP="005D4915">
      <w:r>
        <w:t xml:space="preserve">This manuscript was written by Holly Baxter, with edits and revisions </w:t>
      </w:r>
      <w:r w:rsidRPr="005D4915">
        <w:t>by C. Neal Stewart, Jr.</w:t>
      </w:r>
    </w:p>
    <w:p w:rsidR="008119C5" w:rsidRPr="005D4915" w:rsidRDefault="008119C5" w:rsidP="008119C5"/>
    <w:p w:rsidR="00236E6D" w:rsidRPr="000F6FE1" w:rsidRDefault="00E968B8" w:rsidP="00097A19">
      <w:pPr>
        <w:pStyle w:val="Heading2"/>
        <w:spacing w:line="480" w:lineRule="auto"/>
        <w:rPr>
          <w:rFonts w:cs="Times New Roman"/>
        </w:rPr>
      </w:pPr>
      <w:r>
        <w:rPr>
          <w:rFonts w:cs="Times New Roman"/>
        </w:rPr>
        <w:t>Abstract</w:t>
      </w:r>
    </w:p>
    <w:p w:rsidR="00A54CA8" w:rsidRDefault="00A54CA8" w:rsidP="00097A19">
      <w:pPr>
        <w:autoSpaceDE w:val="0"/>
        <w:autoSpaceDN w:val="0"/>
        <w:adjustRightInd w:val="0"/>
        <w:spacing w:line="480" w:lineRule="auto"/>
      </w:pPr>
      <w:r w:rsidRPr="004843C1">
        <w:t>Modification of lignin in bioenergy feedstocks has become a common strategy to increase saccharification and biofuel yield.  The lignin biosynthetic pathway in several plant species has been dissected and key enzymes have been manipulated in transgenic plants.  Recent analyses of lignin-modified plants have shown that decreasing lignin biosynthesis can alter carbon flow within the phenylpropanoid pathway and indirectly affect the synthesis of other secondary metabolites, many of which can play important roles in plant-environment interactions. In addition, lignin modifications have also been shown to induce the expression of various stress response-related genes. Examining and understanding these indirect effects of lignin modification on stress-related processes are essential since they could ultimately impact the performance of low-lignin bioenergy feedstocks under agronomic field conditions. Recent efforts to characterize such effects will be discussed in this review.</w:t>
      </w:r>
    </w:p>
    <w:p w:rsidR="00A54CA8" w:rsidRPr="004843C1" w:rsidRDefault="00A54CA8" w:rsidP="00097A19">
      <w:pPr>
        <w:autoSpaceDE w:val="0"/>
        <w:autoSpaceDN w:val="0"/>
        <w:adjustRightInd w:val="0"/>
        <w:spacing w:line="480" w:lineRule="auto"/>
        <w:rPr>
          <w:b/>
        </w:rPr>
      </w:pPr>
      <w:r>
        <w:br w:type="page"/>
      </w:r>
    </w:p>
    <w:p w:rsidR="006632D6" w:rsidRPr="006632D6" w:rsidRDefault="00E968B8" w:rsidP="00BB3998">
      <w:pPr>
        <w:pStyle w:val="Heading2"/>
        <w:spacing w:line="480" w:lineRule="auto"/>
      </w:pPr>
      <w:r>
        <w:rPr>
          <w:rFonts w:cs="Times New Roman"/>
        </w:rPr>
        <w:lastRenderedPageBreak/>
        <w:t>Introduction</w:t>
      </w:r>
    </w:p>
    <w:p w:rsidR="00A54CA8" w:rsidRPr="00A54CA8" w:rsidRDefault="00A54CA8" w:rsidP="00097A19">
      <w:pPr>
        <w:autoSpaceDE w:val="0"/>
        <w:autoSpaceDN w:val="0"/>
        <w:adjustRightInd w:val="0"/>
        <w:spacing w:line="480" w:lineRule="auto"/>
        <w:rPr>
          <w:rFonts w:eastAsia="Calibri"/>
        </w:rPr>
      </w:pPr>
      <w:bookmarkStart w:id="30" w:name="_Toc286145906"/>
      <w:r w:rsidRPr="00A54CA8">
        <w:rPr>
          <w:rFonts w:eastAsia="Calibri"/>
        </w:rPr>
        <w:t>While lignocellulosic feedstocks represent a promising renewable and sustainable alternative to petroleum-based fuels, high production costs associated with conversion processes currently prevent them from being economically viable for large-scale implementation [</w:t>
      </w:r>
      <w:r w:rsidR="00631FB3">
        <w:t>1</w:t>
      </w:r>
      <w:r w:rsidRPr="00A54CA8">
        <w:rPr>
          <w:rFonts w:eastAsia="Calibri"/>
        </w:rPr>
        <w:t>]. The production of biofuels from lignocellulosic feedstocks requires the depolymerization of cell wall carbohydrates into simple sugars that can be utilized during fermentation. However, the desired cellulose microfibrils are surrounded by a matrix of lignin and hemicellulose, which greatly inhibits their accessibility to hydrolytic enzymes [</w:t>
      </w:r>
      <w:r w:rsidR="00631FB3">
        <w:rPr>
          <w:rFonts w:eastAsia="Calibri"/>
        </w:rPr>
        <w:t>1</w:t>
      </w:r>
      <w:r w:rsidRPr="00A54CA8">
        <w:rPr>
          <w:rFonts w:eastAsia="Calibri"/>
        </w:rPr>
        <w:t xml:space="preserve">, </w:t>
      </w:r>
      <w:r w:rsidR="00631FB3">
        <w:t>2</w:t>
      </w:r>
      <w:r w:rsidRPr="00A54CA8">
        <w:rPr>
          <w:rFonts w:eastAsia="Calibri"/>
        </w:rPr>
        <w:t xml:space="preserve">]. Lignin is a phenolic polymer that reinforces the secondary cell wall, confers structural integrity to the plant, aids in water transport, and also plays an important role in plant responses to various environmental stresses. The presence of lignin in plant cells has been identified as </w:t>
      </w:r>
      <w:r w:rsidR="002A78F3">
        <w:rPr>
          <w:rFonts w:eastAsia="Calibri"/>
        </w:rPr>
        <w:t xml:space="preserve">a </w:t>
      </w:r>
      <w:r w:rsidRPr="00A54CA8">
        <w:rPr>
          <w:rFonts w:eastAsia="Calibri"/>
        </w:rPr>
        <w:t>major contributor to the resistance of converting cell walls into fuel precursors [</w:t>
      </w:r>
      <w:r w:rsidR="00631FB3">
        <w:t>3</w:t>
      </w:r>
      <w:r w:rsidRPr="00A54CA8">
        <w:rPr>
          <w:rFonts w:eastAsia="Calibri"/>
        </w:rPr>
        <w:t xml:space="preserve">]. Expensive and energy-intensive thermochemical pretreatments are generally required to disrupt the lignin-polysaccharide barrier and allow better access of the cellulose to hydrolysis prior to fermentation. An alternative approach for improving the accessibility of cell wall sugars and reducing the need for pretreatment is through genetic engineering of the lignin biosynthetic pathway. Reducing lignin content </w:t>
      </w:r>
      <w:r w:rsidR="002F2C92">
        <w:rPr>
          <w:rFonts w:eastAsia="Calibri"/>
        </w:rPr>
        <w:t>and</w:t>
      </w:r>
      <w:r w:rsidRPr="00A54CA8">
        <w:rPr>
          <w:rFonts w:eastAsia="Calibri"/>
        </w:rPr>
        <w:t xml:space="preserve"> modifying its composition can be achieved by downregulating or over-expressing genes involved in either lignin biosynthesis or its regulation [</w:t>
      </w:r>
      <w:r w:rsidR="00631FB3">
        <w:t>3</w:t>
      </w:r>
      <w:r w:rsidRPr="00A54CA8">
        <w:rPr>
          <w:rFonts w:eastAsia="Calibri"/>
        </w:rPr>
        <w:t xml:space="preserve">, </w:t>
      </w:r>
      <w:r w:rsidR="00631FB3">
        <w:rPr>
          <w:rFonts w:eastAsia="Calibri"/>
        </w:rPr>
        <w:t>4</w:t>
      </w:r>
      <w:r w:rsidRPr="00A54CA8">
        <w:rPr>
          <w:rFonts w:eastAsia="Calibri"/>
        </w:rPr>
        <w:t xml:space="preserve">, </w:t>
      </w:r>
      <w:proofErr w:type="gramStart"/>
      <w:r w:rsidR="00631FB3">
        <w:rPr>
          <w:rFonts w:eastAsia="Calibri"/>
        </w:rPr>
        <w:t>5</w:t>
      </w:r>
      <w:proofErr w:type="gramEnd"/>
      <w:r w:rsidRPr="00A54CA8">
        <w:rPr>
          <w:rFonts w:eastAsia="Calibri"/>
        </w:rPr>
        <w:t xml:space="preserve">]. </w:t>
      </w:r>
    </w:p>
    <w:p w:rsidR="00A54CA8" w:rsidRPr="00A54CA8" w:rsidRDefault="00A54CA8" w:rsidP="00097A19">
      <w:pPr>
        <w:autoSpaceDE w:val="0"/>
        <w:autoSpaceDN w:val="0"/>
        <w:adjustRightInd w:val="0"/>
        <w:spacing w:line="480" w:lineRule="auto"/>
        <w:rPr>
          <w:rFonts w:eastAsia="Calibri"/>
        </w:rPr>
      </w:pPr>
    </w:p>
    <w:p w:rsidR="00A54CA8" w:rsidRPr="00A54CA8" w:rsidRDefault="00A54CA8" w:rsidP="00097A19">
      <w:pPr>
        <w:autoSpaceDE w:val="0"/>
        <w:autoSpaceDN w:val="0"/>
        <w:adjustRightInd w:val="0"/>
        <w:spacing w:line="480" w:lineRule="auto"/>
        <w:rPr>
          <w:rFonts w:eastAsia="Calibri"/>
        </w:rPr>
      </w:pPr>
      <w:r w:rsidRPr="00A54CA8">
        <w:rPr>
          <w:rFonts w:eastAsia="Calibri"/>
        </w:rPr>
        <w:lastRenderedPageBreak/>
        <w:t>The early studies from a decade or more ago that contributed to our current understanding of lignin biosynthesis and its manipulation have focused on poplar (</w:t>
      </w:r>
      <w:r w:rsidRPr="00A54CA8">
        <w:rPr>
          <w:rFonts w:eastAsia="Calibri"/>
          <w:i/>
        </w:rPr>
        <w:t>Populus</w:t>
      </w:r>
      <w:r w:rsidRPr="00A54CA8">
        <w:rPr>
          <w:rFonts w:eastAsia="Calibri"/>
        </w:rPr>
        <w:t xml:space="preserve"> spp.) to improve pulping performance [</w:t>
      </w:r>
      <w:r w:rsidR="00631FB3">
        <w:t>6</w:t>
      </w:r>
      <w:r w:rsidRPr="00A54CA8">
        <w:rPr>
          <w:rFonts w:eastAsia="Calibri"/>
        </w:rPr>
        <w:t xml:space="preserve">, </w:t>
      </w:r>
      <w:r w:rsidR="00631FB3">
        <w:t>7</w:t>
      </w:r>
      <w:r w:rsidRPr="00A54CA8">
        <w:rPr>
          <w:rFonts w:eastAsia="Calibri"/>
        </w:rPr>
        <w:t>], and also forage species, such as alfalfa (</w:t>
      </w:r>
      <w:r w:rsidRPr="00A54CA8">
        <w:rPr>
          <w:rFonts w:eastAsia="Calibri"/>
          <w:i/>
        </w:rPr>
        <w:t xml:space="preserve">Medicago sativa </w:t>
      </w:r>
      <w:r w:rsidRPr="00A54CA8">
        <w:rPr>
          <w:rFonts w:eastAsia="Calibri"/>
        </w:rPr>
        <w:t>L.) and tall fescue (</w:t>
      </w:r>
      <w:r w:rsidRPr="00A54CA8">
        <w:rPr>
          <w:rFonts w:eastAsia="Calibri"/>
          <w:i/>
        </w:rPr>
        <w:t>Festuca arundinacea</w:t>
      </w:r>
      <w:r w:rsidRPr="00A54CA8">
        <w:rPr>
          <w:rFonts w:eastAsia="Calibri"/>
        </w:rPr>
        <w:t>), for improving digestibility [</w:t>
      </w:r>
      <w:r w:rsidR="00631FB3">
        <w:t>8</w:t>
      </w:r>
      <w:r w:rsidRPr="00A54CA8">
        <w:rPr>
          <w:rFonts w:eastAsia="Calibri"/>
        </w:rPr>
        <w:t xml:space="preserve">, </w:t>
      </w:r>
      <w:r w:rsidR="00631FB3">
        <w:t>9</w:t>
      </w:r>
      <w:r w:rsidRPr="00A54CA8">
        <w:rPr>
          <w:rFonts w:eastAsia="Calibri"/>
        </w:rPr>
        <w:t xml:space="preserve">, </w:t>
      </w:r>
      <w:r w:rsidR="00631FB3" w:rsidRPr="00631FB3">
        <w:rPr>
          <w:rFonts w:eastAsia="Calibri"/>
        </w:rPr>
        <w:t>10</w:t>
      </w:r>
      <w:r w:rsidRPr="00A54CA8">
        <w:rPr>
          <w:rFonts w:eastAsia="Calibri"/>
        </w:rPr>
        <w:t xml:space="preserve">]. A great deal of insight into lignin engineering has also been achieved through studies with the model species </w:t>
      </w:r>
      <w:r w:rsidRPr="00A54CA8">
        <w:rPr>
          <w:rFonts w:eastAsia="Calibri"/>
          <w:i/>
        </w:rPr>
        <w:t>Arabidopsis</w:t>
      </w:r>
      <w:r w:rsidRPr="00A54CA8">
        <w:rPr>
          <w:rFonts w:eastAsia="Calibri"/>
        </w:rPr>
        <w:t xml:space="preserve"> </w:t>
      </w:r>
      <w:r w:rsidRPr="00A54CA8">
        <w:rPr>
          <w:rFonts w:eastAsia="Calibri"/>
          <w:i/>
        </w:rPr>
        <w:t xml:space="preserve">thaliana </w:t>
      </w:r>
      <w:r w:rsidRPr="00A54CA8">
        <w:rPr>
          <w:rFonts w:eastAsia="Calibri"/>
        </w:rPr>
        <w:t>[</w:t>
      </w:r>
      <w:r w:rsidR="00631FB3" w:rsidRPr="00631FB3">
        <w:rPr>
          <w:rFonts w:eastAsia="Calibri"/>
        </w:rPr>
        <w:t>11</w:t>
      </w:r>
      <w:r w:rsidRPr="00A54CA8">
        <w:rPr>
          <w:rFonts w:eastAsia="Calibri"/>
        </w:rPr>
        <w:t>] and tobacco (</w:t>
      </w:r>
      <w:r w:rsidRPr="00A54CA8">
        <w:rPr>
          <w:rFonts w:eastAsia="Calibri"/>
          <w:i/>
        </w:rPr>
        <w:t>Nicotiana tabacum</w:t>
      </w:r>
      <w:r w:rsidRPr="00A54CA8">
        <w:rPr>
          <w:rFonts w:eastAsia="Calibri"/>
        </w:rPr>
        <w:t>) [</w:t>
      </w:r>
      <w:r w:rsidR="00631FB3" w:rsidRPr="00631FB3">
        <w:rPr>
          <w:rFonts w:eastAsia="Calibri"/>
        </w:rPr>
        <w:t>12</w:t>
      </w:r>
      <w:r w:rsidRPr="00A54CA8">
        <w:rPr>
          <w:rFonts w:eastAsia="Calibri"/>
        </w:rPr>
        <w:t>]. Because the lignin biosynthetic pathway appears to be highly conserved among plant species, many of the genetic engineering strategies that have proven to be successful in model species can also be applied to lignocellulosic feedstocks [</w:t>
      </w:r>
      <w:r w:rsidR="00631FB3">
        <w:t>4</w:t>
      </w:r>
      <w:r w:rsidRPr="00A54CA8">
        <w:rPr>
          <w:rFonts w:eastAsia="Calibri"/>
        </w:rPr>
        <w:t xml:space="preserve">].  Of particular importance to biofuel-related studies, </w:t>
      </w:r>
      <w:r w:rsidRPr="00A54CA8">
        <w:rPr>
          <w:rFonts w:eastAsia="Calibri"/>
          <w:i/>
        </w:rPr>
        <w:t>A. thaliana</w:t>
      </w:r>
      <w:r w:rsidRPr="00A54CA8">
        <w:rPr>
          <w:rFonts w:eastAsia="Calibri"/>
        </w:rPr>
        <w:t xml:space="preserve"> has been identified as a relevant model system for studying the effects of lignin modification on cell wall recalcitrance. Cell wall phenotypes in </w:t>
      </w:r>
      <w:r w:rsidRPr="00A54CA8">
        <w:rPr>
          <w:rFonts w:eastAsia="Calibri"/>
          <w:i/>
        </w:rPr>
        <w:t>Arabidopsis</w:t>
      </w:r>
      <w:r w:rsidR="00145CCE">
        <w:rPr>
          <w:rFonts w:eastAsia="Calibri"/>
        </w:rPr>
        <w:t xml:space="preserve"> </w:t>
      </w:r>
      <w:r w:rsidRPr="00A54CA8">
        <w:rPr>
          <w:rFonts w:eastAsia="Calibri"/>
        </w:rPr>
        <w:t>have been translatable to commercial dicot species such as alfalfa (</w:t>
      </w:r>
      <w:r w:rsidRPr="00A54CA8">
        <w:rPr>
          <w:rFonts w:eastAsia="Calibri"/>
          <w:i/>
        </w:rPr>
        <w:t>Medicago sativa</w:t>
      </w:r>
      <w:r w:rsidRPr="00A54CA8">
        <w:rPr>
          <w:rFonts w:eastAsia="Calibri"/>
        </w:rPr>
        <w:t>) and poplar (</w:t>
      </w:r>
      <w:r w:rsidRPr="00A54CA8">
        <w:rPr>
          <w:rFonts w:eastAsia="Calibri"/>
          <w:i/>
        </w:rPr>
        <w:t>Populus</w:t>
      </w:r>
      <w:r w:rsidRPr="00A54CA8">
        <w:rPr>
          <w:rFonts w:eastAsia="Calibri"/>
        </w:rPr>
        <w:t xml:space="preserve"> spp.) [</w:t>
      </w:r>
      <w:r w:rsidR="00631FB3" w:rsidRPr="00631FB3">
        <w:rPr>
          <w:rFonts w:eastAsia="Calibri"/>
        </w:rPr>
        <w:t>13</w:t>
      </w:r>
      <w:r w:rsidRPr="00A54CA8">
        <w:rPr>
          <w:rFonts w:eastAsia="Calibri"/>
        </w:rPr>
        <w:t xml:space="preserve">]. </w:t>
      </w:r>
      <w:proofErr w:type="gramStart"/>
      <w:r w:rsidRPr="00A54CA8">
        <w:rPr>
          <w:rFonts w:eastAsia="Calibri"/>
        </w:rPr>
        <w:t>Currently</w:t>
      </w:r>
      <w:proofErr w:type="gramEnd"/>
      <w:r w:rsidRPr="00A54CA8">
        <w:rPr>
          <w:rFonts w:eastAsia="Calibri"/>
        </w:rPr>
        <w:t xml:space="preserve">, considerable research </w:t>
      </w:r>
      <w:r w:rsidR="00145CCE">
        <w:rPr>
          <w:rFonts w:eastAsia="Calibri"/>
        </w:rPr>
        <w:t>is</w:t>
      </w:r>
      <w:r w:rsidRPr="00A54CA8">
        <w:rPr>
          <w:rFonts w:eastAsia="Calibri"/>
        </w:rPr>
        <w:t xml:space="preserve"> focused on developing strategies for the genetic improvement of bioenergy feedstock candidate species including switchgrass (</w:t>
      </w:r>
      <w:r w:rsidRPr="00A54CA8">
        <w:rPr>
          <w:rFonts w:eastAsia="Calibri"/>
          <w:i/>
        </w:rPr>
        <w:t>Panicum virgatum</w:t>
      </w:r>
      <w:r w:rsidRPr="00A54CA8">
        <w:rPr>
          <w:rFonts w:eastAsia="Calibri"/>
        </w:rPr>
        <w:t xml:space="preserve"> L.), sorghum (</w:t>
      </w:r>
      <w:r w:rsidRPr="00A54CA8">
        <w:rPr>
          <w:rFonts w:eastAsia="Calibri"/>
          <w:i/>
        </w:rPr>
        <w:t>Sorghum bicolor</w:t>
      </w:r>
      <w:r w:rsidRPr="00A54CA8">
        <w:rPr>
          <w:rFonts w:eastAsia="Calibri"/>
        </w:rPr>
        <w:t>), willow (</w:t>
      </w:r>
      <w:r w:rsidRPr="00A54CA8">
        <w:rPr>
          <w:rFonts w:eastAsia="Calibri"/>
          <w:i/>
        </w:rPr>
        <w:t>Salix</w:t>
      </w:r>
      <w:r w:rsidRPr="00A54CA8">
        <w:rPr>
          <w:rFonts w:eastAsia="Calibri"/>
        </w:rPr>
        <w:t xml:space="preserve"> spp.), </w:t>
      </w:r>
      <w:r w:rsidRPr="00A54CA8">
        <w:rPr>
          <w:rFonts w:eastAsia="Calibri"/>
          <w:i/>
        </w:rPr>
        <w:t>Miscanthus</w:t>
      </w:r>
      <w:r w:rsidRPr="00A54CA8">
        <w:rPr>
          <w:rFonts w:eastAsia="Calibri"/>
        </w:rPr>
        <w:t>, sugarcane (</w:t>
      </w:r>
      <w:r w:rsidRPr="00A54CA8">
        <w:rPr>
          <w:rFonts w:eastAsia="Calibri"/>
          <w:i/>
        </w:rPr>
        <w:t>Saccharum</w:t>
      </w:r>
      <w:r w:rsidRPr="00A54CA8">
        <w:rPr>
          <w:rFonts w:eastAsia="Calibri"/>
        </w:rPr>
        <w:t xml:space="preserve"> spp.), and poplar [</w:t>
      </w:r>
      <w:r w:rsidR="00631FB3" w:rsidRPr="00631FB3">
        <w:rPr>
          <w:rFonts w:eastAsia="Calibri"/>
        </w:rPr>
        <w:t>14</w:t>
      </w:r>
      <w:r w:rsidRPr="00A54CA8">
        <w:rPr>
          <w:rFonts w:eastAsia="Calibri"/>
        </w:rPr>
        <w:t>]. Transgenic modifications are likely to be the most direct way for improving the quality of lignocellulosic biomass for cost-effective conversion into biofuels [</w:t>
      </w:r>
      <w:r w:rsidR="00631FB3" w:rsidRPr="00631FB3">
        <w:rPr>
          <w:rFonts w:eastAsia="Calibri"/>
        </w:rPr>
        <w:t>15</w:t>
      </w:r>
      <w:r w:rsidRPr="00A54CA8">
        <w:rPr>
          <w:rFonts w:eastAsia="Calibri"/>
        </w:rPr>
        <w:t>], and manipulation of the lignin biosynthetic pathway has thus far proven to be an effective route for increasing saccharification efficiency and/or ethanol yield in greenhouse-grown switchgrass, field-grown poplar, and greenhouse- and field-grown sugarcane [</w:t>
      </w:r>
      <w:r w:rsidR="00631FB3" w:rsidRPr="00631FB3">
        <w:rPr>
          <w:rFonts w:eastAsia="Calibri"/>
        </w:rPr>
        <w:t>16</w:t>
      </w:r>
      <w:r w:rsidRPr="00A54CA8">
        <w:rPr>
          <w:rFonts w:eastAsia="Calibri"/>
        </w:rPr>
        <w:t xml:space="preserve">, </w:t>
      </w:r>
      <w:r w:rsidR="00631FB3" w:rsidRPr="00631FB3">
        <w:rPr>
          <w:rFonts w:eastAsia="Calibri"/>
        </w:rPr>
        <w:t>17</w:t>
      </w:r>
      <w:r w:rsidRPr="00A54CA8">
        <w:rPr>
          <w:rFonts w:eastAsia="Calibri"/>
        </w:rPr>
        <w:t xml:space="preserve">, </w:t>
      </w:r>
      <w:r w:rsidR="00631FB3" w:rsidRPr="00631FB3">
        <w:rPr>
          <w:rFonts w:eastAsia="Calibri"/>
        </w:rPr>
        <w:t>18</w:t>
      </w:r>
      <w:r w:rsidRPr="00A54CA8">
        <w:rPr>
          <w:rFonts w:eastAsia="Calibri"/>
        </w:rPr>
        <w:t xml:space="preserve">, </w:t>
      </w:r>
      <w:r w:rsidR="00631FB3" w:rsidRPr="00631FB3">
        <w:rPr>
          <w:rFonts w:eastAsia="Calibri"/>
        </w:rPr>
        <w:t>19</w:t>
      </w:r>
      <w:r w:rsidRPr="00A54CA8">
        <w:rPr>
          <w:rFonts w:eastAsia="Calibri"/>
        </w:rPr>
        <w:t xml:space="preserve">, </w:t>
      </w:r>
      <w:r w:rsidR="00631FB3" w:rsidRPr="00631FB3">
        <w:rPr>
          <w:rFonts w:eastAsia="Calibri"/>
        </w:rPr>
        <w:t>20</w:t>
      </w:r>
      <w:r w:rsidRPr="00A54CA8">
        <w:rPr>
          <w:rFonts w:eastAsia="Calibri"/>
        </w:rPr>
        <w:t xml:space="preserve">, </w:t>
      </w:r>
      <w:r w:rsidR="00631FB3" w:rsidRPr="00631FB3">
        <w:rPr>
          <w:rFonts w:eastAsia="Calibri"/>
        </w:rPr>
        <w:t>21</w:t>
      </w:r>
      <w:r w:rsidRPr="00A54CA8">
        <w:rPr>
          <w:rFonts w:eastAsia="Calibri"/>
        </w:rPr>
        <w:t xml:space="preserve">, </w:t>
      </w:r>
      <w:r w:rsidR="00631FB3" w:rsidRPr="00631FB3">
        <w:rPr>
          <w:rFonts w:eastAsia="Calibri"/>
        </w:rPr>
        <w:t>22</w:t>
      </w:r>
      <w:r w:rsidRPr="00A54CA8">
        <w:rPr>
          <w:rFonts w:eastAsia="Calibri"/>
        </w:rPr>
        <w:t xml:space="preserve">, </w:t>
      </w:r>
      <w:r w:rsidR="00631FB3" w:rsidRPr="00631FB3">
        <w:rPr>
          <w:rFonts w:eastAsia="Calibri"/>
        </w:rPr>
        <w:t>23</w:t>
      </w:r>
      <w:r w:rsidRPr="00A54CA8">
        <w:rPr>
          <w:rFonts w:eastAsia="Calibri"/>
        </w:rPr>
        <w:t xml:space="preserve">]. Additionally, opportunities for genetic engineering of lignin in other </w:t>
      </w:r>
      <w:r w:rsidRPr="00A54CA8">
        <w:rPr>
          <w:rFonts w:eastAsia="Calibri"/>
        </w:rPr>
        <w:lastRenderedPageBreak/>
        <w:t>potential biofuel species might also exist. Sorghum mutants with low lignin content from brown mid-rib (</w:t>
      </w:r>
      <w:proofErr w:type="gramStart"/>
      <w:r w:rsidRPr="00A54CA8">
        <w:rPr>
          <w:rFonts w:eastAsia="Calibri"/>
        </w:rPr>
        <w:t>bmr</w:t>
      </w:r>
      <w:proofErr w:type="gramEnd"/>
      <w:r w:rsidRPr="00A54CA8">
        <w:rPr>
          <w:rFonts w:eastAsia="Calibri"/>
        </w:rPr>
        <w:t>) mutations are known for having enhanced digestibility and saccharification [</w:t>
      </w:r>
      <w:r w:rsidR="00631FB3" w:rsidRPr="00631FB3">
        <w:rPr>
          <w:rFonts w:eastAsia="Calibri"/>
        </w:rPr>
        <w:t>24</w:t>
      </w:r>
      <w:r w:rsidRPr="00A54CA8">
        <w:rPr>
          <w:rFonts w:eastAsia="Calibri"/>
        </w:rPr>
        <w:t xml:space="preserve">, </w:t>
      </w:r>
      <w:r w:rsidR="00631FB3" w:rsidRPr="00631FB3">
        <w:rPr>
          <w:rFonts w:eastAsia="Calibri"/>
        </w:rPr>
        <w:t>25</w:t>
      </w:r>
      <w:r w:rsidRPr="00A54CA8">
        <w:rPr>
          <w:rFonts w:eastAsia="Calibri"/>
        </w:rPr>
        <w:t>]. The lignin biosynthetic genes underlying some of these mutations have been identified [</w:t>
      </w:r>
      <w:r w:rsidR="00631FB3" w:rsidRPr="00631FB3">
        <w:rPr>
          <w:rFonts w:eastAsia="Calibri"/>
        </w:rPr>
        <w:t>26</w:t>
      </w:r>
      <w:r w:rsidRPr="00A54CA8">
        <w:rPr>
          <w:rFonts w:eastAsia="Calibri"/>
        </w:rPr>
        <w:t xml:space="preserve">, </w:t>
      </w:r>
      <w:r w:rsidR="00631FB3" w:rsidRPr="00631FB3">
        <w:rPr>
          <w:rFonts w:eastAsia="Calibri"/>
        </w:rPr>
        <w:t>27</w:t>
      </w:r>
      <w:r w:rsidRPr="00A54CA8">
        <w:rPr>
          <w:rFonts w:eastAsia="Calibri"/>
        </w:rPr>
        <w:t xml:space="preserve">, </w:t>
      </w:r>
      <w:r w:rsidR="00631FB3" w:rsidRPr="00631FB3">
        <w:rPr>
          <w:rFonts w:eastAsia="Calibri"/>
        </w:rPr>
        <w:t>28</w:t>
      </w:r>
      <w:r w:rsidRPr="00A54CA8">
        <w:rPr>
          <w:rFonts w:eastAsia="Calibri"/>
        </w:rPr>
        <w:t>], and may represent potential targets for downregulation.</w:t>
      </w:r>
    </w:p>
    <w:p w:rsidR="00A54CA8" w:rsidRPr="00A54CA8" w:rsidRDefault="00A54CA8" w:rsidP="00097A19">
      <w:pPr>
        <w:autoSpaceDE w:val="0"/>
        <w:autoSpaceDN w:val="0"/>
        <w:adjustRightInd w:val="0"/>
        <w:spacing w:line="480" w:lineRule="auto"/>
        <w:rPr>
          <w:rFonts w:eastAsia="Calibri"/>
        </w:rPr>
      </w:pPr>
    </w:p>
    <w:p w:rsidR="00A54CA8" w:rsidRPr="00A54CA8" w:rsidRDefault="00A54CA8" w:rsidP="00097A19">
      <w:pPr>
        <w:autoSpaceDE w:val="0"/>
        <w:autoSpaceDN w:val="0"/>
        <w:adjustRightInd w:val="0"/>
        <w:spacing w:line="480" w:lineRule="auto"/>
        <w:rPr>
          <w:rFonts w:eastAsia="Calibri"/>
        </w:rPr>
      </w:pPr>
      <w:r w:rsidRPr="00A54CA8">
        <w:rPr>
          <w:rFonts w:eastAsia="Calibri"/>
        </w:rPr>
        <w:t>The majority of studies with lignin-modified plants have primarily focused on the effects of lignin pathway modifications on lignin content and composition, and the associated changes in pulping performance, digestibility, or recalcitrance to saccharification. More in-depth characterization of lignin-modified plants at the transcript, protein, and metabolite level have revealed that these modifications can have unexpected effects on other metabolic processes beyond lignin biosynthesis. Monolignols, the lignin monomers, are synthesized through the lignin-specific branch of the phenylpropanoid metabolic pathway. Phenylpropanoid metabolism encompasses a network of metabolic pathways responsible for synthesizing a wide variety of secondary metabolites that play various roles in developmental and stress-related processes [</w:t>
      </w:r>
      <w:r w:rsidR="00631FB3">
        <w:rPr>
          <w:rFonts w:eastAsia="Calibri"/>
        </w:rPr>
        <w:t>29</w:t>
      </w:r>
      <w:r w:rsidRPr="00A54CA8">
        <w:rPr>
          <w:rFonts w:eastAsia="Calibri"/>
        </w:rPr>
        <w:t xml:space="preserve">, </w:t>
      </w:r>
      <w:r w:rsidR="00631FB3" w:rsidRPr="00631FB3">
        <w:rPr>
          <w:rFonts w:eastAsia="Calibri"/>
        </w:rPr>
        <w:t>30</w:t>
      </w:r>
      <w:r w:rsidRPr="00A54CA8">
        <w:rPr>
          <w:rFonts w:eastAsia="Calibri"/>
        </w:rPr>
        <w:t>], and several studies show that suppressing lignin biosynthesis can alter metabolic channeling within the phenylpropanoid pathway and differentially affect the synthesis of other secondary metabolites [</w:t>
      </w:r>
      <w:r w:rsidR="00631FB3" w:rsidRPr="00631FB3">
        <w:rPr>
          <w:rFonts w:eastAsia="Calibri"/>
        </w:rPr>
        <w:t>31</w:t>
      </w:r>
      <w:r w:rsidRPr="00A54CA8">
        <w:rPr>
          <w:rFonts w:eastAsia="Calibri"/>
        </w:rPr>
        <w:t xml:space="preserve">, </w:t>
      </w:r>
      <w:r w:rsidR="00631FB3" w:rsidRPr="00631FB3">
        <w:rPr>
          <w:rFonts w:eastAsia="Calibri"/>
        </w:rPr>
        <w:t>32</w:t>
      </w:r>
      <w:r w:rsidRPr="00A54CA8">
        <w:rPr>
          <w:rFonts w:eastAsia="Calibri"/>
        </w:rPr>
        <w:t xml:space="preserve">, </w:t>
      </w:r>
      <w:r w:rsidR="00631FB3" w:rsidRPr="00631FB3">
        <w:rPr>
          <w:rFonts w:eastAsia="Calibri"/>
        </w:rPr>
        <w:t>33</w:t>
      </w:r>
      <w:r w:rsidRPr="00A54CA8">
        <w:rPr>
          <w:rFonts w:eastAsia="Calibri"/>
        </w:rPr>
        <w:t xml:space="preserve">, </w:t>
      </w:r>
      <w:r w:rsidR="00631FB3" w:rsidRPr="00631FB3">
        <w:rPr>
          <w:rFonts w:eastAsia="Calibri"/>
        </w:rPr>
        <w:t>34</w:t>
      </w:r>
      <w:r w:rsidRPr="00A54CA8">
        <w:rPr>
          <w:rFonts w:eastAsia="Calibri"/>
        </w:rPr>
        <w:t xml:space="preserve">]. </w:t>
      </w:r>
    </w:p>
    <w:p w:rsidR="00A54CA8" w:rsidRPr="00A54CA8" w:rsidRDefault="00A54CA8" w:rsidP="00097A19">
      <w:pPr>
        <w:autoSpaceDE w:val="0"/>
        <w:autoSpaceDN w:val="0"/>
        <w:adjustRightInd w:val="0"/>
        <w:spacing w:line="480" w:lineRule="auto"/>
        <w:rPr>
          <w:rFonts w:eastAsia="Calibri"/>
        </w:rPr>
      </w:pPr>
    </w:p>
    <w:p w:rsidR="00A54CA8" w:rsidRPr="00A54CA8" w:rsidRDefault="00A54CA8" w:rsidP="00097A19">
      <w:pPr>
        <w:autoSpaceDE w:val="0"/>
        <w:autoSpaceDN w:val="0"/>
        <w:adjustRightInd w:val="0"/>
        <w:spacing w:line="480" w:lineRule="auto"/>
        <w:rPr>
          <w:rFonts w:eastAsia="Calibri"/>
        </w:rPr>
      </w:pPr>
      <w:r w:rsidRPr="00A54CA8">
        <w:rPr>
          <w:rFonts w:eastAsia="Calibri"/>
        </w:rPr>
        <w:t xml:space="preserve">In addition to altering phenylpropanoid metabolism, modifications to lignin biosynthesis can also be associated with changes in how plants respond to biotic and abiotic stresses. </w:t>
      </w:r>
      <w:r w:rsidRPr="00A54CA8">
        <w:rPr>
          <w:rFonts w:eastAsia="Calibri"/>
        </w:rPr>
        <w:lastRenderedPageBreak/>
        <w:t>The accumulation of lignin in response to pathogen infection, wounding, and mechanical damage is an important defense mechanism in plants [</w:t>
      </w:r>
      <w:r w:rsidR="00631FB3" w:rsidRPr="00631FB3">
        <w:rPr>
          <w:rFonts w:eastAsia="Calibri"/>
        </w:rPr>
        <w:t>35</w:t>
      </w:r>
      <w:r w:rsidRPr="00A54CA8">
        <w:rPr>
          <w:rFonts w:eastAsia="Calibri"/>
        </w:rPr>
        <w:t xml:space="preserve">], and it has long been presumed that a reduction in lignin content would render plants more susceptible to such stresses. However, recent studies suggest that changes in stress susceptibility in lignin-modified plants are not necessarily direct results of reducing lignin content, but can be influenced by indirect effects of lignin pathway perturbations on stress-related metabolism and gene expression. Some reports with low-lignin mutant and transgenic plants indicate that the accumulation or suppression of certain secondary metabolites resulting from the alterations to phenylpropanoid metabolism can affect </w:t>
      </w:r>
      <w:r w:rsidR="00573A23">
        <w:rPr>
          <w:rFonts w:eastAsia="Calibri"/>
        </w:rPr>
        <w:t>plant stress responses</w:t>
      </w:r>
      <w:r w:rsidRPr="00A54CA8">
        <w:rPr>
          <w:rFonts w:eastAsia="Calibri"/>
        </w:rPr>
        <w:t xml:space="preserve"> [</w:t>
      </w:r>
      <w:r w:rsidR="00631FB3" w:rsidRPr="00631FB3">
        <w:rPr>
          <w:rFonts w:eastAsia="Calibri"/>
        </w:rPr>
        <w:t>34</w:t>
      </w:r>
      <w:r w:rsidRPr="00A54CA8">
        <w:rPr>
          <w:rFonts w:eastAsia="Calibri"/>
        </w:rPr>
        <w:t xml:space="preserve">, </w:t>
      </w:r>
      <w:r w:rsidR="00631FB3" w:rsidRPr="00631FB3">
        <w:rPr>
          <w:rFonts w:eastAsia="Calibri"/>
        </w:rPr>
        <w:t>36</w:t>
      </w:r>
      <w:r w:rsidRPr="00A54CA8">
        <w:rPr>
          <w:rFonts w:eastAsia="Calibri"/>
        </w:rPr>
        <w:t xml:space="preserve">, </w:t>
      </w:r>
      <w:r w:rsidR="00631FB3" w:rsidRPr="00631FB3">
        <w:rPr>
          <w:rFonts w:eastAsia="Calibri"/>
        </w:rPr>
        <w:t>36</w:t>
      </w:r>
      <w:r w:rsidRPr="00A54CA8">
        <w:rPr>
          <w:rFonts w:eastAsia="Calibri"/>
        </w:rPr>
        <w:t xml:space="preserve">, </w:t>
      </w:r>
      <w:proofErr w:type="gramStart"/>
      <w:r w:rsidR="00631FB3">
        <w:rPr>
          <w:rFonts w:eastAsia="Calibri"/>
        </w:rPr>
        <w:t>38</w:t>
      </w:r>
      <w:proofErr w:type="gramEnd"/>
      <w:r w:rsidRPr="00A54CA8">
        <w:rPr>
          <w:rFonts w:eastAsia="Calibri"/>
        </w:rPr>
        <w:t>]. Additionally, recent studies have revealed an increase in the expression of stress-related genes in lignin-modified plants, which some reports hypothesize to be triggered by the altered structural organization of the cell wall [</w:t>
      </w:r>
      <w:r w:rsidR="00631FB3" w:rsidRPr="00631FB3">
        <w:rPr>
          <w:rFonts w:eastAsia="Calibri"/>
        </w:rPr>
        <w:t>31</w:t>
      </w:r>
      <w:r w:rsidRPr="00A54CA8">
        <w:rPr>
          <w:rFonts w:eastAsia="Calibri"/>
        </w:rPr>
        <w:t xml:space="preserve">, </w:t>
      </w:r>
      <w:r w:rsidR="00631FB3" w:rsidRPr="00631FB3">
        <w:rPr>
          <w:rFonts w:eastAsia="Calibri"/>
        </w:rPr>
        <w:t>39</w:t>
      </w:r>
      <w:r w:rsidRPr="00A54CA8">
        <w:rPr>
          <w:rFonts w:eastAsia="Calibri"/>
        </w:rPr>
        <w:t xml:space="preserve">, </w:t>
      </w:r>
      <w:proofErr w:type="gramStart"/>
      <w:r w:rsidR="00631FB3">
        <w:rPr>
          <w:rFonts w:eastAsia="Calibri"/>
        </w:rPr>
        <w:t>40</w:t>
      </w:r>
      <w:proofErr w:type="gramEnd"/>
      <w:r w:rsidRPr="00A54CA8">
        <w:rPr>
          <w:rFonts w:eastAsia="Calibri"/>
        </w:rPr>
        <w:t>]. Evaluation of these plants under stress in controlled greenhouse or laboratory environments have indicated that these modifications to secondary metabolism and/or stress-related gene expression can interfere with or enhance the ability of the plant to tolerate stresses.</w:t>
      </w:r>
    </w:p>
    <w:p w:rsidR="00A54CA8" w:rsidRPr="00A54CA8" w:rsidRDefault="00A54CA8" w:rsidP="00097A19">
      <w:pPr>
        <w:autoSpaceDE w:val="0"/>
        <w:autoSpaceDN w:val="0"/>
        <w:adjustRightInd w:val="0"/>
        <w:spacing w:line="480" w:lineRule="auto"/>
        <w:rPr>
          <w:rFonts w:eastAsia="Calibri"/>
        </w:rPr>
      </w:pPr>
    </w:p>
    <w:p w:rsidR="00BA3093" w:rsidRDefault="002A78F3" w:rsidP="00097A19">
      <w:pPr>
        <w:autoSpaceDE w:val="0"/>
        <w:autoSpaceDN w:val="0"/>
        <w:adjustRightInd w:val="0"/>
        <w:spacing w:line="480" w:lineRule="auto"/>
        <w:rPr>
          <w:rFonts w:eastAsia="Calibri"/>
        </w:rPr>
      </w:pPr>
      <w:r w:rsidRPr="002A78F3">
        <w:rPr>
          <w:rFonts w:eastAsia="Calibri"/>
        </w:rPr>
        <w:t>Because of the influence of lignin modification on plant stress, it is possible that altering lignin biosynthesis in second-generation bioenergy feedstocks could impact their performance in the fie</w:t>
      </w:r>
      <w:r>
        <w:rPr>
          <w:rFonts w:eastAsia="Calibri"/>
        </w:rPr>
        <w:t>ld</w:t>
      </w:r>
      <w:r w:rsidR="00A54CA8" w:rsidRPr="00A54CA8">
        <w:rPr>
          <w:rFonts w:eastAsia="Calibri"/>
        </w:rPr>
        <w:t>. In order to be commercially competitive, bioenergy crops should posse</w:t>
      </w:r>
      <w:r>
        <w:rPr>
          <w:rFonts w:eastAsia="Calibri"/>
        </w:rPr>
        <w:t>s</w:t>
      </w:r>
      <w:r w:rsidR="00A54CA8" w:rsidRPr="00A54CA8">
        <w:rPr>
          <w:rFonts w:eastAsia="Calibri"/>
        </w:rPr>
        <w:t xml:space="preserve">s a number of desirable agronomic traits, including high biomass productivity under minimal agronomic inputs, high water and nutrient use efficiency, a relative resistance to pathogen and insect pests, and tolerance to a wide range of abiotic </w:t>
      </w:r>
      <w:r w:rsidR="00A54CA8" w:rsidRPr="00A54CA8">
        <w:rPr>
          <w:rFonts w:eastAsia="Calibri"/>
        </w:rPr>
        <w:lastRenderedPageBreak/>
        <w:t>conditions [</w:t>
      </w:r>
      <w:r w:rsidR="00631FB3" w:rsidRPr="00631FB3">
        <w:rPr>
          <w:rFonts w:eastAsia="Calibri"/>
        </w:rPr>
        <w:t>41</w:t>
      </w:r>
      <w:r w:rsidR="00A54CA8" w:rsidRPr="00A54CA8">
        <w:rPr>
          <w:rFonts w:eastAsia="Calibri"/>
        </w:rPr>
        <w:t xml:space="preserve">, </w:t>
      </w:r>
      <w:r w:rsidR="00631FB3" w:rsidRPr="00631FB3">
        <w:rPr>
          <w:rFonts w:eastAsia="Calibri"/>
        </w:rPr>
        <w:t>42</w:t>
      </w:r>
      <w:r w:rsidR="00A54CA8" w:rsidRPr="00A54CA8">
        <w:rPr>
          <w:rFonts w:eastAsia="Calibri"/>
        </w:rPr>
        <w:t xml:space="preserve">, </w:t>
      </w:r>
      <w:proofErr w:type="gramStart"/>
      <w:r w:rsidR="00631FB3">
        <w:rPr>
          <w:rFonts w:eastAsia="Calibri"/>
        </w:rPr>
        <w:t>43</w:t>
      </w:r>
      <w:proofErr w:type="gramEnd"/>
      <w:r w:rsidR="00A54CA8" w:rsidRPr="00A54CA8">
        <w:rPr>
          <w:rFonts w:eastAsia="Calibri"/>
        </w:rPr>
        <w:t xml:space="preserve">]. While modifying lignin content through transgenic approaches provides a promising route for improving saccharification efficiency and ethanol production, information regarding the impact of such modifications on the ability of these feedstocks to tolerate biotic and abiotic stresses when grown under natural environmental conditions is limited. This is an important consideration since the commercial viability of low-lignin bioenergy feedstocks will depend on their growth and fitness in an agronomic setting, which could be enhanced or debilitated from pleiotropic effects of lignin modification. This review will provide an overview of efforts to characterize the effects of lignin pathway modifications on phenylpropanoid metabolism and plant stress-related processes, including what has been learned from studies in model plants, as well as recent knowledge gained from studies with species that have been identified as potential bioenergy feedstocks. Since most of these studies have been performed in controlled greenhouse environments, the possible implications of altered stress-related metabolism for the field performance of </w:t>
      </w:r>
      <w:r>
        <w:rPr>
          <w:rFonts w:eastAsia="Calibri"/>
        </w:rPr>
        <w:t xml:space="preserve">low-lignin </w:t>
      </w:r>
      <w:r w:rsidR="00A54CA8" w:rsidRPr="00A54CA8">
        <w:rPr>
          <w:rFonts w:eastAsia="Calibri"/>
        </w:rPr>
        <w:t xml:space="preserve">bioenergy feedstocks will also be </w:t>
      </w:r>
      <w:r w:rsidR="00123353">
        <w:rPr>
          <w:rFonts w:eastAsia="Calibri"/>
        </w:rPr>
        <w:t>addressed</w:t>
      </w:r>
      <w:r w:rsidR="00A54CA8" w:rsidRPr="00A54CA8">
        <w:rPr>
          <w:rFonts w:eastAsia="Calibri"/>
        </w:rPr>
        <w:t xml:space="preserve"> in this review.</w:t>
      </w:r>
    </w:p>
    <w:p w:rsidR="000F7C20" w:rsidRPr="000F7C20" w:rsidRDefault="00BA3093" w:rsidP="00BB3998">
      <w:pPr>
        <w:pStyle w:val="Heading2"/>
        <w:spacing w:line="480" w:lineRule="auto"/>
      </w:pPr>
      <w:r>
        <w:rPr>
          <w:rFonts w:eastAsia="Calibri"/>
        </w:rPr>
        <w:br w:type="page"/>
      </w:r>
      <w:bookmarkEnd w:id="30"/>
      <w:r w:rsidR="000F7C20">
        <w:lastRenderedPageBreak/>
        <w:t>Alterations to phenylpropanoid metabolism</w:t>
      </w:r>
    </w:p>
    <w:p w:rsidR="006632D6" w:rsidRPr="006632D6" w:rsidRDefault="006632D6" w:rsidP="00097A19">
      <w:pPr>
        <w:spacing w:line="480" w:lineRule="auto"/>
        <w:rPr>
          <w:rFonts w:eastAsia="Calibri"/>
          <w:color w:val="000000"/>
          <w:shd w:val="clear" w:color="auto" w:fill="FFFFFF"/>
        </w:rPr>
      </w:pPr>
      <w:r w:rsidRPr="006632D6">
        <w:rPr>
          <w:rFonts w:eastAsia="Calibri"/>
        </w:rPr>
        <w:t>Phenylpropanoid metabolism in plants is an intricate network of pathways responsible for the synthesis of a broad range of secondary metabolites including flavonoids, isoflavonoids, sinapate e</w:t>
      </w:r>
      <w:r w:rsidR="002A78F3">
        <w:rPr>
          <w:rFonts w:eastAsia="Calibri"/>
        </w:rPr>
        <w:t>sters, and lignin. Intermediate</w:t>
      </w:r>
      <w:r w:rsidRPr="006632D6">
        <w:rPr>
          <w:rFonts w:eastAsia="Calibri"/>
        </w:rPr>
        <w:t xml:space="preserve"> and end-products of phenylpropanoid metabolism function as antimicrobial and antiherbivory compounds, antioxidants, pigments, and UV-protectants [</w:t>
      </w:r>
      <w:r w:rsidR="00B373F8">
        <w:rPr>
          <w:rFonts w:eastAsia="Calibri"/>
        </w:rPr>
        <w:t>29</w:t>
      </w:r>
      <w:r w:rsidRPr="006632D6">
        <w:rPr>
          <w:rFonts w:eastAsia="Calibri"/>
        </w:rPr>
        <w:t xml:space="preserve">, </w:t>
      </w:r>
      <w:r w:rsidR="00631FB3" w:rsidRPr="00631FB3">
        <w:rPr>
          <w:rFonts w:eastAsia="Calibri"/>
        </w:rPr>
        <w:t>44</w:t>
      </w:r>
      <w:r w:rsidRPr="006632D6">
        <w:rPr>
          <w:rFonts w:eastAsia="Calibri"/>
        </w:rPr>
        <w:t>]. The compounds that specifically aid in plant responses to stress range from simple precursor metabolites such as hydroxycinnamic acids, to more complex compounds such as flavonoids, isoflavonoids, and stilbenes [</w:t>
      </w:r>
      <w:r w:rsidR="00631FB3" w:rsidRPr="00631FB3">
        <w:rPr>
          <w:rFonts w:eastAsia="Calibri"/>
        </w:rPr>
        <w:t>45</w:t>
      </w:r>
      <w:r w:rsidRPr="006632D6">
        <w:rPr>
          <w:rFonts w:eastAsia="Calibri"/>
        </w:rPr>
        <w:t xml:space="preserve">]. Phenylpropanoid metabolic pathways can be developmentally induced in specific tissues, or activated in response to biotic and abiotic stress. Initiation of the phenylpropanoid pathway begins with the conversion of phenylalanine, an amino acid product of the shikimate pathway, to cinnamic acid via phenylalanine ammonia-lyase (PAL). The next two </w:t>
      </w:r>
      <w:r w:rsidRPr="006632D6">
        <w:rPr>
          <w:rFonts w:eastAsia="Calibri"/>
          <w:color w:val="000000"/>
        </w:rPr>
        <w:t>steps are catalyzed by cinnamate 4-hydroxylase (C4H) and 4-coumaroyl CoA ligase (4CL) to produce</w:t>
      </w:r>
      <w:r w:rsidRPr="006632D6">
        <w:rPr>
          <w:rFonts w:eastAsia="Calibri"/>
          <w:i/>
          <w:color w:val="000000"/>
        </w:rPr>
        <w:t xml:space="preserve"> p</w:t>
      </w:r>
      <w:r w:rsidRPr="006632D6">
        <w:rPr>
          <w:rFonts w:eastAsia="Calibri"/>
          <w:color w:val="000000"/>
        </w:rPr>
        <w:t>-coumaroyl CoA, a metabolite that serves as a branch point from which other metabolic pathways in the phenylpropanoid network diverge [</w:t>
      </w:r>
      <w:r w:rsidR="00631FB3" w:rsidRPr="00631FB3">
        <w:rPr>
          <w:rFonts w:eastAsia="Calibri"/>
        </w:rPr>
        <w:t>44</w:t>
      </w:r>
      <w:r w:rsidRPr="006632D6">
        <w:rPr>
          <w:rFonts w:eastAsia="Calibri"/>
          <w:color w:val="000000"/>
        </w:rPr>
        <w:t xml:space="preserve">]. </w:t>
      </w:r>
      <w:r w:rsidRPr="006632D6">
        <w:rPr>
          <w:rFonts w:eastAsia="Calibri"/>
          <w:color w:val="000000"/>
          <w:shd w:val="clear" w:color="auto" w:fill="FFFFFF"/>
        </w:rPr>
        <w:t xml:space="preserve"> The enzymes and enzyme families that control metabolic channeling among the major classes of phenylpropanoid products have been discussed in reviews [</w:t>
      </w:r>
      <w:r w:rsidR="00631FB3" w:rsidRPr="00631FB3">
        <w:rPr>
          <w:rFonts w:eastAsia="Calibri"/>
        </w:rPr>
        <w:t>44</w:t>
      </w:r>
      <w:r w:rsidRPr="006632D6">
        <w:rPr>
          <w:rFonts w:eastAsia="Calibri"/>
          <w:color w:val="000000"/>
          <w:shd w:val="clear" w:color="auto" w:fill="FFFFFF"/>
        </w:rPr>
        <w:t xml:space="preserve">, </w:t>
      </w:r>
      <w:r w:rsidR="00631FB3" w:rsidRPr="00631FB3">
        <w:rPr>
          <w:rFonts w:eastAsia="Calibri"/>
          <w:color w:val="000000"/>
          <w:shd w:val="clear" w:color="auto" w:fill="FFFFFF"/>
        </w:rPr>
        <w:t>46</w:t>
      </w:r>
      <w:r w:rsidRPr="006632D6">
        <w:rPr>
          <w:rFonts w:eastAsia="Calibri"/>
          <w:color w:val="000000"/>
          <w:shd w:val="clear" w:color="auto" w:fill="FFFFFF"/>
        </w:rPr>
        <w:t>], as well as the transcription factors and signaling networks that regulate gene expression among the various secondary metabolic pathways [</w:t>
      </w:r>
      <w:r w:rsidR="00631FB3" w:rsidRPr="00631FB3">
        <w:rPr>
          <w:rFonts w:eastAsia="Calibri"/>
          <w:color w:val="000000"/>
          <w:shd w:val="clear" w:color="auto" w:fill="FFFFFF"/>
        </w:rPr>
        <w:t>47</w:t>
      </w:r>
      <w:r w:rsidRPr="006632D6">
        <w:rPr>
          <w:rFonts w:eastAsia="Calibri"/>
          <w:color w:val="000000"/>
          <w:shd w:val="clear" w:color="auto" w:fill="FFFFFF"/>
        </w:rPr>
        <w:t xml:space="preserve">, </w:t>
      </w:r>
      <w:r w:rsidR="00631FB3" w:rsidRPr="00631FB3">
        <w:rPr>
          <w:rFonts w:eastAsia="Calibri"/>
          <w:color w:val="000000"/>
          <w:shd w:val="clear" w:color="auto" w:fill="FFFFFF"/>
        </w:rPr>
        <w:t>48</w:t>
      </w:r>
      <w:r w:rsidRPr="006632D6">
        <w:rPr>
          <w:rFonts w:eastAsia="Calibri"/>
          <w:color w:val="000000"/>
          <w:shd w:val="clear" w:color="auto" w:fill="FFFFFF"/>
        </w:rPr>
        <w:t>].</w:t>
      </w:r>
    </w:p>
    <w:p w:rsidR="006632D6" w:rsidRPr="006632D6" w:rsidRDefault="006632D6" w:rsidP="00097A19">
      <w:pPr>
        <w:spacing w:line="480" w:lineRule="auto"/>
        <w:rPr>
          <w:rFonts w:eastAsia="Calibri"/>
          <w:color w:val="000000"/>
          <w:shd w:val="clear" w:color="auto" w:fill="FFFFFF"/>
        </w:rPr>
      </w:pPr>
    </w:p>
    <w:p w:rsidR="006632D6" w:rsidRPr="006632D6" w:rsidRDefault="006632D6" w:rsidP="00097A19">
      <w:pPr>
        <w:spacing w:line="480" w:lineRule="auto"/>
        <w:rPr>
          <w:rFonts w:eastAsia="Calibri"/>
          <w:color w:val="000000"/>
          <w:shd w:val="clear" w:color="auto" w:fill="FFFFFF"/>
        </w:rPr>
      </w:pPr>
      <w:r w:rsidRPr="006632D6">
        <w:rPr>
          <w:rFonts w:eastAsia="Calibri"/>
          <w:color w:val="000000"/>
          <w:shd w:val="clear" w:color="auto" w:fill="FFFFFF"/>
        </w:rPr>
        <w:t xml:space="preserve">As the second most abundant natural polymer after cellulose, lignin is a major end product of phenylpropanoid metabolism. The lignin-specific branch of the </w:t>
      </w:r>
      <w:r w:rsidRPr="006632D6">
        <w:rPr>
          <w:rFonts w:eastAsia="Calibri"/>
          <w:color w:val="000000"/>
          <w:shd w:val="clear" w:color="auto" w:fill="FFFFFF"/>
        </w:rPr>
        <w:lastRenderedPageBreak/>
        <w:t xml:space="preserve">phenylpropanoid pathway is responsible for the synthesis of </w:t>
      </w:r>
      <w:r w:rsidRPr="006632D6">
        <w:rPr>
          <w:rFonts w:eastAsia="Calibri"/>
          <w:i/>
          <w:color w:val="000000"/>
          <w:shd w:val="clear" w:color="auto" w:fill="FFFFFF"/>
        </w:rPr>
        <w:t>p</w:t>
      </w:r>
      <w:r w:rsidRPr="006632D6">
        <w:rPr>
          <w:rFonts w:eastAsia="Calibri"/>
          <w:color w:val="000000"/>
          <w:shd w:val="clear" w:color="auto" w:fill="FFFFFF"/>
        </w:rPr>
        <w:t xml:space="preserve">-coumaryl, coniferyl, and sinapyl alcohol monolignols. These monolignols serve as precursors for the production of </w:t>
      </w:r>
      <w:r w:rsidRPr="006632D6">
        <w:rPr>
          <w:rFonts w:eastAsia="Calibri"/>
          <w:i/>
          <w:color w:val="000000"/>
          <w:shd w:val="clear" w:color="auto" w:fill="FFFFFF"/>
        </w:rPr>
        <w:t>p</w:t>
      </w:r>
      <w:r w:rsidRPr="006632D6">
        <w:rPr>
          <w:rFonts w:eastAsia="Calibri"/>
          <w:color w:val="000000"/>
          <w:shd w:val="clear" w:color="auto" w:fill="FFFFFF"/>
        </w:rPr>
        <w:t>-hydroxyphenyl (H), guaiacyl (G), and syringyl (S) monomeric lignin subunits, respectively, which undergo polymerization by peroxidases to form the lignin polymer [</w:t>
      </w:r>
      <w:r w:rsidR="00631FB3" w:rsidRPr="00631FB3">
        <w:rPr>
          <w:rFonts w:eastAsia="Calibri"/>
          <w:color w:val="000000"/>
          <w:shd w:val="clear" w:color="auto" w:fill="FFFFFF"/>
        </w:rPr>
        <w:t>49</w:t>
      </w:r>
      <w:r w:rsidRPr="006632D6">
        <w:rPr>
          <w:rFonts w:eastAsia="Calibri"/>
          <w:color w:val="000000"/>
          <w:shd w:val="clear" w:color="auto" w:fill="FFFFFF"/>
        </w:rPr>
        <w:t>]. More recently, the discovery of a cachetyl lignin polymer (C-lignin), comprised solely of caffeyl alcohol monomers, has been observed in the seed coats of some species [</w:t>
      </w:r>
      <w:r w:rsidR="00631FB3" w:rsidRPr="00631FB3">
        <w:rPr>
          <w:rFonts w:eastAsia="Calibri"/>
          <w:color w:val="000000"/>
          <w:shd w:val="clear" w:color="auto" w:fill="FFFFFF"/>
        </w:rPr>
        <w:t>50</w:t>
      </w:r>
      <w:r w:rsidRPr="006632D6">
        <w:rPr>
          <w:rFonts w:eastAsia="Calibri"/>
          <w:color w:val="000000"/>
          <w:shd w:val="clear" w:color="auto" w:fill="FFFFFF"/>
        </w:rPr>
        <w:t xml:space="preserve">]. While many of the enzymes that participate in lignin biosynthesis can independently utilize multiple compounds as substrates, mixed substrate reactions reveal strong enzyme preferences </w:t>
      </w:r>
      <w:r w:rsidRPr="006632D6">
        <w:rPr>
          <w:rFonts w:eastAsia="Calibri"/>
          <w:shd w:val="clear" w:color="auto" w:fill="FFFFFF"/>
        </w:rPr>
        <w:t>for specific substrates and a high degree of competitive interactivity among enzymes for particular substrates [</w:t>
      </w:r>
      <w:r w:rsidR="00631FB3" w:rsidRPr="00631FB3">
        <w:rPr>
          <w:rFonts w:eastAsia="Calibri"/>
          <w:shd w:val="clear" w:color="auto" w:fill="FFFFFF"/>
        </w:rPr>
        <w:t>51</w:t>
      </w:r>
      <w:r w:rsidRPr="006632D6">
        <w:rPr>
          <w:rFonts w:eastAsia="Calibri"/>
          <w:shd w:val="clear" w:color="auto" w:fill="FFFFFF"/>
        </w:rPr>
        <w:t xml:space="preserve">, </w:t>
      </w:r>
      <w:r w:rsidR="00631FB3" w:rsidRPr="00631FB3">
        <w:rPr>
          <w:rFonts w:eastAsia="Calibri"/>
          <w:shd w:val="clear" w:color="auto" w:fill="FFFFFF"/>
        </w:rPr>
        <w:t>52</w:t>
      </w:r>
      <w:r w:rsidRPr="006632D6">
        <w:rPr>
          <w:rFonts w:eastAsia="Calibri"/>
          <w:shd w:val="clear" w:color="auto" w:fill="FFFFFF"/>
        </w:rPr>
        <w:t xml:space="preserve">, </w:t>
      </w:r>
      <w:proofErr w:type="gramStart"/>
      <w:r w:rsidR="00631FB3" w:rsidRPr="00631FB3">
        <w:rPr>
          <w:rFonts w:eastAsia="Calibri"/>
          <w:shd w:val="clear" w:color="auto" w:fill="FFFFFF"/>
        </w:rPr>
        <w:t>53</w:t>
      </w:r>
      <w:proofErr w:type="gramEnd"/>
      <w:r w:rsidRPr="006632D6">
        <w:rPr>
          <w:rFonts w:eastAsia="Calibri"/>
          <w:shd w:val="clear" w:color="auto" w:fill="FFFFFF"/>
        </w:rPr>
        <w:t>].</w:t>
      </w:r>
      <w:r w:rsidRPr="006632D6">
        <w:rPr>
          <w:rFonts w:eastAsia="Calibri"/>
          <w:color w:val="000000"/>
          <w:shd w:val="clear" w:color="auto" w:fill="FFFFFF"/>
        </w:rPr>
        <w:t xml:space="preserve"> This gives rise to a main metabolic stream toward the production of monolignols, with each substrate being primarily catalyz</w:t>
      </w:r>
      <w:r w:rsidR="00176E89">
        <w:rPr>
          <w:rFonts w:eastAsia="Calibri"/>
          <w:color w:val="000000"/>
          <w:shd w:val="clear" w:color="auto" w:fill="FFFFFF"/>
        </w:rPr>
        <w:t xml:space="preserve">ed by a specific enzyme </w:t>
      </w:r>
      <w:r w:rsidRPr="006632D6">
        <w:rPr>
          <w:rFonts w:eastAsia="Calibri"/>
          <w:color w:val="000000"/>
          <w:shd w:val="clear" w:color="auto" w:fill="FFFFFF"/>
        </w:rPr>
        <w:t>[</w:t>
      </w:r>
      <w:r w:rsidR="00631FB3">
        <w:t>4</w:t>
      </w:r>
      <w:r w:rsidRPr="006632D6">
        <w:rPr>
          <w:rFonts w:eastAsia="Calibri"/>
        </w:rPr>
        <w:t xml:space="preserve">, </w:t>
      </w:r>
      <w:r w:rsidR="00631FB3" w:rsidRPr="00631FB3">
        <w:rPr>
          <w:rFonts w:eastAsia="Calibri"/>
          <w:color w:val="000000"/>
          <w:shd w:val="clear" w:color="auto" w:fill="FFFFFF"/>
        </w:rPr>
        <w:t>54</w:t>
      </w:r>
      <w:r w:rsidRPr="006632D6">
        <w:rPr>
          <w:rFonts w:eastAsia="Calibri"/>
          <w:color w:val="000000"/>
          <w:shd w:val="clear" w:color="auto" w:fill="FFFFFF"/>
        </w:rPr>
        <w:t>]. Characterization of mutant and transgenic plants with altered lignin biosynthesis has helped elucidate the influence of individual enzymes on lignin content and composition [</w:t>
      </w:r>
      <w:r w:rsidR="00631FB3" w:rsidRPr="00631FB3">
        <w:rPr>
          <w:rFonts w:eastAsia="Calibri"/>
          <w:color w:val="000000"/>
          <w:shd w:val="clear" w:color="auto" w:fill="FFFFFF"/>
        </w:rPr>
        <w:t>49</w:t>
      </w:r>
      <w:r w:rsidRPr="006632D6">
        <w:rPr>
          <w:rFonts w:eastAsia="Calibri"/>
          <w:color w:val="000000"/>
          <w:shd w:val="clear" w:color="auto" w:fill="FFFFFF"/>
        </w:rPr>
        <w:t xml:space="preserve">, </w:t>
      </w:r>
      <w:r w:rsidR="00631FB3" w:rsidRPr="00631FB3">
        <w:rPr>
          <w:rFonts w:eastAsia="Calibri"/>
          <w:color w:val="000000"/>
          <w:shd w:val="clear" w:color="auto" w:fill="FFFFFF"/>
        </w:rPr>
        <w:t>55</w:t>
      </w:r>
      <w:r w:rsidRPr="006632D6">
        <w:rPr>
          <w:rFonts w:eastAsia="Calibri"/>
          <w:color w:val="000000"/>
          <w:shd w:val="clear" w:color="auto" w:fill="FFFFFF"/>
        </w:rPr>
        <w:t xml:space="preserve">].  </w:t>
      </w:r>
    </w:p>
    <w:p w:rsidR="006632D6" w:rsidRPr="006632D6" w:rsidRDefault="006632D6" w:rsidP="00097A19">
      <w:pPr>
        <w:spacing w:line="480" w:lineRule="auto"/>
        <w:rPr>
          <w:rFonts w:eastAsia="Calibri"/>
          <w:color w:val="000000"/>
          <w:shd w:val="clear" w:color="auto" w:fill="FFFFFF"/>
        </w:rPr>
      </w:pPr>
    </w:p>
    <w:p w:rsidR="006632D6" w:rsidRPr="006632D6" w:rsidRDefault="006632D6" w:rsidP="00097A19">
      <w:pPr>
        <w:spacing w:line="480" w:lineRule="auto"/>
        <w:rPr>
          <w:rFonts w:eastAsia="Calibri"/>
          <w:color w:val="000000"/>
          <w:shd w:val="clear" w:color="auto" w:fill="FFFFFF"/>
        </w:rPr>
      </w:pPr>
      <w:r w:rsidRPr="006632D6">
        <w:rPr>
          <w:rFonts w:eastAsia="Calibri"/>
          <w:color w:val="000000"/>
          <w:shd w:val="clear" w:color="auto" w:fill="FFFFFF"/>
        </w:rPr>
        <w:t xml:space="preserve">While the effects of altered lignin biosynthesis on total lignin content and lignin polymer composition have been studied in great detail, the consequences of lignin pathway perturbations on other metabolic processes are not as well understood. Recent transcriptomic, proteomic, and metabolomic profiling of such plants have helped reveal some of these broader effects. Several studies have indicated that downregulating single or multiple lignin pathway genes can alter the metabolic flux through the phenylpropanoid pathway, and differentially affect the biosynthesis of other secondary </w:t>
      </w:r>
      <w:r w:rsidRPr="006632D6">
        <w:rPr>
          <w:rFonts w:eastAsia="Calibri"/>
          <w:color w:val="000000"/>
          <w:shd w:val="clear" w:color="auto" w:fill="FFFFFF"/>
        </w:rPr>
        <w:lastRenderedPageBreak/>
        <w:t xml:space="preserve">compounds (Table </w:t>
      </w:r>
      <w:r w:rsidR="001A2F1E">
        <w:rPr>
          <w:rFonts w:eastAsia="Calibri"/>
          <w:color w:val="000000"/>
          <w:shd w:val="clear" w:color="auto" w:fill="FFFFFF"/>
        </w:rPr>
        <w:t>A.</w:t>
      </w:r>
      <w:r w:rsidRPr="006632D6">
        <w:rPr>
          <w:rFonts w:eastAsia="Calibri"/>
          <w:color w:val="000000"/>
          <w:shd w:val="clear" w:color="auto" w:fill="FFFFFF"/>
        </w:rPr>
        <w:t xml:space="preserve">1). Depending on the lignin biosynthetic gene(s) being suppressed, plants can undergo various metabolic changes in response to the reduced carbon flow </w:t>
      </w:r>
      <w:r w:rsidRPr="006632D6">
        <w:rPr>
          <w:rFonts w:eastAsia="Calibri"/>
        </w:rPr>
        <w:t xml:space="preserve">into lignin biosynthesis. In the next sections, the known biochemical effects of altering the expression of characterized lignin biosynthetic genes will be examined. </w:t>
      </w:r>
    </w:p>
    <w:p w:rsidR="006632D6" w:rsidRDefault="006632D6" w:rsidP="00097A19">
      <w:pPr>
        <w:numPr>
          <w:ilvl w:val="12"/>
          <w:numId w:val="0"/>
        </w:num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rsidR="000F7C20" w:rsidRDefault="000F7C20" w:rsidP="00097A19">
      <w:pPr>
        <w:pStyle w:val="Heading3"/>
        <w:spacing w:line="480" w:lineRule="auto"/>
      </w:pPr>
      <w:r>
        <w:t xml:space="preserve">Hydroxycinnamoyl CoA: shikimate hydroxycinnamoyl transferase </w:t>
      </w:r>
    </w:p>
    <w:p w:rsidR="006632D6" w:rsidRPr="006632D6" w:rsidRDefault="006632D6" w:rsidP="00097A19">
      <w:pPr>
        <w:spacing w:line="480" w:lineRule="auto"/>
        <w:rPr>
          <w:rFonts w:eastAsia="Calibri"/>
          <w:shd w:val="clear" w:color="auto" w:fill="FFFFFF"/>
        </w:rPr>
      </w:pPr>
      <w:r w:rsidRPr="006632D6">
        <w:rPr>
          <w:rFonts w:eastAsia="Calibri"/>
        </w:rPr>
        <w:t xml:space="preserve">Hydroxycinnamoyl CoA: shikimate hydroxycinnamoyl transferase (HCT) is a member of a large gene family encoding for acyltransferases, a group of enzymes that catalyze the acylation of secondary metabolites. HCT catalyzes an early step in the phenylpropanoid pathway and initiates the carbon flux toward the monolignol-specific branches by catalyzing the conversion of </w:t>
      </w:r>
      <w:r w:rsidRPr="006632D6">
        <w:rPr>
          <w:rFonts w:eastAsia="Calibri"/>
          <w:i/>
        </w:rPr>
        <w:t>p</w:t>
      </w:r>
      <w:r w:rsidRPr="006632D6">
        <w:rPr>
          <w:rFonts w:eastAsia="Calibri"/>
        </w:rPr>
        <w:t>-coumaroyl-CoA into p-coumaroyl shikimate [</w:t>
      </w:r>
      <w:r w:rsidR="00631FB3" w:rsidRPr="00631FB3">
        <w:rPr>
          <w:rFonts w:eastAsia="Calibri"/>
        </w:rPr>
        <w:t>56</w:t>
      </w:r>
      <w:r w:rsidRPr="006632D6">
        <w:rPr>
          <w:rFonts w:eastAsia="Calibri"/>
        </w:rPr>
        <w:t xml:space="preserve">]. </w:t>
      </w:r>
      <w:r w:rsidRPr="006632D6">
        <w:rPr>
          <w:rFonts w:eastAsia="Calibri"/>
          <w:i/>
        </w:rPr>
        <w:t>P</w:t>
      </w:r>
      <w:r w:rsidRPr="006632D6">
        <w:rPr>
          <w:rFonts w:eastAsia="Calibri"/>
        </w:rPr>
        <w:t xml:space="preserve">-coumaroyl-CoA is a metabolite located at a branching point in the phenylpropanoid pathway, where the monolignol and flavonoid biosynthetic pathways diverge. </w:t>
      </w:r>
      <w:r w:rsidRPr="006632D6">
        <w:rPr>
          <w:rFonts w:eastAsia="Calibri"/>
          <w:shd w:val="clear" w:color="auto" w:fill="FFFFFF"/>
        </w:rPr>
        <w:t xml:space="preserve">If catalyzed by HCT, </w:t>
      </w:r>
      <w:r w:rsidRPr="006632D6">
        <w:rPr>
          <w:rFonts w:eastAsia="Calibri"/>
          <w:i/>
          <w:shd w:val="clear" w:color="auto" w:fill="FFFFFF"/>
        </w:rPr>
        <w:t>p</w:t>
      </w:r>
      <w:r w:rsidRPr="006632D6">
        <w:rPr>
          <w:rFonts w:eastAsia="Calibri"/>
          <w:shd w:val="clear" w:color="auto" w:fill="FFFFFF"/>
        </w:rPr>
        <w:t>-coumaroyl-CoA is converted into shikimate and quinate esters, and carbon is directed toward the synthesis of monolignols [</w:t>
      </w:r>
      <w:r w:rsidR="00631FB3" w:rsidRPr="00631FB3">
        <w:rPr>
          <w:rFonts w:eastAsia="Calibri"/>
          <w:shd w:val="clear" w:color="auto" w:fill="FFFFFF"/>
        </w:rPr>
        <w:t>56</w:t>
      </w:r>
      <w:r w:rsidRPr="006632D6">
        <w:rPr>
          <w:rFonts w:eastAsia="Calibri"/>
          <w:shd w:val="clear" w:color="auto" w:fill="FFFFFF"/>
        </w:rPr>
        <w:t xml:space="preserve">, </w:t>
      </w:r>
      <w:r w:rsidR="00631FB3" w:rsidRPr="00631FB3">
        <w:rPr>
          <w:rFonts w:eastAsia="Calibri"/>
          <w:shd w:val="clear" w:color="auto" w:fill="FFFFFF"/>
        </w:rPr>
        <w:t>57</w:t>
      </w:r>
      <w:r w:rsidRPr="006632D6">
        <w:rPr>
          <w:rFonts w:eastAsia="Calibri"/>
          <w:shd w:val="clear" w:color="auto" w:fill="FFFFFF"/>
        </w:rPr>
        <w:t xml:space="preserve">]. Alternatively, </w:t>
      </w:r>
      <w:r w:rsidRPr="006632D6">
        <w:rPr>
          <w:rFonts w:eastAsia="Calibri"/>
          <w:i/>
          <w:shd w:val="clear" w:color="auto" w:fill="FFFFFF"/>
        </w:rPr>
        <w:t>p</w:t>
      </w:r>
      <w:r w:rsidRPr="006632D6">
        <w:rPr>
          <w:rFonts w:eastAsia="Calibri"/>
          <w:shd w:val="clear" w:color="auto" w:fill="FFFFFF"/>
        </w:rPr>
        <w:t>-coumaroyl-CoA can also serve as a substrate for chalcone synthase (CHS), an enzyme that catalyzes the initial step toward flavonoid biosynthesis. If catalyzed by CHS, the metabolic flux will instead be directed toward the production of flavonoids, including flavonols, anthocyanins, and tannins [</w:t>
      </w:r>
      <w:r w:rsidR="00631FB3" w:rsidRPr="00631FB3">
        <w:rPr>
          <w:rFonts w:eastAsia="Calibri"/>
          <w:shd w:val="clear" w:color="auto" w:fill="FFFFFF"/>
        </w:rPr>
        <w:t>58</w:t>
      </w:r>
      <w:r w:rsidRPr="006632D6">
        <w:rPr>
          <w:rFonts w:eastAsia="Calibri"/>
          <w:shd w:val="clear" w:color="auto" w:fill="FFFFFF"/>
        </w:rPr>
        <w:t xml:space="preserve">, </w:t>
      </w:r>
      <w:r w:rsidR="00631FB3" w:rsidRPr="00631FB3">
        <w:rPr>
          <w:rFonts w:eastAsia="Calibri"/>
          <w:shd w:val="clear" w:color="auto" w:fill="FFFFFF"/>
        </w:rPr>
        <w:t>59</w:t>
      </w:r>
      <w:r w:rsidRPr="006632D6">
        <w:rPr>
          <w:rFonts w:eastAsia="Calibri"/>
          <w:shd w:val="clear" w:color="auto" w:fill="FFFFFF"/>
        </w:rPr>
        <w:t xml:space="preserve">]. Thus, competition between HCT and CHS for the same substrate makes these two enzymes highly influential in controlling the metabolic flux toward either monolignol or flavonoid biosynthesis. </w:t>
      </w:r>
    </w:p>
    <w:p w:rsidR="006632D6" w:rsidRPr="006632D6" w:rsidRDefault="006632D6" w:rsidP="00097A19">
      <w:pPr>
        <w:spacing w:line="480" w:lineRule="auto"/>
        <w:rPr>
          <w:rFonts w:eastAsia="Calibri"/>
          <w:shd w:val="clear" w:color="auto" w:fill="FFFFFF"/>
        </w:rPr>
      </w:pPr>
    </w:p>
    <w:p w:rsidR="006632D6" w:rsidRPr="00467946" w:rsidRDefault="006632D6" w:rsidP="00097A19">
      <w:pPr>
        <w:autoSpaceDE w:val="0"/>
        <w:autoSpaceDN w:val="0"/>
        <w:adjustRightInd w:val="0"/>
        <w:spacing w:line="480" w:lineRule="auto"/>
        <w:rPr>
          <w:rFonts w:eastAsia="Calibri"/>
        </w:rPr>
      </w:pPr>
      <w:r w:rsidRPr="006632D6">
        <w:rPr>
          <w:rFonts w:eastAsia="Calibri"/>
          <w:shd w:val="clear" w:color="auto" w:fill="FFFFFF"/>
        </w:rPr>
        <w:lastRenderedPageBreak/>
        <w:t xml:space="preserve">Lignin downregulation by RNAi-mediated gene silencing of HCT in </w:t>
      </w:r>
      <w:r w:rsidRPr="006632D6">
        <w:rPr>
          <w:rFonts w:eastAsia="Calibri"/>
          <w:i/>
          <w:shd w:val="clear" w:color="auto" w:fill="FFFFFF"/>
        </w:rPr>
        <w:t>A. thaliana</w:t>
      </w:r>
      <w:r w:rsidRPr="006632D6">
        <w:rPr>
          <w:rFonts w:eastAsia="Calibri"/>
          <w:shd w:val="clear" w:color="auto" w:fill="FFFFFF"/>
        </w:rPr>
        <w:t xml:space="preserve"> resulted in a hy</w:t>
      </w:r>
      <w:r w:rsidRPr="00467946">
        <w:rPr>
          <w:rFonts w:eastAsia="Calibri"/>
          <w:shd w:val="clear" w:color="auto" w:fill="FFFFFF"/>
        </w:rPr>
        <w:t>peraccumulation of flavonoid products [</w:t>
      </w:r>
      <w:r w:rsidR="00631FB3" w:rsidRPr="00631FB3">
        <w:rPr>
          <w:rFonts w:eastAsia="Calibri"/>
          <w:shd w:val="clear" w:color="auto" w:fill="FFFFFF"/>
        </w:rPr>
        <w:t>32</w:t>
      </w:r>
      <w:r w:rsidRPr="00467946">
        <w:rPr>
          <w:rFonts w:eastAsia="Calibri"/>
          <w:shd w:val="clear" w:color="auto" w:fill="FFFFFF"/>
        </w:rPr>
        <w:t xml:space="preserve">]. The observed increase in flavonoid biosynthesis was suggested to be a consequence of the metabolic flux being redirected away from the lignin pathway in the absence of HCT, and into the flavonoid pathway through CHS activity.  HPLC profiling revealed that flavonoid products, most notably flavonols and anthocyanins, accumulated in higher amounts in the HCT-downregulated plants compared to control plants. HCT-downregulated plants also exhibited a dark purple coloration of the leaves relative to the controls as a result of the anthocyanin accumulation. </w:t>
      </w:r>
      <w:r w:rsidRPr="00467946">
        <w:rPr>
          <w:rFonts w:eastAsia="Calibri"/>
        </w:rPr>
        <w:t>Similarly, downregulation of HCT in alfalfa (</w:t>
      </w:r>
      <w:r w:rsidRPr="00467946">
        <w:rPr>
          <w:rFonts w:eastAsia="Calibri"/>
          <w:i/>
        </w:rPr>
        <w:t>Meticago sativa</w:t>
      </w:r>
      <w:r w:rsidRPr="00467946">
        <w:rPr>
          <w:rFonts w:eastAsia="Calibri"/>
        </w:rPr>
        <w:t xml:space="preserve"> L.) also resulted in an increase in flavonoid biosynthesis and an accumulation of anthocyanins, which were suggested to be a result of metabolic spillover from suppressed lignin biosynthesis into the flavonoid pathway [</w:t>
      </w:r>
      <w:r w:rsidR="00631FB3" w:rsidRPr="00631FB3">
        <w:rPr>
          <w:rFonts w:eastAsia="Calibri"/>
        </w:rPr>
        <w:t>31</w:t>
      </w:r>
      <w:r w:rsidRPr="00467946">
        <w:rPr>
          <w:rFonts w:eastAsia="Calibri"/>
        </w:rPr>
        <w:t xml:space="preserve">]. </w:t>
      </w:r>
      <w:r w:rsidR="00B373F8" w:rsidRPr="00B373F8">
        <w:rPr>
          <w:rFonts w:eastAsia="Calibri"/>
        </w:rPr>
        <w:t xml:space="preserve">In addition to </w:t>
      </w:r>
      <w:r w:rsidR="00B373F8">
        <w:rPr>
          <w:rFonts w:eastAsia="Calibri"/>
        </w:rPr>
        <w:t xml:space="preserve">the </w:t>
      </w:r>
      <w:r w:rsidR="00B373F8" w:rsidRPr="00B373F8">
        <w:rPr>
          <w:rFonts w:eastAsia="Calibri"/>
        </w:rPr>
        <w:t>evidence supporting a metabolic spillover into flavonoid metabolism, the expression of several flavonoid biosynthetic pathway genes were induced in the HCT-silenced plants; the activation of these genes could also be contributing to the observed flavonoid accumulation.</w:t>
      </w:r>
      <w:r w:rsidR="00B373F8">
        <w:rPr>
          <w:rFonts w:eastAsia="Calibri"/>
        </w:rPr>
        <w:t xml:space="preserve"> </w:t>
      </w:r>
      <w:r w:rsidRPr="00467946">
        <w:rPr>
          <w:rFonts w:eastAsia="Calibri"/>
        </w:rPr>
        <w:t xml:space="preserve">A significant increase in coumaric acid was also observed in HCT-silenced plants; researchers hypothesized that the accumulating HCT substrate, </w:t>
      </w:r>
      <w:r w:rsidRPr="00467946">
        <w:rPr>
          <w:rFonts w:eastAsia="Calibri"/>
          <w:i/>
        </w:rPr>
        <w:t>p</w:t>
      </w:r>
      <w:r w:rsidRPr="00467946">
        <w:rPr>
          <w:rFonts w:eastAsia="Calibri"/>
        </w:rPr>
        <w:t>-coumaroyl-CoA, may either undergo hydrolysis into coumaric acid or be redirected into the flavonoid biosynthetic pathway.</w:t>
      </w:r>
    </w:p>
    <w:p w:rsidR="000F7C20" w:rsidRPr="00467946" w:rsidRDefault="000F7C20" w:rsidP="00097A19">
      <w:pPr>
        <w:pStyle w:val="Heading3"/>
        <w:spacing w:line="480" w:lineRule="auto"/>
        <w:rPr>
          <w:rFonts w:cs="Times New Roman"/>
          <w:szCs w:val="24"/>
        </w:rPr>
      </w:pPr>
      <w:r w:rsidRPr="00467946">
        <w:rPr>
          <w:rFonts w:cs="Times New Roman"/>
          <w:szCs w:val="24"/>
        </w:rPr>
        <w:t>P-coumarate 3-hydroxylase</w:t>
      </w:r>
    </w:p>
    <w:p w:rsidR="000F7C20" w:rsidRDefault="006632D6" w:rsidP="00097A19">
      <w:pPr>
        <w:numPr>
          <w:ilvl w:val="12"/>
          <w:numId w:val="0"/>
        </w:num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eastAsia="Calibri"/>
          <w:color w:val="000000"/>
          <w:shd w:val="clear" w:color="auto" w:fill="FFFFFF"/>
        </w:rPr>
      </w:pPr>
      <w:r w:rsidRPr="00467946">
        <w:rPr>
          <w:rFonts w:eastAsia="Calibri"/>
          <w:color w:val="000000"/>
          <w:shd w:val="clear" w:color="auto" w:fill="FFFFFF"/>
        </w:rPr>
        <w:t xml:space="preserve">After being synthesized by HCT, p-coumaroyl shikimate is converted into caffeoyl shikimate by </w:t>
      </w:r>
      <w:r w:rsidRPr="00467946">
        <w:rPr>
          <w:rFonts w:eastAsia="Calibri"/>
          <w:i/>
          <w:color w:val="000000"/>
          <w:shd w:val="clear" w:color="auto" w:fill="FFFFFF"/>
        </w:rPr>
        <w:t>p</w:t>
      </w:r>
      <w:r w:rsidRPr="00467946">
        <w:rPr>
          <w:rFonts w:eastAsia="Calibri"/>
          <w:color w:val="000000"/>
          <w:shd w:val="clear" w:color="auto" w:fill="FFFFFF"/>
        </w:rPr>
        <w:t>-coumarate 3-hydroxylase (C3H) [</w:t>
      </w:r>
      <w:r w:rsidR="00631FB3" w:rsidRPr="00631FB3">
        <w:rPr>
          <w:rFonts w:eastAsia="Calibri"/>
          <w:color w:val="000000"/>
          <w:shd w:val="clear" w:color="auto" w:fill="FFFFFF"/>
        </w:rPr>
        <w:t>60</w:t>
      </w:r>
      <w:r w:rsidRPr="00467946">
        <w:rPr>
          <w:rFonts w:eastAsia="Calibri"/>
          <w:color w:val="000000"/>
          <w:shd w:val="clear" w:color="auto" w:fill="FFFFFF"/>
        </w:rPr>
        <w:t xml:space="preserve">, </w:t>
      </w:r>
      <w:r w:rsidR="00631FB3" w:rsidRPr="00631FB3">
        <w:rPr>
          <w:rFonts w:eastAsia="Calibri"/>
          <w:color w:val="000000"/>
          <w:shd w:val="clear" w:color="auto" w:fill="FFFFFF"/>
        </w:rPr>
        <w:t>61</w:t>
      </w:r>
      <w:r w:rsidRPr="00467946">
        <w:rPr>
          <w:rFonts w:eastAsia="Calibri"/>
          <w:color w:val="000000"/>
          <w:shd w:val="clear" w:color="auto" w:fill="FFFFFF"/>
        </w:rPr>
        <w:t xml:space="preserve">]. </w:t>
      </w:r>
      <w:r w:rsidRPr="00467946">
        <w:rPr>
          <w:rFonts w:eastAsia="Calibri"/>
          <w:shd w:val="clear" w:color="auto" w:fill="FFFFFF"/>
        </w:rPr>
        <w:t xml:space="preserve">Downregulation of C3H in </w:t>
      </w:r>
      <w:r w:rsidRPr="00467946">
        <w:rPr>
          <w:rFonts w:eastAsia="Calibri"/>
          <w:shd w:val="clear" w:color="auto" w:fill="FFFFFF"/>
        </w:rPr>
        <w:lastRenderedPageBreak/>
        <w:t>hybrid poplar (</w:t>
      </w:r>
      <w:r w:rsidRPr="00467946">
        <w:rPr>
          <w:rFonts w:eastAsia="Calibri"/>
          <w:i/>
          <w:iCs/>
          <w:shd w:val="clear" w:color="auto" w:fill="FFFFFF"/>
        </w:rPr>
        <w:t>Populus grandidentata</w:t>
      </w:r>
      <w:r w:rsidRPr="00467946">
        <w:rPr>
          <w:rFonts w:eastAsia="Calibri"/>
          <w:shd w:val="clear" w:color="auto" w:fill="FFFFFF"/>
        </w:rPr>
        <w:t> × </w:t>
      </w:r>
      <w:r w:rsidRPr="00467946">
        <w:rPr>
          <w:rFonts w:eastAsia="Calibri"/>
          <w:i/>
          <w:shd w:val="clear" w:color="auto" w:fill="FFFFFF"/>
        </w:rPr>
        <w:t>Populus</w:t>
      </w:r>
      <w:r w:rsidRPr="00467946">
        <w:rPr>
          <w:rFonts w:eastAsia="Calibri"/>
          <w:shd w:val="clear" w:color="auto" w:fill="FFFFFF"/>
        </w:rPr>
        <w:t xml:space="preserve"> </w:t>
      </w:r>
      <w:proofErr w:type="gramStart"/>
      <w:r w:rsidRPr="00467946">
        <w:rPr>
          <w:rFonts w:eastAsia="Calibri"/>
          <w:i/>
          <w:iCs/>
          <w:shd w:val="clear" w:color="auto" w:fill="FFFFFF"/>
        </w:rPr>
        <w:t>alba</w:t>
      </w:r>
      <w:proofErr w:type="gramEnd"/>
      <w:r w:rsidRPr="00467946">
        <w:rPr>
          <w:rFonts w:eastAsia="Calibri"/>
          <w:i/>
          <w:iCs/>
          <w:shd w:val="clear" w:color="auto" w:fill="FFFFFF"/>
        </w:rPr>
        <w:t>)</w:t>
      </w:r>
      <w:r w:rsidRPr="00467946">
        <w:rPr>
          <w:rFonts w:eastAsia="Calibri"/>
          <w:shd w:val="clear" w:color="auto" w:fill="FFFFFF"/>
        </w:rPr>
        <w:t xml:space="preserve"> resulted in the accumulation of soluble secondary metabolites, the majority of which were p-coumaric acid-derived phenylglucosides, including </w:t>
      </w:r>
      <w:r w:rsidRPr="00467946">
        <w:rPr>
          <w:rFonts w:eastAsia="Calibri"/>
          <w:i/>
          <w:iCs/>
          <w:bdr w:val="none" w:sz="0" w:space="0" w:color="auto" w:frame="1"/>
          <w:shd w:val="clear" w:color="auto" w:fill="FFFFFF"/>
        </w:rPr>
        <w:t>O-p</w:t>
      </w:r>
      <w:r w:rsidRPr="00467946">
        <w:rPr>
          <w:rFonts w:eastAsia="Calibri"/>
          <w:shd w:val="clear" w:color="auto" w:fill="FFFFFF"/>
        </w:rPr>
        <w:t>-coumaroyl-β-</w:t>
      </w:r>
      <w:r w:rsidRPr="00467946">
        <w:rPr>
          <w:rFonts w:eastAsia="Calibri"/>
          <w:caps/>
          <w:bdr w:val="none" w:sz="0" w:space="0" w:color="auto" w:frame="1"/>
          <w:shd w:val="clear" w:color="auto" w:fill="FFFFFF"/>
        </w:rPr>
        <w:t>D</w:t>
      </w:r>
      <w:r w:rsidRPr="00467946">
        <w:rPr>
          <w:rFonts w:eastAsia="Calibri"/>
          <w:shd w:val="clear" w:color="auto" w:fill="FFFFFF"/>
        </w:rPr>
        <w:t xml:space="preserve">-glucoside and populoside, grandidentatin, and trichocarposide. The researchers hypothesized that the decreased C3H activity could cause p-coumarate to be diverted into ester-linked glucosides, which would prevent a potentially toxic accumulation of this substrate by allowing it to be mobilized to the phloem </w:t>
      </w:r>
      <w:r w:rsidRPr="00467946">
        <w:rPr>
          <w:rFonts w:eastAsia="Calibri"/>
          <w:color w:val="000000"/>
          <w:shd w:val="clear" w:color="auto" w:fill="FFFFFF"/>
        </w:rPr>
        <w:t>[</w:t>
      </w:r>
      <w:r w:rsidR="00631FB3" w:rsidRPr="00631FB3">
        <w:rPr>
          <w:rFonts w:eastAsia="Calibri"/>
          <w:color w:val="000000"/>
          <w:shd w:val="clear" w:color="auto" w:fill="FFFFFF"/>
        </w:rPr>
        <w:t>33</w:t>
      </w:r>
      <w:r w:rsidRPr="00467946">
        <w:rPr>
          <w:rFonts w:eastAsia="Calibri"/>
          <w:color w:val="000000"/>
          <w:shd w:val="clear" w:color="auto" w:fill="FFFFFF"/>
        </w:rPr>
        <w:t>].</w:t>
      </w:r>
    </w:p>
    <w:p w:rsidR="00467946" w:rsidRPr="00467946" w:rsidRDefault="00467946" w:rsidP="00097A19">
      <w:pPr>
        <w:numPr>
          <w:ilvl w:val="12"/>
          <w:numId w:val="0"/>
        </w:num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rsidR="000F7C20" w:rsidRPr="008119C5" w:rsidRDefault="000F7C20" w:rsidP="00097A19">
      <w:pPr>
        <w:pStyle w:val="Heading3"/>
        <w:spacing w:line="480" w:lineRule="auto"/>
        <w:rPr>
          <w:rFonts w:cs="Times New Roman"/>
          <w:szCs w:val="24"/>
          <w:lang w:val="es-ES"/>
        </w:rPr>
      </w:pPr>
      <w:r w:rsidRPr="008119C5">
        <w:rPr>
          <w:rFonts w:cs="Times New Roman"/>
          <w:szCs w:val="24"/>
          <w:lang w:val="es-ES"/>
        </w:rPr>
        <w:t>Caffeoyl-CoA O-methyltransferase (CCoAOMT)</w:t>
      </w:r>
    </w:p>
    <w:p w:rsidR="003A1563" w:rsidRPr="00467946" w:rsidRDefault="003A1563" w:rsidP="00097A19">
      <w:pPr>
        <w:autoSpaceDE w:val="0"/>
        <w:autoSpaceDN w:val="0"/>
        <w:adjustRightInd w:val="0"/>
        <w:spacing w:line="480" w:lineRule="auto"/>
        <w:rPr>
          <w:rFonts w:eastAsia="Calibri"/>
          <w:shd w:val="clear" w:color="auto" w:fill="FFFFFF"/>
        </w:rPr>
      </w:pPr>
      <w:r w:rsidRPr="00467946">
        <w:rPr>
          <w:rFonts w:eastAsia="Calibri"/>
          <w:shd w:val="clear" w:color="auto" w:fill="FFFFFF"/>
          <w:lang w:val="it-IT"/>
        </w:rPr>
        <w:t xml:space="preserve">Caffeoyl-CoA </w:t>
      </w:r>
      <w:r w:rsidRPr="00467946">
        <w:rPr>
          <w:rFonts w:eastAsia="Calibri"/>
          <w:i/>
          <w:shd w:val="clear" w:color="auto" w:fill="FFFFFF"/>
          <w:lang w:val="it-IT"/>
        </w:rPr>
        <w:t>O</w:t>
      </w:r>
      <w:r w:rsidRPr="00467946">
        <w:rPr>
          <w:rFonts w:eastAsia="Calibri"/>
          <w:shd w:val="clear" w:color="auto" w:fill="FFFFFF"/>
          <w:lang w:val="it-IT"/>
        </w:rPr>
        <w:t xml:space="preserve">-methyltransferase (CCoAOMT) methylates caffeoyl-CoA to feruloyl-CoA, as well as 5-hydroxyferuloyl-CoA, to sinapoyl-CoA. </w:t>
      </w:r>
      <w:r w:rsidRPr="00467946">
        <w:rPr>
          <w:rFonts w:eastAsia="Calibri"/>
          <w:shd w:val="clear" w:color="auto" w:fill="FFFFFF"/>
        </w:rPr>
        <w:t xml:space="preserve">This enzyme, along with </w:t>
      </w:r>
      <w:r w:rsidRPr="00467946">
        <w:rPr>
          <w:rFonts w:eastAsia="Calibri"/>
        </w:rPr>
        <w:t>caffeic acid 3-O-methyltransferase (COMT)</w:t>
      </w:r>
      <w:r w:rsidRPr="00467946">
        <w:rPr>
          <w:rFonts w:eastAsia="Calibri"/>
          <w:shd w:val="clear" w:color="auto" w:fill="FFFFFF"/>
        </w:rPr>
        <w:t>, is involved in catalyzing the methylation of the monolignol precursors [</w:t>
      </w:r>
      <w:r w:rsidR="00631FB3" w:rsidRPr="00631FB3">
        <w:rPr>
          <w:rFonts w:eastAsia="Calibri"/>
          <w:shd w:val="clear" w:color="auto" w:fill="FFFFFF"/>
        </w:rPr>
        <w:t>62</w:t>
      </w:r>
      <w:r w:rsidRPr="00467946">
        <w:rPr>
          <w:rFonts w:eastAsia="Calibri"/>
          <w:shd w:val="clear" w:color="auto" w:fill="FFFFFF"/>
        </w:rPr>
        <w:t xml:space="preserve">, </w:t>
      </w:r>
      <w:r w:rsidR="00631FB3" w:rsidRPr="00631FB3">
        <w:rPr>
          <w:rFonts w:eastAsia="Calibri"/>
          <w:shd w:val="clear" w:color="auto" w:fill="FFFFFF"/>
        </w:rPr>
        <w:t>63</w:t>
      </w:r>
      <w:r w:rsidRPr="00467946">
        <w:rPr>
          <w:rFonts w:eastAsia="Calibri"/>
          <w:shd w:val="clear" w:color="auto" w:fill="FFFFFF"/>
        </w:rPr>
        <w:t>]. Downregulation of CCoAOMT in poplar resulted in a redirection of the metabolic flux away from monolignol biosynthesis, and into the pathway leading from caffeic acid to sinapic acid. The increased flux into this pathway resulted in an increased synthesis and accumulation of phenolic acid glucosides in transgenic plants relative to controls, including</w:t>
      </w:r>
      <w:r w:rsidRPr="00467946">
        <w:rPr>
          <w:rFonts w:eastAsia="Calibri"/>
          <w:i/>
          <w:iCs/>
          <w:color w:val="403838"/>
        </w:rPr>
        <w:t xml:space="preserve"> </w:t>
      </w:r>
      <w:r w:rsidRPr="00467946">
        <w:rPr>
          <w:rFonts w:eastAsia="Calibri"/>
          <w:i/>
          <w:iCs/>
          <w:shd w:val="clear" w:color="auto" w:fill="FFFFFF"/>
        </w:rPr>
        <w:t>O</w:t>
      </w:r>
      <w:r w:rsidRPr="00467946">
        <w:rPr>
          <w:rFonts w:eastAsia="Calibri"/>
          <w:shd w:val="clear" w:color="auto" w:fill="FFFFFF"/>
          <w:vertAlign w:val="superscript"/>
        </w:rPr>
        <w:t>3</w:t>
      </w:r>
      <w:r w:rsidRPr="00467946">
        <w:rPr>
          <w:rFonts w:eastAsia="Calibri"/>
          <w:shd w:val="clear" w:color="auto" w:fill="FFFFFF"/>
        </w:rPr>
        <w:t xml:space="preserve">-β-D-glucopyranosyl-caffeic </w:t>
      </w:r>
      <w:proofErr w:type="gramStart"/>
      <w:r w:rsidRPr="00467946">
        <w:rPr>
          <w:rFonts w:eastAsia="Calibri"/>
          <w:shd w:val="clear" w:color="auto" w:fill="FFFFFF"/>
        </w:rPr>
        <w:t>acid ,</w:t>
      </w:r>
      <w:proofErr w:type="gramEnd"/>
      <w:r w:rsidRPr="00467946">
        <w:rPr>
          <w:rFonts w:eastAsia="Calibri"/>
          <w:shd w:val="clear" w:color="auto" w:fill="FFFFFF"/>
        </w:rPr>
        <w:t xml:space="preserve"> </w:t>
      </w:r>
      <w:r w:rsidRPr="00467946">
        <w:rPr>
          <w:rFonts w:eastAsia="Calibri"/>
          <w:i/>
          <w:iCs/>
          <w:shd w:val="clear" w:color="auto" w:fill="FFFFFF"/>
        </w:rPr>
        <w:t>O</w:t>
      </w:r>
      <w:r w:rsidRPr="00467946">
        <w:rPr>
          <w:rFonts w:eastAsia="Calibri"/>
          <w:shd w:val="clear" w:color="auto" w:fill="FFFFFF"/>
        </w:rPr>
        <w:t> </w:t>
      </w:r>
      <w:r w:rsidRPr="00467946">
        <w:rPr>
          <w:rFonts w:eastAsia="Calibri"/>
          <w:shd w:val="clear" w:color="auto" w:fill="FFFFFF"/>
          <w:vertAlign w:val="superscript"/>
        </w:rPr>
        <w:t>4</w:t>
      </w:r>
      <w:r w:rsidRPr="00467946">
        <w:rPr>
          <w:rFonts w:eastAsia="Calibri"/>
          <w:shd w:val="clear" w:color="auto" w:fill="FFFFFF"/>
        </w:rPr>
        <w:t xml:space="preserve">-β-D-glucopyranosyl-vanillic acid, and </w:t>
      </w:r>
      <w:r w:rsidRPr="00467946">
        <w:rPr>
          <w:rFonts w:eastAsia="Calibri"/>
          <w:i/>
          <w:iCs/>
          <w:shd w:val="clear" w:color="auto" w:fill="FFFFFF"/>
        </w:rPr>
        <w:t>O</w:t>
      </w:r>
      <w:r w:rsidRPr="00467946">
        <w:rPr>
          <w:rFonts w:eastAsia="Calibri"/>
          <w:shd w:val="clear" w:color="auto" w:fill="FFFFFF"/>
        </w:rPr>
        <w:t> </w:t>
      </w:r>
      <w:r w:rsidRPr="00467946">
        <w:rPr>
          <w:rFonts w:eastAsia="Calibri"/>
          <w:shd w:val="clear" w:color="auto" w:fill="FFFFFF"/>
          <w:vertAlign w:val="superscript"/>
        </w:rPr>
        <w:t>4</w:t>
      </w:r>
      <w:r w:rsidRPr="00467946">
        <w:rPr>
          <w:rFonts w:eastAsia="Calibri"/>
          <w:shd w:val="clear" w:color="auto" w:fill="FFFFFF"/>
        </w:rPr>
        <w:t>-β-D-glucopyranosyl-sinapic acid [</w:t>
      </w:r>
      <w:r w:rsidR="00631FB3" w:rsidRPr="00631FB3">
        <w:rPr>
          <w:rFonts w:eastAsia="Calibri"/>
          <w:shd w:val="clear" w:color="auto" w:fill="FFFFFF"/>
        </w:rPr>
        <w:t>64</w:t>
      </w:r>
      <w:r w:rsidRPr="00467946">
        <w:rPr>
          <w:rFonts w:eastAsia="Calibri"/>
          <w:shd w:val="clear" w:color="auto" w:fill="FFFFFF"/>
        </w:rPr>
        <w:t>]. Similarly, downregulation of CCoAOMT in alfalfa resulted in an accumulation of caffeoyl glucosides [</w:t>
      </w:r>
      <w:r w:rsidR="00631FB3" w:rsidRPr="00631FB3">
        <w:rPr>
          <w:rFonts w:eastAsia="Calibri"/>
          <w:shd w:val="clear" w:color="auto" w:fill="FFFFFF"/>
        </w:rPr>
        <w:t>65</w:t>
      </w:r>
      <w:r w:rsidRPr="00467946">
        <w:rPr>
          <w:rFonts w:eastAsia="Calibri"/>
          <w:shd w:val="clear" w:color="auto" w:fill="FFFFFF"/>
        </w:rPr>
        <w:t xml:space="preserve">]. </w:t>
      </w:r>
    </w:p>
    <w:p w:rsidR="000F7C20" w:rsidRPr="00467946" w:rsidRDefault="000F7C20" w:rsidP="00097A19">
      <w:pPr>
        <w:numPr>
          <w:ilvl w:val="12"/>
          <w:numId w:val="0"/>
        </w:num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rsidR="000F7C20" w:rsidRPr="00467946" w:rsidRDefault="000F7C20" w:rsidP="00097A19">
      <w:pPr>
        <w:pStyle w:val="Heading3"/>
        <w:spacing w:line="480" w:lineRule="auto"/>
        <w:rPr>
          <w:rFonts w:cs="Times New Roman"/>
          <w:szCs w:val="24"/>
        </w:rPr>
      </w:pPr>
      <w:r w:rsidRPr="00467946">
        <w:rPr>
          <w:rFonts w:cs="Times New Roman"/>
          <w:szCs w:val="24"/>
        </w:rPr>
        <w:lastRenderedPageBreak/>
        <w:t>Cinnamoyl-CoA reductase</w:t>
      </w:r>
    </w:p>
    <w:p w:rsidR="000D5148" w:rsidRPr="000D5148" w:rsidRDefault="000D5148" w:rsidP="00097A19">
      <w:pPr>
        <w:autoSpaceDE w:val="0"/>
        <w:autoSpaceDN w:val="0"/>
        <w:adjustRightInd w:val="0"/>
        <w:spacing w:line="480" w:lineRule="auto"/>
        <w:rPr>
          <w:rFonts w:eastAsia="Calibri"/>
          <w:shd w:val="clear" w:color="auto" w:fill="FFFFFF"/>
        </w:rPr>
      </w:pPr>
      <w:r w:rsidRPr="000D5148">
        <w:rPr>
          <w:rFonts w:eastAsia="Calibri"/>
          <w:color w:val="000000"/>
          <w:shd w:val="clear" w:color="auto" w:fill="FFFFFF"/>
        </w:rPr>
        <w:t>Cinnamoyl-CoA reductase (CCR) catalyzes cinnamoyl-CoA esters to their corresponding cinnamaldehydes, which is considered to be the first step in the monolignol-specific branches of the lignin biosynthetic pathway [</w:t>
      </w:r>
      <w:r w:rsidR="00631FB3" w:rsidRPr="00631FB3">
        <w:rPr>
          <w:rFonts w:eastAsia="Calibri"/>
          <w:color w:val="000000"/>
          <w:shd w:val="clear" w:color="auto" w:fill="FFFFFF"/>
        </w:rPr>
        <w:t>66</w:t>
      </w:r>
      <w:r w:rsidRPr="000D5148">
        <w:rPr>
          <w:rFonts w:eastAsia="Calibri"/>
          <w:color w:val="000000"/>
          <w:shd w:val="clear" w:color="auto" w:fill="FFFFFF"/>
        </w:rPr>
        <w:t xml:space="preserve">, </w:t>
      </w:r>
      <w:r w:rsidR="00631FB3" w:rsidRPr="00631FB3">
        <w:rPr>
          <w:rFonts w:eastAsia="Calibri"/>
          <w:color w:val="000000"/>
          <w:shd w:val="clear" w:color="auto" w:fill="FFFFFF"/>
        </w:rPr>
        <w:t>67</w:t>
      </w:r>
      <w:r w:rsidRPr="000D5148">
        <w:rPr>
          <w:rFonts w:eastAsia="Calibri"/>
          <w:color w:val="000000"/>
          <w:shd w:val="clear" w:color="auto" w:fill="FFFFFF"/>
        </w:rPr>
        <w:t xml:space="preserve">, </w:t>
      </w:r>
      <w:r w:rsidR="00631FB3" w:rsidRPr="00631FB3">
        <w:rPr>
          <w:rFonts w:eastAsia="Calibri"/>
          <w:color w:val="000000"/>
          <w:shd w:val="clear" w:color="auto" w:fill="FFFFFF"/>
        </w:rPr>
        <w:t>68</w:t>
      </w:r>
      <w:r w:rsidRPr="000D5148">
        <w:rPr>
          <w:rFonts w:eastAsia="Calibri"/>
          <w:color w:val="000000"/>
          <w:shd w:val="clear" w:color="auto" w:fill="FFFFFF"/>
        </w:rPr>
        <w:t>].For most species, the predominant role of CCR in lignin biosynthesis is the reduction of feruloyl-CoA into coniferaldehyde [</w:t>
      </w:r>
      <w:r w:rsidR="00631FB3" w:rsidRPr="00631FB3">
        <w:rPr>
          <w:rFonts w:eastAsia="Calibri"/>
          <w:color w:val="000000"/>
          <w:shd w:val="clear" w:color="auto" w:fill="FFFFFF"/>
        </w:rPr>
        <w:t>49</w:t>
      </w:r>
      <w:r w:rsidRPr="000D5148">
        <w:rPr>
          <w:rFonts w:eastAsia="Calibri"/>
          <w:color w:val="000000"/>
          <w:shd w:val="clear" w:color="auto" w:fill="FFFFFF"/>
        </w:rPr>
        <w:t xml:space="preserve">]. In </w:t>
      </w:r>
      <w:r w:rsidRPr="000D5148">
        <w:rPr>
          <w:rFonts w:eastAsia="Calibri"/>
          <w:i/>
          <w:color w:val="000000"/>
          <w:shd w:val="clear" w:color="auto" w:fill="FFFFFF"/>
        </w:rPr>
        <w:t>A. thaliana</w:t>
      </w:r>
      <w:r w:rsidRPr="000D5148">
        <w:rPr>
          <w:rFonts w:eastAsia="Calibri"/>
          <w:color w:val="000000"/>
          <w:shd w:val="clear" w:color="auto" w:fill="FFFFFF"/>
        </w:rPr>
        <w:t xml:space="preserve">, poplar, and tobacco, suppressed CCR activity has been shown to affect the soluble phenolics composition, most notably by increasing the accumulation of various ferulate derivatives. In studies with </w:t>
      </w:r>
      <w:r w:rsidRPr="000D5148">
        <w:rPr>
          <w:rFonts w:eastAsia="Calibri"/>
          <w:i/>
          <w:color w:val="000000"/>
          <w:shd w:val="clear" w:color="auto" w:fill="FFFFFF"/>
        </w:rPr>
        <w:t xml:space="preserve">A. thaliana </w:t>
      </w:r>
      <w:r w:rsidRPr="000D5148">
        <w:rPr>
          <w:rFonts w:eastAsia="Calibri"/>
          <w:color w:val="000000"/>
          <w:shd w:val="clear" w:color="auto" w:fill="FFFFFF"/>
        </w:rPr>
        <w:t>mutants deficient in CCR, a decreased flow of metabolites into lignin biosynthesis was accompanied by a reduction in sinapoyl malate biosynthesis, and an increased flow toward the synthesis of feruloyl malate, as well as an incorporation of ferulic acid into the lignin polymer [</w:t>
      </w:r>
      <w:r w:rsidR="00631FB3" w:rsidRPr="00631FB3">
        <w:rPr>
          <w:rFonts w:eastAsia="Calibri"/>
          <w:color w:val="000000"/>
          <w:shd w:val="clear" w:color="auto" w:fill="FFFFFF"/>
        </w:rPr>
        <w:t>69</w:t>
      </w:r>
      <w:r w:rsidRPr="000D5148">
        <w:rPr>
          <w:rFonts w:eastAsia="Calibri"/>
          <w:color w:val="000000"/>
          <w:shd w:val="clear" w:color="auto" w:fill="FFFFFF"/>
        </w:rPr>
        <w:t>]. Two possible mechanisms employed by plants to avoid the accumulation of monolignol precursors is by sequestering them into storage metabolites or incorporating them into the cell wall structure [</w:t>
      </w:r>
      <w:r w:rsidR="00631FB3" w:rsidRPr="00631FB3">
        <w:rPr>
          <w:rFonts w:eastAsia="Calibri"/>
          <w:color w:val="000000"/>
          <w:shd w:val="clear" w:color="auto" w:fill="FFFFFF"/>
        </w:rPr>
        <w:t>70</w:t>
      </w:r>
      <w:r w:rsidRPr="000D5148">
        <w:rPr>
          <w:rFonts w:eastAsia="Calibri"/>
          <w:color w:val="000000"/>
          <w:shd w:val="clear" w:color="auto" w:fill="FFFFFF"/>
        </w:rPr>
        <w:t>]. It was hypothesized that the CCR-deficient mutants avoid a potentially toxic buildup of feruloyl-CoA, the preferred substrate of CCR, via one or both the following redirection mechanisms: by hydrolyzing feruloyl-</w:t>
      </w:r>
      <w:r w:rsidR="002A78F3">
        <w:rPr>
          <w:rFonts w:eastAsia="Calibri"/>
          <w:color w:val="000000"/>
          <w:shd w:val="clear" w:color="auto" w:fill="FFFFFF"/>
        </w:rPr>
        <w:t xml:space="preserve">CoA into ferulic acid, which is </w:t>
      </w:r>
      <w:r w:rsidRPr="000D5148">
        <w:rPr>
          <w:rFonts w:eastAsia="Calibri"/>
          <w:color w:val="000000"/>
          <w:shd w:val="clear" w:color="auto" w:fill="FFFFFF"/>
        </w:rPr>
        <w:t>further processed into feruloyl malate, or by transferring feruloyl-CoA-derived ferulic acids to the cell wall and incorporating them into the lignin structure [</w:t>
      </w:r>
      <w:r w:rsidR="00631FB3" w:rsidRPr="00631FB3">
        <w:rPr>
          <w:rFonts w:eastAsia="Calibri"/>
          <w:color w:val="000000"/>
          <w:shd w:val="clear" w:color="auto" w:fill="FFFFFF"/>
        </w:rPr>
        <w:t>69</w:t>
      </w:r>
      <w:r w:rsidRPr="000D5148">
        <w:rPr>
          <w:rFonts w:eastAsia="Calibri"/>
          <w:color w:val="000000"/>
          <w:shd w:val="clear" w:color="auto" w:fill="FFFFFF"/>
        </w:rPr>
        <w:t xml:space="preserve">]. Transgenic poplar and tobacco plants with CCR-downregulation exhibited modifications to the soluble phenolics composition similar to those observed in </w:t>
      </w:r>
      <w:r w:rsidRPr="000D5148">
        <w:rPr>
          <w:rFonts w:eastAsia="Calibri"/>
          <w:i/>
          <w:color w:val="000000"/>
          <w:shd w:val="clear" w:color="auto" w:fill="FFFFFF"/>
        </w:rPr>
        <w:t>A. thaliana</w:t>
      </w:r>
      <w:r w:rsidRPr="000D5148">
        <w:rPr>
          <w:rFonts w:eastAsia="Calibri"/>
          <w:color w:val="000000"/>
          <w:shd w:val="clear" w:color="auto" w:fill="FFFFFF"/>
        </w:rPr>
        <w:t xml:space="preserve"> CCR mutants [</w:t>
      </w:r>
      <w:r w:rsidR="00631FB3" w:rsidRPr="00631FB3">
        <w:rPr>
          <w:rFonts w:eastAsia="Calibri"/>
          <w:color w:val="000000"/>
          <w:shd w:val="clear" w:color="auto" w:fill="FFFFFF"/>
        </w:rPr>
        <w:t>39</w:t>
      </w:r>
      <w:r w:rsidRPr="000D5148">
        <w:rPr>
          <w:rFonts w:eastAsia="Calibri"/>
          <w:color w:val="000000"/>
          <w:shd w:val="clear" w:color="auto" w:fill="FFFFFF"/>
        </w:rPr>
        <w:t xml:space="preserve">, </w:t>
      </w:r>
      <w:r w:rsidR="00631FB3" w:rsidRPr="00631FB3">
        <w:rPr>
          <w:rFonts w:eastAsia="Calibri"/>
          <w:color w:val="000000"/>
          <w:shd w:val="clear" w:color="auto" w:fill="FFFFFF"/>
        </w:rPr>
        <w:t>40</w:t>
      </w:r>
      <w:r w:rsidRPr="000D5148">
        <w:rPr>
          <w:rFonts w:eastAsia="Calibri"/>
          <w:color w:val="000000"/>
          <w:shd w:val="clear" w:color="auto" w:fill="FFFFFF"/>
        </w:rPr>
        <w:t xml:space="preserve">, </w:t>
      </w:r>
      <w:proofErr w:type="gramStart"/>
      <w:r w:rsidR="00631FB3" w:rsidRPr="00631FB3">
        <w:rPr>
          <w:rFonts w:eastAsia="Calibri"/>
          <w:color w:val="000000"/>
          <w:shd w:val="clear" w:color="auto" w:fill="FFFFFF"/>
        </w:rPr>
        <w:t>71</w:t>
      </w:r>
      <w:proofErr w:type="gramEnd"/>
      <w:r w:rsidRPr="000D5148">
        <w:rPr>
          <w:rFonts w:eastAsia="Calibri"/>
          <w:color w:val="000000"/>
          <w:shd w:val="clear" w:color="auto" w:fill="FFFFFF"/>
        </w:rPr>
        <w:t xml:space="preserve">]. In poplar, CCR downregulation was associated with an overall increase in the soluble phenolics content, most notably in the levels of ferulic and sinapic </w:t>
      </w:r>
      <w:r w:rsidRPr="000D5148">
        <w:rPr>
          <w:rFonts w:eastAsia="Calibri"/>
          <w:color w:val="000000"/>
          <w:shd w:val="clear" w:color="auto" w:fill="FFFFFF"/>
        </w:rPr>
        <w:lastRenderedPageBreak/>
        <w:t>acid esters, relative to control plants [</w:t>
      </w:r>
      <w:r w:rsidR="00631FB3" w:rsidRPr="00631FB3">
        <w:rPr>
          <w:rFonts w:eastAsia="Calibri"/>
          <w:color w:val="000000"/>
          <w:shd w:val="clear" w:color="auto" w:fill="FFFFFF"/>
        </w:rPr>
        <w:t>40</w:t>
      </w:r>
      <w:r w:rsidRPr="000D5148">
        <w:rPr>
          <w:rFonts w:eastAsia="Calibri"/>
          <w:color w:val="000000"/>
          <w:shd w:val="clear" w:color="auto" w:fill="FFFFFF"/>
        </w:rPr>
        <w:t>]. In addition, the concentration of ferulic acid in transgenic tissues increased relative to coniferaldehyde. It was suggested</w:t>
      </w:r>
      <w:r w:rsidRPr="000D5148">
        <w:rPr>
          <w:rFonts w:eastAsia="Calibri"/>
          <w:shd w:val="clear" w:color="auto" w:fill="FFFFFF"/>
        </w:rPr>
        <w:t xml:space="preserve"> that the decreased conversion of feruloyl-CoA into coniferaldehyde in CCR-downregulated plants caused a diversion of the metabolic flow away from lignin biosynthesis, which was compensated for by an increased flow toward the synthesis of ferulic acids. Similar to what was observed in the CCR mutants of </w:t>
      </w:r>
      <w:r w:rsidRPr="000D5148">
        <w:rPr>
          <w:rFonts w:eastAsia="Calibri"/>
          <w:i/>
          <w:shd w:val="clear" w:color="auto" w:fill="FFFFFF"/>
        </w:rPr>
        <w:t>A. thaliana</w:t>
      </w:r>
      <w:r w:rsidRPr="000D5148">
        <w:rPr>
          <w:rFonts w:eastAsia="Calibri"/>
          <w:shd w:val="clear" w:color="auto" w:fill="FFFFFF"/>
        </w:rPr>
        <w:t>, NMR and thioacidolysis analyses of CCR-downregulated poplar indicated that some of the accumulating ferulic acid was transported to the cell wall and cross-coupled with lignin. Transgenic tobacco with suppressed CCR activity also exhibited an increased metabolic flux toward the production of ferulic acid and sinapic acid relative to control plants [</w:t>
      </w:r>
      <w:r w:rsidR="00631FB3" w:rsidRPr="00631FB3">
        <w:rPr>
          <w:rFonts w:eastAsia="Calibri"/>
          <w:shd w:val="clear" w:color="auto" w:fill="FFFFFF"/>
        </w:rPr>
        <w:t>39</w:t>
      </w:r>
      <w:r w:rsidRPr="000D5148">
        <w:rPr>
          <w:rFonts w:eastAsia="Calibri"/>
          <w:shd w:val="clear" w:color="auto" w:fill="FFFFFF"/>
        </w:rPr>
        <w:t xml:space="preserve">, </w:t>
      </w:r>
      <w:r w:rsidR="00631FB3" w:rsidRPr="00631FB3">
        <w:rPr>
          <w:rFonts w:eastAsia="Calibri"/>
          <w:shd w:val="clear" w:color="auto" w:fill="FFFFFF"/>
        </w:rPr>
        <w:t>71</w:t>
      </w:r>
      <w:r w:rsidRPr="000D5148">
        <w:rPr>
          <w:rFonts w:eastAsia="Calibri"/>
          <w:shd w:val="clear" w:color="auto" w:fill="FFFFFF"/>
        </w:rPr>
        <w:t>]. In one of these studies, an increase in glycosylated and quinylated derivatives of feruloyl-CoA was observed in transgenic plants relative to their controls [</w:t>
      </w:r>
      <w:r w:rsidR="00631FB3" w:rsidRPr="00631FB3">
        <w:rPr>
          <w:rFonts w:eastAsia="Calibri"/>
          <w:shd w:val="clear" w:color="auto" w:fill="FFFFFF"/>
        </w:rPr>
        <w:t>39</w:t>
      </w:r>
      <w:r w:rsidRPr="000D5148">
        <w:rPr>
          <w:rFonts w:eastAsia="Calibri"/>
          <w:shd w:val="clear" w:color="auto" w:fill="FFFFFF"/>
        </w:rPr>
        <w:t>]. It was proposed that the accumulating feruloyl-CoA could be quinylated or redirected toward the synthesis of ferulic acid. The ferulic acid could then be partially converted to sinapic acid, and detoxification of these acids could occur via glycosylation. Increased transcript levels of 3-deoxy-D-arabino-heptulosonate-7-phosphate (DAHP), a regulator of the carbon flux into shikimate metabolism, indicated that the metabolic flux may also be partially redirected toward the shikimate pathway.</w:t>
      </w:r>
    </w:p>
    <w:p w:rsidR="000F7C20" w:rsidRPr="00467946" w:rsidRDefault="000F7C20" w:rsidP="00097A19">
      <w:pPr>
        <w:numPr>
          <w:ilvl w:val="12"/>
          <w:numId w:val="0"/>
        </w:num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rsidR="000F7C20" w:rsidRPr="00467946" w:rsidRDefault="000F7C20" w:rsidP="00097A19">
      <w:pPr>
        <w:pStyle w:val="Heading3"/>
        <w:spacing w:line="480" w:lineRule="auto"/>
        <w:rPr>
          <w:rFonts w:cs="Times New Roman"/>
          <w:szCs w:val="24"/>
        </w:rPr>
      </w:pPr>
      <w:r w:rsidRPr="00467946">
        <w:rPr>
          <w:rFonts w:cs="Times New Roman"/>
          <w:szCs w:val="24"/>
        </w:rPr>
        <w:t>Caffeic acid 3-O-methyltransferase</w:t>
      </w:r>
    </w:p>
    <w:p w:rsidR="00467946" w:rsidRPr="00467946" w:rsidRDefault="00467946" w:rsidP="00097A19">
      <w:pPr>
        <w:autoSpaceDE w:val="0"/>
        <w:autoSpaceDN w:val="0"/>
        <w:adjustRightInd w:val="0"/>
        <w:spacing w:line="480" w:lineRule="auto"/>
        <w:rPr>
          <w:rFonts w:eastAsia="Calibri"/>
          <w:shd w:val="clear" w:color="auto" w:fill="FFFFFF"/>
        </w:rPr>
      </w:pPr>
      <w:r w:rsidRPr="00467946">
        <w:rPr>
          <w:rFonts w:eastAsia="Calibri"/>
        </w:rPr>
        <w:t xml:space="preserve">Caffeic acid 3-O-methyltransferase (COMT) is a member of the </w:t>
      </w:r>
      <w:r w:rsidRPr="00467946">
        <w:rPr>
          <w:rFonts w:eastAsia="Calibri"/>
          <w:i/>
          <w:iCs/>
        </w:rPr>
        <w:t>o</w:t>
      </w:r>
      <w:r w:rsidRPr="00467946">
        <w:rPr>
          <w:rFonts w:eastAsia="Calibri"/>
        </w:rPr>
        <w:t xml:space="preserve">-methyltransferases, a family of enzymes which catalyze the methylation of various secondary metabolites in </w:t>
      </w:r>
      <w:r w:rsidRPr="00467946">
        <w:rPr>
          <w:rFonts w:eastAsia="Calibri"/>
        </w:rPr>
        <w:lastRenderedPageBreak/>
        <w:t>the phenylpropanoid pathway [</w:t>
      </w:r>
      <w:r w:rsidR="00631FB3" w:rsidRPr="00631FB3">
        <w:rPr>
          <w:rFonts w:eastAsia="Calibri"/>
        </w:rPr>
        <w:t>72</w:t>
      </w:r>
      <w:r w:rsidRPr="00467946">
        <w:rPr>
          <w:rFonts w:eastAsia="Calibri"/>
        </w:rPr>
        <w:t xml:space="preserve">]. In lignin biosynthesis, COMT is primarily responsible for catalyzing the </w:t>
      </w:r>
      <w:r w:rsidRPr="00467946">
        <w:rPr>
          <w:rFonts w:eastAsia="Calibri"/>
          <w:i/>
        </w:rPr>
        <w:t>O</w:t>
      </w:r>
      <w:r w:rsidRPr="00467946">
        <w:rPr>
          <w:rFonts w:eastAsia="Calibri"/>
        </w:rPr>
        <w:t xml:space="preserve">-methylation of the 5-hydroxyl group of 5-hydroxyconiferaldehyde to produce sinapaldehyde [37]. </w:t>
      </w:r>
      <w:r w:rsidRPr="00467946">
        <w:rPr>
          <w:rFonts w:eastAsia="Calibri"/>
          <w:shd w:val="clear" w:color="auto" w:fill="FFFFFF"/>
        </w:rPr>
        <w:t xml:space="preserve">A suppression of COMT enzyme activity has been shown to affect the phenolics profiles of </w:t>
      </w:r>
      <w:r w:rsidRPr="00467946">
        <w:rPr>
          <w:rFonts w:eastAsia="Calibri"/>
          <w:i/>
          <w:shd w:val="clear" w:color="auto" w:fill="FFFFFF"/>
        </w:rPr>
        <w:t xml:space="preserve">A. thaliana, </w:t>
      </w:r>
      <w:r w:rsidRPr="00467946">
        <w:rPr>
          <w:rFonts w:eastAsia="Calibri"/>
          <w:shd w:val="clear" w:color="auto" w:fill="FFFFFF"/>
        </w:rPr>
        <w:t>tobacco, and switchgrass [</w:t>
      </w:r>
      <w:r w:rsidR="00631FB3" w:rsidRPr="00631FB3">
        <w:rPr>
          <w:rFonts w:eastAsia="Calibri"/>
          <w:shd w:val="clear" w:color="auto" w:fill="FFFFFF"/>
        </w:rPr>
        <w:t>73</w:t>
      </w:r>
      <w:r w:rsidRPr="00467946">
        <w:rPr>
          <w:rFonts w:eastAsia="Calibri"/>
          <w:shd w:val="clear" w:color="auto" w:fill="FFFFFF"/>
        </w:rPr>
        <w:t xml:space="preserve">, </w:t>
      </w:r>
      <w:r w:rsidR="00631FB3" w:rsidRPr="00631FB3">
        <w:rPr>
          <w:rFonts w:eastAsia="Calibri"/>
          <w:shd w:val="clear" w:color="auto" w:fill="FFFFFF"/>
        </w:rPr>
        <w:t>36</w:t>
      </w:r>
      <w:proofErr w:type="gramStart"/>
      <w:r w:rsidRPr="00467946">
        <w:rPr>
          <w:rFonts w:eastAsia="Calibri"/>
          <w:shd w:val="clear" w:color="auto" w:fill="FFFFFF"/>
        </w:rPr>
        <w:t>,</w:t>
      </w:r>
      <w:r w:rsidR="00631FB3" w:rsidRPr="00631FB3">
        <w:rPr>
          <w:rFonts w:eastAsia="Calibri"/>
          <w:shd w:val="clear" w:color="auto" w:fill="FFFFFF"/>
        </w:rPr>
        <w:t>36</w:t>
      </w:r>
      <w:proofErr w:type="gramEnd"/>
      <w:r w:rsidRPr="00467946">
        <w:rPr>
          <w:rFonts w:eastAsia="Calibri"/>
          <w:shd w:val="clear" w:color="auto" w:fill="FFFFFF"/>
        </w:rPr>
        <w:t xml:space="preserve">, </w:t>
      </w:r>
      <w:r w:rsidR="00631FB3" w:rsidRPr="00631FB3">
        <w:rPr>
          <w:rFonts w:eastAsia="Calibri"/>
          <w:shd w:val="clear" w:color="auto" w:fill="FFFFFF"/>
        </w:rPr>
        <w:t>74</w:t>
      </w:r>
      <w:r w:rsidRPr="00467946">
        <w:rPr>
          <w:rFonts w:eastAsia="Calibri"/>
          <w:shd w:val="clear" w:color="auto" w:fill="FFFFFF"/>
        </w:rPr>
        <w:t xml:space="preserve">]. </w:t>
      </w:r>
      <w:r w:rsidRPr="00467946">
        <w:rPr>
          <w:rFonts w:eastAsia="Calibri"/>
          <w:i/>
          <w:shd w:val="clear" w:color="auto" w:fill="FFFFFF"/>
        </w:rPr>
        <w:t>A. thaliana</w:t>
      </w:r>
      <w:r w:rsidRPr="00467946">
        <w:rPr>
          <w:rFonts w:eastAsia="Calibri"/>
          <w:shd w:val="clear" w:color="auto" w:fill="FFFFFF"/>
        </w:rPr>
        <w:t xml:space="preserve"> mutants deficient in COMT activity accumulate significantly less sinapoyl malate relative to controls [</w:t>
      </w:r>
      <w:r w:rsidR="00631FB3" w:rsidRPr="00631FB3">
        <w:rPr>
          <w:rFonts w:eastAsia="Calibri"/>
          <w:shd w:val="clear" w:color="auto" w:fill="FFFFFF"/>
        </w:rPr>
        <w:t>36</w:t>
      </w:r>
      <w:r w:rsidRPr="00467946">
        <w:rPr>
          <w:rFonts w:eastAsia="Calibri"/>
          <w:shd w:val="clear" w:color="auto" w:fill="FFFFFF"/>
        </w:rPr>
        <w:t xml:space="preserve">, </w:t>
      </w:r>
      <w:r w:rsidR="00631FB3" w:rsidRPr="00631FB3">
        <w:rPr>
          <w:rFonts w:eastAsia="Calibri"/>
          <w:shd w:val="clear" w:color="auto" w:fill="FFFFFF"/>
        </w:rPr>
        <w:t>73</w:t>
      </w:r>
      <w:r w:rsidRPr="00467946">
        <w:rPr>
          <w:rFonts w:eastAsia="Calibri"/>
          <w:shd w:val="clear" w:color="auto" w:fill="FFFFFF"/>
        </w:rPr>
        <w:t>]. One of these reports also indicated a significant increase in hydroxyferuloyl malate in COMT mutants compared to controls; this compound is a derivative of the COMT substrate, 5-hydroxyconiferaldehyde [</w:t>
      </w:r>
      <w:r w:rsidR="00631FB3" w:rsidRPr="00631FB3">
        <w:rPr>
          <w:rFonts w:eastAsia="Calibri"/>
          <w:shd w:val="clear" w:color="auto" w:fill="FFFFFF"/>
        </w:rPr>
        <w:t>36</w:t>
      </w:r>
      <w:r w:rsidRPr="00467946">
        <w:rPr>
          <w:rFonts w:eastAsia="Calibri"/>
          <w:shd w:val="clear" w:color="auto" w:fill="FFFFFF"/>
        </w:rPr>
        <w:t>]. In switchgrass, RNAi-mediated gene silencing of COMT resulted in an accumulation of phenolic acids and aldehydes, most notably in ferulic acid, 5-hydroxyferulic acid, and ferulic acid-glycoside conjugates, vanillin, and 5-hydroxyconiferaldehyde.</w:t>
      </w:r>
      <w:r w:rsidRPr="00467946">
        <w:rPr>
          <w:rFonts w:eastAsia="Calibri"/>
        </w:rPr>
        <w:t xml:space="preserve"> Additionally, a </w:t>
      </w:r>
      <w:r w:rsidRPr="00467946">
        <w:rPr>
          <w:rFonts w:eastAsia="Calibri"/>
          <w:shd w:val="clear" w:color="auto" w:fill="FFFFFF"/>
        </w:rPr>
        <w:t>novel monolignol-like metabolite was observed in the transgenic plants, identified as trans-3, 4-dimethoxy-5-hydroxycinnamyl alcohol (iso-sinapyl alcohol) [</w:t>
      </w:r>
      <w:r w:rsidR="00631FB3" w:rsidRPr="00631FB3">
        <w:rPr>
          <w:rFonts w:eastAsia="Calibri"/>
          <w:shd w:val="clear" w:color="auto" w:fill="FFFFFF"/>
        </w:rPr>
        <w:t>74</w:t>
      </w:r>
      <w:r w:rsidRPr="00467946">
        <w:rPr>
          <w:rFonts w:eastAsia="Calibri"/>
          <w:shd w:val="clear" w:color="auto" w:fill="FFFFFF"/>
        </w:rPr>
        <w:t>].</w:t>
      </w:r>
    </w:p>
    <w:p w:rsidR="000F7C20" w:rsidRPr="00467946" w:rsidRDefault="000F7C20" w:rsidP="00097A19">
      <w:pPr>
        <w:numPr>
          <w:ilvl w:val="12"/>
          <w:numId w:val="0"/>
        </w:num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rsidR="000F7C20" w:rsidRPr="00467946" w:rsidRDefault="000F7C20" w:rsidP="00097A19">
      <w:pPr>
        <w:pStyle w:val="Heading3"/>
        <w:spacing w:line="480" w:lineRule="auto"/>
        <w:rPr>
          <w:rFonts w:cs="Times New Roman"/>
          <w:szCs w:val="24"/>
        </w:rPr>
      </w:pPr>
      <w:r w:rsidRPr="00467946">
        <w:rPr>
          <w:rFonts w:cs="Times New Roman"/>
          <w:szCs w:val="24"/>
        </w:rPr>
        <w:t xml:space="preserve">Cinnamyl alcohol dehydrogenase </w:t>
      </w:r>
    </w:p>
    <w:p w:rsidR="00467946" w:rsidRPr="00467946" w:rsidRDefault="00467946" w:rsidP="00097A19">
      <w:pPr>
        <w:autoSpaceDE w:val="0"/>
        <w:autoSpaceDN w:val="0"/>
        <w:adjustRightInd w:val="0"/>
        <w:spacing w:line="480" w:lineRule="auto"/>
        <w:rPr>
          <w:rFonts w:eastAsia="Calibri"/>
        </w:rPr>
      </w:pPr>
      <w:r w:rsidRPr="00467946">
        <w:rPr>
          <w:rFonts w:eastAsia="Calibri"/>
          <w:shd w:val="clear" w:color="auto" w:fill="FFFFFF"/>
        </w:rPr>
        <w:t>Cinnamyl alcohol dehydrogenase (CAD) catalyzes the last step in the monolignol-specific pathway by reducing cinnamaldehydes into their corresponding cinnamyl alcohols [</w:t>
      </w:r>
      <w:r w:rsidR="00631FB3" w:rsidRPr="00631FB3">
        <w:rPr>
          <w:rFonts w:eastAsia="Calibri"/>
          <w:shd w:val="clear" w:color="auto" w:fill="FFFFFF"/>
        </w:rPr>
        <w:t>68</w:t>
      </w:r>
      <w:r w:rsidRPr="00467946">
        <w:rPr>
          <w:rFonts w:eastAsia="Calibri"/>
          <w:shd w:val="clear" w:color="auto" w:fill="FFFFFF"/>
        </w:rPr>
        <w:t>]. In switchgrass, downregulation of CAD resulted in a 40-170% increase in the level of chlorogenic acid</w:t>
      </w:r>
      <w:r w:rsidRPr="00467946">
        <w:rPr>
          <w:rFonts w:eastAsia="Calibri"/>
        </w:rPr>
        <w:t xml:space="preserve"> </w:t>
      </w:r>
      <w:r w:rsidRPr="00467946">
        <w:rPr>
          <w:rFonts w:eastAsia="Calibri"/>
          <w:shd w:val="clear" w:color="auto" w:fill="FFFFFF"/>
        </w:rPr>
        <w:t>(caffeoyl quinic acid) in most of the transgenic lines relative to the control [</w:t>
      </w:r>
      <w:r w:rsidR="00631FB3" w:rsidRPr="00631FB3">
        <w:rPr>
          <w:rFonts w:eastAsia="Calibri"/>
          <w:shd w:val="clear" w:color="auto" w:fill="FFFFFF"/>
        </w:rPr>
        <w:t>17</w:t>
      </w:r>
      <w:r w:rsidRPr="00467946">
        <w:rPr>
          <w:rFonts w:eastAsia="Calibri"/>
          <w:shd w:val="clear" w:color="auto" w:fill="FFFFFF"/>
        </w:rPr>
        <w:t xml:space="preserve">]. </w:t>
      </w:r>
      <w:r w:rsidRPr="00467946">
        <w:rPr>
          <w:rFonts w:eastAsia="Calibri"/>
        </w:rPr>
        <w:t xml:space="preserve">Downregulation of CAD in </w:t>
      </w:r>
      <w:r w:rsidRPr="00467946">
        <w:rPr>
          <w:rFonts w:eastAsia="Arial Unicode MS"/>
          <w:shd w:val="clear" w:color="auto" w:fill="FFFFFF"/>
        </w:rPr>
        <w:t>flax (</w:t>
      </w:r>
      <w:r w:rsidRPr="00467946">
        <w:rPr>
          <w:rFonts w:eastAsia="Arial Unicode MS"/>
          <w:i/>
          <w:iCs/>
          <w:bdr w:val="none" w:sz="0" w:space="0" w:color="auto" w:frame="1"/>
          <w:shd w:val="clear" w:color="auto" w:fill="FFFFFF"/>
        </w:rPr>
        <w:t>Linum usitatissimum</w:t>
      </w:r>
      <w:r w:rsidRPr="00467946">
        <w:rPr>
          <w:rFonts w:eastAsia="Arial Unicode MS"/>
          <w:shd w:val="clear" w:color="auto" w:fill="FFFFFF"/>
        </w:rPr>
        <w:t xml:space="preserve"> L.) led to an increase in total phenolic content, including a 2-fold increase in ferulic acid and thirty percent increase in </w:t>
      </w:r>
      <w:r w:rsidRPr="00467946">
        <w:rPr>
          <w:rFonts w:eastAsia="Arial Unicode MS"/>
          <w:i/>
          <w:shd w:val="clear" w:color="auto" w:fill="FFFFFF"/>
        </w:rPr>
        <w:t>p</w:t>
      </w:r>
      <w:r w:rsidRPr="00467946">
        <w:rPr>
          <w:rFonts w:eastAsia="Arial Unicode MS"/>
          <w:shd w:val="clear" w:color="auto" w:fill="FFFFFF"/>
        </w:rPr>
        <w:t>-coumaric acid compared to the control plants [</w:t>
      </w:r>
      <w:r w:rsidR="00631FB3" w:rsidRPr="00631FB3">
        <w:rPr>
          <w:rFonts w:eastAsia="Arial Unicode MS"/>
          <w:shd w:val="clear" w:color="auto" w:fill="FFFFFF"/>
        </w:rPr>
        <w:t>75</w:t>
      </w:r>
      <w:r w:rsidRPr="00467946">
        <w:rPr>
          <w:rFonts w:eastAsia="Arial Unicode MS"/>
          <w:shd w:val="clear" w:color="auto" w:fill="FFFFFF"/>
        </w:rPr>
        <w:t xml:space="preserve">]. </w:t>
      </w:r>
      <w:r w:rsidRPr="00467946">
        <w:rPr>
          <w:rFonts w:eastAsia="Calibri"/>
          <w:shd w:val="clear" w:color="auto" w:fill="FFFFFF"/>
        </w:rPr>
        <w:t>In CAD-</w:t>
      </w:r>
      <w:r w:rsidRPr="00467946">
        <w:rPr>
          <w:rFonts w:eastAsia="Calibri"/>
          <w:shd w:val="clear" w:color="auto" w:fill="FFFFFF"/>
        </w:rPr>
        <w:lastRenderedPageBreak/>
        <w:t>downregulated tobacco, an increased metabolic flux toward the production of soluble phenolics was also observed, particularly in levels of</w:t>
      </w:r>
      <w:r w:rsidRPr="00467946">
        <w:rPr>
          <w:rFonts w:eastAsia="Calibri"/>
        </w:rPr>
        <w:t xml:space="preserve"> syringic, ferulic, </w:t>
      </w:r>
      <w:r w:rsidRPr="00467946">
        <w:rPr>
          <w:rFonts w:eastAsia="Calibri"/>
          <w:i/>
        </w:rPr>
        <w:t>p</w:t>
      </w:r>
      <w:r w:rsidRPr="00467946">
        <w:rPr>
          <w:rFonts w:eastAsia="Calibri"/>
        </w:rPr>
        <w:t>-coumaric, and sinapic acids [</w:t>
      </w:r>
      <w:r w:rsidR="00631FB3" w:rsidRPr="00631FB3">
        <w:rPr>
          <w:rFonts w:eastAsia="Calibri"/>
        </w:rPr>
        <w:t>76</w:t>
      </w:r>
      <w:r w:rsidRPr="00467946">
        <w:rPr>
          <w:rFonts w:eastAsia="Calibri"/>
        </w:rPr>
        <w:t>]. Additionally, ferulic acid increased by 58-fold in the transgenic plants relative to the wild-type controls.  Another study with CAD-downregulated tobacco reported an increase in the accumulation of the two substrates of CAD, coniferaldehyde and sinapaldehyde, in the transgenic plants relative to controls [</w:t>
      </w:r>
      <w:r w:rsidR="00631FB3" w:rsidRPr="00631FB3">
        <w:rPr>
          <w:rFonts w:eastAsia="Calibri"/>
        </w:rPr>
        <w:t>39</w:t>
      </w:r>
      <w:r w:rsidRPr="00467946">
        <w:rPr>
          <w:rFonts w:eastAsia="Calibri"/>
        </w:rPr>
        <w:t>]. Additionally, it was suggested that CAD downregulation may also result in a partial flux toward the shikimate pathway</w:t>
      </w:r>
      <w:r w:rsidR="002A78F3">
        <w:rPr>
          <w:rFonts w:eastAsia="Calibri"/>
        </w:rPr>
        <w:t>,</w:t>
      </w:r>
      <w:r w:rsidRPr="00467946">
        <w:rPr>
          <w:rFonts w:eastAsia="Calibri"/>
        </w:rPr>
        <w:t xml:space="preserve"> as indicated by increased transcript levels of DAHP synthase [</w:t>
      </w:r>
      <w:r w:rsidR="00631FB3" w:rsidRPr="00631FB3">
        <w:rPr>
          <w:rFonts w:eastAsia="Calibri"/>
        </w:rPr>
        <w:t>39</w:t>
      </w:r>
      <w:r w:rsidRPr="00467946">
        <w:rPr>
          <w:rFonts w:eastAsia="Calibri"/>
        </w:rPr>
        <w:t>].</w:t>
      </w:r>
    </w:p>
    <w:p w:rsidR="000F7C20" w:rsidRPr="00467946" w:rsidRDefault="000F7C20" w:rsidP="00097A19">
      <w:pPr>
        <w:numPr>
          <w:ilvl w:val="12"/>
          <w:numId w:val="0"/>
        </w:num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rsidR="000F7C20" w:rsidRPr="00467946" w:rsidRDefault="000F7C20" w:rsidP="00097A19">
      <w:pPr>
        <w:pStyle w:val="Heading3"/>
        <w:spacing w:line="480" w:lineRule="auto"/>
        <w:rPr>
          <w:rFonts w:cs="Times New Roman"/>
          <w:szCs w:val="24"/>
        </w:rPr>
      </w:pPr>
      <w:r w:rsidRPr="00467946">
        <w:rPr>
          <w:rFonts w:cs="Times New Roman"/>
          <w:szCs w:val="24"/>
        </w:rPr>
        <w:t>MYB transcription factors</w:t>
      </w:r>
    </w:p>
    <w:p w:rsidR="00BA3093" w:rsidRDefault="00467946" w:rsidP="00097A19">
      <w:pPr>
        <w:autoSpaceDE w:val="0"/>
        <w:autoSpaceDN w:val="0"/>
        <w:adjustRightInd w:val="0"/>
        <w:spacing w:line="480" w:lineRule="auto"/>
        <w:rPr>
          <w:rFonts w:eastAsia="Calibri"/>
          <w:shd w:val="clear" w:color="auto" w:fill="FFFFFF"/>
        </w:rPr>
      </w:pPr>
      <w:r w:rsidRPr="00467946">
        <w:rPr>
          <w:rFonts w:eastAsia="Calibri"/>
          <w:color w:val="000000"/>
          <w:shd w:val="clear" w:color="auto" w:fill="FFFFFF"/>
        </w:rPr>
        <w:t xml:space="preserve">Rather than silencing the </w:t>
      </w:r>
      <w:r w:rsidRPr="00467946">
        <w:rPr>
          <w:rFonts w:eastAsia="Calibri"/>
          <w:shd w:val="clear" w:color="auto" w:fill="FFFFFF"/>
        </w:rPr>
        <w:t xml:space="preserve">expression of individual lignin biosynthetic genes, an alternative approach for decreasing lignin in cell walls is to manipulate the activity of transcription factors that act as repressors of lignin genes. </w:t>
      </w:r>
      <w:r w:rsidR="00EA1B3C" w:rsidRPr="00EA1B3C">
        <w:rPr>
          <w:rFonts w:eastAsia="Calibri"/>
          <w:shd w:val="clear" w:color="auto" w:fill="FFFFFF"/>
        </w:rPr>
        <w:t>MYB proteins comprise a diverse family of transcription factors that play important regulatory roles in various plant functions.</w:t>
      </w:r>
      <w:r w:rsidR="00EA1B3C">
        <w:rPr>
          <w:rFonts w:eastAsia="Calibri"/>
          <w:shd w:val="clear" w:color="auto" w:fill="FFFFFF"/>
        </w:rPr>
        <w:t xml:space="preserve"> </w:t>
      </w:r>
      <w:r w:rsidRPr="00467946">
        <w:rPr>
          <w:rFonts w:eastAsia="Calibri"/>
          <w:shd w:val="clear" w:color="auto" w:fill="FFFFFF"/>
        </w:rPr>
        <w:t>The R2R3-MYB family of transcription factors has been described as playing an important role in the regulation of lignin biosynthetic genes [</w:t>
      </w:r>
      <w:r w:rsidR="00631FB3">
        <w:t>5</w:t>
      </w:r>
      <w:r w:rsidRPr="00467946">
        <w:rPr>
          <w:rFonts w:eastAsia="Calibri"/>
          <w:shd w:val="clear" w:color="auto" w:fill="FFFFFF"/>
        </w:rPr>
        <w:t>]. The activities of R2R3-MYB transcription factors are generally not restricted to lignin biosynthesis, but rather have an influence on gene expression in multiple pathways within the phenylpropanoid network, including phenolics, anthocyanins, lignins, and flavonols [</w:t>
      </w:r>
      <w:r w:rsidR="00631FB3" w:rsidRPr="00631FB3">
        <w:rPr>
          <w:rFonts w:eastAsia="Calibri"/>
          <w:shd w:val="clear" w:color="auto" w:fill="FFFFFF"/>
        </w:rPr>
        <w:t>77</w:t>
      </w:r>
      <w:r w:rsidRPr="00467946">
        <w:rPr>
          <w:rFonts w:eastAsia="Calibri"/>
          <w:shd w:val="clear" w:color="auto" w:fill="FFFFFF"/>
        </w:rPr>
        <w:t xml:space="preserve">]. </w:t>
      </w:r>
      <w:r w:rsidRPr="00467946">
        <w:rPr>
          <w:rFonts w:eastAsia="Calibri"/>
          <w:i/>
          <w:shd w:val="clear" w:color="auto" w:fill="FFFFFF"/>
        </w:rPr>
        <w:t xml:space="preserve">A. thaliana </w:t>
      </w:r>
      <w:r w:rsidRPr="00467946">
        <w:rPr>
          <w:rFonts w:eastAsia="Calibri"/>
          <w:shd w:val="clear" w:color="auto" w:fill="FFFFFF"/>
        </w:rPr>
        <w:t>plants with over-expression of ZmMYB42, an R2R3-MYB transcription factor derived from maize (</w:t>
      </w:r>
      <w:r w:rsidRPr="00467946">
        <w:rPr>
          <w:rFonts w:eastAsia="Calibri"/>
          <w:i/>
          <w:iCs/>
          <w:bdr w:val="none" w:sz="0" w:space="0" w:color="auto" w:frame="1"/>
          <w:shd w:val="clear" w:color="auto" w:fill="FFFFFF"/>
        </w:rPr>
        <w:t>Zea mays</w:t>
      </w:r>
      <w:r w:rsidRPr="00467946">
        <w:rPr>
          <w:rFonts w:eastAsia="Calibri"/>
          <w:shd w:val="clear" w:color="auto" w:fill="FFFFFF"/>
        </w:rPr>
        <w:t xml:space="preserve">), exhibited a suppression of several lignin biosynthetic genes and a corresponding decrease in total lignin content relative to control </w:t>
      </w:r>
      <w:r w:rsidRPr="00467946">
        <w:rPr>
          <w:rFonts w:eastAsia="Calibri"/>
          <w:shd w:val="clear" w:color="auto" w:fill="FFFFFF"/>
        </w:rPr>
        <w:lastRenderedPageBreak/>
        <w:t>plants [</w:t>
      </w:r>
      <w:r w:rsidR="00631FB3" w:rsidRPr="00631FB3">
        <w:rPr>
          <w:rFonts w:eastAsia="Calibri"/>
          <w:shd w:val="clear" w:color="auto" w:fill="FFFFFF"/>
        </w:rPr>
        <w:t>38</w:t>
      </w:r>
      <w:r w:rsidRPr="00467946">
        <w:rPr>
          <w:rFonts w:eastAsia="Calibri"/>
          <w:shd w:val="clear" w:color="auto" w:fill="FFFFFF"/>
        </w:rPr>
        <w:t xml:space="preserve">]. Additionally, these plants were reported to have a 66% reduction in total phenolic content, mainly from a significant reduction in flavonols. Suppression of flavonoid biosynthesis was attributed to the negative regulation of ZmMYB42 on two major flavonoid pathway genes. In addition to flavonoid and lignin suppression, these plants also exhibited lower levels of sinapoyl malate compared to controls. This reduction in sinapoyl malate biosynthesis could be related to the negative regulation of ZmMYB42 on </w:t>
      </w:r>
      <w:r w:rsidR="002A78F3">
        <w:rPr>
          <w:rFonts w:eastAsia="Calibri"/>
          <w:shd w:val="clear" w:color="auto" w:fill="FFFFFF"/>
        </w:rPr>
        <w:t xml:space="preserve">the </w:t>
      </w:r>
      <w:r w:rsidRPr="00467946">
        <w:rPr>
          <w:rFonts w:eastAsia="Calibri"/>
          <w:shd w:val="clear" w:color="auto" w:fill="FFFFFF"/>
        </w:rPr>
        <w:t>expression of C4H, ferulate 5-hydroxylase (F5H), and COMT, as a reduced expression of these genes in mutant plants has been associated with a decrease in sinapoyl malate synthesis [</w:t>
      </w:r>
      <w:r w:rsidR="00631FB3" w:rsidRPr="00631FB3">
        <w:rPr>
          <w:rFonts w:eastAsia="Calibri"/>
          <w:shd w:val="clear" w:color="auto" w:fill="FFFFFF"/>
        </w:rPr>
        <w:t>73</w:t>
      </w:r>
      <w:r w:rsidRPr="00467946">
        <w:rPr>
          <w:rFonts w:eastAsia="Calibri"/>
          <w:shd w:val="clear" w:color="auto" w:fill="FFFFFF"/>
        </w:rPr>
        <w:t xml:space="preserve">, </w:t>
      </w:r>
      <w:r w:rsidR="00631FB3" w:rsidRPr="00631FB3">
        <w:rPr>
          <w:rFonts w:eastAsia="Calibri"/>
          <w:shd w:val="clear" w:color="auto" w:fill="FFFFFF"/>
        </w:rPr>
        <w:t>78</w:t>
      </w:r>
      <w:r w:rsidRPr="00467946">
        <w:rPr>
          <w:rFonts w:eastAsia="Calibri"/>
          <w:shd w:val="clear" w:color="auto" w:fill="FFFFFF"/>
        </w:rPr>
        <w:t>]. Additionally, this reduction could also be explained by the negative regulation of ZmMYB42 on aldehyde dehydrogenase, the enzyme catalyzing the initial step toward sinapoyl malate biosynthesis [</w:t>
      </w:r>
      <w:r w:rsidR="00631FB3" w:rsidRPr="00631FB3">
        <w:rPr>
          <w:rFonts w:eastAsia="Calibri"/>
          <w:shd w:val="clear" w:color="auto" w:fill="FFFFFF"/>
        </w:rPr>
        <w:t>38</w:t>
      </w:r>
      <w:r w:rsidRPr="00467946">
        <w:rPr>
          <w:rFonts w:eastAsia="Calibri"/>
          <w:shd w:val="clear" w:color="auto" w:fill="FFFFFF"/>
        </w:rPr>
        <w:t xml:space="preserve">]. </w:t>
      </w:r>
      <w:r w:rsidRPr="00467946">
        <w:rPr>
          <w:rFonts w:eastAsia="Calibri"/>
          <w:i/>
        </w:rPr>
        <w:t>A. thaliana</w:t>
      </w:r>
      <w:r w:rsidRPr="00467946">
        <w:rPr>
          <w:rFonts w:eastAsia="Calibri"/>
        </w:rPr>
        <w:t xml:space="preserve"> plants expressing another R2R3-MYB transcription factor, ZmMYB31,</w:t>
      </w:r>
      <w:r w:rsidRPr="00467946">
        <w:rPr>
          <w:rFonts w:eastAsia="Calibri"/>
          <w:shd w:val="clear" w:color="auto" w:fill="FFFFFF"/>
        </w:rPr>
        <w:t xml:space="preserve"> also exhibited a significant decrease in lignin content and a reduction in sinapoyl malate biosynthesis relative to control plants [</w:t>
      </w:r>
      <w:r w:rsidR="00631FB3" w:rsidRPr="00631FB3">
        <w:rPr>
          <w:rFonts w:eastAsia="Calibri"/>
          <w:shd w:val="clear" w:color="auto" w:fill="FFFFFF"/>
        </w:rPr>
        <w:t>34</w:t>
      </w:r>
      <w:r w:rsidRPr="00467946">
        <w:rPr>
          <w:rFonts w:eastAsia="Calibri"/>
          <w:shd w:val="clear" w:color="auto" w:fill="FFFFFF"/>
        </w:rPr>
        <w:t xml:space="preserve">]. However, in contrast to the ZmMYB42 plants, there was an increase in flavonoid biosynthesis in ZmMYB31 over-expressing plants relative to controls. This increase in flavonoid biosynthesis was accompanied by an accumulation of anthocyanins in transgenic tissues. The researchers concluded that the ZmMYB31 transcription factor strongly influence carbon partitioning among various branches of the phenylpropanoid pathway, and that over-expression of this transcription factor in </w:t>
      </w:r>
      <w:r w:rsidRPr="00467946">
        <w:rPr>
          <w:rFonts w:eastAsia="Calibri"/>
          <w:i/>
          <w:shd w:val="clear" w:color="auto" w:fill="FFFFFF"/>
        </w:rPr>
        <w:t>A. thaliana</w:t>
      </w:r>
      <w:r w:rsidRPr="00467946">
        <w:rPr>
          <w:rFonts w:eastAsia="Calibri"/>
          <w:shd w:val="clear" w:color="auto" w:fill="FFFFFF"/>
        </w:rPr>
        <w:t xml:space="preserve"> results in a reduced flux of carbon into lignin and sinapoyl malate biosynthesis, and redirects the flux into flavonoid biosynthesis [</w:t>
      </w:r>
      <w:r w:rsidR="00631FB3" w:rsidRPr="00631FB3">
        <w:rPr>
          <w:rFonts w:eastAsia="Calibri"/>
          <w:shd w:val="clear" w:color="auto" w:fill="FFFFFF"/>
        </w:rPr>
        <w:t>34</w:t>
      </w:r>
      <w:r w:rsidRPr="00467946">
        <w:rPr>
          <w:rFonts w:eastAsia="Calibri"/>
          <w:shd w:val="clear" w:color="auto" w:fill="FFFFFF"/>
        </w:rPr>
        <w:t xml:space="preserve">]. </w:t>
      </w:r>
    </w:p>
    <w:p w:rsidR="000F7C20" w:rsidRPr="00467946" w:rsidRDefault="00BA3093" w:rsidP="00BB3998">
      <w:pPr>
        <w:pStyle w:val="Heading2"/>
        <w:spacing w:line="480" w:lineRule="auto"/>
      </w:pPr>
      <w:r>
        <w:rPr>
          <w:rFonts w:eastAsia="Calibri"/>
          <w:shd w:val="clear" w:color="auto" w:fill="FFFFFF"/>
        </w:rPr>
        <w:br w:type="page"/>
      </w:r>
      <w:r w:rsidR="000F7C20" w:rsidRPr="00467946">
        <w:lastRenderedPageBreak/>
        <w:t xml:space="preserve">Effects of lignin modification on plant stress </w:t>
      </w:r>
    </w:p>
    <w:p w:rsidR="00467946" w:rsidRPr="00467946" w:rsidRDefault="00467946" w:rsidP="00097A19">
      <w:pPr>
        <w:autoSpaceDE w:val="0"/>
        <w:autoSpaceDN w:val="0"/>
        <w:adjustRightInd w:val="0"/>
        <w:spacing w:line="480" w:lineRule="auto"/>
        <w:rPr>
          <w:rFonts w:eastAsia="Calibri"/>
        </w:rPr>
      </w:pPr>
      <w:r w:rsidRPr="00467946">
        <w:rPr>
          <w:rFonts w:eastAsia="Calibri"/>
        </w:rPr>
        <w:t>As discussed above, suppressing single or multiple lignin biosynthetic steps can lead to the accumulation or suppression of other secondary metabolites. Many of these compounds play important roles in plant-environment interactions, and altering their biosynthesis can influence the susceptibility of plants to stresses. Additionally, transcriptomic and proteomic studies have indicated that lignin modifications can trigger an increase in the expression of stress response-related genes [</w:t>
      </w:r>
      <w:r w:rsidR="00631FB3" w:rsidRPr="00631FB3">
        <w:rPr>
          <w:rFonts w:eastAsia="Calibri"/>
        </w:rPr>
        <w:t>31</w:t>
      </w:r>
      <w:r w:rsidRPr="00467946">
        <w:rPr>
          <w:rFonts w:eastAsia="Calibri"/>
        </w:rPr>
        <w:t xml:space="preserve">, </w:t>
      </w:r>
      <w:r w:rsidR="00631FB3" w:rsidRPr="00631FB3">
        <w:rPr>
          <w:rFonts w:eastAsia="Calibri"/>
        </w:rPr>
        <w:t>34</w:t>
      </w:r>
      <w:r w:rsidRPr="00467946">
        <w:rPr>
          <w:rFonts w:eastAsia="Calibri"/>
        </w:rPr>
        <w:t xml:space="preserve">, </w:t>
      </w:r>
      <w:r w:rsidR="00631FB3" w:rsidRPr="00631FB3">
        <w:rPr>
          <w:rFonts w:eastAsia="Calibri"/>
        </w:rPr>
        <w:t>39</w:t>
      </w:r>
      <w:r w:rsidRPr="00467946">
        <w:rPr>
          <w:rFonts w:eastAsia="Calibri"/>
        </w:rPr>
        <w:t xml:space="preserve">, </w:t>
      </w:r>
      <w:r w:rsidR="00631FB3" w:rsidRPr="00631FB3">
        <w:rPr>
          <w:rFonts w:eastAsia="Calibri"/>
        </w:rPr>
        <w:t>40</w:t>
      </w:r>
      <w:r w:rsidRPr="00467946">
        <w:rPr>
          <w:rFonts w:eastAsia="Calibri"/>
        </w:rPr>
        <w:t>], and in one report there was a broad upregulation of defense-related genes that was associated with in an enhanced tolerance to biotic and abiotic stresses [</w:t>
      </w:r>
      <w:r w:rsidR="00631FB3" w:rsidRPr="00631FB3">
        <w:rPr>
          <w:rFonts w:eastAsia="Calibri"/>
        </w:rPr>
        <w:t>31</w:t>
      </w:r>
      <w:r w:rsidRPr="00467946">
        <w:rPr>
          <w:rFonts w:eastAsia="Calibri"/>
        </w:rPr>
        <w:t>]. The exact mechanisms triggering changes in gene expression in lignin-modified plants are not yet clearly understood. The reduction in lignin content may trigger signaling pathways that cause the activation of stress genes [</w:t>
      </w:r>
      <w:r w:rsidR="00631FB3" w:rsidRPr="00631FB3">
        <w:rPr>
          <w:rFonts w:eastAsia="Calibri"/>
        </w:rPr>
        <w:t>34</w:t>
      </w:r>
      <w:r w:rsidRPr="00467946">
        <w:rPr>
          <w:rFonts w:eastAsia="Calibri"/>
        </w:rPr>
        <w:t xml:space="preserve">]. </w:t>
      </w:r>
      <w:r w:rsidR="00EA1B3C" w:rsidRPr="00EA1B3C">
        <w:rPr>
          <w:rFonts w:eastAsia="Calibri"/>
        </w:rPr>
        <w:t xml:space="preserve">One hypothesis is that the activation of stress-related genes could be triggered by changes to the structural organization of the secondary cell wall, either by mimicking cell wall wounding or pathogen damage [39,40], or by facilitating the release of primary cell wall polysaccharide components that act as elicitors of defense responses </w:t>
      </w:r>
      <w:r w:rsidRPr="00467946">
        <w:rPr>
          <w:rFonts w:eastAsia="Calibri"/>
        </w:rPr>
        <w:t>[</w:t>
      </w:r>
      <w:r w:rsidR="00631FB3" w:rsidRPr="00631FB3">
        <w:rPr>
          <w:rFonts w:eastAsia="Calibri"/>
        </w:rPr>
        <w:t>31</w:t>
      </w:r>
      <w:r w:rsidRPr="00467946">
        <w:rPr>
          <w:rFonts w:eastAsia="Calibri"/>
        </w:rPr>
        <w:t>]. In addition there is accumulating evidence that altering cell wall integrity can induce long-term modifications to gene expression, including the constant activation of defense-related genes [</w:t>
      </w:r>
      <w:r w:rsidR="00631FB3" w:rsidRPr="00631FB3">
        <w:rPr>
          <w:rFonts w:eastAsia="Calibri"/>
        </w:rPr>
        <w:t>79</w:t>
      </w:r>
      <w:r w:rsidRPr="00467946">
        <w:rPr>
          <w:rFonts w:eastAsia="Calibri"/>
        </w:rPr>
        <w:t xml:space="preserve">, </w:t>
      </w:r>
      <w:r w:rsidR="00631FB3" w:rsidRPr="00631FB3">
        <w:rPr>
          <w:rFonts w:eastAsia="Calibri"/>
        </w:rPr>
        <w:t>80</w:t>
      </w:r>
      <w:r w:rsidRPr="00467946">
        <w:rPr>
          <w:rFonts w:eastAsia="Calibri"/>
        </w:rPr>
        <w:t>].</w:t>
      </w:r>
    </w:p>
    <w:p w:rsidR="000F7C20" w:rsidRPr="00467946" w:rsidRDefault="000F7C20" w:rsidP="00097A19">
      <w:pPr>
        <w:numPr>
          <w:ilvl w:val="12"/>
          <w:numId w:val="0"/>
        </w:num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rsidR="000F7C20" w:rsidRPr="00467946" w:rsidRDefault="000F7C20" w:rsidP="00097A19">
      <w:pPr>
        <w:pStyle w:val="Heading3"/>
        <w:spacing w:line="480" w:lineRule="auto"/>
        <w:rPr>
          <w:rFonts w:cs="Times New Roman"/>
          <w:szCs w:val="24"/>
        </w:rPr>
      </w:pPr>
      <w:r w:rsidRPr="00467946">
        <w:rPr>
          <w:rFonts w:cs="Times New Roman"/>
          <w:szCs w:val="24"/>
        </w:rPr>
        <w:t>Biotic stress-related effects</w:t>
      </w:r>
    </w:p>
    <w:p w:rsidR="00467946" w:rsidRPr="00467946" w:rsidRDefault="00467946" w:rsidP="00097A19">
      <w:pPr>
        <w:autoSpaceDE w:val="0"/>
        <w:autoSpaceDN w:val="0"/>
        <w:adjustRightInd w:val="0"/>
        <w:spacing w:line="480" w:lineRule="auto"/>
        <w:rPr>
          <w:rFonts w:eastAsia="Calibri"/>
        </w:rPr>
      </w:pPr>
      <w:r w:rsidRPr="00467946">
        <w:rPr>
          <w:rFonts w:eastAsia="Calibri"/>
        </w:rPr>
        <w:t>Several phenolic compounds play essential roles in mediating plant-microbe interactions [</w:t>
      </w:r>
      <w:r w:rsidR="00631FB3" w:rsidRPr="00631FB3">
        <w:rPr>
          <w:rFonts w:eastAsia="Calibri"/>
        </w:rPr>
        <w:t>81</w:t>
      </w:r>
      <w:r w:rsidRPr="00467946">
        <w:rPr>
          <w:rFonts w:eastAsia="Calibri"/>
        </w:rPr>
        <w:t xml:space="preserve">], and modifications to the phenolic profile resulting from altered phenylpropanoid </w:t>
      </w:r>
      <w:r w:rsidRPr="00467946">
        <w:rPr>
          <w:rFonts w:eastAsia="Calibri"/>
        </w:rPr>
        <w:lastRenderedPageBreak/>
        <w:t xml:space="preserve">metabolism </w:t>
      </w:r>
      <w:r w:rsidR="002A78F3">
        <w:rPr>
          <w:rFonts w:eastAsia="Calibri"/>
        </w:rPr>
        <w:t>have</w:t>
      </w:r>
      <w:r w:rsidRPr="00467946">
        <w:rPr>
          <w:rFonts w:eastAsia="Calibri"/>
        </w:rPr>
        <w:t xml:space="preserve"> been shown to influence such interactions in mutant and transgenic plants with suppressed lignin biosynthesis. Hydroxyferuloyl malate, a derivative of the COMT substrate, accumulated in </w:t>
      </w:r>
      <w:r w:rsidRPr="00467946">
        <w:rPr>
          <w:rFonts w:eastAsia="Calibri"/>
          <w:i/>
        </w:rPr>
        <w:t>A. thaliana</w:t>
      </w:r>
      <w:r w:rsidRPr="00467946">
        <w:rPr>
          <w:rFonts w:eastAsia="Calibri"/>
        </w:rPr>
        <w:t xml:space="preserve"> mutants deficient in COMT activity [</w:t>
      </w:r>
      <w:r w:rsidR="00631FB3" w:rsidRPr="00631FB3">
        <w:rPr>
          <w:rFonts w:eastAsia="Calibri"/>
        </w:rPr>
        <w:t>36</w:t>
      </w:r>
      <w:r w:rsidRPr="00467946">
        <w:rPr>
          <w:rFonts w:eastAsia="Calibri"/>
        </w:rPr>
        <w:t>]. Elevated levels of this compound were correlated with an enhanced resistance to the downy mildew-causing oomycete pathogen,</w:t>
      </w:r>
      <w:r w:rsidRPr="00467946">
        <w:rPr>
          <w:rFonts w:eastAsia="Calibri"/>
          <w:i/>
          <w:iCs/>
        </w:rPr>
        <w:t xml:space="preserve"> Hyaloperonospora arabidopsidis</w:t>
      </w:r>
      <w:r w:rsidRPr="00467946">
        <w:rPr>
          <w:rFonts w:eastAsia="Calibri"/>
        </w:rPr>
        <w:t xml:space="preserve">, and an inhibition of asexual sporulation was observed in the COMT mutant plants compared to wild-type controls.  </w:t>
      </w:r>
      <w:r w:rsidRPr="00467946">
        <w:rPr>
          <w:rFonts w:eastAsia="Calibri"/>
          <w:i/>
        </w:rPr>
        <w:t>In vitro</w:t>
      </w:r>
      <w:r w:rsidRPr="00467946">
        <w:rPr>
          <w:rFonts w:eastAsia="Calibri"/>
        </w:rPr>
        <w:t xml:space="preserve"> assays showed that application of hydroxyferuloyl malate to the oomycete pathogen enhanced sexual reproduction and weakened mycelium vigor [</w:t>
      </w:r>
      <w:r w:rsidR="00631FB3" w:rsidRPr="00631FB3">
        <w:rPr>
          <w:rFonts w:eastAsia="Calibri"/>
        </w:rPr>
        <w:t>36</w:t>
      </w:r>
      <w:r w:rsidRPr="00467946">
        <w:rPr>
          <w:rFonts w:eastAsia="Calibri"/>
        </w:rPr>
        <w:t xml:space="preserve">]. Additionally, transgenic tobacco plants with downregulated COMT activity developed significantly smaller tumors than control plants when inoculated with </w:t>
      </w:r>
      <w:r w:rsidRPr="00467946">
        <w:rPr>
          <w:rFonts w:eastAsia="Calibri"/>
          <w:i/>
        </w:rPr>
        <w:t>Agrobacterium tumefaciens</w:t>
      </w:r>
      <w:r w:rsidRPr="00467946">
        <w:rPr>
          <w:rFonts w:eastAsia="Calibri"/>
        </w:rPr>
        <w:t xml:space="preserve">, a soil bacterium that causes crown gall disease. These plants had lower </w:t>
      </w:r>
      <w:r w:rsidRPr="00467946">
        <w:rPr>
          <w:rFonts w:eastAsia="Calibri"/>
          <w:i/>
        </w:rPr>
        <w:t>Agrobacterium</w:t>
      </w:r>
      <w:r w:rsidRPr="00467946">
        <w:rPr>
          <w:rFonts w:eastAsia="Calibri"/>
        </w:rPr>
        <w:t xml:space="preserve"> virulence (</w:t>
      </w:r>
      <w:r w:rsidRPr="00467946">
        <w:rPr>
          <w:rFonts w:eastAsia="Calibri"/>
          <w:i/>
        </w:rPr>
        <w:t>vir</w:t>
      </w:r>
      <w:r w:rsidRPr="00467946">
        <w:rPr>
          <w:rFonts w:eastAsia="Calibri"/>
        </w:rPr>
        <w:t xml:space="preserve">) gene-inducing activities and lower levels of soluble phenolics including acetosyringone, a known elicitor of </w:t>
      </w:r>
      <w:r w:rsidRPr="00467946">
        <w:rPr>
          <w:rFonts w:eastAsia="Calibri"/>
          <w:i/>
        </w:rPr>
        <w:t>vir</w:t>
      </w:r>
      <w:r w:rsidRPr="00467946">
        <w:rPr>
          <w:rFonts w:eastAsia="Calibri"/>
        </w:rPr>
        <w:t xml:space="preserve"> expression in </w:t>
      </w:r>
      <w:r w:rsidRPr="00467946">
        <w:rPr>
          <w:rFonts w:eastAsia="Calibri"/>
          <w:i/>
        </w:rPr>
        <w:t xml:space="preserve">Agrobacterium </w:t>
      </w:r>
      <w:r w:rsidRPr="00467946">
        <w:rPr>
          <w:rFonts w:eastAsia="Calibri"/>
        </w:rPr>
        <w:t>[</w:t>
      </w:r>
      <w:r w:rsidR="00631FB3" w:rsidRPr="00631FB3">
        <w:rPr>
          <w:rFonts w:eastAsia="Calibri"/>
        </w:rPr>
        <w:t>36</w:t>
      </w:r>
      <w:r w:rsidRPr="00467946">
        <w:rPr>
          <w:rFonts w:eastAsia="Calibri"/>
        </w:rPr>
        <w:t xml:space="preserve">]. </w:t>
      </w:r>
    </w:p>
    <w:p w:rsidR="00467946" w:rsidRPr="00467946" w:rsidRDefault="00467946" w:rsidP="00097A19">
      <w:pPr>
        <w:autoSpaceDE w:val="0"/>
        <w:autoSpaceDN w:val="0"/>
        <w:adjustRightInd w:val="0"/>
        <w:spacing w:line="480" w:lineRule="auto"/>
        <w:rPr>
          <w:rFonts w:eastAsia="Calibri"/>
        </w:rPr>
      </w:pPr>
    </w:p>
    <w:p w:rsidR="00467946" w:rsidRPr="00467946" w:rsidRDefault="00467946" w:rsidP="00097A19">
      <w:pPr>
        <w:autoSpaceDE w:val="0"/>
        <w:autoSpaceDN w:val="0"/>
        <w:adjustRightInd w:val="0"/>
        <w:spacing w:line="480" w:lineRule="auto"/>
        <w:rPr>
          <w:rFonts w:eastAsia="Calibri"/>
        </w:rPr>
      </w:pPr>
      <w:r w:rsidRPr="00467946">
        <w:rPr>
          <w:rFonts w:eastAsia="Calibri"/>
        </w:rPr>
        <w:t xml:space="preserve">An upregulation of pathogen stress-related genes in absence of an actual infection has been observed in poplar, </w:t>
      </w:r>
      <w:r w:rsidRPr="00467946">
        <w:rPr>
          <w:rFonts w:eastAsia="Calibri"/>
          <w:i/>
        </w:rPr>
        <w:t>A. thaliana</w:t>
      </w:r>
      <w:r w:rsidRPr="00467946">
        <w:rPr>
          <w:rFonts w:eastAsia="Calibri"/>
        </w:rPr>
        <w:t xml:space="preserve">, and alfalfa plants with modified lignin biosynthesis. In CCR-downregulated poplar, increased transcript levels of a U-box domain protein resembling the CMPG1 protein triggered by fungal elicitors in </w:t>
      </w:r>
      <w:r w:rsidRPr="00467946">
        <w:rPr>
          <w:rFonts w:eastAsia="Calibri"/>
          <w:i/>
          <w:iCs/>
        </w:rPr>
        <w:t>Petroselinum crispum</w:t>
      </w:r>
      <w:r w:rsidRPr="00467946">
        <w:rPr>
          <w:rFonts w:eastAsia="Calibri"/>
          <w:iCs/>
        </w:rPr>
        <w:t xml:space="preserve"> were observed relative to control plants </w:t>
      </w:r>
      <w:r w:rsidRPr="00467946">
        <w:rPr>
          <w:rFonts w:eastAsia="Calibri"/>
        </w:rPr>
        <w:t>[</w:t>
      </w:r>
      <w:r w:rsidR="00631FB3" w:rsidRPr="00631FB3">
        <w:rPr>
          <w:rFonts w:eastAsia="Calibri"/>
        </w:rPr>
        <w:t>40</w:t>
      </w:r>
      <w:r w:rsidRPr="00467946">
        <w:rPr>
          <w:rFonts w:eastAsia="Calibri"/>
        </w:rPr>
        <w:t>]</w:t>
      </w:r>
      <w:r w:rsidRPr="00467946">
        <w:rPr>
          <w:rFonts w:eastAsia="Calibri"/>
          <w:i/>
          <w:iCs/>
        </w:rPr>
        <w:t>.</w:t>
      </w:r>
      <w:r w:rsidRPr="00467946">
        <w:rPr>
          <w:rFonts w:eastAsia="Calibri"/>
        </w:rPr>
        <w:t xml:space="preserve"> In</w:t>
      </w:r>
      <w:r w:rsidRPr="00467946">
        <w:rPr>
          <w:rFonts w:eastAsia="Calibri"/>
          <w:i/>
        </w:rPr>
        <w:t xml:space="preserve"> A. thaliana </w:t>
      </w:r>
      <w:r w:rsidRPr="00467946">
        <w:rPr>
          <w:rFonts w:eastAsia="Calibri"/>
        </w:rPr>
        <w:t>plants over-expressing the ZmMYB31 transcription factor, a proteome analysis showed increased levels of osmotin relative to control plants [</w:t>
      </w:r>
      <w:r w:rsidR="00631FB3" w:rsidRPr="00631FB3">
        <w:rPr>
          <w:rFonts w:eastAsia="Calibri"/>
        </w:rPr>
        <w:t>34</w:t>
      </w:r>
      <w:r w:rsidRPr="00467946">
        <w:rPr>
          <w:rFonts w:eastAsia="Calibri"/>
        </w:rPr>
        <w:t xml:space="preserve">]; osmotin is a pathogenesis-related (PR) protein that </w:t>
      </w:r>
      <w:r w:rsidRPr="00467946">
        <w:rPr>
          <w:rFonts w:eastAsia="Calibri"/>
        </w:rPr>
        <w:lastRenderedPageBreak/>
        <w:t>primarily functions as a plant defense protein by providing resistance against a variety of fungal pathogens [</w:t>
      </w:r>
      <w:r w:rsidR="00631FB3" w:rsidRPr="00631FB3">
        <w:rPr>
          <w:rFonts w:eastAsia="Calibri"/>
        </w:rPr>
        <w:t>82</w:t>
      </w:r>
      <w:r w:rsidRPr="00467946">
        <w:rPr>
          <w:rFonts w:eastAsia="Calibri"/>
        </w:rPr>
        <w:t>]. Downregulation of HCT in alfalfa resulted in a constitutive activation of defense responses, and a transcriptome analysis of stem tissue revealed that the expression of various PR transcripts was 5- to 56-fold higher in transgenic plants than in controls [</w:t>
      </w:r>
      <w:r w:rsidR="00631FB3" w:rsidRPr="00631FB3">
        <w:rPr>
          <w:rFonts w:eastAsia="Calibri"/>
        </w:rPr>
        <w:t>31</w:t>
      </w:r>
      <w:r w:rsidRPr="00467946">
        <w:rPr>
          <w:rFonts w:eastAsia="Calibri"/>
        </w:rPr>
        <w:t>]. It was suggested that this constitutive PR gene expression could be related to the altered cell wall integrity. Fragments of pectin, a galacturonic acid-rich component of plant primary cell walls, were shown to be more easily released from the secondary cell wall in transgenic alfalfa compared to controls [</w:t>
      </w:r>
      <w:r w:rsidR="00631FB3" w:rsidRPr="00631FB3">
        <w:rPr>
          <w:rFonts w:eastAsia="Calibri"/>
        </w:rPr>
        <w:t>31</w:t>
      </w:r>
      <w:r w:rsidRPr="00467946">
        <w:rPr>
          <w:rFonts w:eastAsia="Calibri"/>
        </w:rPr>
        <w:t>]. Previous studies have shown that galacturonides can trigger defense responses in several plant species [</w:t>
      </w:r>
      <w:r w:rsidR="00631FB3" w:rsidRPr="00631FB3">
        <w:rPr>
          <w:rFonts w:eastAsia="Calibri"/>
        </w:rPr>
        <w:t>83</w:t>
      </w:r>
      <w:r w:rsidRPr="00467946">
        <w:rPr>
          <w:rFonts w:eastAsia="Calibri"/>
        </w:rPr>
        <w:t xml:space="preserve">, </w:t>
      </w:r>
      <w:r w:rsidR="00631FB3" w:rsidRPr="00631FB3">
        <w:rPr>
          <w:rFonts w:eastAsia="Calibri"/>
        </w:rPr>
        <w:t>84</w:t>
      </w:r>
      <w:r w:rsidRPr="00467946">
        <w:rPr>
          <w:rFonts w:eastAsia="Calibri"/>
        </w:rPr>
        <w:t xml:space="preserve">, </w:t>
      </w:r>
      <w:proofErr w:type="gramStart"/>
      <w:r w:rsidR="00631FB3">
        <w:rPr>
          <w:rFonts w:eastAsia="Calibri"/>
        </w:rPr>
        <w:t>85</w:t>
      </w:r>
      <w:proofErr w:type="gramEnd"/>
      <w:r w:rsidRPr="00467946">
        <w:rPr>
          <w:rFonts w:eastAsia="Calibri"/>
        </w:rPr>
        <w:t>]. In addition, these plants had higher levels of salicylic acid (SA) relative to controls, a biotic defense-related phytohormone that has previously been shown to stimulate the upregulation of PR proteins in response to infection and enhance resistance to a wide range of pathogens [</w:t>
      </w:r>
      <w:r w:rsidR="00631FB3" w:rsidRPr="00631FB3">
        <w:rPr>
          <w:rFonts w:eastAsia="Calibri"/>
        </w:rPr>
        <w:t>31</w:t>
      </w:r>
      <w:r w:rsidRPr="00467946">
        <w:rPr>
          <w:rFonts w:eastAsia="Calibri"/>
        </w:rPr>
        <w:t xml:space="preserve">, </w:t>
      </w:r>
      <w:r w:rsidR="00631FB3" w:rsidRPr="00631FB3">
        <w:rPr>
          <w:rFonts w:eastAsia="Calibri"/>
        </w:rPr>
        <w:t>86</w:t>
      </w:r>
      <w:r w:rsidRPr="00467946">
        <w:rPr>
          <w:rFonts w:eastAsia="Calibri"/>
        </w:rPr>
        <w:t>].  Levels of SA were correlated with the amount of extracta</w:t>
      </w:r>
      <w:r w:rsidR="00102AC8">
        <w:rPr>
          <w:rFonts w:eastAsia="Calibri"/>
        </w:rPr>
        <w:t>ble pectin in the cell wall</w:t>
      </w:r>
      <w:r w:rsidRPr="00467946">
        <w:rPr>
          <w:rFonts w:eastAsia="Calibri"/>
        </w:rPr>
        <w:t xml:space="preserve">. SA can be synthesized either from cinnamate by PAL activity, or from chorismate by isochorismate synthase activity, and the </w:t>
      </w:r>
      <w:r w:rsidRPr="00467946">
        <w:rPr>
          <w:rFonts w:eastAsia="Calibri"/>
          <w:shd w:val="clear" w:color="auto" w:fill="FFFFFF"/>
        </w:rPr>
        <w:t>production of SA through the isochorismate pathway has been observed in</w:t>
      </w:r>
      <w:r w:rsidRPr="00467946">
        <w:rPr>
          <w:rFonts w:eastAsia="Calibri"/>
          <w:i/>
          <w:shd w:val="clear" w:color="auto" w:fill="FFFFFF"/>
        </w:rPr>
        <w:t xml:space="preserve"> A. thaliana</w:t>
      </w:r>
      <w:r w:rsidRPr="00467946">
        <w:rPr>
          <w:rFonts w:eastAsia="Calibri"/>
          <w:shd w:val="clear" w:color="auto" w:fill="FFFFFF"/>
        </w:rPr>
        <w:t xml:space="preserve"> plants during defense response </w:t>
      </w:r>
      <w:r w:rsidRPr="00467946">
        <w:rPr>
          <w:rFonts w:eastAsia="Calibri"/>
        </w:rPr>
        <w:t>[</w:t>
      </w:r>
      <w:r w:rsidR="00631FB3" w:rsidRPr="00631FB3">
        <w:rPr>
          <w:rFonts w:eastAsia="Calibri"/>
        </w:rPr>
        <w:t>87</w:t>
      </w:r>
      <w:r w:rsidRPr="00467946">
        <w:rPr>
          <w:rFonts w:eastAsia="Calibri"/>
        </w:rPr>
        <w:t>].</w:t>
      </w:r>
      <w:r w:rsidRPr="00467946">
        <w:rPr>
          <w:rFonts w:eastAsia="Calibri"/>
          <w:shd w:val="clear" w:color="auto" w:fill="FFFFFF"/>
        </w:rPr>
        <w:t xml:space="preserve"> Therefore, it was hypothesized that the continuous leaching of these pectic elicitors from the cell wall as a result of reduced lignification could trigger the production of SA through the isochorismate pathway, and high levels of SA could then stimulate the production of PR proteins responsible for the observed constitutive defense response [</w:t>
      </w:r>
      <w:r w:rsidR="00631FB3" w:rsidRPr="00631FB3">
        <w:rPr>
          <w:rFonts w:eastAsia="Calibri"/>
          <w:shd w:val="clear" w:color="auto" w:fill="FFFFFF"/>
        </w:rPr>
        <w:t>88</w:t>
      </w:r>
      <w:r w:rsidRPr="00467946">
        <w:rPr>
          <w:rFonts w:eastAsia="Calibri"/>
          <w:shd w:val="clear" w:color="auto" w:fill="FFFFFF"/>
        </w:rPr>
        <w:t xml:space="preserve">]. </w:t>
      </w:r>
      <w:r w:rsidRPr="00467946">
        <w:rPr>
          <w:rFonts w:eastAsia="Calibri"/>
        </w:rPr>
        <w:t>Since constitutive expression of PR proteins in plants has previously been shown to confer resistance to a wide range of pathogens [</w:t>
      </w:r>
      <w:r w:rsidR="00631FB3" w:rsidRPr="00631FB3">
        <w:rPr>
          <w:rFonts w:eastAsia="Calibri"/>
        </w:rPr>
        <w:t>89</w:t>
      </w:r>
      <w:r w:rsidRPr="00467946">
        <w:rPr>
          <w:rFonts w:eastAsia="Calibri"/>
        </w:rPr>
        <w:t xml:space="preserve">, </w:t>
      </w:r>
      <w:r w:rsidR="00631FB3" w:rsidRPr="00631FB3">
        <w:rPr>
          <w:rFonts w:eastAsia="Calibri"/>
        </w:rPr>
        <w:t>90</w:t>
      </w:r>
      <w:r w:rsidRPr="00467946">
        <w:rPr>
          <w:rFonts w:eastAsia="Calibri"/>
        </w:rPr>
        <w:t xml:space="preserve">], transgenic alfalfa plants were </w:t>
      </w:r>
      <w:r w:rsidRPr="00467946">
        <w:rPr>
          <w:rFonts w:eastAsia="Calibri"/>
        </w:rPr>
        <w:lastRenderedPageBreak/>
        <w:t>exposed to alfalfa anthracnose (</w:t>
      </w:r>
      <w:r w:rsidRPr="00467946">
        <w:rPr>
          <w:rFonts w:eastAsia="Calibri"/>
          <w:i/>
        </w:rPr>
        <w:t>Colletotrichum trifolii</w:t>
      </w:r>
      <w:r w:rsidRPr="00467946">
        <w:rPr>
          <w:rFonts w:eastAsia="Calibri"/>
        </w:rPr>
        <w:t>) to test whether elevated levels of PR transcripts would translate into enhanced pathogen resistance. Incidence and severity of necrotic legions were significantly lower in HCT-downregulated plants compared to the controls [</w:t>
      </w:r>
      <w:r w:rsidR="00631FB3" w:rsidRPr="00631FB3">
        <w:rPr>
          <w:rFonts w:eastAsia="Calibri"/>
        </w:rPr>
        <w:t>31</w:t>
      </w:r>
      <w:r w:rsidRPr="00467946">
        <w:rPr>
          <w:rFonts w:eastAsia="Calibri"/>
        </w:rPr>
        <w:t>].</w:t>
      </w:r>
    </w:p>
    <w:p w:rsidR="000F7C20" w:rsidRPr="00467946" w:rsidRDefault="000F7C20" w:rsidP="00097A19">
      <w:pPr>
        <w:numPr>
          <w:ilvl w:val="12"/>
          <w:numId w:val="0"/>
        </w:num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rsidR="000F7C20" w:rsidRPr="00467946" w:rsidRDefault="000F7C20" w:rsidP="00097A19">
      <w:pPr>
        <w:pStyle w:val="Heading3"/>
        <w:spacing w:line="480" w:lineRule="auto"/>
        <w:rPr>
          <w:rFonts w:cs="Times New Roman"/>
          <w:szCs w:val="24"/>
        </w:rPr>
      </w:pPr>
      <w:r w:rsidRPr="00467946">
        <w:rPr>
          <w:rFonts w:cs="Times New Roman"/>
          <w:szCs w:val="24"/>
        </w:rPr>
        <w:t>Abiotic stress-related effects</w:t>
      </w:r>
    </w:p>
    <w:p w:rsidR="000F7C20" w:rsidRPr="00303CE0" w:rsidRDefault="000F7C20" w:rsidP="00097A19">
      <w:pPr>
        <w:pStyle w:val="Heading4"/>
        <w:spacing w:line="480" w:lineRule="auto"/>
        <w:rPr>
          <w:i/>
          <w:szCs w:val="24"/>
        </w:rPr>
      </w:pPr>
      <w:r w:rsidRPr="00303CE0">
        <w:rPr>
          <w:i/>
          <w:szCs w:val="24"/>
        </w:rPr>
        <w:t>Oxidative stress, photorespiration, and UV-sensitivity</w:t>
      </w:r>
    </w:p>
    <w:p w:rsidR="00467946" w:rsidRPr="00467946" w:rsidRDefault="00467946" w:rsidP="00097A19">
      <w:pPr>
        <w:tabs>
          <w:tab w:val="left" w:pos="8667"/>
        </w:tabs>
        <w:autoSpaceDE w:val="0"/>
        <w:autoSpaceDN w:val="0"/>
        <w:adjustRightInd w:val="0"/>
        <w:spacing w:line="480" w:lineRule="auto"/>
        <w:rPr>
          <w:rFonts w:eastAsia="Calibri"/>
        </w:rPr>
      </w:pPr>
      <w:r w:rsidRPr="00467946">
        <w:rPr>
          <w:rFonts w:eastAsia="Calibri"/>
        </w:rPr>
        <w:t xml:space="preserve">Lignin modifications have been shown to be associated with the activation of genes involved in oxidative stress responses in tobacco, poplar, and </w:t>
      </w:r>
      <w:r w:rsidRPr="00467946">
        <w:rPr>
          <w:rFonts w:eastAsia="Calibri"/>
          <w:i/>
        </w:rPr>
        <w:t>A. thaliana</w:t>
      </w:r>
      <w:r w:rsidRPr="00467946">
        <w:rPr>
          <w:rFonts w:eastAsia="Calibri"/>
        </w:rPr>
        <w:t>. In tobacco, transgenic plants had elevated transcript levels of metallothionein and glutathione S-transferase (GST), two enzymes involved in detoxifying oxidative stress metabolites, along with heat shock transcription factors that promote transcription of genes involved in protection against oxidative stress damage [</w:t>
      </w:r>
      <w:r w:rsidR="00631FB3" w:rsidRPr="00631FB3">
        <w:rPr>
          <w:rFonts w:eastAsia="Calibri"/>
        </w:rPr>
        <w:t>39</w:t>
      </w:r>
      <w:r w:rsidRPr="00467946">
        <w:rPr>
          <w:rFonts w:eastAsia="Calibri"/>
        </w:rPr>
        <w:t xml:space="preserve">, </w:t>
      </w:r>
      <w:r w:rsidR="00631FB3" w:rsidRPr="00631FB3">
        <w:rPr>
          <w:rFonts w:eastAsia="Calibri"/>
        </w:rPr>
        <w:t>91</w:t>
      </w:r>
      <w:r w:rsidRPr="00467946">
        <w:rPr>
          <w:rFonts w:eastAsia="Calibri"/>
        </w:rPr>
        <w:t xml:space="preserve">, </w:t>
      </w:r>
      <w:r w:rsidR="00631FB3" w:rsidRPr="00631FB3">
        <w:rPr>
          <w:rFonts w:eastAsia="Calibri"/>
        </w:rPr>
        <w:t>92</w:t>
      </w:r>
      <w:r w:rsidRPr="00467946">
        <w:rPr>
          <w:rFonts w:eastAsia="Calibri"/>
        </w:rPr>
        <w:t>]. In addition to oxidative stress-related transcripts, an increase in the abundance of photorespiratory-related transcripts and metabolites were observed in transgenic plants relative to controls, and gas-exchange analyses confirmed that the transgenic plants exhibited elevated photorespiration. This elevated photorespiration was suggested to be caused by an enhanced efficiency of photosystem II (PSII), the first protein complex in the light-dependent reactions of photosynthesis.  Gas exchange analyses indicated that the increased efficiency of PSII in the transgenic plants was not associated with a change in photosynthetic CO</w:t>
      </w:r>
      <w:r w:rsidRPr="00467946">
        <w:rPr>
          <w:rFonts w:eastAsia="Calibri"/>
          <w:vertAlign w:val="subscript"/>
        </w:rPr>
        <w:t>2</w:t>
      </w:r>
      <w:r w:rsidRPr="00467946">
        <w:rPr>
          <w:rFonts w:eastAsia="Calibri"/>
        </w:rPr>
        <w:t xml:space="preserve"> assimilation.  Therefore, researchers hypothesized that the transgenic plants absorbed more light energy than could be used for photosynthesis, and the observed increase in </w:t>
      </w:r>
      <w:r w:rsidRPr="00467946">
        <w:rPr>
          <w:rFonts w:eastAsia="Calibri"/>
        </w:rPr>
        <w:lastRenderedPageBreak/>
        <w:t>photorespiration could be a protective mechanism against light-induced damage to the photosynthetic apparatus [</w:t>
      </w:r>
      <w:r w:rsidR="00631FB3" w:rsidRPr="00631FB3">
        <w:rPr>
          <w:rFonts w:eastAsia="Calibri"/>
        </w:rPr>
        <w:t>39</w:t>
      </w:r>
      <w:r w:rsidRPr="00467946">
        <w:rPr>
          <w:rFonts w:eastAsia="Calibri"/>
        </w:rPr>
        <w:t>]. An accumulation of H</w:t>
      </w:r>
      <w:r w:rsidRPr="00467946">
        <w:rPr>
          <w:rFonts w:eastAsia="Calibri"/>
          <w:vertAlign w:val="subscript"/>
        </w:rPr>
        <w:t>2</w:t>
      </w:r>
      <w:r w:rsidRPr="00467946">
        <w:rPr>
          <w:rFonts w:eastAsia="Calibri"/>
        </w:rPr>
        <w:t>0</w:t>
      </w:r>
      <w:r w:rsidRPr="00467946">
        <w:rPr>
          <w:rFonts w:eastAsia="Calibri"/>
          <w:vertAlign w:val="subscript"/>
        </w:rPr>
        <w:t>2</w:t>
      </w:r>
      <w:r w:rsidRPr="00467946">
        <w:rPr>
          <w:rFonts w:eastAsia="Calibri"/>
        </w:rPr>
        <w:t xml:space="preserve"> was also observed in the leaves of the CCR-downregulated plants, and lesions developed that resembled those observed in catalase-deficient tobacco grown under high-light conditions. It was hypothesized that photorespiration, specifically the elevated levels of photorespiratory H</w:t>
      </w:r>
      <w:r w:rsidRPr="00467946">
        <w:rPr>
          <w:rFonts w:eastAsia="Calibri"/>
          <w:vertAlign w:val="subscript"/>
        </w:rPr>
        <w:t>2</w:t>
      </w:r>
      <w:r w:rsidRPr="00467946">
        <w:rPr>
          <w:rFonts w:eastAsia="Calibri"/>
        </w:rPr>
        <w:t>0</w:t>
      </w:r>
      <w:r w:rsidRPr="00467946">
        <w:rPr>
          <w:rFonts w:eastAsia="Calibri"/>
          <w:vertAlign w:val="subscript"/>
        </w:rPr>
        <w:t>2</w:t>
      </w:r>
      <w:r w:rsidRPr="00467946">
        <w:rPr>
          <w:rFonts w:eastAsia="Calibri"/>
        </w:rPr>
        <w:t xml:space="preserve">, could be triggering the oxidative stress phenotype. An alternative hypothesis for the observed oxidative stress phenotype suggested that the altered cell wall structure could be actively inducing the expression of oxidative stress-related genes </w:t>
      </w:r>
      <w:r w:rsidRPr="00467946">
        <w:rPr>
          <w:rFonts w:eastAsia="Calibri"/>
          <w:color w:val="000000"/>
        </w:rPr>
        <w:t>as part of a wound-like response.</w:t>
      </w:r>
      <w:r w:rsidRPr="00467946">
        <w:rPr>
          <w:rFonts w:eastAsia="Calibri"/>
        </w:rPr>
        <w:t xml:space="preserve"> In support of this hypothesis, metabolomic profiling showed an increase in the levels of feruloyl tyramine in CCR-downregulated plants compared to the controls [</w:t>
      </w:r>
      <w:r w:rsidR="00631FB3" w:rsidRPr="00631FB3">
        <w:rPr>
          <w:rFonts w:eastAsia="Calibri"/>
        </w:rPr>
        <w:t>39</w:t>
      </w:r>
      <w:r w:rsidRPr="00467946">
        <w:rPr>
          <w:rFonts w:eastAsia="Calibri"/>
        </w:rPr>
        <w:t>]. In solanaceous plants, feruloyl tyramine has been shown to accumulate at the site of wounding or pathogen attack in order to reinforce the cell wall [</w:t>
      </w:r>
      <w:r w:rsidR="00631FB3" w:rsidRPr="00631FB3">
        <w:rPr>
          <w:rFonts w:eastAsia="Calibri"/>
        </w:rPr>
        <w:t>93</w:t>
      </w:r>
      <w:r w:rsidRPr="00467946">
        <w:rPr>
          <w:rFonts w:eastAsia="Calibri"/>
        </w:rPr>
        <w:t>]</w:t>
      </w:r>
      <w:r w:rsidRPr="00467946">
        <w:rPr>
          <w:rFonts w:eastAsia="Calibri"/>
          <w:color w:val="000000"/>
        </w:rPr>
        <w:t>.</w:t>
      </w:r>
      <w:r w:rsidRPr="00467946">
        <w:rPr>
          <w:rFonts w:eastAsia="Calibri"/>
        </w:rPr>
        <w:t xml:space="preserve"> Similar to that observed in tobacco, CCR-downregulation in poplar appeared to trigger a wound-like stress response and a corresponding increase in the expression of oxidative stress-related transcripts, also hypothesized to be induced by a defective cell wall [</w:t>
      </w:r>
      <w:r w:rsidR="00631FB3" w:rsidRPr="00631FB3">
        <w:rPr>
          <w:rFonts w:eastAsia="Calibri"/>
        </w:rPr>
        <w:t>40</w:t>
      </w:r>
      <w:r w:rsidRPr="00467946">
        <w:rPr>
          <w:rFonts w:eastAsia="Calibri"/>
        </w:rPr>
        <w:t>].  Additionally, these plants had significantly higher levels of transcripts encoding for a PSII reaction center protein and a glutamine synthetase compared to controls, indicating a possible connection between oxidative stress and photorespiration similar to the one described in CCR-downregulated tobacco [</w:t>
      </w:r>
      <w:r w:rsidR="00631FB3" w:rsidRPr="00631FB3">
        <w:rPr>
          <w:rFonts w:eastAsia="Calibri"/>
        </w:rPr>
        <w:t>40</w:t>
      </w:r>
      <w:r w:rsidRPr="00467946">
        <w:rPr>
          <w:rFonts w:eastAsia="Calibri"/>
        </w:rPr>
        <w:t>].</w:t>
      </w:r>
      <w:r w:rsidRPr="00467946">
        <w:rPr>
          <w:rFonts w:eastAsia="Calibri"/>
          <w:color w:val="000000"/>
          <w:shd w:val="clear" w:color="auto" w:fill="FFFFFF"/>
        </w:rPr>
        <w:t xml:space="preserve">  In </w:t>
      </w:r>
      <w:r w:rsidRPr="00467946">
        <w:rPr>
          <w:rFonts w:eastAsia="Calibri"/>
          <w:i/>
          <w:color w:val="000000"/>
          <w:shd w:val="clear" w:color="auto" w:fill="FFFFFF"/>
        </w:rPr>
        <w:t>A. thaliana</w:t>
      </w:r>
      <w:r w:rsidR="00102AC8">
        <w:rPr>
          <w:rFonts w:eastAsia="Calibri"/>
          <w:color w:val="000000"/>
          <w:shd w:val="clear" w:color="auto" w:fill="FFFFFF"/>
        </w:rPr>
        <w:t xml:space="preserve">, </w:t>
      </w:r>
      <w:r w:rsidRPr="00467946">
        <w:rPr>
          <w:rFonts w:eastAsia="Calibri"/>
          <w:color w:val="000000"/>
          <w:shd w:val="clear" w:color="auto" w:fill="FFFFFF"/>
        </w:rPr>
        <w:t>proteome analyses indicated that plants with over-expression of ZmMYB31 had increased levels of enzymes involved in protecting against oxidative stresses compared to control plants.</w:t>
      </w:r>
      <w:r w:rsidRPr="00467946">
        <w:rPr>
          <w:rFonts w:eastAsia="Calibri"/>
        </w:rPr>
        <w:t xml:space="preserve"> ZmMYB31 also downregulates the expression of aconitase, an enzyme that plays a role in mediating </w:t>
      </w:r>
      <w:r w:rsidRPr="00467946">
        <w:rPr>
          <w:rFonts w:eastAsia="Calibri"/>
        </w:rPr>
        <w:lastRenderedPageBreak/>
        <w:t xml:space="preserve">oxidative stress and associated cell death, and it has been reported that mutant </w:t>
      </w:r>
      <w:r w:rsidRPr="00467946">
        <w:rPr>
          <w:rFonts w:eastAsia="Calibri"/>
          <w:i/>
        </w:rPr>
        <w:t>A. thaliana</w:t>
      </w:r>
      <w:r w:rsidRPr="00467946">
        <w:rPr>
          <w:rFonts w:eastAsia="Calibri"/>
        </w:rPr>
        <w:t xml:space="preserve"> plants deficient in this enzyme are more tolerant to oxidative stress [</w:t>
      </w:r>
      <w:r w:rsidR="00631FB3" w:rsidRPr="00631FB3">
        <w:rPr>
          <w:rFonts w:eastAsia="Calibri"/>
        </w:rPr>
        <w:t>34</w:t>
      </w:r>
      <w:r w:rsidRPr="00467946">
        <w:rPr>
          <w:rFonts w:eastAsia="Calibri"/>
        </w:rPr>
        <w:t xml:space="preserve">, </w:t>
      </w:r>
      <w:r w:rsidR="00631FB3" w:rsidRPr="00631FB3">
        <w:rPr>
          <w:rFonts w:eastAsia="Calibri"/>
        </w:rPr>
        <w:t>94</w:t>
      </w:r>
      <w:r w:rsidRPr="00467946">
        <w:rPr>
          <w:rFonts w:eastAsia="Calibri"/>
        </w:rPr>
        <w:t xml:space="preserve">]. </w:t>
      </w:r>
    </w:p>
    <w:p w:rsidR="00467946" w:rsidRPr="00467946" w:rsidRDefault="00467946" w:rsidP="00097A19">
      <w:pPr>
        <w:tabs>
          <w:tab w:val="left" w:pos="8667"/>
        </w:tabs>
        <w:autoSpaceDE w:val="0"/>
        <w:autoSpaceDN w:val="0"/>
        <w:adjustRightInd w:val="0"/>
        <w:spacing w:line="480" w:lineRule="auto"/>
        <w:rPr>
          <w:rFonts w:eastAsia="Calibri"/>
        </w:rPr>
      </w:pPr>
    </w:p>
    <w:p w:rsidR="00467946" w:rsidRPr="00467946" w:rsidRDefault="00467946" w:rsidP="00097A19">
      <w:pPr>
        <w:tabs>
          <w:tab w:val="left" w:pos="4140"/>
        </w:tabs>
        <w:autoSpaceDE w:val="0"/>
        <w:autoSpaceDN w:val="0"/>
        <w:adjustRightInd w:val="0"/>
        <w:spacing w:line="480" w:lineRule="auto"/>
        <w:rPr>
          <w:rFonts w:eastAsia="Calibri"/>
        </w:rPr>
      </w:pPr>
      <w:r w:rsidRPr="00467946">
        <w:rPr>
          <w:rFonts w:eastAsia="Calibri"/>
        </w:rPr>
        <w:t>The suppression of lignin biosynthesis has also been shown to affect the production of secondary metabolites that function as UV-protectants. UV light-induced stress can induce the synthesis of flavonoids in epidermal tissues of plants, where they function as a protective screen against UV damage and subsequent cell death by absorbing light in the UV-B range [</w:t>
      </w:r>
      <w:r w:rsidR="00631FB3" w:rsidRPr="00631FB3">
        <w:rPr>
          <w:rFonts w:eastAsia="Calibri"/>
        </w:rPr>
        <w:t>59</w:t>
      </w:r>
      <w:r w:rsidRPr="00467946">
        <w:rPr>
          <w:rFonts w:eastAsia="Calibri"/>
        </w:rPr>
        <w:t xml:space="preserve">, </w:t>
      </w:r>
      <w:r w:rsidR="00631FB3" w:rsidRPr="00631FB3">
        <w:rPr>
          <w:rFonts w:eastAsia="Calibri"/>
        </w:rPr>
        <w:t>95</w:t>
      </w:r>
      <w:r w:rsidRPr="00467946">
        <w:rPr>
          <w:rFonts w:eastAsia="Calibri"/>
        </w:rPr>
        <w:t xml:space="preserve">]. Sinapoyl malate and other sinapate esters have also been recognized as important UV protectants in </w:t>
      </w:r>
      <w:r w:rsidRPr="00467946">
        <w:rPr>
          <w:rFonts w:eastAsia="Calibri"/>
          <w:i/>
        </w:rPr>
        <w:t xml:space="preserve">A. thaliana </w:t>
      </w:r>
      <w:r w:rsidRPr="00467946">
        <w:rPr>
          <w:rFonts w:eastAsia="Calibri"/>
        </w:rPr>
        <w:t>[</w:t>
      </w:r>
      <w:r w:rsidR="00631FB3" w:rsidRPr="00631FB3">
        <w:rPr>
          <w:rFonts w:eastAsia="Calibri"/>
        </w:rPr>
        <w:t>95</w:t>
      </w:r>
      <w:r w:rsidRPr="00467946">
        <w:rPr>
          <w:rFonts w:eastAsia="Calibri"/>
        </w:rPr>
        <w:t>]</w:t>
      </w:r>
      <w:r w:rsidRPr="00467946">
        <w:rPr>
          <w:rFonts w:eastAsia="Calibri"/>
          <w:i/>
        </w:rPr>
        <w:t>.</w:t>
      </w:r>
      <w:r w:rsidRPr="00467946">
        <w:rPr>
          <w:rFonts w:eastAsia="Calibri"/>
        </w:rPr>
        <w:t xml:space="preserve"> </w:t>
      </w:r>
      <w:r w:rsidRPr="00467946">
        <w:rPr>
          <w:rFonts w:eastAsia="Calibri"/>
          <w:i/>
        </w:rPr>
        <w:t xml:space="preserve"> </w:t>
      </w:r>
      <w:r w:rsidRPr="00467946">
        <w:rPr>
          <w:rFonts w:eastAsia="Calibri"/>
        </w:rPr>
        <w:t xml:space="preserve">In CCR-deficient mutant plantlets of </w:t>
      </w:r>
      <w:r w:rsidRPr="00467946">
        <w:rPr>
          <w:rFonts w:eastAsia="Calibri"/>
          <w:i/>
        </w:rPr>
        <w:t>A. thaliana</w:t>
      </w:r>
      <w:r w:rsidRPr="00467946">
        <w:rPr>
          <w:rFonts w:eastAsia="Calibri"/>
        </w:rPr>
        <w:t>, a substantial reduction in sinapoyl malate biosynthesis was observed relative to control plants [</w:t>
      </w:r>
      <w:r w:rsidR="00631FB3" w:rsidRPr="00631FB3">
        <w:rPr>
          <w:rFonts w:eastAsia="Calibri"/>
        </w:rPr>
        <w:t>69</w:t>
      </w:r>
      <w:r w:rsidRPr="00467946">
        <w:rPr>
          <w:rFonts w:eastAsia="Calibri"/>
        </w:rPr>
        <w:t xml:space="preserve">]. Exposure to UV light resulted in slower growth of the mutant plantlets relative to controls, and their leaves were yellow, indicating an increased sensitivity to UV light. Similarly, ZmMYB42 over-expression in </w:t>
      </w:r>
      <w:r w:rsidRPr="00467946">
        <w:rPr>
          <w:rFonts w:eastAsia="Calibri"/>
          <w:i/>
        </w:rPr>
        <w:t>A. thaliana</w:t>
      </w:r>
      <w:r w:rsidRPr="00467946">
        <w:rPr>
          <w:rFonts w:eastAsia="Calibri"/>
        </w:rPr>
        <w:t xml:space="preserve"> resulted in the downregulation of several phenylpropanoid pathway genes including those involved in sinapoyl malate and flavonoid biosynthesis [</w:t>
      </w:r>
      <w:r w:rsidR="00631FB3" w:rsidRPr="00631FB3">
        <w:rPr>
          <w:rFonts w:eastAsia="Calibri"/>
        </w:rPr>
        <w:t>38</w:t>
      </w:r>
      <w:r w:rsidRPr="00467946">
        <w:rPr>
          <w:rFonts w:eastAsia="Calibri"/>
        </w:rPr>
        <w:t>]. As a result, transgenic plants were more sensitive to UV light, as indicated by a yellowing of the leaves relative to control plants [</w:t>
      </w:r>
      <w:r w:rsidR="00631FB3" w:rsidRPr="00631FB3">
        <w:rPr>
          <w:rFonts w:eastAsia="Calibri"/>
        </w:rPr>
        <w:t>38</w:t>
      </w:r>
      <w:r w:rsidRPr="00467946">
        <w:rPr>
          <w:rFonts w:eastAsia="Calibri"/>
        </w:rPr>
        <w:t xml:space="preserve">]. </w:t>
      </w:r>
      <w:r w:rsidRPr="00467946">
        <w:rPr>
          <w:rFonts w:eastAsia="Calibri"/>
          <w:i/>
        </w:rPr>
        <w:t>A. thaliana</w:t>
      </w:r>
      <w:r w:rsidRPr="00467946">
        <w:rPr>
          <w:rFonts w:eastAsia="Calibri"/>
        </w:rPr>
        <w:t xml:space="preserve"> plants with over-expression of another MYB transcription factor, ZmMYB31, also had lower levels of sinapoyl malate compared to controls [</w:t>
      </w:r>
      <w:r w:rsidR="00631FB3" w:rsidRPr="00631FB3">
        <w:rPr>
          <w:rFonts w:eastAsia="Calibri"/>
        </w:rPr>
        <w:t>34</w:t>
      </w:r>
      <w:r w:rsidRPr="00467946">
        <w:rPr>
          <w:rFonts w:eastAsia="Calibri"/>
        </w:rPr>
        <w:t xml:space="preserve">]. However, unlike the ZmMYB42 plants, ZmMYB31 over-expression resulted in an increase in levels of UV-protecting flavonoids. Despite this increase in flavonoids, transgenic </w:t>
      </w:r>
      <w:r w:rsidRPr="00467946">
        <w:rPr>
          <w:rFonts w:eastAsia="Calibri"/>
          <w:i/>
        </w:rPr>
        <w:t>A. thaliana</w:t>
      </w:r>
      <w:r w:rsidRPr="00467946">
        <w:rPr>
          <w:rFonts w:eastAsia="Calibri"/>
        </w:rPr>
        <w:t xml:space="preserve"> plants were still highly sensitive to UV radiation compared to controls, displaying an upward leaf curling phenotype resembling those observed in </w:t>
      </w:r>
      <w:r w:rsidRPr="00467946">
        <w:rPr>
          <w:rFonts w:eastAsia="Calibri"/>
        </w:rPr>
        <w:lastRenderedPageBreak/>
        <w:t>mutant plants deficient in UV-protectant compounds [</w:t>
      </w:r>
      <w:r w:rsidR="00631FB3" w:rsidRPr="00631FB3">
        <w:rPr>
          <w:rFonts w:eastAsia="Calibri"/>
        </w:rPr>
        <w:t>34</w:t>
      </w:r>
      <w:r w:rsidRPr="00467946">
        <w:rPr>
          <w:rFonts w:eastAsia="Calibri"/>
        </w:rPr>
        <w:t xml:space="preserve">, </w:t>
      </w:r>
      <w:r w:rsidR="00631FB3" w:rsidRPr="00631FB3">
        <w:rPr>
          <w:rFonts w:eastAsia="Calibri"/>
        </w:rPr>
        <w:t>95</w:t>
      </w:r>
      <w:r w:rsidRPr="00467946">
        <w:rPr>
          <w:rFonts w:eastAsia="Calibri"/>
        </w:rPr>
        <w:t xml:space="preserve">].  </w:t>
      </w:r>
      <w:r w:rsidR="00102AC8" w:rsidRPr="00102AC8">
        <w:rPr>
          <w:rFonts w:eastAsia="Calibri"/>
        </w:rPr>
        <w:t xml:space="preserve">The researchers concluded that the over-expression of this transcription factor in </w:t>
      </w:r>
      <w:r w:rsidR="00102AC8" w:rsidRPr="00102AC8">
        <w:rPr>
          <w:rFonts w:eastAsia="Calibri"/>
          <w:i/>
        </w:rPr>
        <w:t>A. thaliana</w:t>
      </w:r>
      <w:r w:rsidR="00102AC8" w:rsidRPr="00102AC8">
        <w:rPr>
          <w:rFonts w:eastAsia="Calibri"/>
        </w:rPr>
        <w:t xml:space="preserve"> </w:t>
      </w:r>
      <w:r w:rsidR="00102AC8">
        <w:rPr>
          <w:rFonts w:eastAsia="Calibri"/>
        </w:rPr>
        <w:t>resulted</w:t>
      </w:r>
      <w:r w:rsidR="00102AC8" w:rsidRPr="00102AC8">
        <w:rPr>
          <w:rFonts w:eastAsia="Calibri"/>
        </w:rPr>
        <w:t xml:space="preserve"> in a reduced flux of carbon into lignin and sinapoyl malate biosynthesis, and a redirection of the flux into flavonoid biosynthesis </w:t>
      </w:r>
      <w:r w:rsidRPr="00467946">
        <w:rPr>
          <w:rFonts w:eastAsia="Calibri"/>
        </w:rPr>
        <w:t>[</w:t>
      </w:r>
      <w:r w:rsidR="00631FB3" w:rsidRPr="00631FB3">
        <w:rPr>
          <w:rFonts w:eastAsia="Calibri"/>
        </w:rPr>
        <w:t>34</w:t>
      </w:r>
      <w:r w:rsidRPr="00467946">
        <w:rPr>
          <w:rFonts w:eastAsia="Calibri"/>
        </w:rPr>
        <w:t>].</w:t>
      </w:r>
    </w:p>
    <w:p w:rsidR="000F7C20" w:rsidRPr="00467946" w:rsidRDefault="000F7C20" w:rsidP="00097A19">
      <w:pPr>
        <w:numPr>
          <w:ilvl w:val="12"/>
          <w:numId w:val="0"/>
        </w:num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rsidR="000F7C20" w:rsidRPr="00303CE0" w:rsidRDefault="000F7C20" w:rsidP="00097A19">
      <w:pPr>
        <w:pStyle w:val="Heading4"/>
        <w:spacing w:line="480" w:lineRule="auto"/>
        <w:rPr>
          <w:i/>
        </w:rPr>
      </w:pPr>
      <w:r w:rsidRPr="00303CE0">
        <w:rPr>
          <w:i/>
        </w:rPr>
        <w:t>Water stress</w:t>
      </w:r>
    </w:p>
    <w:p w:rsidR="00BA3093" w:rsidRDefault="000D3F86" w:rsidP="00097A19">
      <w:pPr>
        <w:autoSpaceDE w:val="0"/>
        <w:autoSpaceDN w:val="0"/>
        <w:adjustRightInd w:val="0"/>
        <w:spacing w:line="480" w:lineRule="auto"/>
        <w:rPr>
          <w:rFonts w:eastAsia="Calibri"/>
        </w:rPr>
      </w:pPr>
      <w:r w:rsidRPr="000D3F86">
        <w:rPr>
          <w:rFonts w:eastAsia="Calibri"/>
        </w:rPr>
        <w:t>In HCT-downregulated alfalfa, transcriptome profiling revealed an upregulation of abiotic stress-related transcripts, the majority of which were heat and drought stress-related [</w:t>
      </w:r>
      <w:r w:rsidR="00631FB3" w:rsidRPr="00631FB3">
        <w:rPr>
          <w:rFonts w:eastAsia="Calibri"/>
        </w:rPr>
        <w:t>31</w:t>
      </w:r>
      <w:r w:rsidRPr="000D3F86">
        <w:rPr>
          <w:rFonts w:eastAsia="Calibri"/>
        </w:rPr>
        <w:t xml:space="preserve">]. Metabolomic analyses of transgenic </w:t>
      </w:r>
      <w:r w:rsidR="00102AC8">
        <w:rPr>
          <w:rFonts w:eastAsia="Calibri"/>
        </w:rPr>
        <w:t>plants</w:t>
      </w:r>
      <w:r w:rsidRPr="000D3F86">
        <w:rPr>
          <w:rFonts w:eastAsia="Calibri"/>
        </w:rPr>
        <w:t xml:space="preserve"> also showed elevated levels of abscisic acid (ABA), a phytohormone that plays a central role in sensing water deficiency and activating the expression of drought stress-related genes [</w:t>
      </w:r>
      <w:r w:rsidR="00631FB3" w:rsidRPr="00631FB3">
        <w:rPr>
          <w:rFonts w:eastAsia="Calibri"/>
        </w:rPr>
        <w:t>31</w:t>
      </w:r>
      <w:r w:rsidRPr="000D3F86">
        <w:rPr>
          <w:rFonts w:eastAsia="Calibri"/>
        </w:rPr>
        <w:t xml:space="preserve">, </w:t>
      </w:r>
      <w:r w:rsidR="00631FB3" w:rsidRPr="00631FB3">
        <w:rPr>
          <w:rFonts w:eastAsia="Calibri"/>
        </w:rPr>
        <w:t>96</w:t>
      </w:r>
      <w:r w:rsidRPr="000D3F86">
        <w:rPr>
          <w:rFonts w:eastAsia="Calibri"/>
        </w:rPr>
        <w:t xml:space="preserve">]. To investigate whether the observed changes in drought stress-related gene expression were associated with an enhanced tolerance to drought, plants were deprived of water for a period of nine days. Transgenic plants exhibited fewer symptoms of drought stress </w:t>
      </w:r>
      <w:r w:rsidR="00102AC8">
        <w:rPr>
          <w:rFonts w:eastAsia="Calibri"/>
        </w:rPr>
        <w:t>than controls</w:t>
      </w:r>
      <w:r w:rsidRPr="000D3F86">
        <w:rPr>
          <w:rFonts w:eastAsia="Calibri"/>
        </w:rPr>
        <w:t xml:space="preserve"> and were able to recover completely after five days of rehydration, while control plants showed extensive damage and did not survive. Leaf water potential measurements showed that water potential in the transgenics decreased at a slower rate than the controls throughout the experiment. Additionally, changes that are commonly associated with adaptation to drought stress, including reduced leaf transpiration rate and increased number of stomatal cells, were observed in transgenic leaf tissue [</w:t>
      </w:r>
      <w:r w:rsidR="00631FB3" w:rsidRPr="00631FB3">
        <w:rPr>
          <w:rFonts w:eastAsia="Calibri"/>
        </w:rPr>
        <w:t>31</w:t>
      </w:r>
      <w:r w:rsidRPr="000D3F86">
        <w:rPr>
          <w:rFonts w:eastAsia="Calibri"/>
        </w:rPr>
        <w:t xml:space="preserve">, </w:t>
      </w:r>
      <w:r w:rsidR="00631FB3" w:rsidRPr="00631FB3">
        <w:rPr>
          <w:rFonts w:eastAsia="Calibri"/>
        </w:rPr>
        <w:t>97</w:t>
      </w:r>
      <w:r w:rsidRPr="000D3F86">
        <w:rPr>
          <w:rFonts w:eastAsia="Calibri"/>
        </w:rPr>
        <w:t xml:space="preserve">]. </w:t>
      </w:r>
    </w:p>
    <w:p w:rsidR="000F7C20" w:rsidRDefault="00BA3093" w:rsidP="00097A19">
      <w:pPr>
        <w:pStyle w:val="Heading2"/>
        <w:spacing w:line="480" w:lineRule="auto"/>
      </w:pPr>
      <w:r>
        <w:rPr>
          <w:rFonts w:eastAsia="Calibri"/>
        </w:rPr>
        <w:br w:type="page"/>
      </w:r>
      <w:r>
        <w:lastRenderedPageBreak/>
        <w:t>Perspectives and conclusion</w:t>
      </w:r>
    </w:p>
    <w:p w:rsidR="000D3F86" w:rsidRPr="000D3F86" w:rsidRDefault="000D3F86" w:rsidP="00097A19">
      <w:pPr>
        <w:autoSpaceDE w:val="0"/>
        <w:autoSpaceDN w:val="0"/>
        <w:adjustRightInd w:val="0"/>
        <w:spacing w:after="60" w:line="480" w:lineRule="auto"/>
        <w:rPr>
          <w:rFonts w:eastAsia="Calibri"/>
        </w:rPr>
      </w:pPr>
      <w:bookmarkStart w:id="31" w:name="_Ref357513753"/>
      <w:bookmarkStart w:id="32" w:name="_Ref357513750"/>
      <w:bookmarkStart w:id="33" w:name="_Ref357261732"/>
      <w:r w:rsidRPr="000D3F86">
        <w:rPr>
          <w:rFonts w:eastAsia="Calibri"/>
        </w:rPr>
        <w:t xml:space="preserve">The use of systems biology-based approaches that incorporate information at the transcript, protein, and metabolite level are continually improving our understanding of how plants respond to altering lignin. It is important to examine and understand these broader effects of lignin modification since the commercial viability of altered-lignin bioenergy feedstocks will depend not only on improved biofuel traits, but also on their ability to perform at least as well as their non-transgenic counterparts in the field. This performance includes optimal growth potential in the absence of stress, the ability to tolerate abiotic stresses, and the ability to resist pests.  Vulnerability on any of these fronts would likely make modified feedstocks </w:t>
      </w:r>
      <w:r w:rsidR="00102AC8">
        <w:rPr>
          <w:rFonts w:eastAsia="Calibri"/>
        </w:rPr>
        <w:t xml:space="preserve">an undesirable risk </w:t>
      </w:r>
      <w:r w:rsidRPr="000D3F86">
        <w:rPr>
          <w:rFonts w:eastAsia="Calibri"/>
        </w:rPr>
        <w:t xml:space="preserve">to farmers. Therefore, field-based experiments to characterize lignin-modified feedstocks in these crucial areas are absolutely required. </w:t>
      </w:r>
    </w:p>
    <w:p w:rsidR="000D3F86" w:rsidRPr="000D3F86" w:rsidRDefault="000D3F86" w:rsidP="00097A19">
      <w:pPr>
        <w:autoSpaceDE w:val="0"/>
        <w:autoSpaceDN w:val="0"/>
        <w:adjustRightInd w:val="0"/>
        <w:spacing w:after="60" w:line="480" w:lineRule="auto"/>
        <w:rPr>
          <w:rFonts w:eastAsia="Calibri"/>
        </w:rPr>
      </w:pPr>
    </w:p>
    <w:p w:rsidR="000D3F86" w:rsidRPr="000D3F86" w:rsidRDefault="000D3F86" w:rsidP="00097A19">
      <w:pPr>
        <w:spacing w:after="200" w:line="480" w:lineRule="auto"/>
        <w:rPr>
          <w:rFonts w:eastAsia="Calibri"/>
        </w:rPr>
      </w:pPr>
      <w:r w:rsidRPr="000D3F86">
        <w:rPr>
          <w:rFonts w:eastAsia="Calibri"/>
        </w:rPr>
        <w:t>To date, most of the research with transgenic low-lignin feedstocks grown in the field has been done in trees and forage crops for evaluating traits related to improved pulping or digestibility, respectively [</w:t>
      </w:r>
      <w:r w:rsidR="00631FB3">
        <w:t>6</w:t>
      </w:r>
      <w:r w:rsidRPr="000D3F86">
        <w:rPr>
          <w:rFonts w:eastAsia="Calibri"/>
        </w:rPr>
        <w:t xml:space="preserve">, </w:t>
      </w:r>
      <w:r w:rsidR="00631FB3" w:rsidRPr="00631FB3">
        <w:rPr>
          <w:rFonts w:eastAsia="Calibri"/>
        </w:rPr>
        <w:t>98</w:t>
      </w:r>
      <w:r w:rsidRPr="000D3F86">
        <w:rPr>
          <w:rFonts w:eastAsia="Calibri"/>
        </w:rPr>
        <w:t>]. More recently, saccharification efficiency has been assessed in field-grown bioenergy crop species [</w:t>
      </w:r>
      <w:r w:rsidR="00631FB3" w:rsidRPr="00631FB3">
        <w:rPr>
          <w:rFonts w:eastAsia="Calibri"/>
        </w:rPr>
        <w:t>21</w:t>
      </w:r>
      <w:r w:rsidRPr="000D3F86">
        <w:rPr>
          <w:rFonts w:eastAsia="Calibri"/>
        </w:rPr>
        <w:t xml:space="preserve">, </w:t>
      </w:r>
      <w:r w:rsidR="00631FB3" w:rsidRPr="00631FB3">
        <w:rPr>
          <w:rFonts w:eastAsia="Calibri"/>
        </w:rPr>
        <w:t>23</w:t>
      </w:r>
      <w:r w:rsidRPr="000D3F86">
        <w:rPr>
          <w:rFonts w:eastAsia="Calibri"/>
        </w:rPr>
        <w:t xml:space="preserve">, </w:t>
      </w:r>
      <w:proofErr w:type="gramStart"/>
      <w:r w:rsidR="00631FB3">
        <w:rPr>
          <w:rFonts w:eastAsia="Calibri"/>
        </w:rPr>
        <w:t>99</w:t>
      </w:r>
      <w:proofErr w:type="gramEnd"/>
      <w:r w:rsidRPr="000D3F86">
        <w:rPr>
          <w:rFonts w:eastAsia="Calibri"/>
        </w:rPr>
        <w:t xml:space="preserve">].  Such studies have provided valuable insight into the </w:t>
      </w:r>
      <w:r w:rsidRPr="002A78F3">
        <w:rPr>
          <w:rFonts w:eastAsia="Calibri"/>
        </w:rPr>
        <w:t>impacts of altered lignin content on susceptibility to biotic and abioti</w:t>
      </w:r>
      <w:r w:rsidR="002A78F3" w:rsidRPr="002A78F3">
        <w:rPr>
          <w:rFonts w:eastAsia="Calibri"/>
        </w:rPr>
        <w:t>c stresses in a field setting. In a</w:t>
      </w:r>
      <w:r w:rsidRPr="002A78F3">
        <w:rPr>
          <w:rFonts w:eastAsia="Calibri"/>
        </w:rPr>
        <w:t xml:space="preserve"> four-year field evaluation of poplar with reduced lignin content for improved pulping performance, there was no effect of lignin modification on the susceptibility to insect herbivory or rust (</w:t>
      </w:r>
      <w:r w:rsidRPr="002A78F3">
        <w:rPr>
          <w:rFonts w:eastAsia="Calibri"/>
          <w:i/>
        </w:rPr>
        <w:t>Melampsora sp.</w:t>
      </w:r>
      <w:r w:rsidR="002A78F3" w:rsidRPr="002A78F3">
        <w:rPr>
          <w:rFonts w:eastAsia="Calibri"/>
        </w:rPr>
        <w:t xml:space="preserve">) </w:t>
      </w:r>
      <w:r w:rsidRPr="002A78F3">
        <w:rPr>
          <w:rFonts w:eastAsia="Calibri"/>
        </w:rPr>
        <w:t>[</w:t>
      </w:r>
      <w:r w:rsidR="00631FB3">
        <w:t>6</w:t>
      </w:r>
      <w:r w:rsidRPr="002A78F3">
        <w:rPr>
          <w:rFonts w:eastAsia="Calibri"/>
        </w:rPr>
        <w:t>]. Similarly, field-grown COMT-downregulated sugarcane was not more</w:t>
      </w:r>
      <w:r w:rsidR="002A78F3" w:rsidRPr="002A78F3">
        <w:rPr>
          <w:rFonts w:eastAsia="Calibri"/>
        </w:rPr>
        <w:t xml:space="preserve"> </w:t>
      </w:r>
      <w:r w:rsidRPr="002A78F3">
        <w:rPr>
          <w:rFonts w:eastAsia="Calibri"/>
        </w:rPr>
        <w:t xml:space="preserve">susceptible to </w:t>
      </w:r>
      <w:r w:rsidRPr="002A78F3">
        <w:rPr>
          <w:rFonts w:eastAsia="Calibri"/>
        </w:rPr>
        <w:lastRenderedPageBreak/>
        <w:t>orange rust (</w:t>
      </w:r>
      <w:r w:rsidRPr="002A78F3">
        <w:rPr>
          <w:rFonts w:eastAsia="Calibri"/>
          <w:i/>
        </w:rPr>
        <w:t>Puccinia kuehnii</w:t>
      </w:r>
      <w:r w:rsidR="002A78F3" w:rsidRPr="002A78F3">
        <w:rPr>
          <w:rFonts w:eastAsia="Calibri"/>
        </w:rPr>
        <w:t xml:space="preserve">) compared with </w:t>
      </w:r>
      <w:r w:rsidRPr="002A78F3">
        <w:rPr>
          <w:rFonts w:eastAsia="Calibri"/>
        </w:rPr>
        <w:t>non-transgenic</w:t>
      </w:r>
      <w:r w:rsidR="002A78F3" w:rsidRPr="002A78F3">
        <w:rPr>
          <w:rFonts w:eastAsia="Calibri"/>
        </w:rPr>
        <w:t xml:space="preserve"> controls</w:t>
      </w:r>
      <w:r w:rsidRPr="002A78F3">
        <w:rPr>
          <w:rFonts w:eastAsia="Calibri"/>
        </w:rPr>
        <w:t xml:space="preserve"> [</w:t>
      </w:r>
      <w:r w:rsidR="00631FB3" w:rsidRPr="00631FB3">
        <w:rPr>
          <w:rFonts w:eastAsia="Calibri"/>
        </w:rPr>
        <w:t>21</w:t>
      </w:r>
      <w:r w:rsidRPr="002A78F3">
        <w:rPr>
          <w:rFonts w:eastAsia="Calibri"/>
        </w:rPr>
        <w:t>].On the other hand, COMT-downregulation in field-grown perennial ryegrass plants</w:t>
      </w:r>
      <w:r w:rsidRPr="000D3F86">
        <w:rPr>
          <w:rFonts w:eastAsia="Calibri"/>
        </w:rPr>
        <w:t xml:space="preserve"> led to an increased susceptibility to rust (</w:t>
      </w:r>
      <w:r w:rsidRPr="000D3F86">
        <w:rPr>
          <w:rFonts w:eastAsia="Calibri"/>
          <w:i/>
        </w:rPr>
        <w:t>Puccinia</w:t>
      </w:r>
      <w:r w:rsidRPr="000D3F86">
        <w:rPr>
          <w:rFonts w:eastAsia="Calibri"/>
        </w:rPr>
        <w:t xml:space="preserve"> species) relative to control plants [</w:t>
      </w:r>
      <w:r w:rsidR="00631FB3" w:rsidRPr="00631FB3">
        <w:rPr>
          <w:rFonts w:eastAsia="Calibri"/>
          <w:bCs/>
        </w:rPr>
        <w:t>100</w:t>
      </w:r>
      <w:r w:rsidRPr="000D3F86" w:rsidDel="00657D38">
        <w:rPr>
          <w:rFonts w:eastAsia="Calibri"/>
        </w:rPr>
        <w:t xml:space="preserve"> </w:t>
      </w:r>
      <w:r w:rsidRPr="000D3F86">
        <w:rPr>
          <w:rFonts w:eastAsia="Calibri"/>
        </w:rPr>
        <w:t>].  In addition to examining biotic stress interactions in lignin-modified crops, abiotic stress-related effects have also been assessed in the field.  A two-year field study of low-lignin poplar with downregulation of 4CL found that the transgenic events with the strongest reduction in lignin content were associated with significantly impaired xylem transport efficiency, resulting in frequent shoot dieback despite being watered regularly [</w:t>
      </w:r>
      <w:r w:rsidR="00631FB3" w:rsidRPr="00631FB3">
        <w:rPr>
          <w:rFonts w:eastAsia="Calibri"/>
        </w:rPr>
        <w:t>101</w:t>
      </w:r>
      <w:r w:rsidRPr="000D3F86">
        <w:rPr>
          <w:rFonts w:eastAsia="Calibri"/>
        </w:rPr>
        <w:t>]. Interestingly, further studies with these plants found that the impaired xylem water conductivity in the lignin-downregulated lines was a result of accumulating phenolics and tyloses that were being deposited in xylem vessels and impeding water transport [</w:t>
      </w:r>
      <w:r w:rsidR="00631FB3" w:rsidRPr="00631FB3">
        <w:rPr>
          <w:rFonts w:eastAsia="Calibri"/>
        </w:rPr>
        <w:t>102</w:t>
      </w:r>
      <w:r w:rsidRPr="000D3F86">
        <w:rPr>
          <w:rFonts w:eastAsia="Calibri"/>
        </w:rPr>
        <w:t>]. In addition to impairment of water transport, the reduction in lignin content in transgenic poplar lines was also associated with decreased wood strength and stiffness, and an increase in the formation of tension wood [</w:t>
      </w:r>
      <w:r w:rsidR="00631FB3" w:rsidRPr="00631FB3">
        <w:rPr>
          <w:rFonts w:eastAsia="Calibri"/>
        </w:rPr>
        <w:t>103</w:t>
      </w:r>
      <w:r w:rsidRPr="000D3F86">
        <w:rPr>
          <w:rFonts w:eastAsia="Calibri"/>
        </w:rPr>
        <w:t>]. Taken together, the outcomes of these field trials suggest that some types of lignin modifications may be more preferable than others for preserving the growth and viability of low-lignin crops in the field, and this will likely vary from species to species. More extensive field studies are necessary in order to gain a better idea of the types of lignin modifications that will be best tolerated by plants in their environment.  Particularly, the indirect effects of modified lignin biosynthesis on secondary metabolism and stress-related gene expression should be further explored under field conditions, as these factors could significantly impact the susceptibility of plants to stresses in an agronomic setting.</w:t>
      </w:r>
    </w:p>
    <w:p w:rsidR="000D3F86" w:rsidRPr="000D3F86" w:rsidRDefault="000D3F86" w:rsidP="00097A19">
      <w:pPr>
        <w:spacing w:after="200" w:line="480" w:lineRule="auto"/>
        <w:rPr>
          <w:rFonts w:eastAsia="Calibri"/>
        </w:rPr>
      </w:pPr>
    </w:p>
    <w:p w:rsidR="000D3F86" w:rsidRPr="000D3F86" w:rsidRDefault="000D3F86" w:rsidP="00097A19">
      <w:pPr>
        <w:spacing w:after="200" w:line="480" w:lineRule="auto"/>
        <w:rPr>
          <w:rFonts w:eastAsia="Calibri"/>
        </w:rPr>
      </w:pPr>
      <w:r w:rsidRPr="000D3F86">
        <w:rPr>
          <w:rFonts w:eastAsia="Calibri"/>
        </w:rPr>
        <w:t xml:space="preserve">In absence of pertinent field data, we can speculate on the potential agronomic effects of altered stress-related metabolism in low-lignin bioenergy feedstocks. As previously discussed, modified lignin biosynthesis can lead to the differential accumulation or suppression of various phenylpropanoid pathway intermediates, some of which have been shown to influence plant-microbial interactions under controlled environmental conditions. Therefore, it is possible that this altered biochemistry in feedstocks could influence interactions between the plant and bacterial or fungal pests in the field. </w:t>
      </w:r>
      <w:r w:rsidR="00102AC8" w:rsidRPr="00102AC8">
        <w:rPr>
          <w:rFonts w:eastAsia="Calibri"/>
        </w:rPr>
        <w:t>In particular, levels of lignin precursors such as p-coumaric acid, ferulic acid, and sinapic acid were shown to accumulate in plants with suppressed lignin biosynthesis</w:t>
      </w:r>
      <w:r w:rsidRPr="000D3F86">
        <w:rPr>
          <w:rFonts w:eastAsia="Calibri"/>
        </w:rPr>
        <w:t xml:space="preserve">; </w:t>
      </w:r>
      <w:r w:rsidRPr="000D3F86">
        <w:rPr>
          <w:rFonts w:eastAsia="Calibri"/>
          <w:i/>
        </w:rPr>
        <w:t>in vitro</w:t>
      </w:r>
      <w:r w:rsidRPr="000D3F86">
        <w:rPr>
          <w:rFonts w:eastAsia="Calibri"/>
        </w:rPr>
        <w:t>, these metabolites have been shown to have antibacterial and antifungal properties [</w:t>
      </w:r>
      <w:r w:rsidR="00631FB3" w:rsidRPr="00631FB3">
        <w:rPr>
          <w:rFonts w:eastAsia="Calibri"/>
        </w:rPr>
        <w:t>104</w:t>
      </w:r>
      <w:r w:rsidRPr="000D3F86">
        <w:rPr>
          <w:rFonts w:eastAsia="Calibri"/>
        </w:rPr>
        <w:t>]. In switchgrass, the downregulation of CAD led to an accumulation of chlorogenic acid [</w:t>
      </w:r>
      <w:r w:rsidR="00631FB3" w:rsidRPr="00631FB3">
        <w:rPr>
          <w:rFonts w:eastAsia="Calibri"/>
        </w:rPr>
        <w:t>17</w:t>
      </w:r>
      <w:r w:rsidRPr="000D3F86">
        <w:rPr>
          <w:rFonts w:eastAsia="Calibri"/>
        </w:rPr>
        <w:t>]; higher levels of chlorogenic acid have been shown to correlate with increased plant resistance to bacterial pathogens and insect herbivory [</w:t>
      </w:r>
      <w:r w:rsidR="00631FB3" w:rsidRPr="00631FB3">
        <w:rPr>
          <w:rFonts w:eastAsia="Calibri"/>
        </w:rPr>
        <w:t>105</w:t>
      </w:r>
      <w:r w:rsidRPr="000D3F86">
        <w:rPr>
          <w:rFonts w:eastAsia="Calibri"/>
        </w:rPr>
        <w:t xml:space="preserve">, </w:t>
      </w:r>
      <w:r w:rsidR="00631FB3" w:rsidRPr="00631FB3">
        <w:rPr>
          <w:rFonts w:eastAsia="Calibri"/>
        </w:rPr>
        <w:t>106</w:t>
      </w:r>
      <w:r w:rsidRPr="000D3F86">
        <w:rPr>
          <w:rFonts w:eastAsia="Calibri"/>
        </w:rPr>
        <w:t>]. In addition to influencing plant-microbial interactions, biochemical changes in the plant tissue as a result of altered secondary metabolism could influence the palatability of plants to insects. While the relationship between total lignin content and susceptibility to insect herbivory is unclear [</w:t>
      </w:r>
      <w:r w:rsidR="00631FB3" w:rsidRPr="00631FB3">
        <w:rPr>
          <w:rFonts w:eastAsia="Calibri"/>
        </w:rPr>
        <w:t>107</w:t>
      </w:r>
      <w:r w:rsidRPr="000D3F86">
        <w:rPr>
          <w:rFonts w:eastAsia="Calibri"/>
        </w:rPr>
        <w:t xml:space="preserve">], a recent field study comparing switchgrass lines with naturally varying lignin levels suggested </w:t>
      </w:r>
      <w:r w:rsidRPr="000D3F86">
        <w:rPr>
          <w:rFonts w:eastAsia="Calibri"/>
          <w:iCs/>
          <w:bdr w:val="none" w:sz="0" w:space="0" w:color="auto" w:frame="1"/>
          <w:shd w:val="clear" w:color="auto" w:fill="FFFFFF"/>
        </w:rPr>
        <w:t>that other factors, such as the accumulation of compounds that interfere with nutrition, may be more important than overall lignin content in explaining resistance to insect herbivory [</w:t>
      </w:r>
      <w:r w:rsidR="00631FB3" w:rsidRPr="00631FB3">
        <w:rPr>
          <w:rFonts w:eastAsia="Calibri"/>
          <w:iCs/>
          <w:bdr w:val="none" w:sz="0" w:space="0" w:color="auto" w:frame="1"/>
          <w:shd w:val="clear" w:color="auto" w:fill="FFFFFF"/>
        </w:rPr>
        <w:t>108</w:t>
      </w:r>
      <w:r w:rsidRPr="000D3F86">
        <w:rPr>
          <w:rFonts w:eastAsia="Calibri"/>
          <w:iCs/>
          <w:bdr w:val="none" w:sz="0" w:space="0" w:color="auto" w:frame="1"/>
          <w:shd w:val="clear" w:color="auto" w:fill="FFFFFF"/>
        </w:rPr>
        <w:t xml:space="preserve">]. </w:t>
      </w:r>
      <w:r w:rsidRPr="000D3F86">
        <w:rPr>
          <w:rFonts w:eastAsia="Calibri"/>
        </w:rPr>
        <w:t xml:space="preserve">In maize, higher levels of p-coumaric and ferulic acids were strongly associated with an increased resistance to infestations by </w:t>
      </w:r>
      <w:r w:rsidRPr="000D3F86">
        <w:rPr>
          <w:rFonts w:eastAsia="Calibri"/>
        </w:rPr>
        <w:lastRenderedPageBreak/>
        <w:t>maize weevil (</w:t>
      </w:r>
      <w:r w:rsidRPr="000D3F86">
        <w:rPr>
          <w:rFonts w:eastAsia="Calibri"/>
          <w:i/>
        </w:rPr>
        <w:t>Sitophilus zeamais</w:t>
      </w:r>
      <w:r w:rsidRPr="000D3F86">
        <w:rPr>
          <w:rFonts w:eastAsia="Calibri"/>
        </w:rPr>
        <w:t>) and stem borer (</w:t>
      </w:r>
      <w:r w:rsidRPr="000D3F86">
        <w:rPr>
          <w:rFonts w:eastAsia="Calibri"/>
          <w:i/>
          <w:iCs/>
        </w:rPr>
        <w:t>Sesamia nonagrioides</w:t>
      </w:r>
      <w:r w:rsidRPr="000D3F86">
        <w:rPr>
          <w:rFonts w:eastAsia="Calibri"/>
        </w:rPr>
        <w:t>), respectively, in the field [</w:t>
      </w:r>
      <w:r w:rsidR="00631FB3" w:rsidRPr="00631FB3">
        <w:rPr>
          <w:rFonts w:eastAsia="Calibri"/>
        </w:rPr>
        <w:t>109</w:t>
      </w:r>
      <w:r w:rsidRPr="000D3F86">
        <w:rPr>
          <w:rFonts w:eastAsia="Calibri"/>
        </w:rPr>
        <w:t xml:space="preserve">, </w:t>
      </w:r>
      <w:r w:rsidR="00631FB3" w:rsidRPr="00631FB3">
        <w:rPr>
          <w:rFonts w:eastAsia="Calibri"/>
        </w:rPr>
        <w:t>110</w:t>
      </w:r>
      <w:r w:rsidRPr="000D3F86">
        <w:rPr>
          <w:rFonts w:eastAsia="Calibri"/>
        </w:rPr>
        <w:t>]. In transgenic poplar with downregulation of C3H, an accumulation of phenolic glucosides was observed. These compounds have previously been shown to deter the activity of fungi and insect pests of poplar, and it was suggested that the elevated levels could potentially enhance defense responses of transgenic poplar toward biotic pests [</w:t>
      </w:r>
      <w:r w:rsidR="00631FB3" w:rsidRPr="00631FB3">
        <w:rPr>
          <w:rFonts w:eastAsia="Calibri"/>
        </w:rPr>
        <w:t>33</w:t>
      </w:r>
      <w:r w:rsidRPr="000D3F86">
        <w:rPr>
          <w:rFonts w:eastAsia="Calibri"/>
        </w:rPr>
        <w:t>]. A constitutive expression of PR genes has also been shown to influence stress interactions, and was shown to increase the tolerance of transgenic alfalfa plants to anthracnose infection [</w:t>
      </w:r>
      <w:r w:rsidR="00631FB3" w:rsidRPr="00631FB3">
        <w:rPr>
          <w:rFonts w:eastAsia="Calibri"/>
        </w:rPr>
        <w:t>31</w:t>
      </w:r>
      <w:r w:rsidRPr="000D3F86">
        <w:rPr>
          <w:rFonts w:eastAsia="Calibri"/>
        </w:rPr>
        <w:t>]; thus, a constitutive activation of biotic defense-related genes could potentially render plants more prepared for defending themselves against pathogens in a field setting.</w:t>
      </w:r>
    </w:p>
    <w:p w:rsidR="000D3F86" w:rsidRPr="000D3F86" w:rsidRDefault="000D3F86" w:rsidP="00097A19">
      <w:pPr>
        <w:spacing w:after="200" w:line="480" w:lineRule="auto"/>
        <w:rPr>
          <w:rFonts w:eastAsia="Calibri"/>
        </w:rPr>
      </w:pPr>
    </w:p>
    <w:p w:rsidR="000D3F86" w:rsidRPr="000D3F86" w:rsidRDefault="000D3F86" w:rsidP="00097A19">
      <w:pPr>
        <w:spacing w:after="200" w:line="480" w:lineRule="auto"/>
        <w:rPr>
          <w:rFonts w:eastAsia="Calibri"/>
        </w:rPr>
      </w:pPr>
      <w:r w:rsidRPr="000D3F86">
        <w:rPr>
          <w:rFonts w:eastAsia="Calibri"/>
        </w:rPr>
        <w:t>Modifications to the lignin biosynthetic pathway have also been shown to suppress or enhance levels of secondary compounds that could influence plant acclimation to abiotic stresses. Plants have been shown to accumulate anthocyanins and/or flavonoids as a protective mechanism against salinity stress, UVB damage, cold temperatures, and water stress [</w:t>
      </w:r>
      <w:r w:rsidR="00631FB3" w:rsidRPr="00631FB3">
        <w:rPr>
          <w:rFonts w:eastAsia="Calibri"/>
        </w:rPr>
        <w:t>111</w:t>
      </w:r>
      <w:r w:rsidRPr="000D3F86">
        <w:rPr>
          <w:rFonts w:eastAsia="Calibri"/>
        </w:rPr>
        <w:t xml:space="preserve">, </w:t>
      </w:r>
      <w:r w:rsidR="00631FB3" w:rsidRPr="00631FB3">
        <w:rPr>
          <w:rFonts w:eastAsia="Calibri"/>
        </w:rPr>
        <w:t>112</w:t>
      </w:r>
      <w:r w:rsidRPr="000D3F86">
        <w:rPr>
          <w:rFonts w:eastAsia="Calibri"/>
        </w:rPr>
        <w:t>]. As previously discussed, downregulation of lignin pathway genes can result in an increased or decrease</w:t>
      </w:r>
      <w:r w:rsidR="00102AC8">
        <w:rPr>
          <w:rFonts w:eastAsia="Calibri"/>
        </w:rPr>
        <w:t xml:space="preserve">d synthesis of these </w:t>
      </w:r>
      <w:r w:rsidR="00102AC8" w:rsidRPr="00102AC8">
        <w:rPr>
          <w:rFonts w:eastAsia="Calibri"/>
        </w:rPr>
        <w:t>compounds. Altered levels of these compounds could influence plant sensitivity to abiotic stresses in the field</w:t>
      </w:r>
      <w:r w:rsidRPr="000D3F86">
        <w:rPr>
          <w:rFonts w:eastAsia="Calibri"/>
        </w:rPr>
        <w:t xml:space="preserve">. A field study comparing salt-tolerant and salt-susceptible clones of sugarcane found that the accumulation of soluble phenolics, anthocyanins, and flavones were 3-fold higher in the tolerant clone, and these compounds were suggested to promote salinity tolerance by protecting cytoplasmic structures and chloroplasts from the damages of salinity stress </w:t>
      </w:r>
      <w:r w:rsidRPr="000D3F86">
        <w:rPr>
          <w:rFonts w:eastAsia="Calibri"/>
        </w:rPr>
        <w:lastRenderedPageBreak/>
        <w:t>[</w:t>
      </w:r>
      <w:r w:rsidR="00631FB3" w:rsidRPr="00631FB3">
        <w:rPr>
          <w:rFonts w:eastAsia="Calibri"/>
        </w:rPr>
        <w:t>111</w:t>
      </w:r>
      <w:r w:rsidRPr="000D3F86">
        <w:rPr>
          <w:rFonts w:eastAsia="Calibri"/>
        </w:rPr>
        <w:t>]. In addition to their roles in salinity tolerance, levels of anthocyanins and some phenolic acids might play an important role in the acclimation of plants to cold stress, as they have been shown to accumulate in the leaf mesophyll cells in plants exposed to low temperatures [</w:t>
      </w:r>
      <w:r w:rsidR="00631FB3" w:rsidRPr="00631FB3">
        <w:rPr>
          <w:rFonts w:eastAsia="Calibri"/>
        </w:rPr>
        <w:t>113</w:t>
      </w:r>
      <w:r w:rsidRPr="000D3F86">
        <w:rPr>
          <w:rFonts w:eastAsia="Calibri"/>
        </w:rPr>
        <w:t xml:space="preserve">]. </w:t>
      </w:r>
      <w:r w:rsidRPr="000D3F86">
        <w:rPr>
          <w:rFonts w:eastAsia="Calibri"/>
          <w:i/>
        </w:rPr>
        <w:t>A. thaliana</w:t>
      </w:r>
      <w:r w:rsidRPr="000D3F86">
        <w:rPr>
          <w:rFonts w:eastAsia="Calibri"/>
        </w:rPr>
        <w:t xml:space="preserve"> with suppressed CCR activity, or with over-expression of MYB transcription factors, were shown to be more sensitive to UV damage due to the consequences of suppressed lignin on sinapoyl malate and/or flavonoid biosynthesis, as previously discussed. A recent study found that UV-B radiation, in addition to inhibiting plant growth, can alter plant tissue biochemistry and result in a significant reduction in cell wall digestibility and the enzymatic release of sugars from the biomass [</w:t>
      </w:r>
      <w:r w:rsidR="00631FB3" w:rsidRPr="00631FB3">
        <w:rPr>
          <w:rFonts w:eastAsia="Calibri"/>
        </w:rPr>
        <w:t>114</w:t>
      </w:r>
      <w:r w:rsidRPr="000D3F86">
        <w:rPr>
          <w:rFonts w:eastAsia="Calibri"/>
        </w:rPr>
        <w:t xml:space="preserve">]. Although this study was performed in a greenhouse, the results could have significant implications for ethanol production from field-grown low-lignin feedstocks that have been made more susceptible to the effects of UV radiation. </w:t>
      </w:r>
    </w:p>
    <w:p w:rsidR="000D3F86" w:rsidRPr="000D3F86" w:rsidRDefault="000D3F86" w:rsidP="00097A19">
      <w:pPr>
        <w:spacing w:after="200" w:line="480" w:lineRule="auto"/>
        <w:rPr>
          <w:rFonts w:eastAsia="Calibri"/>
        </w:rPr>
      </w:pPr>
    </w:p>
    <w:p w:rsidR="000D3F86" w:rsidRPr="000D3F86" w:rsidRDefault="000D3F86" w:rsidP="00097A19">
      <w:pPr>
        <w:spacing w:after="200" w:line="480" w:lineRule="auto"/>
        <w:rPr>
          <w:rFonts w:eastAsia="Calibri"/>
          <w:sz w:val="22"/>
          <w:szCs w:val="22"/>
        </w:rPr>
      </w:pPr>
      <w:r w:rsidRPr="000D3F86">
        <w:rPr>
          <w:rFonts w:eastAsia="Calibri"/>
        </w:rPr>
        <w:t>Given this knowledge, it is conceivable that alterations to phenylpropanoid metabolism and/or the upregulation of stress-related genes resulting from lignin modification could positively or negatively influence the agronomic performance of low-lignin transgenic feedstocks. It is also important to note that there can be significant metabolic costs associated with an increased allocation of energy into the production of defense-related secondary metabolites and constitutive expression of defense-related genes, such that a higher resistance to stresses through either these mechanisms could be associated with stunted growth phenotypes and consequent reductions in biomass yield [</w:t>
      </w:r>
      <w:r w:rsidR="00631FB3" w:rsidRPr="00631FB3">
        <w:rPr>
          <w:rFonts w:eastAsia="Calibri"/>
        </w:rPr>
        <w:t>115</w:t>
      </w:r>
      <w:r w:rsidRPr="000D3F86">
        <w:rPr>
          <w:rFonts w:eastAsia="Calibri"/>
        </w:rPr>
        <w:t xml:space="preserve">, </w:t>
      </w:r>
      <w:r w:rsidR="00631FB3" w:rsidRPr="00631FB3">
        <w:rPr>
          <w:rFonts w:eastAsia="Calibri"/>
        </w:rPr>
        <w:t>116</w:t>
      </w:r>
      <w:r w:rsidRPr="000D3F86">
        <w:rPr>
          <w:rFonts w:eastAsia="Calibri"/>
        </w:rPr>
        <w:t xml:space="preserve"> ]. This potential trade-off between stress-resistance and biomass yield should </w:t>
      </w:r>
      <w:r w:rsidRPr="002A78F3">
        <w:rPr>
          <w:rFonts w:eastAsia="Calibri"/>
        </w:rPr>
        <w:t xml:space="preserve">be considered, </w:t>
      </w:r>
      <w:r w:rsidR="00102AC8" w:rsidRPr="00102AC8">
        <w:rPr>
          <w:rFonts w:eastAsia="Calibri"/>
        </w:rPr>
        <w:lastRenderedPageBreak/>
        <w:t>since high biomass production is also an important trait for bioenergy feedstocks</w:t>
      </w:r>
      <w:r w:rsidRPr="002A78F3">
        <w:rPr>
          <w:rFonts w:eastAsia="Calibri"/>
        </w:rPr>
        <w:t xml:space="preserve">. In conclusion, extensive field evaluations and an improved understanding of the relationship </w:t>
      </w:r>
      <w:r w:rsidR="002A78F3" w:rsidRPr="002A78F3">
        <w:rPr>
          <w:rFonts w:eastAsia="Calibri"/>
        </w:rPr>
        <w:t>between lignin and stress</w:t>
      </w:r>
      <w:r w:rsidRPr="002A78F3">
        <w:rPr>
          <w:rFonts w:eastAsia="Calibri"/>
        </w:rPr>
        <w:t>-related metabolism are necessary to ensure the sustainable growth of transgenic low-lignin bioenergy feedstocks in agronomic field environments.</w:t>
      </w:r>
      <w:r w:rsidRPr="002A78F3">
        <w:rPr>
          <w:rFonts w:eastAsia="Calibri"/>
        </w:rPr>
        <w:br w:type="page"/>
      </w:r>
    </w:p>
    <w:p w:rsidR="00A67C10" w:rsidRDefault="00A67C10" w:rsidP="00097A19">
      <w:pPr>
        <w:pStyle w:val="Heading2"/>
        <w:jc w:val="left"/>
      </w:pPr>
      <w:r>
        <w:lastRenderedPageBreak/>
        <w:t>References</w:t>
      </w:r>
    </w:p>
    <w:p w:rsidR="00A67C10" w:rsidRPr="00A67C10" w:rsidRDefault="00A67C10" w:rsidP="00097A19"/>
    <w:p w:rsidR="00A67C10" w:rsidRPr="000D3F86" w:rsidRDefault="00A67C10" w:rsidP="00097A19">
      <w:pPr>
        <w:pStyle w:val="ListParagraph"/>
        <w:numPr>
          <w:ilvl w:val="0"/>
          <w:numId w:val="44"/>
        </w:numPr>
        <w:autoSpaceDE w:val="0"/>
        <w:autoSpaceDN w:val="0"/>
        <w:adjustRightInd w:val="0"/>
        <w:spacing w:after="0" w:line="240" w:lineRule="auto"/>
        <w:rPr>
          <w:rFonts w:ascii="Times New Roman" w:hAnsi="Times New Roman"/>
          <w:sz w:val="24"/>
          <w:szCs w:val="24"/>
        </w:rPr>
      </w:pPr>
      <w:bookmarkStart w:id="34" w:name="_Ref371940945"/>
      <w:r w:rsidRPr="000D3F86">
        <w:rPr>
          <w:rFonts w:ascii="Times New Roman" w:hAnsi="Times New Roman"/>
          <w:sz w:val="24"/>
          <w:szCs w:val="24"/>
        </w:rPr>
        <w:t xml:space="preserve">Li X, Weng JK, Chapple C. Improvement of biomass through lignin modification. </w:t>
      </w:r>
      <w:r w:rsidRPr="000D3F86">
        <w:rPr>
          <w:rFonts w:ascii="Times New Roman" w:hAnsi="Times New Roman"/>
          <w:i/>
          <w:sz w:val="24"/>
          <w:szCs w:val="24"/>
        </w:rPr>
        <w:t>Plant J</w:t>
      </w:r>
      <w:r w:rsidRPr="000D3F86">
        <w:rPr>
          <w:rFonts w:ascii="Times New Roman" w:hAnsi="Times New Roman"/>
          <w:sz w:val="24"/>
          <w:szCs w:val="24"/>
        </w:rPr>
        <w:t>. 54, 569–581 (2008).</w:t>
      </w:r>
      <w:bookmarkEnd w:id="31"/>
      <w:bookmarkEnd w:id="34"/>
    </w:p>
    <w:p w:rsidR="00A67C10" w:rsidRPr="000D3F86" w:rsidRDefault="00A67C10" w:rsidP="00097A19">
      <w:pPr>
        <w:numPr>
          <w:ilvl w:val="0"/>
          <w:numId w:val="44"/>
        </w:numPr>
        <w:autoSpaceDE w:val="0"/>
        <w:autoSpaceDN w:val="0"/>
        <w:adjustRightInd w:val="0"/>
        <w:spacing w:after="200"/>
        <w:contextualSpacing/>
        <w:rPr>
          <w:rFonts w:eastAsia="Calibri"/>
        </w:rPr>
      </w:pPr>
      <w:bookmarkStart w:id="35" w:name="_Ref357513898"/>
      <w:r w:rsidRPr="000D3F86">
        <w:rPr>
          <w:rFonts w:eastAsia="Calibri"/>
        </w:rPr>
        <w:t xml:space="preserve">Somerville C, Bauer S, Brininstool G </w:t>
      </w:r>
      <w:r w:rsidRPr="000D3F86">
        <w:rPr>
          <w:rFonts w:eastAsia="Calibri"/>
          <w:i/>
        </w:rPr>
        <w:t>et al</w:t>
      </w:r>
      <w:r w:rsidRPr="000D3F86">
        <w:rPr>
          <w:rFonts w:eastAsia="Calibri"/>
        </w:rPr>
        <w:t xml:space="preserve">. Toward a systems approach to understanding plant cell walls. </w:t>
      </w:r>
      <w:r w:rsidRPr="000D3F86">
        <w:rPr>
          <w:rFonts w:eastAsia="Calibri"/>
          <w:i/>
        </w:rPr>
        <w:t>Science</w:t>
      </w:r>
      <w:r w:rsidRPr="000D3F86">
        <w:rPr>
          <w:rFonts w:eastAsia="Calibri"/>
        </w:rPr>
        <w:t xml:space="preserve"> 306, 2206-2211.</w:t>
      </w:r>
      <w:bookmarkEnd w:id="32"/>
      <w:bookmarkEnd w:id="35"/>
    </w:p>
    <w:p w:rsidR="00A67C10" w:rsidRPr="000D3F86" w:rsidRDefault="00A67C10" w:rsidP="00097A19">
      <w:pPr>
        <w:numPr>
          <w:ilvl w:val="0"/>
          <w:numId w:val="44"/>
        </w:numPr>
        <w:autoSpaceDE w:val="0"/>
        <w:autoSpaceDN w:val="0"/>
        <w:adjustRightInd w:val="0"/>
        <w:spacing w:after="200"/>
        <w:contextualSpacing/>
        <w:rPr>
          <w:rFonts w:eastAsia="Calibri"/>
        </w:rPr>
      </w:pPr>
      <w:bookmarkStart w:id="36" w:name="_Ref357261517"/>
      <w:bookmarkEnd w:id="33"/>
      <w:r w:rsidRPr="000D3F86">
        <w:rPr>
          <w:rFonts w:eastAsia="Calibri"/>
        </w:rPr>
        <w:t xml:space="preserve">Chen F, Dixon RA. Lignin modification improves fermentable sugar yields for biofuel production. </w:t>
      </w:r>
      <w:r w:rsidRPr="000D3F86">
        <w:rPr>
          <w:rFonts w:eastAsia="Calibri"/>
          <w:i/>
          <w:iCs/>
        </w:rPr>
        <w:t xml:space="preserve">Nat Biotech. </w:t>
      </w:r>
      <w:r w:rsidRPr="000D3F86">
        <w:rPr>
          <w:rFonts w:eastAsia="Calibri"/>
          <w:bCs/>
        </w:rPr>
        <w:t>25</w:t>
      </w:r>
      <w:r w:rsidRPr="000D3F86">
        <w:rPr>
          <w:rFonts w:eastAsia="Calibri"/>
        </w:rPr>
        <w:t>, 759-761 (2007).</w:t>
      </w:r>
      <w:bookmarkEnd w:id="36"/>
    </w:p>
    <w:p w:rsidR="00A67C10" w:rsidRPr="000D3F86" w:rsidRDefault="00A67C10" w:rsidP="00097A19">
      <w:pPr>
        <w:numPr>
          <w:ilvl w:val="0"/>
          <w:numId w:val="44"/>
        </w:numPr>
        <w:autoSpaceDE w:val="0"/>
        <w:autoSpaceDN w:val="0"/>
        <w:adjustRightInd w:val="0"/>
        <w:spacing w:after="200"/>
        <w:contextualSpacing/>
        <w:rPr>
          <w:rFonts w:eastAsia="Calibri"/>
        </w:rPr>
      </w:pPr>
      <w:bookmarkStart w:id="37" w:name="_Ref364153705"/>
      <w:r w:rsidRPr="000D3F86">
        <w:rPr>
          <w:rFonts w:eastAsia="Calibri"/>
          <w:lang w:val="de-DE"/>
        </w:rPr>
        <w:t xml:space="preserve">Hisano H, Nandakumar RJ, Wang ZY. </w:t>
      </w:r>
      <w:r w:rsidRPr="000D3F86">
        <w:rPr>
          <w:rFonts w:eastAsia="Calibri"/>
        </w:rPr>
        <w:t xml:space="preserve">Genetic modification of lignin biosynthesis for improved biofuel production. </w:t>
      </w:r>
      <w:r w:rsidRPr="000D3F86">
        <w:rPr>
          <w:rFonts w:eastAsia="Calibri"/>
          <w:i/>
        </w:rPr>
        <w:t>In Vitro Cell. Devel. Biol.-Plant</w:t>
      </w:r>
      <w:r w:rsidRPr="000D3F86">
        <w:rPr>
          <w:rFonts w:eastAsia="Calibri"/>
        </w:rPr>
        <w:t xml:space="preserve"> 45, 306–313 (2009).</w:t>
      </w:r>
      <w:bookmarkEnd w:id="37"/>
    </w:p>
    <w:p w:rsidR="00A67C10" w:rsidRPr="000D3F86" w:rsidRDefault="00A67C10" w:rsidP="00097A19">
      <w:pPr>
        <w:numPr>
          <w:ilvl w:val="0"/>
          <w:numId w:val="44"/>
        </w:numPr>
        <w:autoSpaceDE w:val="0"/>
        <w:autoSpaceDN w:val="0"/>
        <w:adjustRightInd w:val="0"/>
        <w:spacing w:after="200"/>
        <w:contextualSpacing/>
        <w:rPr>
          <w:rFonts w:eastAsia="Calibri"/>
        </w:rPr>
      </w:pPr>
      <w:bookmarkStart w:id="38" w:name="_Ref357279591"/>
      <w:r w:rsidRPr="000D3F86">
        <w:rPr>
          <w:rFonts w:eastAsia="Calibri"/>
          <w:lang w:val="it-IT"/>
        </w:rPr>
        <w:t>Tamagnone L, Merida A, Parr A </w:t>
      </w:r>
      <w:r w:rsidRPr="000D3F86">
        <w:rPr>
          <w:rFonts w:eastAsia="Calibri"/>
          <w:i/>
          <w:lang w:val="it-IT"/>
        </w:rPr>
        <w:t>et al</w:t>
      </w:r>
      <w:r w:rsidRPr="000D3F86">
        <w:rPr>
          <w:rFonts w:eastAsia="Calibri"/>
          <w:lang w:val="it-IT"/>
        </w:rPr>
        <w:t xml:space="preserve">. </w:t>
      </w:r>
      <w:r w:rsidRPr="000D3F86">
        <w:rPr>
          <w:rFonts w:eastAsia="Calibri"/>
        </w:rPr>
        <w:t xml:space="preserve">The AmMYB308 and AmMYB330 transcription factors from </w:t>
      </w:r>
      <w:r w:rsidRPr="000D3F86">
        <w:rPr>
          <w:rFonts w:eastAsia="Calibri"/>
          <w:i/>
        </w:rPr>
        <w:t>Antirrhinum</w:t>
      </w:r>
      <w:r w:rsidRPr="000D3F86">
        <w:rPr>
          <w:rFonts w:eastAsia="Calibri"/>
        </w:rPr>
        <w:t xml:space="preserve"> regulate phenylpropanoid and lignin biosynthesis in transgenic tobacco. </w:t>
      </w:r>
      <w:r w:rsidRPr="000D3F86">
        <w:rPr>
          <w:rFonts w:eastAsia="Calibri"/>
          <w:i/>
          <w:iCs/>
        </w:rPr>
        <w:t>Plant Cell</w:t>
      </w:r>
      <w:r w:rsidRPr="000D3F86">
        <w:rPr>
          <w:rFonts w:eastAsia="Calibri"/>
        </w:rPr>
        <w:t> </w:t>
      </w:r>
      <w:r w:rsidRPr="000D3F86">
        <w:rPr>
          <w:rFonts w:eastAsia="Calibri"/>
          <w:bCs/>
        </w:rPr>
        <w:t>10</w:t>
      </w:r>
      <w:r w:rsidRPr="000D3F86">
        <w:rPr>
          <w:rFonts w:eastAsia="Calibri"/>
        </w:rPr>
        <w:t>, 135–154</w:t>
      </w:r>
      <w:bookmarkEnd w:id="38"/>
      <w:r w:rsidRPr="000D3F86">
        <w:rPr>
          <w:rFonts w:eastAsia="Calibri"/>
        </w:rPr>
        <w:t xml:space="preserve"> (1998).</w:t>
      </w:r>
    </w:p>
    <w:p w:rsidR="00A67C10" w:rsidRPr="000D3F86" w:rsidRDefault="00A67C10" w:rsidP="00097A19">
      <w:pPr>
        <w:numPr>
          <w:ilvl w:val="0"/>
          <w:numId w:val="44"/>
        </w:numPr>
        <w:autoSpaceDE w:val="0"/>
        <w:autoSpaceDN w:val="0"/>
        <w:adjustRightInd w:val="0"/>
        <w:spacing w:after="200"/>
        <w:contextualSpacing/>
        <w:rPr>
          <w:rFonts w:eastAsia="Calibri"/>
        </w:rPr>
      </w:pPr>
      <w:bookmarkStart w:id="39" w:name="_Ref363627173"/>
      <w:r w:rsidRPr="000D3F86">
        <w:rPr>
          <w:rFonts w:eastAsia="Calibri"/>
        </w:rPr>
        <w:t xml:space="preserve">Pilate G, Guiney E, Holt K </w:t>
      </w:r>
      <w:r w:rsidRPr="000D3F86">
        <w:rPr>
          <w:rFonts w:eastAsia="Calibri"/>
          <w:i/>
        </w:rPr>
        <w:t>et al</w:t>
      </w:r>
      <w:r w:rsidRPr="000D3F86">
        <w:rPr>
          <w:rFonts w:eastAsia="Calibri"/>
        </w:rPr>
        <w:t xml:space="preserve">. Field and pulping performances of transgenic trees with altered ligniﬁcation. </w:t>
      </w:r>
      <w:r w:rsidRPr="000D3F86">
        <w:rPr>
          <w:rFonts w:eastAsia="Calibri"/>
          <w:i/>
        </w:rPr>
        <w:t>Nat. Biotechnol</w:t>
      </w:r>
      <w:r w:rsidRPr="000D3F86">
        <w:rPr>
          <w:rFonts w:eastAsia="Calibri"/>
        </w:rPr>
        <w:t>. 20, 607–612 (2002).</w:t>
      </w:r>
      <w:bookmarkEnd w:id="39"/>
    </w:p>
    <w:p w:rsidR="00A67C10" w:rsidRPr="000D3F86" w:rsidRDefault="00A67C10" w:rsidP="00097A19">
      <w:pPr>
        <w:numPr>
          <w:ilvl w:val="0"/>
          <w:numId w:val="44"/>
        </w:numPr>
        <w:autoSpaceDE w:val="0"/>
        <w:autoSpaceDN w:val="0"/>
        <w:adjustRightInd w:val="0"/>
        <w:spacing w:after="200"/>
        <w:contextualSpacing/>
        <w:rPr>
          <w:rFonts w:eastAsia="Calibri"/>
        </w:rPr>
      </w:pPr>
      <w:bookmarkStart w:id="40" w:name="_Ref363814940"/>
      <w:r w:rsidRPr="000D3F86">
        <w:rPr>
          <w:rFonts w:eastAsia="Calibri"/>
          <w:lang w:val="fr-FR"/>
        </w:rPr>
        <w:t xml:space="preserve">Baucher M, Chabbert B, Pilate G </w:t>
      </w:r>
      <w:r w:rsidRPr="000D3F86">
        <w:rPr>
          <w:rFonts w:eastAsia="Calibri"/>
          <w:i/>
          <w:lang w:val="fr-FR"/>
        </w:rPr>
        <w:t>et al</w:t>
      </w:r>
      <w:r w:rsidRPr="000D3F86">
        <w:rPr>
          <w:rFonts w:eastAsia="Calibri"/>
          <w:lang w:val="fr-FR"/>
        </w:rPr>
        <w:t xml:space="preserve">. </w:t>
      </w:r>
      <w:r w:rsidRPr="000D3F86">
        <w:rPr>
          <w:rFonts w:eastAsia="Calibri"/>
        </w:rPr>
        <w:t xml:space="preserve">Red xylem and higher lignin extractability by down-regulating a cinnamyl alcohol dehydrogenase in poplar. </w:t>
      </w:r>
      <w:r w:rsidRPr="000D3F86">
        <w:rPr>
          <w:rFonts w:eastAsia="Calibri"/>
          <w:i/>
          <w:iCs/>
        </w:rPr>
        <w:t xml:space="preserve">Plant </w:t>
      </w:r>
      <w:proofErr w:type="gramStart"/>
      <w:r w:rsidRPr="000D3F86">
        <w:rPr>
          <w:rFonts w:eastAsia="Calibri"/>
          <w:i/>
          <w:iCs/>
        </w:rPr>
        <w:t>Physiol.</w:t>
      </w:r>
      <w:r w:rsidRPr="000D3F86">
        <w:rPr>
          <w:rFonts w:eastAsia="Calibri"/>
          <w:iCs/>
        </w:rPr>
        <w:t>12</w:t>
      </w:r>
      <w:r w:rsidRPr="000D3F86">
        <w:rPr>
          <w:rFonts w:eastAsia="Calibri"/>
        </w:rPr>
        <w:t>(</w:t>
      </w:r>
      <w:proofErr w:type="gramEnd"/>
      <w:r w:rsidRPr="000D3F86">
        <w:rPr>
          <w:rFonts w:eastAsia="Calibri"/>
        </w:rPr>
        <w:t>4), 1479-1490 (1996).</w:t>
      </w:r>
      <w:bookmarkEnd w:id="40"/>
    </w:p>
    <w:p w:rsidR="00A67C10" w:rsidRPr="000D3F86" w:rsidRDefault="00A67C10" w:rsidP="00097A19">
      <w:pPr>
        <w:numPr>
          <w:ilvl w:val="0"/>
          <w:numId w:val="44"/>
        </w:numPr>
        <w:autoSpaceDE w:val="0"/>
        <w:autoSpaceDN w:val="0"/>
        <w:adjustRightInd w:val="0"/>
        <w:spacing w:after="200"/>
        <w:contextualSpacing/>
        <w:rPr>
          <w:rFonts w:eastAsia="Calibri"/>
        </w:rPr>
      </w:pPr>
      <w:bookmarkStart w:id="41" w:name="_Ref363813583"/>
      <w:r w:rsidRPr="000D3F86">
        <w:rPr>
          <w:rFonts w:eastAsia="Calibri"/>
        </w:rPr>
        <w:t xml:space="preserve">Baucher M, Bernard-Vailhé MA, Chabbert B </w:t>
      </w:r>
      <w:r w:rsidRPr="000D3F86">
        <w:rPr>
          <w:rFonts w:eastAsia="Calibri"/>
          <w:i/>
        </w:rPr>
        <w:t>et al.</w:t>
      </w:r>
      <w:r w:rsidRPr="000D3F86">
        <w:rPr>
          <w:rFonts w:eastAsia="Calibri"/>
        </w:rPr>
        <w:t xml:space="preserve"> Down-regulation of cinnamyl alcohol dehydrogenase in transgenic alfalfa (</w:t>
      </w:r>
      <w:r w:rsidRPr="000D3F86">
        <w:rPr>
          <w:rFonts w:eastAsia="Calibri"/>
          <w:i/>
        </w:rPr>
        <w:t>Medicago sativa</w:t>
      </w:r>
      <w:r w:rsidRPr="000D3F86">
        <w:rPr>
          <w:rFonts w:eastAsia="Calibri"/>
        </w:rPr>
        <w:t xml:space="preserve"> L.) and the effect on lignin composition and digestibility. </w:t>
      </w:r>
      <w:r w:rsidRPr="000D3F86">
        <w:rPr>
          <w:rFonts w:eastAsia="Calibri"/>
          <w:i/>
          <w:iCs/>
        </w:rPr>
        <w:t>Plant Mol Biol.</w:t>
      </w:r>
      <w:r w:rsidRPr="000D3F86">
        <w:rPr>
          <w:rFonts w:eastAsia="Calibri"/>
        </w:rPr>
        <w:t> </w:t>
      </w:r>
      <w:r w:rsidRPr="000D3F86">
        <w:rPr>
          <w:rFonts w:eastAsia="Calibri"/>
          <w:iCs/>
        </w:rPr>
        <w:t>39</w:t>
      </w:r>
      <w:r w:rsidRPr="000D3F86">
        <w:rPr>
          <w:rFonts w:eastAsia="Calibri"/>
        </w:rPr>
        <w:t>(3), 437-447 (1999).</w:t>
      </w:r>
      <w:bookmarkEnd w:id="41"/>
    </w:p>
    <w:p w:rsidR="00A67C10" w:rsidRPr="000D3F86" w:rsidRDefault="00A67C10" w:rsidP="00097A19">
      <w:pPr>
        <w:numPr>
          <w:ilvl w:val="0"/>
          <w:numId w:val="44"/>
        </w:numPr>
        <w:autoSpaceDE w:val="0"/>
        <w:autoSpaceDN w:val="0"/>
        <w:adjustRightInd w:val="0"/>
        <w:spacing w:after="200"/>
        <w:contextualSpacing/>
        <w:rPr>
          <w:rFonts w:eastAsia="Calibri"/>
        </w:rPr>
      </w:pPr>
      <w:bookmarkStart w:id="42" w:name="_Ref363627186"/>
      <w:r w:rsidRPr="000D3F86">
        <w:rPr>
          <w:rFonts w:eastAsia="Calibri"/>
          <w:lang w:val="nl-NL"/>
        </w:rPr>
        <w:t xml:space="preserve">Guo D, Chen F, Wheeler J </w:t>
      </w:r>
      <w:r w:rsidRPr="000D3F86">
        <w:rPr>
          <w:rFonts w:eastAsia="Calibri"/>
          <w:i/>
          <w:lang w:val="nl-NL"/>
        </w:rPr>
        <w:t>et al</w:t>
      </w:r>
      <w:r w:rsidRPr="000D3F86">
        <w:rPr>
          <w:rFonts w:eastAsia="Calibri"/>
          <w:lang w:val="nl-NL"/>
        </w:rPr>
        <w:t xml:space="preserve">. </w:t>
      </w:r>
      <w:r w:rsidRPr="000D3F86">
        <w:rPr>
          <w:rFonts w:eastAsia="Calibri"/>
        </w:rPr>
        <w:t xml:space="preserve">Improvement of in-rumen digestibility of alfalfa forage by genetic manipulation of lignin O-methyltransferases. </w:t>
      </w:r>
      <w:r w:rsidRPr="000D3F86">
        <w:rPr>
          <w:rFonts w:eastAsia="Calibri"/>
          <w:i/>
        </w:rPr>
        <w:t>Transgenic Res.</w:t>
      </w:r>
      <w:r w:rsidRPr="000D3F86">
        <w:rPr>
          <w:rFonts w:eastAsia="Calibri"/>
        </w:rPr>
        <w:t xml:space="preserve"> 10(5), 457-464 (2001).</w:t>
      </w:r>
      <w:bookmarkEnd w:id="42"/>
    </w:p>
    <w:p w:rsidR="00A67C10" w:rsidRPr="000D3F86" w:rsidRDefault="00A67C10" w:rsidP="00097A19">
      <w:pPr>
        <w:numPr>
          <w:ilvl w:val="0"/>
          <w:numId w:val="44"/>
        </w:numPr>
        <w:autoSpaceDE w:val="0"/>
        <w:autoSpaceDN w:val="0"/>
        <w:adjustRightInd w:val="0"/>
        <w:spacing w:after="200"/>
        <w:contextualSpacing/>
        <w:rPr>
          <w:rFonts w:eastAsia="Calibri"/>
        </w:rPr>
      </w:pPr>
      <w:bookmarkStart w:id="43" w:name="_Ref363813901"/>
      <w:r w:rsidRPr="000D3F86">
        <w:rPr>
          <w:rFonts w:eastAsia="Calibri"/>
        </w:rPr>
        <w:t xml:space="preserve">Chen L, Auh CK, Dowling P </w:t>
      </w:r>
      <w:r w:rsidRPr="000D3F86">
        <w:rPr>
          <w:rFonts w:eastAsia="Calibri"/>
          <w:i/>
        </w:rPr>
        <w:t>et al</w:t>
      </w:r>
      <w:r w:rsidRPr="000D3F86">
        <w:rPr>
          <w:rFonts w:eastAsia="Calibri"/>
        </w:rPr>
        <w:t>. Improved forage digestibility of tall fescue (</w:t>
      </w:r>
      <w:r w:rsidRPr="000D3F86">
        <w:rPr>
          <w:rFonts w:eastAsia="Calibri"/>
          <w:i/>
        </w:rPr>
        <w:t>Festuca arundinacea</w:t>
      </w:r>
      <w:r w:rsidRPr="000D3F86">
        <w:rPr>
          <w:rFonts w:eastAsia="Calibri"/>
        </w:rPr>
        <w:t>) by transgenic down</w:t>
      </w:r>
      <w:r w:rsidRPr="000D3F86">
        <w:rPr>
          <w:rFonts w:ascii="Cambria Math" w:eastAsia="Calibri" w:hAnsi="Cambria Math" w:cs="Cambria Math"/>
        </w:rPr>
        <w:t>‐</w:t>
      </w:r>
      <w:r w:rsidRPr="000D3F86">
        <w:rPr>
          <w:rFonts w:eastAsia="Calibri"/>
        </w:rPr>
        <w:t>regulation of cinnamyl alcohol dehydrogenase. </w:t>
      </w:r>
      <w:r w:rsidRPr="000D3F86">
        <w:rPr>
          <w:rFonts w:eastAsia="Calibri"/>
          <w:i/>
          <w:iCs/>
        </w:rPr>
        <w:t>Plant Biotechnol J.</w:t>
      </w:r>
      <w:r w:rsidRPr="000D3F86">
        <w:rPr>
          <w:rFonts w:eastAsia="Calibri"/>
        </w:rPr>
        <w:t> </w:t>
      </w:r>
      <w:r w:rsidRPr="000D3F86">
        <w:rPr>
          <w:rFonts w:eastAsia="Calibri"/>
          <w:iCs/>
        </w:rPr>
        <w:t>1</w:t>
      </w:r>
      <w:r w:rsidRPr="000D3F86">
        <w:rPr>
          <w:rFonts w:eastAsia="Calibri"/>
        </w:rPr>
        <w:t>(6), 437-449 (2003).</w:t>
      </w:r>
      <w:bookmarkEnd w:id="43"/>
    </w:p>
    <w:p w:rsidR="00A67C10" w:rsidRPr="000D3F86" w:rsidRDefault="00A67C10" w:rsidP="00097A19">
      <w:pPr>
        <w:numPr>
          <w:ilvl w:val="0"/>
          <w:numId w:val="44"/>
        </w:numPr>
        <w:autoSpaceDE w:val="0"/>
        <w:autoSpaceDN w:val="0"/>
        <w:adjustRightInd w:val="0"/>
        <w:spacing w:after="200"/>
        <w:contextualSpacing/>
        <w:rPr>
          <w:rFonts w:eastAsia="Calibri"/>
        </w:rPr>
      </w:pPr>
      <w:bookmarkStart w:id="44" w:name="_Ref363627161"/>
      <w:r w:rsidRPr="000D3F86">
        <w:rPr>
          <w:rFonts w:eastAsia="Calibri"/>
          <w:lang w:val="fr-FR"/>
        </w:rPr>
        <w:t xml:space="preserve">Goujon T, Ferret V, Mila I </w:t>
      </w:r>
      <w:r w:rsidRPr="000D3F86">
        <w:rPr>
          <w:rFonts w:eastAsia="Calibri"/>
          <w:i/>
          <w:lang w:val="fr-FR"/>
        </w:rPr>
        <w:t>et al</w:t>
      </w:r>
      <w:r w:rsidRPr="000D3F86">
        <w:rPr>
          <w:rFonts w:eastAsia="Calibri"/>
          <w:lang w:val="fr-FR"/>
        </w:rPr>
        <w:t xml:space="preserve">. </w:t>
      </w:r>
      <w:r w:rsidRPr="000D3F86">
        <w:rPr>
          <w:rFonts w:eastAsia="Calibri"/>
        </w:rPr>
        <w:t xml:space="preserve">Down-regulation of the AtCCR1 gene in </w:t>
      </w:r>
      <w:r w:rsidRPr="000D3F86">
        <w:rPr>
          <w:rFonts w:eastAsia="Calibri"/>
          <w:i/>
        </w:rPr>
        <w:t>Arabidopsis thaliana</w:t>
      </w:r>
      <w:r w:rsidRPr="000D3F86">
        <w:rPr>
          <w:rFonts w:eastAsia="Calibri"/>
        </w:rPr>
        <w:t xml:space="preserve">: effects on phenotype, lignins and cell wall degradability. </w:t>
      </w:r>
      <w:r w:rsidRPr="000D3F86">
        <w:rPr>
          <w:rFonts w:eastAsia="Calibri"/>
          <w:i/>
        </w:rPr>
        <w:t>Planta</w:t>
      </w:r>
      <w:r w:rsidRPr="000D3F86">
        <w:rPr>
          <w:rFonts w:eastAsia="Calibri"/>
        </w:rPr>
        <w:t xml:space="preserve"> 217(2), 218-228 (2003).</w:t>
      </w:r>
      <w:bookmarkEnd w:id="44"/>
    </w:p>
    <w:p w:rsidR="00A67C10" w:rsidRPr="000D3F86" w:rsidRDefault="00A67C10" w:rsidP="00097A19">
      <w:pPr>
        <w:numPr>
          <w:ilvl w:val="0"/>
          <w:numId w:val="44"/>
        </w:numPr>
        <w:autoSpaceDE w:val="0"/>
        <w:autoSpaceDN w:val="0"/>
        <w:adjustRightInd w:val="0"/>
        <w:spacing w:after="200"/>
        <w:contextualSpacing/>
        <w:rPr>
          <w:rFonts w:eastAsia="Calibri"/>
        </w:rPr>
      </w:pPr>
      <w:bookmarkStart w:id="45" w:name="_Ref363627167"/>
      <w:r w:rsidRPr="000D3F86">
        <w:rPr>
          <w:rFonts w:eastAsia="Calibri"/>
          <w:lang w:val="fr-FR"/>
        </w:rPr>
        <w:t xml:space="preserve">Piquemal J, Lapierre C, Myton K </w:t>
      </w:r>
      <w:r w:rsidRPr="000D3F86">
        <w:rPr>
          <w:rFonts w:eastAsia="Calibri"/>
          <w:i/>
          <w:lang w:val="fr-FR"/>
        </w:rPr>
        <w:t>et al</w:t>
      </w:r>
      <w:r w:rsidRPr="000D3F86">
        <w:rPr>
          <w:rFonts w:eastAsia="Calibri"/>
          <w:lang w:val="fr-FR"/>
        </w:rPr>
        <w:t xml:space="preserve">. </w:t>
      </w:r>
      <w:r w:rsidRPr="000D3F86">
        <w:rPr>
          <w:rFonts w:eastAsia="Calibri"/>
        </w:rPr>
        <w:t xml:space="preserve">Down-regulation of cinnamoyl-CoA reductase induces significant changes of lignin profiles in transgenic tobacco plants. </w:t>
      </w:r>
      <w:r w:rsidRPr="000D3F86">
        <w:rPr>
          <w:rFonts w:eastAsia="Calibri"/>
          <w:i/>
        </w:rPr>
        <w:t>Plant J</w:t>
      </w:r>
      <w:r w:rsidRPr="000D3F86">
        <w:rPr>
          <w:rFonts w:eastAsia="Calibri"/>
        </w:rPr>
        <w:t>. 13(1), 71-83 (1998).</w:t>
      </w:r>
      <w:bookmarkEnd w:id="45"/>
    </w:p>
    <w:p w:rsidR="00A67C10" w:rsidRPr="000D3F86" w:rsidRDefault="00A67C10" w:rsidP="00097A19">
      <w:pPr>
        <w:numPr>
          <w:ilvl w:val="0"/>
          <w:numId w:val="44"/>
        </w:numPr>
        <w:autoSpaceDE w:val="0"/>
        <w:autoSpaceDN w:val="0"/>
        <w:adjustRightInd w:val="0"/>
        <w:spacing w:after="200"/>
        <w:contextualSpacing/>
        <w:rPr>
          <w:rFonts w:eastAsia="Calibri"/>
        </w:rPr>
      </w:pPr>
      <w:bookmarkStart w:id="46" w:name="_Ref363654312"/>
      <w:r w:rsidRPr="000D3F86">
        <w:rPr>
          <w:rFonts w:eastAsia="Calibri"/>
        </w:rPr>
        <w:t xml:space="preserve">Vanholme R, Van Acker R, Boerjan W. Potential of </w:t>
      </w:r>
      <w:r w:rsidRPr="000D3F86">
        <w:rPr>
          <w:rFonts w:eastAsia="Calibri"/>
          <w:i/>
        </w:rPr>
        <w:t>Arabidopsis</w:t>
      </w:r>
      <w:r w:rsidRPr="000D3F86">
        <w:rPr>
          <w:rFonts w:eastAsia="Calibri"/>
        </w:rPr>
        <w:t xml:space="preserve"> systems biology to advance the biofuel field. </w:t>
      </w:r>
      <w:r w:rsidRPr="000D3F86">
        <w:rPr>
          <w:rFonts w:eastAsia="Calibri"/>
          <w:i/>
        </w:rPr>
        <w:t>Trends Biotechnol</w:t>
      </w:r>
      <w:r w:rsidRPr="000D3F86">
        <w:rPr>
          <w:rFonts w:eastAsia="Calibri"/>
        </w:rPr>
        <w:t>. 28(11), 543-547 (2010).</w:t>
      </w:r>
      <w:bookmarkEnd w:id="46"/>
    </w:p>
    <w:p w:rsidR="00A67C10" w:rsidRPr="000D3F86" w:rsidRDefault="00A67C10" w:rsidP="00097A19">
      <w:pPr>
        <w:numPr>
          <w:ilvl w:val="0"/>
          <w:numId w:val="44"/>
        </w:numPr>
        <w:autoSpaceDE w:val="0"/>
        <w:autoSpaceDN w:val="0"/>
        <w:adjustRightInd w:val="0"/>
        <w:spacing w:after="200"/>
        <w:contextualSpacing/>
        <w:rPr>
          <w:rFonts w:eastAsia="Calibri"/>
        </w:rPr>
      </w:pPr>
      <w:bookmarkStart w:id="47" w:name="_Ref363570537"/>
      <w:bookmarkStart w:id="48" w:name="_Ref357262620"/>
      <w:bookmarkStart w:id="49" w:name="_Ref359228332"/>
      <w:r w:rsidRPr="000D3F86">
        <w:rPr>
          <w:rFonts w:eastAsia="Calibri"/>
        </w:rPr>
        <w:t xml:space="preserve">Wilfred V (Ed.). </w:t>
      </w:r>
      <w:r w:rsidRPr="000D3F86">
        <w:rPr>
          <w:rFonts w:eastAsia="Calibri"/>
          <w:i/>
          <w:iCs/>
        </w:rPr>
        <w:t>Genetic improvement of bioenergy crops</w:t>
      </w:r>
      <w:r w:rsidRPr="000D3F86">
        <w:rPr>
          <w:rFonts w:eastAsia="Calibri"/>
        </w:rPr>
        <w:t>. Springer, New York, USA (2008)</w:t>
      </w:r>
      <w:bookmarkEnd w:id="47"/>
      <w:r w:rsidRPr="000D3F86">
        <w:rPr>
          <w:rFonts w:eastAsia="Calibri"/>
        </w:rPr>
        <w:t>.</w:t>
      </w:r>
    </w:p>
    <w:p w:rsidR="00A67C10" w:rsidRPr="000D3F86" w:rsidRDefault="00A67C10" w:rsidP="00097A19">
      <w:pPr>
        <w:numPr>
          <w:ilvl w:val="0"/>
          <w:numId w:val="44"/>
        </w:numPr>
        <w:autoSpaceDE w:val="0"/>
        <w:autoSpaceDN w:val="0"/>
        <w:adjustRightInd w:val="0"/>
        <w:spacing w:after="200"/>
        <w:contextualSpacing/>
        <w:rPr>
          <w:rFonts w:eastAsia="Calibri"/>
        </w:rPr>
      </w:pPr>
      <w:bookmarkStart w:id="50" w:name="_Ref363488200"/>
      <w:bookmarkStart w:id="51" w:name="_Ref363574018"/>
      <w:r w:rsidRPr="000D3F86">
        <w:rPr>
          <w:rFonts w:eastAsia="Calibri"/>
        </w:rPr>
        <w:t xml:space="preserve">Gressel J. Transgenics are imperative for biofuel crops. </w:t>
      </w:r>
      <w:r w:rsidRPr="000D3F86">
        <w:rPr>
          <w:rFonts w:eastAsia="Calibri"/>
          <w:i/>
          <w:iCs/>
        </w:rPr>
        <w:t>Plant Science</w:t>
      </w:r>
      <w:r w:rsidRPr="000D3F86">
        <w:rPr>
          <w:rFonts w:eastAsia="Calibri"/>
        </w:rPr>
        <w:t xml:space="preserve"> </w:t>
      </w:r>
      <w:r w:rsidRPr="000D3F86">
        <w:rPr>
          <w:rFonts w:eastAsia="Calibri"/>
          <w:iCs/>
        </w:rPr>
        <w:t>174</w:t>
      </w:r>
      <w:r w:rsidRPr="000D3F86">
        <w:rPr>
          <w:rFonts w:eastAsia="Calibri"/>
        </w:rPr>
        <w:t>(3), 246-263 (2008).</w:t>
      </w:r>
      <w:bookmarkEnd w:id="50"/>
      <w:bookmarkEnd w:id="51"/>
      <w:r w:rsidRPr="000D3F86">
        <w:rPr>
          <w:rFonts w:eastAsia="Calibri"/>
        </w:rPr>
        <w:t> </w:t>
      </w:r>
    </w:p>
    <w:p w:rsidR="00A67C10" w:rsidRPr="000D3F86" w:rsidRDefault="00A67C10" w:rsidP="00097A19">
      <w:pPr>
        <w:numPr>
          <w:ilvl w:val="0"/>
          <w:numId w:val="44"/>
        </w:numPr>
        <w:autoSpaceDE w:val="0"/>
        <w:autoSpaceDN w:val="0"/>
        <w:adjustRightInd w:val="0"/>
        <w:spacing w:after="200"/>
        <w:contextualSpacing/>
        <w:rPr>
          <w:rFonts w:eastAsia="Calibri"/>
        </w:rPr>
      </w:pPr>
      <w:bookmarkStart w:id="52" w:name="_Ref363627234"/>
      <w:r w:rsidRPr="000D3F86">
        <w:rPr>
          <w:rFonts w:eastAsia="Calibri"/>
          <w:color w:val="222222"/>
          <w:shd w:val="clear" w:color="auto" w:fill="FFFFFF"/>
          <w:lang w:val="de-DE"/>
        </w:rPr>
        <w:t xml:space="preserve">Fu C, Mielenz JR, Xiao X </w:t>
      </w:r>
      <w:r w:rsidRPr="000D3F86">
        <w:rPr>
          <w:rFonts w:eastAsia="Calibri"/>
          <w:i/>
          <w:color w:val="222222"/>
          <w:shd w:val="clear" w:color="auto" w:fill="FFFFFF"/>
          <w:lang w:val="de-DE"/>
        </w:rPr>
        <w:t>et al</w:t>
      </w:r>
      <w:r w:rsidRPr="000D3F86">
        <w:rPr>
          <w:rFonts w:eastAsia="Calibri"/>
          <w:color w:val="222222"/>
          <w:shd w:val="clear" w:color="auto" w:fill="FFFFFF"/>
          <w:lang w:val="de-DE"/>
        </w:rPr>
        <w:t xml:space="preserve">. </w:t>
      </w:r>
      <w:r w:rsidRPr="000D3F86">
        <w:rPr>
          <w:rFonts w:eastAsia="Calibri"/>
          <w:color w:val="222222"/>
          <w:shd w:val="clear" w:color="auto" w:fill="FFFFFF"/>
        </w:rPr>
        <w:t>Genetic manipulation of lignin reduces recalcitrance and improves ethanol production from switchgrass.</w:t>
      </w:r>
      <w:r w:rsidRPr="000D3F86">
        <w:rPr>
          <w:rFonts w:eastAsia="Calibri"/>
          <w:color w:val="222222"/>
        </w:rPr>
        <w:t> </w:t>
      </w:r>
      <w:r w:rsidRPr="000D3F86">
        <w:rPr>
          <w:rFonts w:eastAsia="Calibri"/>
          <w:i/>
          <w:iCs/>
          <w:color w:val="222222"/>
          <w:shd w:val="clear" w:color="auto" w:fill="FFFFFF"/>
        </w:rPr>
        <w:t>Proc. Natl Acad. Sci. USA</w:t>
      </w:r>
      <w:r w:rsidRPr="000D3F86">
        <w:rPr>
          <w:rFonts w:eastAsia="Calibri"/>
          <w:color w:val="222222"/>
        </w:rPr>
        <w:t> </w:t>
      </w:r>
      <w:r w:rsidRPr="000D3F86">
        <w:rPr>
          <w:rFonts w:eastAsia="Calibri"/>
          <w:iCs/>
          <w:color w:val="222222"/>
          <w:shd w:val="clear" w:color="auto" w:fill="FFFFFF"/>
        </w:rPr>
        <w:t>108</w:t>
      </w:r>
      <w:r w:rsidRPr="000D3F86">
        <w:rPr>
          <w:rFonts w:eastAsia="Calibri"/>
          <w:color w:val="222222"/>
          <w:shd w:val="clear" w:color="auto" w:fill="FFFFFF"/>
        </w:rPr>
        <w:t>(9), 3803-3808</w:t>
      </w:r>
      <w:bookmarkStart w:id="53" w:name="_Ref363489874"/>
      <w:r w:rsidRPr="000D3F86">
        <w:rPr>
          <w:rFonts w:eastAsia="Calibri"/>
          <w:color w:val="222222"/>
          <w:shd w:val="clear" w:color="auto" w:fill="FFFFFF"/>
        </w:rPr>
        <w:t xml:space="preserve"> (2011).</w:t>
      </w:r>
      <w:bookmarkEnd w:id="52"/>
      <w:bookmarkEnd w:id="53"/>
      <w:r w:rsidRPr="000D3F86">
        <w:rPr>
          <w:rFonts w:eastAsia="Calibri"/>
          <w:i/>
        </w:rPr>
        <w:t xml:space="preserve"> </w:t>
      </w:r>
    </w:p>
    <w:p w:rsidR="00A67C10" w:rsidRPr="000D3F86" w:rsidRDefault="00A67C10" w:rsidP="00097A19">
      <w:pPr>
        <w:numPr>
          <w:ilvl w:val="0"/>
          <w:numId w:val="44"/>
        </w:numPr>
        <w:autoSpaceDE w:val="0"/>
        <w:autoSpaceDN w:val="0"/>
        <w:adjustRightInd w:val="0"/>
        <w:spacing w:after="200"/>
        <w:contextualSpacing/>
        <w:rPr>
          <w:rFonts w:eastAsia="Calibri"/>
        </w:rPr>
      </w:pPr>
      <w:bookmarkStart w:id="54" w:name="_Ref363489876"/>
      <w:r w:rsidRPr="000D3F86">
        <w:rPr>
          <w:rFonts w:eastAsia="Calibri"/>
          <w:color w:val="222222"/>
          <w:shd w:val="clear" w:color="auto" w:fill="FFFFFF"/>
          <w:lang w:val="fr-FR"/>
        </w:rPr>
        <w:lastRenderedPageBreak/>
        <w:t xml:space="preserve">Fu C, Xiao X, Xi Y </w:t>
      </w:r>
      <w:r w:rsidRPr="000D3F86">
        <w:rPr>
          <w:rFonts w:eastAsia="Calibri"/>
          <w:i/>
          <w:color w:val="222222"/>
          <w:shd w:val="clear" w:color="auto" w:fill="FFFFFF"/>
          <w:lang w:val="fr-FR"/>
        </w:rPr>
        <w:t>et al</w:t>
      </w:r>
      <w:r w:rsidRPr="000D3F86">
        <w:rPr>
          <w:rFonts w:eastAsia="Calibri"/>
          <w:color w:val="222222"/>
          <w:shd w:val="clear" w:color="auto" w:fill="FFFFFF"/>
          <w:lang w:val="fr-FR"/>
        </w:rPr>
        <w:t xml:space="preserve">. </w:t>
      </w:r>
      <w:r w:rsidRPr="000D3F86">
        <w:rPr>
          <w:rFonts w:eastAsia="Calibri"/>
          <w:color w:val="222222"/>
          <w:shd w:val="clear" w:color="auto" w:fill="FFFFFF"/>
        </w:rPr>
        <w:t>Downregulation of cinnamyl alcohol dehydrogenase (CAD) leads to improved saccharification efficiency in switchgrass.</w:t>
      </w:r>
      <w:r w:rsidRPr="000D3F86">
        <w:rPr>
          <w:rFonts w:eastAsia="Calibri"/>
          <w:color w:val="222222"/>
        </w:rPr>
        <w:t> </w:t>
      </w:r>
      <w:r w:rsidRPr="000D3F86">
        <w:rPr>
          <w:rFonts w:eastAsia="Calibri"/>
          <w:i/>
          <w:iCs/>
          <w:color w:val="222222"/>
          <w:shd w:val="clear" w:color="auto" w:fill="FFFFFF"/>
        </w:rPr>
        <w:t>BioEnergy Res.</w:t>
      </w:r>
      <w:r w:rsidRPr="000D3F86">
        <w:rPr>
          <w:rFonts w:eastAsia="Calibri"/>
          <w:color w:val="222222"/>
        </w:rPr>
        <w:t> </w:t>
      </w:r>
      <w:r w:rsidRPr="000D3F86">
        <w:rPr>
          <w:rFonts w:eastAsia="Calibri"/>
          <w:iCs/>
          <w:color w:val="222222"/>
          <w:shd w:val="clear" w:color="auto" w:fill="FFFFFF"/>
        </w:rPr>
        <w:t>4</w:t>
      </w:r>
      <w:r w:rsidRPr="000D3F86">
        <w:rPr>
          <w:rFonts w:eastAsia="Calibri"/>
          <w:color w:val="222222"/>
          <w:shd w:val="clear" w:color="auto" w:fill="FFFFFF"/>
        </w:rPr>
        <w:t>(3), 153-164 (2011).</w:t>
      </w:r>
      <w:bookmarkEnd w:id="54"/>
    </w:p>
    <w:p w:rsidR="00A67C10" w:rsidRPr="000D3F86" w:rsidRDefault="00DC5BE0" w:rsidP="00097A19">
      <w:pPr>
        <w:numPr>
          <w:ilvl w:val="0"/>
          <w:numId w:val="44"/>
        </w:numPr>
        <w:autoSpaceDE w:val="0"/>
        <w:autoSpaceDN w:val="0"/>
        <w:adjustRightInd w:val="0"/>
        <w:spacing w:after="200"/>
        <w:contextualSpacing/>
        <w:rPr>
          <w:rFonts w:eastAsia="Calibri"/>
        </w:rPr>
      </w:pPr>
      <w:bookmarkStart w:id="55" w:name="_Ref363489878"/>
      <w:r>
        <w:rPr>
          <w:rFonts w:eastAsia="Calibri"/>
          <w:color w:val="222222"/>
          <w:shd w:val="clear" w:color="auto" w:fill="FFFFFF"/>
        </w:rPr>
        <w:t>Saathoff</w:t>
      </w:r>
      <w:r w:rsidR="00A67C10" w:rsidRPr="000D3F86">
        <w:rPr>
          <w:rFonts w:eastAsia="Calibri"/>
          <w:color w:val="222222"/>
          <w:shd w:val="clear" w:color="auto" w:fill="FFFFFF"/>
        </w:rPr>
        <w:t xml:space="preserve"> AJ, Sarath G, Chow EK, Dien BS, Tobias CM. Downregulation of cinnamyl-alcohol dehydrogenase in switchgrass by RNA silencing results in enhanced glucose release after cellulase treatment.</w:t>
      </w:r>
      <w:r w:rsidR="00A67C10" w:rsidRPr="000D3F86">
        <w:rPr>
          <w:rFonts w:eastAsia="Calibri"/>
          <w:color w:val="222222"/>
        </w:rPr>
        <w:t> </w:t>
      </w:r>
      <w:r w:rsidR="00A67C10" w:rsidRPr="000D3F86">
        <w:rPr>
          <w:rFonts w:eastAsia="Calibri"/>
          <w:i/>
          <w:iCs/>
          <w:color w:val="222222"/>
          <w:shd w:val="clear" w:color="auto" w:fill="FFFFFF"/>
        </w:rPr>
        <w:t>PLoS ONE</w:t>
      </w:r>
      <w:r w:rsidR="00A67C10" w:rsidRPr="000D3F86">
        <w:rPr>
          <w:rFonts w:eastAsia="Calibri"/>
          <w:color w:val="222222"/>
          <w:shd w:val="clear" w:color="auto" w:fill="FFFFFF"/>
        </w:rPr>
        <w:t xml:space="preserve"> </w:t>
      </w:r>
      <w:r w:rsidR="00A67C10" w:rsidRPr="000D3F86">
        <w:rPr>
          <w:rFonts w:eastAsia="Calibri"/>
          <w:iCs/>
          <w:color w:val="222222"/>
          <w:shd w:val="clear" w:color="auto" w:fill="FFFFFF"/>
        </w:rPr>
        <w:t xml:space="preserve">6 </w:t>
      </w:r>
      <w:r w:rsidR="00A67C10" w:rsidRPr="000D3F86">
        <w:rPr>
          <w:rFonts w:eastAsia="Calibri"/>
          <w:color w:val="222222"/>
          <w:shd w:val="clear" w:color="auto" w:fill="FFFFFF"/>
        </w:rPr>
        <w:t>(1), e16416 (2011).</w:t>
      </w:r>
      <w:bookmarkEnd w:id="55"/>
    </w:p>
    <w:p w:rsidR="00A67C10" w:rsidRPr="000D3F86" w:rsidRDefault="00A67C10" w:rsidP="00097A19">
      <w:pPr>
        <w:numPr>
          <w:ilvl w:val="0"/>
          <w:numId w:val="44"/>
        </w:numPr>
        <w:autoSpaceDE w:val="0"/>
        <w:autoSpaceDN w:val="0"/>
        <w:adjustRightInd w:val="0"/>
        <w:spacing w:after="200"/>
        <w:contextualSpacing/>
        <w:rPr>
          <w:rFonts w:eastAsia="Calibri"/>
        </w:rPr>
      </w:pPr>
      <w:bookmarkStart w:id="56" w:name="_Ref363553102"/>
      <w:r w:rsidRPr="008119C5">
        <w:rPr>
          <w:rFonts w:eastAsia="Calibri"/>
          <w:lang w:val="es-ES"/>
        </w:rPr>
        <w:t xml:space="preserve">Xu B, Escamilla-Treviño LL, Sathitsuksanoh N </w:t>
      </w:r>
      <w:r w:rsidRPr="008119C5">
        <w:rPr>
          <w:rFonts w:eastAsia="Calibri"/>
          <w:i/>
          <w:lang w:val="es-ES"/>
        </w:rPr>
        <w:t>et al</w:t>
      </w:r>
      <w:r w:rsidRPr="008119C5">
        <w:rPr>
          <w:rFonts w:eastAsia="Calibri"/>
          <w:lang w:val="es-ES"/>
        </w:rPr>
        <w:t xml:space="preserve">. </w:t>
      </w:r>
      <w:r w:rsidRPr="000D3F86">
        <w:rPr>
          <w:rFonts w:eastAsia="Calibri"/>
        </w:rPr>
        <w:t>Silencing of 4-coumarate: coenzyme A ligase in switchgrass leads to reduced lignin content and improved fermentable sugar yields for biofuel production. </w:t>
      </w:r>
      <w:r w:rsidRPr="000D3F86">
        <w:rPr>
          <w:rFonts w:eastAsia="Calibri"/>
          <w:i/>
          <w:iCs/>
        </w:rPr>
        <w:t>New Phytol.</w:t>
      </w:r>
      <w:r w:rsidRPr="000D3F86">
        <w:rPr>
          <w:rFonts w:eastAsia="Calibri"/>
        </w:rPr>
        <w:t> </w:t>
      </w:r>
      <w:r w:rsidRPr="000D3F86">
        <w:rPr>
          <w:rFonts w:eastAsia="Calibri"/>
          <w:iCs/>
        </w:rPr>
        <w:t>192</w:t>
      </w:r>
      <w:r w:rsidRPr="000D3F86">
        <w:rPr>
          <w:rFonts w:eastAsia="Calibri"/>
        </w:rPr>
        <w:t>(3), 611-625 (2011).</w:t>
      </w:r>
      <w:bookmarkEnd w:id="56"/>
    </w:p>
    <w:p w:rsidR="00A67C10" w:rsidRPr="000D3F86" w:rsidRDefault="00A67C10" w:rsidP="00097A19">
      <w:pPr>
        <w:numPr>
          <w:ilvl w:val="0"/>
          <w:numId w:val="44"/>
        </w:numPr>
        <w:autoSpaceDE w:val="0"/>
        <w:autoSpaceDN w:val="0"/>
        <w:adjustRightInd w:val="0"/>
        <w:spacing w:after="200"/>
        <w:contextualSpacing/>
        <w:rPr>
          <w:rFonts w:eastAsia="Calibri"/>
        </w:rPr>
      </w:pPr>
      <w:bookmarkStart w:id="57" w:name="_Ref363489879"/>
      <w:r w:rsidRPr="000D3F86">
        <w:rPr>
          <w:rFonts w:eastAsia="Calibri"/>
        </w:rPr>
        <w:t>Jung J, Fouad WM, Vermerris,W, Gallo M,  Altpeter F. RNAi suppression of lignin biosynthesis in sugarcane reduces recalcitrance for biofuel production from lignocellulosic biomass. </w:t>
      </w:r>
      <w:r w:rsidRPr="000D3F86">
        <w:rPr>
          <w:rFonts w:eastAsia="Calibri"/>
          <w:i/>
          <w:iCs/>
        </w:rPr>
        <w:t>Plant Biotechnol. J</w:t>
      </w:r>
      <w:r w:rsidRPr="000D3F86">
        <w:rPr>
          <w:rFonts w:eastAsia="Calibri"/>
        </w:rPr>
        <w:t xml:space="preserve">. </w:t>
      </w:r>
      <w:r w:rsidRPr="000D3F86">
        <w:rPr>
          <w:rFonts w:eastAsia="Calibri"/>
          <w:iCs/>
        </w:rPr>
        <w:t>10</w:t>
      </w:r>
      <w:r w:rsidRPr="000D3F86">
        <w:rPr>
          <w:rFonts w:eastAsia="Calibri"/>
        </w:rPr>
        <w:t>(9), 1067-1076 (2012).</w:t>
      </w:r>
      <w:bookmarkEnd w:id="57"/>
    </w:p>
    <w:p w:rsidR="00A67C10" w:rsidRPr="000D3F86" w:rsidRDefault="00A67C10" w:rsidP="00097A19">
      <w:pPr>
        <w:numPr>
          <w:ilvl w:val="0"/>
          <w:numId w:val="44"/>
        </w:numPr>
        <w:autoSpaceDE w:val="0"/>
        <w:autoSpaceDN w:val="0"/>
        <w:adjustRightInd w:val="0"/>
        <w:spacing w:after="200"/>
        <w:contextualSpacing/>
        <w:rPr>
          <w:rFonts w:eastAsia="Calibri"/>
        </w:rPr>
      </w:pPr>
      <w:bookmarkStart w:id="58" w:name="_Ref363489883"/>
      <w:r w:rsidRPr="000D3F86">
        <w:rPr>
          <w:rFonts w:eastAsia="Calibri"/>
          <w:color w:val="222222"/>
          <w:shd w:val="clear" w:color="auto" w:fill="FFFFFF"/>
        </w:rPr>
        <w:t>Jung JH, Vermerris W, Gallo M, Fedenko JR, Erickson JE, Altpeter F. RNA interference suppression of lignin biosynthesis increases fermentable sugar yields for biofuel production from field-grown sugarcane.</w:t>
      </w:r>
      <w:r w:rsidRPr="000D3F86">
        <w:rPr>
          <w:rFonts w:eastAsia="Calibri"/>
          <w:color w:val="222222"/>
        </w:rPr>
        <w:t> </w:t>
      </w:r>
      <w:r w:rsidRPr="000D3F86">
        <w:rPr>
          <w:rFonts w:eastAsia="Calibri"/>
          <w:i/>
          <w:iCs/>
          <w:color w:val="222222"/>
          <w:shd w:val="clear" w:color="auto" w:fill="FFFFFF"/>
        </w:rPr>
        <w:t>Plant Biotechnol. J</w:t>
      </w:r>
      <w:r w:rsidRPr="000D3F86">
        <w:rPr>
          <w:rFonts w:eastAsia="Calibri"/>
          <w:color w:val="222222"/>
          <w:shd w:val="clear" w:color="auto" w:fill="FFFFFF"/>
        </w:rPr>
        <w:t xml:space="preserve">. </w:t>
      </w:r>
      <w:r w:rsidRPr="000D3F86">
        <w:rPr>
          <w:rFonts w:eastAsia="Calibri"/>
        </w:rPr>
        <w:t xml:space="preserve">doi:10.1111/pbi.12061 </w:t>
      </w:r>
      <w:r w:rsidRPr="000D3F86">
        <w:rPr>
          <w:rFonts w:eastAsia="Calibri"/>
          <w:color w:val="222222"/>
          <w:shd w:val="clear" w:color="auto" w:fill="FFFFFF"/>
        </w:rPr>
        <w:t>(2013).</w:t>
      </w:r>
      <w:bookmarkEnd w:id="58"/>
    </w:p>
    <w:p w:rsidR="00A67C10" w:rsidRPr="000D3F86" w:rsidRDefault="00A67C10" w:rsidP="00097A19">
      <w:pPr>
        <w:numPr>
          <w:ilvl w:val="0"/>
          <w:numId w:val="44"/>
        </w:numPr>
        <w:autoSpaceDE w:val="0"/>
        <w:autoSpaceDN w:val="0"/>
        <w:adjustRightInd w:val="0"/>
        <w:spacing w:after="200"/>
        <w:contextualSpacing/>
        <w:rPr>
          <w:rFonts w:eastAsia="Calibri"/>
        </w:rPr>
      </w:pPr>
      <w:bookmarkStart w:id="59" w:name="_Ref363651974"/>
      <w:r w:rsidRPr="000D3F86">
        <w:rPr>
          <w:rFonts w:eastAsia="Calibri"/>
          <w:color w:val="222222"/>
          <w:shd w:val="clear" w:color="auto" w:fill="FFFFFF"/>
        </w:rPr>
        <w:t xml:space="preserve">Shen H, Poovaiah CR, Ziebell </w:t>
      </w:r>
      <w:proofErr w:type="gramStart"/>
      <w:r w:rsidRPr="000D3F86">
        <w:rPr>
          <w:rFonts w:eastAsia="Calibri"/>
          <w:color w:val="222222"/>
          <w:shd w:val="clear" w:color="auto" w:fill="FFFFFF"/>
        </w:rPr>
        <w:t>A</w:t>
      </w:r>
      <w:proofErr w:type="gramEnd"/>
      <w:r w:rsidRPr="000D3F86">
        <w:rPr>
          <w:rFonts w:eastAsia="Calibri"/>
          <w:color w:val="222222"/>
          <w:shd w:val="clear" w:color="auto" w:fill="FFFFFF"/>
        </w:rPr>
        <w:t xml:space="preserve"> </w:t>
      </w:r>
      <w:r w:rsidRPr="000D3F86">
        <w:rPr>
          <w:rFonts w:eastAsia="Calibri"/>
          <w:i/>
          <w:color w:val="222222"/>
          <w:shd w:val="clear" w:color="auto" w:fill="FFFFFF"/>
        </w:rPr>
        <w:t>et al</w:t>
      </w:r>
      <w:r w:rsidRPr="000D3F86">
        <w:rPr>
          <w:rFonts w:eastAsia="Calibri"/>
          <w:color w:val="222222"/>
          <w:shd w:val="clear" w:color="auto" w:fill="FFFFFF"/>
        </w:rPr>
        <w:t>. Enhanced characteristics of genetically modified switchgrass (</w:t>
      </w:r>
      <w:r w:rsidRPr="000D3F86">
        <w:rPr>
          <w:rFonts w:eastAsia="Calibri"/>
          <w:i/>
          <w:color w:val="222222"/>
          <w:shd w:val="clear" w:color="auto" w:fill="FFFFFF"/>
        </w:rPr>
        <w:t>Panicum virgatum</w:t>
      </w:r>
      <w:r w:rsidRPr="000D3F86">
        <w:rPr>
          <w:rFonts w:eastAsia="Calibri"/>
          <w:color w:val="222222"/>
          <w:shd w:val="clear" w:color="auto" w:fill="FFFFFF"/>
        </w:rPr>
        <w:t xml:space="preserve"> L.) for high biofuel production. </w:t>
      </w:r>
      <w:r w:rsidRPr="000D3F86">
        <w:rPr>
          <w:rFonts w:eastAsia="Calibri"/>
          <w:i/>
          <w:iCs/>
          <w:color w:val="222222"/>
          <w:shd w:val="clear" w:color="auto" w:fill="FFFFFF"/>
        </w:rPr>
        <w:t>Biotechnol. Biofuels</w:t>
      </w:r>
      <w:r w:rsidRPr="000D3F86">
        <w:rPr>
          <w:rFonts w:eastAsia="Calibri"/>
          <w:color w:val="222222"/>
        </w:rPr>
        <w:t xml:space="preserve"> </w:t>
      </w:r>
      <w:r w:rsidRPr="000D3F86">
        <w:rPr>
          <w:rFonts w:eastAsia="Calibri"/>
          <w:iCs/>
          <w:color w:val="222222"/>
          <w:shd w:val="clear" w:color="auto" w:fill="FFFFFF"/>
        </w:rPr>
        <w:t>6</w:t>
      </w:r>
      <w:r w:rsidRPr="000D3F86">
        <w:rPr>
          <w:rFonts w:eastAsia="Calibri"/>
          <w:color w:val="222222"/>
          <w:shd w:val="clear" w:color="auto" w:fill="FFFFFF"/>
        </w:rPr>
        <w:t>(1), 71 (2013).</w:t>
      </w:r>
      <w:bookmarkEnd w:id="59"/>
    </w:p>
    <w:p w:rsidR="00A67C10" w:rsidRPr="000D3F86" w:rsidRDefault="00A67C10" w:rsidP="00097A19">
      <w:pPr>
        <w:numPr>
          <w:ilvl w:val="0"/>
          <w:numId w:val="44"/>
        </w:numPr>
        <w:autoSpaceDE w:val="0"/>
        <w:autoSpaceDN w:val="0"/>
        <w:adjustRightInd w:val="0"/>
        <w:spacing w:after="200"/>
        <w:contextualSpacing/>
        <w:rPr>
          <w:rFonts w:eastAsia="Calibri"/>
        </w:rPr>
      </w:pPr>
      <w:bookmarkStart w:id="60" w:name="_Ref364012086"/>
      <w:r w:rsidRPr="000D3F86">
        <w:rPr>
          <w:rFonts w:eastAsia="Calibri"/>
        </w:rPr>
        <w:t xml:space="preserve">Wang H, Xue Y, Chen Y, Li R, Wei J. Lignin modification improves the biofuel production potential in transgenic </w:t>
      </w:r>
      <w:r w:rsidRPr="000D3F86">
        <w:rPr>
          <w:rFonts w:eastAsia="Calibri"/>
          <w:i/>
        </w:rPr>
        <w:t>Populus tomentosa</w:t>
      </w:r>
      <w:r w:rsidRPr="000D3F86">
        <w:rPr>
          <w:rFonts w:eastAsia="Calibri"/>
        </w:rPr>
        <w:t>. </w:t>
      </w:r>
      <w:r w:rsidRPr="000D3F86">
        <w:rPr>
          <w:rFonts w:eastAsia="Calibri"/>
          <w:i/>
          <w:iCs/>
        </w:rPr>
        <w:t>Ind. Crop. Prod</w:t>
      </w:r>
      <w:r w:rsidRPr="000D3F86">
        <w:rPr>
          <w:rFonts w:eastAsia="Calibri"/>
        </w:rPr>
        <w:t>. </w:t>
      </w:r>
      <w:r w:rsidRPr="000D3F86">
        <w:rPr>
          <w:rFonts w:eastAsia="Calibri"/>
          <w:iCs/>
        </w:rPr>
        <w:t>37</w:t>
      </w:r>
      <w:r w:rsidRPr="000D3F86">
        <w:rPr>
          <w:rFonts w:eastAsia="Calibri"/>
        </w:rPr>
        <w:t>(1), 170-177 (2012).</w:t>
      </w:r>
      <w:bookmarkEnd w:id="60"/>
    </w:p>
    <w:p w:rsidR="00A67C10" w:rsidRPr="000D3F86" w:rsidRDefault="00A67C10" w:rsidP="00097A19">
      <w:pPr>
        <w:numPr>
          <w:ilvl w:val="0"/>
          <w:numId w:val="44"/>
        </w:numPr>
        <w:autoSpaceDE w:val="0"/>
        <w:autoSpaceDN w:val="0"/>
        <w:adjustRightInd w:val="0"/>
        <w:spacing w:after="200"/>
        <w:contextualSpacing/>
        <w:rPr>
          <w:rFonts w:eastAsia="Calibri"/>
        </w:rPr>
      </w:pPr>
      <w:bookmarkStart w:id="61" w:name="_Ref363652414"/>
      <w:r w:rsidRPr="008119C5">
        <w:rPr>
          <w:rFonts w:eastAsia="Calibri"/>
          <w:lang w:val="es-ES"/>
        </w:rPr>
        <w:t xml:space="preserve">Miron J, Zuckerman E, Sadeh D </w:t>
      </w:r>
      <w:r w:rsidRPr="008119C5">
        <w:rPr>
          <w:rFonts w:eastAsia="Calibri"/>
          <w:i/>
          <w:lang w:val="es-ES"/>
        </w:rPr>
        <w:t>et al</w:t>
      </w:r>
      <w:r w:rsidRPr="008119C5">
        <w:rPr>
          <w:rFonts w:eastAsia="Calibri"/>
          <w:lang w:val="es-ES"/>
        </w:rPr>
        <w:t xml:space="preserve">. </w:t>
      </w:r>
      <w:r w:rsidRPr="000D3F86">
        <w:rPr>
          <w:rFonts w:eastAsia="Calibri"/>
        </w:rPr>
        <w:t xml:space="preserve">Yield, composition and in vitro digestibility of new forage sorghum varieties and their ensilage characteristics. </w:t>
      </w:r>
      <w:r w:rsidRPr="000D3F86">
        <w:rPr>
          <w:rFonts w:eastAsia="Calibri"/>
          <w:i/>
        </w:rPr>
        <w:t>Anim. Feed Sci. Technol</w:t>
      </w:r>
      <w:r w:rsidRPr="000D3F86">
        <w:rPr>
          <w:rFonts w:eastAsia="Calibri"/>
        </w:rPr>
        <w:t>. 120(1), 17-32 (2005).</w:t>
      </w:r>
      <w:bookmarkEnd w:id="61"/>
    </w:p>
    <w:p w:rsidR="00A67C10" w:rsidRPr="000D3F86" w:rsidRDefault="00A67C10" w:rsidP="00097A19">
      <w:pPr>
        <w:numPr>
          <w:ilvl w:val="0"/>
          <w:numId w:val="44"/>
        </w:numPr>
        <w:autoSpaceDE w:val="0"/>
        <w:autoSpaceDN w:val="0"/>
        <w:adjustRightInd w:val="0"/>
        <w:spacing w:after="200"/>
        <w:contextualSpacing/>
        <w:rPr>
          <w:rFonts w:eastAsia="Calibri"/>
        </w:rPr>
      </w:pPr>
      <w:bookmarkStart w:id="62" w:name="_Ref363721353"/>
      <w:r w:rsidRPr="000D3F86">
        <w:rPr>
          <w:rFonts w:eastAsia="Calibri"/>
          <w:lang w:val="nl-NL"/>
        </w:rPr>
        <w:t xml:space="preserve">Dien BS, Sarath G, Pedersen JF </w:t>
      </w:r>
      <w:r w:rsidRPr="000D3F86">
        <w:rPr>
          <w:rFonts w:eastAsia="Calibri"/>
          <w:i/>
          <w:lang w:val="nl-NL"/>
        </w:rPr>
        <w:t>et al</w:t>
      </w:r>
      <w:r w:rsidRPr="000D3F86">
        <w:rPr>
          <w:rFonts w:eastAsia="Calibri"/>
          <w:lang w:val="nl-NL"/>
        </w:rPr>
        <w:t xml:space="preserve">. </w:t>
      </w:r>
      <w:r w:rsidRPr="000D3F86">
        <w:rPr>
          <w:rFonts w:eastAsia="Calibri"/>
        </w:rPr>
        <w:t xml:space="preserve">Improved sugar conversion and ethanol yield for forage sorghum (Sorghum bicolor L. Moench) lines with reduced lignin contents.  </w:t>
      </w:r>
      <w:r w:rsidRPr="000D3F86">
        <w:rPr>
          <w:rFonts w:eastAsia="Calibri"/>
          <w:i/>
          <w:iCs/>
        </w:rPr>
        <w:t xml:space="preserve">BioEnergy </w:t>
      </w:r>
      <w:proofErr w:type="gramStart"/>
      <w:r w:rsidRPr="000D3F86">
        <w:rPr>
          <w:rFonts w:eastAsia="Calibri"/>
          <w:i/>
          <w:iCs/>
        </w:rPr>
        <w:t>Res..</w:t>
      </w:r>
      <w:r w:rsidRPr="000D3F86">
        <w:rPr>
          <w:rFonts w:eastAsia="Calibri"/>
        </w:rPr>
        <w:t> </w:t>
      </w:r>
      <w:proofErr w:type="gramEnd"/>
      <w:r w:rsidRPr="000D3F86">
        <w:rPr>
          <w:rFonts w:eastAsia="Calibri"/>
          <w:iCs/>
        </w:rPr>
        <w:t>2</w:t>
      </w:r>
      <w:r w:rsidRPr="000D3F86">
        <w:rPr>
          <w:rFonts w:eastAsia="Calibri"/>
        </w:rPr>
        <w:t>(3), 153-164 (2009).</w:t>
      </w:r>
      <w:bookmarkEnd w:id="62"/>
    </w:p>
    <w:p w:rsidR="00A67C10" w:rsidRPr="000D3F86" w:rsidRDefault="00A67C10" w:rsidP="00097A19">
      <w:pPr>
        <w:numPr>
          <w:ilvl w:val="0"/>
          <w:numId w:val="44"/>
        </w:numPr>
        <w:autoSpaceDE w:val="0"/>
        <w:autoSpaceDN w:val="0"/>
        <w:adjustRightInd w:val="0"/>
        <w:spacing w:after="200"/>
        <w:contextualSpacing/>
        <w:rPr>
          <w:rFonts w:eastAsia="Calibri"/>
        </w:rPr>
      </w:pPr>
      <w:bookmarkStart w:id="63" w:name="_Ref363721379"/>
      <w:r w:rsidRPr="000D3F86">
        <w:rPr>
          <w:rFonts w:eastAsia="Calibri"/>
        </w:rPr>
        <w:t xml:space="preserve">Bout S, Vermerris W. A candidate-gene approach to clone the sorghum Brown midrib gene encoding caffeic acid O-methyltransferase. </w:t>
      </w:r>
      <w:r w:rsidRPr="000D3F86">
        <w:rPr>
          <w:rFonts w:eastAsia="Calibri"/>
          <w:i/>
          <w:iCs/>
        </w:rPr>
        <w:t>Mol. Genet. Genomics</w:t>
      </w:r>
      <w:r w:rsidRPr="000D3F86">
        <w:rPr>
          <w:rFonts w:eastAsia="Calibri"/>
        </w:rPr>
        <w:t> </w:t>
      </w:r>
      <w:r w:rsidRPr="000D3F86">
        <w:rPr>
          <w:rFonts w:eastAsia="Calibri"/>
          <w:iCs/>
        </w:rPr>
        <w:t>269</w:t>
      </w:r>
      <w:r w:rsidRPr="000D3F86">
        <w:rPr>
          <w:rFonts w:eastAsia="Calibri"/>
        </w:rPr>
        <w:t>(2), 205-214 (2003).</w:t>
      </w:r>
      <w:bookmarkEnd w:id="63"/>
    </w:p>
    <w:p w:rsidR="00A67C10" w:rsidRPr="000D3F86" w:rsidRDefault="00A67C10" w:rsidP="00097A19">
      <w:pPr>
        <w:numPr>
          <w:ilvl w:val="0"/>
          <w:numId w:val="44"/>
        </w:numPr>
        <w:autoSpaceDE w:val="0"/>
        <w:autoSpaceDN w:val="0"/>
        <w:adjustRightInd w:val="0"/>
        <w:spacing w:after="200"/>
        <w:contextualSpacing/>
        <w:rPr>
          <w:rFonts w:eastAsia="Calibri"/>
        </w:rPr>
      </w:pPr>
      <w:bookmarkStart w:id="64" w:name="_Ref363721381"/>
      <w:r w:rsidRPr="000D3F86">
        <w:rPr>
          <w:rFonts w:eastAsia="Calibri"/>
        </w:rPr>
        <w:t>Saballos A, Vermerris W, Rivera L, Ejeta G. Allelic association, chemical characterization and saccharification properties of brown midrib mutants of sorghum (</w:t>
      </w:r>
      <w:r w:rsidRPr="000D3F86">
        <w:rPr>
          <w:rFonts w:eastAsia="Calibri"/>
          <w:i/>
        </w:rPr>
        <w:t>Sorghum bicolor</w:t>
      </w:r>
      <w:r w:rsidRPr="000D3F86">
        <w:rPr>
          <w:rFonts w:eastAsia="Calibri"/>
        </w:rPr>
        <w:t xml:space="preserve"> (L.) Moench). </w:t>
      </w:r>
      <w:r w:rsidRPr="000D3F86">
        <w:rPr>
          <w:rFonts w:eastAsia="Calibri"/>
          <w:i/>
          <w:iCs/>
        </w:rPr>
        <w:t>BioEnergy Res.</w:t>
      </w:r>
      <w:r w:rsidRPr="000D3F86">
        <w:rPr>
          <w:rFonts w:eastAsia="Calibri"/>
        </w:rPr>
        <w:t> </w:t>
      </w:r>
      <w:r w:rsidRPr="000D3F86">
        <w:rPr>
          <w:rFonts w:eastAsia="Calibri"/>
          <w:iCs/>
        </w:rPr>
        <w:t>1</w:t>
      </w:r>
      <w:r w:rsidRPr="000D3F86">
        <w:rPr>
          <w:rFonts w:eastAsia="Calibri"/>
        </w:rPr>
        <w:t>(3-4), 193-204 (2008).</w:t>
      </w:r>
      <w:bookmarkEnd w:id="64"/>
    </w:p>
    <w:p w:rsidR="00A67C10" w:rsidRPr="000D3F86" w:rsidRDefault="00A67C10" w:rsidP="00097A19">
      <w:pPr>
        <w:numPr>
          <w:ilvl w:val="0"/>
          <w:numId w:val="44"/>
        </w:numPr>
        <w:autoSpaceDE w:val="0"/>
        <w:autoSpaceDN w:val="0"/>
        <w:adjustRightInd w:val="0"/>
        <w:spacing w:after="200"/>
        <w:contextualSpacing/>
        <w:rPr>
          <w:rFonts w:eastAsia="Calibri"/>
        </w:rPr>
      </w:pPr>
      <w:bookmarkStart w:id="65" w:name="_Ref363652435"/>
      <w:r w:rsidRPr="008119C5">
        <w:rPr>
          <w:rFonts w:eastAsia="Calibri"/>
          <w:lang w:val="es-ES"/>
        </w:rPr>
        <w:t xml:space="preserve">Saballos A, Sattler SE, Sanchez E </w:t>
      </w:r>
      <w:r w:rsidRPr="008119C5">
        <w:rPr>
          <w:rFonts w:eastAsia="Calibri"/>
          <w:i/>
          <w:lang w:val="es-ES"/>
        </w:rPr>
        <w:t>et al</w:t>
      </w:r>
      <w:r w:rsidRPr="008119C5">
        <w:rPr>
          <w:rFonts w:eastAsia="Calibri"/>
          <w:lang w:val="es-ES"/>
        </w:rPr>
        <w:t xml:space="preserve">. </w:t>
      </w:r>
      <w:r w:rsidRPr="000D3F86">
        <w:rPr>
          <w:rFonts w:eastAsia="Calibri"/>
        </w:rPr>
        <w:t>Brown midrib2 (Bmr2) encodes the major 4</w:t>
      </w:r>
      <w:r w:rsidRPr="000D3F86">
        <w:rPr>
          <w:rFonts w:ascii="Cambria Math" w:eastAsia="Calibri" w:hAnsi="Cambria Math" w:cs="Cambria Math"/>
        </w:rPr>
        <w:t>‐</w:t>
      </w:r>
      <w:r w:rsidRPr="000D3F86">
        <w:rPr>
          <w:rFonts w:eastAsia="Calibri"/>
        </w:rPr>
        <w:t>coumarate: coenzyme A ligase involved in lignin biosynthesis in sorghum (Sorghum bicolor (L.) Moench).</w:t>
      </w:r>
      <w:r w:rsidRPr="000D3F86">
        <w:rPr>
          <w:rFonts w:eastAsia="Calibri"/>
          <w:i/>
          <w:iCs/>
        </w:rPr>
        <w:t xml:space="preserve"> Plant J.</w:t>
      </w:r>
      <w:r w:rsidRPr="000D3F86">
        <w:rPr>
          <w:rFonts w:eastAsia="Calibri"/>
        </w:rPr>
        <w:t> </w:t>
      </w:r>
      <w:r w:rsidRPr="000D3F86">
        <w:rPr>
          <w:rFonts w:eastAsia="Calibri"/>
          <w:iCs/>
        </w:rPr>
        <w:t>70</w:t>
      </w:r>
      <w:r w:rsidRPr="000D3F86">
        <w:rPr>
          <w:rFonts w:eastAsia="Calibri"/>
        </w:rPr>
        <w:t>(5), 818-830 (2012).</w:t>
      </w:r>
      <w:bookmarkEnd w:id="65"/>
    </w:p>
    <w:p w:rsidR="00A67C10" w:rsidRPr="000D3F86" w:rsidRDefault="00A67C10" w:rsidP="00097A19">
      <w:pPr>
        <w:numPr>
          <w:ilvl w:val="0"/>
          <w:numId w:val="44"/>
        </w:numPr>
        <w:autoSpaceDE w:val="0"/>
        <w:autoSpaceDN w:val="0"/>
        <w:adjustRightInd w:val="0"/>
        <w:spacing w:after="200"/>
        <w:contextualSpacing/>
        <w:rPr>
          <w:rFonts w:eastAsia="Calibri"/>
        </w:rPr>
      </w:pPr>
      <w:bookmarkStart w:id="66" w:name="_Ref371947092"/>
      <w:r w:rsidRPr="000D3F86">
        <w:rPr>
          <w:rFonts w:eastAsia="Calibri"/>
        </w:rPr>
        <w:t>Dixon RA, Paiva NL. Stress-induced phenylpropanoid metabolism. </w:t>
      </w:r>
      <w:r w:rsidRPr="000D3F86">
        <w:rPr>
          <w:rFonts w:eastAsia="Calibri"/>
          <w:i/>
        </w:rPr>
        <w:t>Plant Cell</w:t>
      </w:r>
      <w:r w:rsidRPr="000D3F86">
        <w:rPr>
          <w:rFonts w:eastAsia="Calibri"/>
        </w:rPr>
        <w:t xml:space="preserve"> 7, 1085–1097</w:t>
      </w:r>
      <w:bookmarkEnd w:id="48"/>
      <w:r w:rsidRPr="000D3F86">
        <w:rPr>
          <w:rFonts w:eastAsia="Calibri"/>
        </w:rPr>
        <w:t xml:space="preserve"> (1995).</w:t>
      </w:r>
      <w:bookmarkEnd w:id="49"/>
      <w:bookmarkEnd w:id="66"/>
    </w:p>
    <w:p w:rsidR="00A67C10" w:rsidRPr="000D3F86" w:rsidRDefault="00A67C10" w:rsidP="00097A19">
      <w:pPr>
        <w:numPr>
          <w:ilvl w:val="0"/>
          <w:numId w:val="44"/>
        </w:numPr>
        <w:autoSpaceDE w:val="0"/>
        <w:autoSpaceDN w:val="0"/>
        <w:adjustRightInd w:val="0"/>
        <w:spacing w:after="200"/>
        <w:contextualSpacing/>
        <w:rPr>
          <w:rFonts w:eastAsia="Calibri"/>
          <w:shd w:val="clear" w:color="auto" w:fill="FFFFFF"/>
        </w:rPr>
      </w:pPr>
      <w:bookmarkStart w:id="67" w:name="_Ref357505362"/>
      <w:bookmarkStart w:id="68" w:name="_Ref364672488"/>
      <w:r w:rsidRPr="000D3F86">
        <w:rPr>
          <w:rFonts w:eastAsia="Calibri"/>
          <w:bdr w:val="none" w:sz="0" w:space="0" w:color="auto" w:frame="1"/>
          <w:shd w:val="clear" w:color="auto" w:fill="FFFFFF"/>
        </w:rPr>
        <w:t>Zabala G</w:t>
      </w:r>
      <w:r w:rsidRPr="000D3F86">
        <w:rPr>
          <w:rFonts w:eastAsia="Calibri"/>
          <w:shd w:val="clear" w:color="auto" w:fill="FFFFFF"/>
        </w:rPr>
        <w:t>, </w:t>
      </w:r>
      <w:r w:rsidRPr="000D3F86">
        <w:rPr>
          <w:rFonts w:eastAsia="Calibri"/>
          <w:bdr w:val="none" w:sz="0" w:space="0" w:color="auto" w:frame="1"/>
          <w:shd w:val="clear" w:color="auto" w:fill="FFFFFF"/>
        </w:rPr>
        <w:t>Zou J</w:t>
      </w:r>
      <w:r w:rsidRPr="000D3F86">
        <w:rPr>
          <w:rFonts w:eastAsia="Calibri"/>
          <w:shd w:val="clear" w:color="auto" w:fill="FFFFFF"/>
        </w:rPr>
        <w:t>, </w:t>
      </w:r>
      <w:r w:rsidRPr="000D3F86">
        <w:rPr>
          <w:rFonts w:eastAsia="Calibri"/>
          <w:bdr w:val="none" w:sz="0" w:space="0" w:color="auto" w:frame="1"/>
          <w:shd w:val="clear" w:color="auto" w:fill="FFFFFF"/>
        </w:rPr>
        <w:t>Tuteja J</w:t>
      </w:r>
      <w:r w:rsidRPr="000D3F86">
        <w:rPr>
          <w:rFonts w:eastAsia="Calibri"/>
          <w:shd w:val="clear" w:color="auto" w:fill="FFFFFF"/>
        </w:rPr>
        <w:t>, </w:t>
      </w:r>
      <w:r w:rsidRPr="000D3F86">
        <w:rPr>
          <w:rFonts w:eastAsia="Calibri"/>
          <w:bdr w:val="none" w:sz="0" w:space="0" w:color="auto" w:frame="1"/>
          <w:shd w:val="clear" w:color="auto" w:fill="FFFFFF"/>
        </w:rPr>
        <w:t>Gonzalez D</w:t>
      </w:r>
      <w:r w:rsidRPr="000D3F86">
        <w:rPr>
          <w:rFonts w:eastAsia="Calibri"/>
          <w:shd w:val="clear" w:color="auto" w:fill="FFFFFF"/>
        </w:rPr>
        <w:t>, </w:t>
      </w:r>
      <w:r w:rsidRPr="000D3F86">
        <w:rPr>
          <w:rFonts w:eastAsia="Calibri"/>
          <w:bdr w:val="none" w:sz="0" w:space="0" w:color="auto" w:frame="1"/>
          <w:shd w:val="clear" w:color="auto" w:fill="FFFFFF"/>
        </w:rPr>
        <w:t>Clough S, Vodkin L. Transcriptome changes in the phenylpropanoid pathway of </w:t>
      </w:r>
      <w:r w:rsidRPr="000D3F86">
        <w:rPr>
          <w:rFonts w:eastAsia="Calibri"/>
          <w:i/>
          <w:iCs/>
          <w:bdr w:val="none" w:sz="0" w:space="0" w:color="auto" w:frame="1"/>
        </w:rPr>
        <w:t>Glycine max</w:t>
      </w:r>
      <w:r w:rsidRPr="000D3F86">
        <w:rPr>
          <w:rFonts w:eastAsia="Calibri"/>
          <w:bdr w:val="none" w:sz="0" w:space="0" w:color="auto" w:frame="1"/>
          <w:shd w:val="clear" w:color="auto" w:fill="FFFFFF"/>
        </w:rPr>
        <w:t xml:space="preserve"> in response to </w:t>
      </w:r>
      <w:r w:rsidRPr="000D3F86">
        <w:rPr>
          <w:rFonts w:eastAsia="Calibri"/>
          <w:i/>
          <w:bdr w:val="none" w:sz="0" w:space="0" w:color="auto" w:frame="1"/>
          <w:shd w:val="clear" w:color="auto" w:fill="FFFFFF"/>
        </w:rPr>
        <w:t>Pseudomonas syringae</w:t>
      </w:r>
      <w:r w:rsidRPr="000D3F86">
        <w:rPr>
          <w:rFonts w:eastAsia="Calibri"/>
          <w:bdr w:val="none" w:sz="0" w:space="0" w:color="auto" w:frame="1"/>
          <w:shd w:val="clear" w:color="auto" w:fill="FFFFFF"/>
        </w:rPr>
        <w:t xml:space="preserve"> infection</w:t>
      </w:r>
      <w:r w:rsidRPr="000D3F86">
        <w:rPr>
          <w:rFonts w:eastAsia="Calibri"/>
          <w:shd w:val="clear" w:color="auto" w:fill="FFFFFF"/>
        </w:rPr>
        <w:t>. </w:t>
      </w:r>
      <w:r w:rsidRPr="000D3F86">
        <w:rPr>
          <w:rFonts w:eastAsia="Calibri"/>
          <w:i/>
          <w:iCs/>
          <w:bdr w:val="none" w:sz="0" w:space="0" w:color="auto" w:frame="1"/>
          <w:shd w:val="clear" w:color="auto" w:fill="FFFFFF"/>
        </w:rPr>
        <w:t>BMC Plant Biol.</w:t>
      </w:r>
      <w:r w:rsidRPr="000D3F86">
        <w:rPr>
          <w:rFonts w:eastAsia="Calibri"/>
          <w:shd w:val="clear" w:color="auto" w:fill="FFFFFF"/>
        </w:rPr>
        <w:t> </w:t>
      </w:r>
      <w:r w:rsidRPr="000D3F86">
        <w:rPr>
          <w:rFonts w:eastAsia="Calibri"/>
          <w:bCs/>
          <w:bdr w:val="none" w:sz="0" w:space="0" w:color="auto" w:frame="1"/>
          <w:shd w:val="clear" w:color="auto" w:fill="FFFFFF"/>
        </w:rPr>
        <w:t>6</w:t>
      </w:r>
      <w:r w:rsidRPr="000D3F86">
        <w:rPr>
          <w:rFonts w:eastAsia="Calibri"/>
          <w:shd w:val="clear" w:color="auto" w:fill="FFFFFF"/>
        </w:rPr>
        <w:t xml:space="preserve">, </w:t>
      </w:r>
      <w:r w:rsidRPr="000D3F86">
        <w:rPr>
          <w:rFonts w:eastAsia="Calibri"/>
          <w:bdr w:val="none" w:sz="0" w:space="0" w:color="auto" w:frame="1"/>
          <w:shd w:val="clear" w:color="auto" w:fill="FFFFFF"/>
        </w:rPr>
        <w:t>26</w:t>
      </w:r>
      <w:bookmarkEnd w:id="67"/>
      <w:r w:rsidRPr="000D3F86">
        <w:rPr>
          <w:rFonts w:eastAsia="Calibri"/>
          <w:shd w:val="clear" w:color="auto" w:fill="FFFFFF"/>
        </w:rPr>
        <w:t xml:space="preserve"> </w:t>
      </w:r>
      <w:r w:rsidRPr="000D3F86">
        <w:rPr>
          <w:rFonts w:eastAsia="Calibri"/>
          <w:bdr w:val="none" w:sz="0" w:space="0" w:color="auto" w:frame="1"/>
          <w:shd w:val="clear" w:color="auto" w:fill="FFFFFF"/>
        </w:rPr>
        <w:t>(2006)</w:t>
      </w:r>
      <w:r w:rsidRPr="000D3F86">
        <w:rPr>
          <w:rFonts w:eastAsia="Calibri"/>
          <w:shd w:val="clear" w:color="auto" w:fill="FFFFFF"/>
        </w:rPr>
        <w:t>.</w:t>
      </w:r>
      <w:bookmarkEnd w:id="68"/>
      <w:r w:rsidRPr="000D3F86">
        <w:rPr>
          <w:rFonts w:eastAsia="Calibri"/>
          <w:shd w:val="clear" w:color="auto" w:fill="FFFFFF"/>
        </w:rPr>
        <w:t> </w:t>
      </w:r>
    </w:p>
    <w:p w:rsidR="00A67C10" w:rsidRPr="000D3F86" w:rsidRDefault="00A67C10" w:rsidP="00097A19">
      <w:pPr>
        <w:numPr>
          <w:ilvl w:val="0"/>
          <w:numId w:val="44"/>
        </w:numPr>
        <w:autoSpaceDE w:val="0"/>
        <w:autoSpaceDN w:val="0"/>
        <w:adjustRightInd w:val="0"/>
        <w:spacing w:after="200"/>
        <w:contextualSpacing/>
        <w:rPr>
          <w:rFonts w:eastAsia="Calibri"/>
        </w:rPr>
      </w:pPr>
      <w:bookmarkStart w:id="69" w:name="_Ref363627214"/>
      <w:r w:rsidRPr="008119C5">
        <w:rPr>
          <w:rFonts w:eastAsia="Calibri"/>
          <w:lang w:val="es-ES"/>
        </w:rPr>
        <w:lastRenderedPageBreak/>
        <w:t xml:space="preserve">Gallego-Giraldo L, Jikumaru Y, Kamiya Y, Tang Y, Dixon RA. </w:t>
      </w:r>
      <w:r w:rsidRPr="000D3F86">
        <w:rPr>
          <w:rFonts w:eastAsia="Calibri"/>
        </w:rPr>
        <w:t>Selective lignin downregulation leads to constitutive defense response expression in alfalfa (</w:t>
      </w:r>
      <w:r w:rsidRPr="000D3F86">
        <w:rPr>
          <w:rFonts w:eastAsia="Calibri"/>
          <w:i/>
        </w:rPr>
        <w:t>Medicago sativa</w:t>
      </w:r>
      <w:r w:rsidRPr="000D3F86">
        <w:rPr>
          <w:rFonts w:eastAsia="Calibri"/>
        </w:rPr>
        <w:t xml:space="preserve"> L.). </w:t>
      </w:r>
      <w:r w:rsidRPr="000D3F86">
        <w:rPr>
          <w:rFonts w:eastAsia="Calibri"/>
          <w:i/>
        </w:rPr>
        <w:t>New Phytol</w:t>
      </w:r>
      <w:r w:rsidRPr="000D3F86">
        <w:rPr>
          <w:rFonts w:eastAsia="Calibri"/>
        </w:rPr>
        <w:t>. 190, 627-639 (2011).</w:t>
      </w:r>
      <w:bookmarkEnd w:id="69"/>
      <w:r w:rsidRPr="000D3F86">
        <w:rPr>
          <w:rFonts w:eastAsia="Calibri"/>
        </w:rPr>
        <w:t xml:space="preserve"> </w:t>
      </w:r>
    </w:p>
    <w:p w:rsidR="00A67C10" w:rsidRPr="000D3F86" w:rsidRDefault="00A67C10" w:rsidP="00097A19">
      <w:pPr>
        <w:numPr>
          <w:ilvl w:val="0"/>
          <w:numId w:val="44"/>
        </w:numPr>
        <w:autoSpaceDE w:val="0"/>
        <w:autoSpaceDN w:val="0"/>
        <w:adjustRightInd w:val="0"/>
        <w:spacing w:after="200"/>
        <w:contextualSpacing/>
        <w:rPr>
          <w:rFonts w:eastAsia="Calibri"/>
          <w:shd w:val="clear" w:color="auto" w:fill="FFFFFF"/>
        </w:rPr>
      </w:pPr>
      <w:bookmarkStart w:id="70" w:name="_Ref363635763"/>
      <w:r w:rsidRPr="000D3F86">
        <w:rPr>
          <w:rFonts w:eastAsia="Calibri"/>
          <w:shd w:val="clear" w:color="auto" w:fill="FFFFFF"/>
        </w:rPr>
        <w:t xml:space="preserve">Besseau S, Hoffmann L, Geoffroy P, Lapierre C, Pollet B, and Legrand M. Flavonoid accumulation in Arabidopsis repressed in lignin synthesis affects auxin transport and plant growth. </w:t>
      </w:r>
      <w:r w:rsidRPr="000D3F86">
        <w:rPr>
          <w:rFonts w:eastAsia="Calibri"/>
          <w:i/>
          <w:shd w:val="clear" w:color="auto" w:fill="FFFFFF"/>
        </w:rPr>
        <w:t>Plant Cell</w:t>
      </w:r>
      <w:r w:rsidRPr="000D3F86">
        <w:rPr>
          <w:rFonts w:eastAsia="Calibri"/>
          <w:shd w:val="clear" w:color="auto" w:fill="FFFFFF"/>
        </w:rPr>
        <w:t xml:space="preserve"> 9, 148-162 (2007).</w:t>
      </w:r>
      <w:bookmarkEnd w:id="70"/>
    </w:p>
    <w:p w:rsidR="00A67C10" w:rsidRPr="000D3F86" w:rsidRDefault="00A67C10" w:rsidP="00097A19">
      <w:pPr>
        <w:numPr>
          <w:ilvl w:val="0"/>
          <w:numId w:val="44"/>
        </w:numPr>
        <w:autoSpaceDE w:val="0"/>
        <w:autoSpaceDN w:val="0"/>
        <w:adjustRightInd w:val="0"/>
        <w:spacing w:after="200"/>
        <w:contextualSpacing/>
        <w:rPr>
          <w:rFonts w:eastAsia="Calibri"/>
        </w:rPr>
      </w:pPr>
      <w:bookmarkStart w:id="71" w:name="_Ref357271252"/>
      <w:bookmarkStart w:id="72" w:name="_Ref357445836"/>
      <w:r w:rsidRPr="000D3F86">
        <w:rPr>
          <w:rFonts w:eastAsia="Calibri"/>
        </w:rPr>
        <w:t xml:space="preserve">Coleman HD, Park J-Y, Nair R, Chapple C, Mansfield SD. RNAi-mediated suppression of p-coumaroyl-CoA 3′-hydroxylase in hybrid poplar impacts lignin deposition and soluble secondary metabolism. </w:t>
      </w:r>
      <w:r w:rsidRPr="000D3F86">
        <w:rPr>
          <w:rFonts w:eastAsia="Calibri"/>
          <w:i/>
        </w:rPr>
        <w:t xml:space="preserve">Proc. Natl Acad. Sci. USA </w:t>
      </w:r>
      <w:r w:rsidRPr="000D3F86">
        <w:rPr>
          <w:rFonts w:eastAsia="Calibri"/>
        </w:rPr>
        <w:t>105, 4501–4506</w:t>
      </w:r>
      <w:bookmarkEnd w:id="71"/>
      <w:r w:rsidRPr="000D3F86">
        <w:rPr>
          <w:rFonts w:eastAsia="Calibri"/>
        </w:rPr>
        <w:t xml:space="preserve"> (2008).</w:t>
      </w:r>
      <w:bookmarkEnd w:id="72"/>
    </w:p>
    <w:p w:rsidR="00A67C10" w:rsidRPr="000D3F86" w:rsidRDefault="00A67C10" w:rsidP="00097A19">
      <w:pPr>
        <w:numPr>
          <w:ilvl w:val="0"/>
          <w:numId w:val="44"/>
        </w:numPr>
        <w:autoSpaceDE w:val="0"/>
        <w:autoSpaceDN w:val="0"/>
        <w:adjustRightInd w:val="0"/>
        <w:spacing w:after="200"/>
        <w:contextualSpacing/>
        <w:rPr>
          <w:rFonts w:eastAsia="Calibri"/>
        </w:rPr>
      </w:pPr>
      <w:bookmarkStart w:id="73" w:name="_Ref357283199"/>
      <w:bookmarkStart w:id="74" w:name="_Ref358031822"/>
      <w:r w:rsidRPr="000D3F86">
        <w:rPr>
          <w:rFonts w:eastAsia="Calibri"/>
          <w:shd w:val="clear" w:color="auto" w:fill="FFFFFF"/>
        </w:rPr>
        <w:t xml:space="preserve">Fornalé S, Shi X, Chai C </w:t>
      </w:r>
      <w:r w:rsidRPr="000D3F86">
        <w:rPr>
          <w:rFonts w:eastAsia="Calibri"/>
          <w:i/>
          <w:shd w:val="clear" w:color="auto" w:fill="FFFFFF"/>
        </w:rPr>
        <w:t>et al</w:t>
      </w:r>
      <w:r w:rsidRPr="000D3F86">
        <w:rPr>
          <w:rFonts w:eastAsia="Calibri"/>
          <w:shd w:val="clear" w:color="auto" w:fill="FFFFFF"/>
        </w:rPr>
        <w:t xml:space="preserve">. ZmMYB31 directly represses maize lignin genes and redirects the phenylpropanoid metabolic flux. </w:t>
      </w:r>
      <w:r w:rsidRPr="000D3F86">
        <w:rPr>
          <w:rFonts w:eastAsia="Calibri"/>
          <w:i/>
          <w:shd w:val="clear" w:color="auto" w:fill="FFFFFF"/>
        </w:rPr>
        <w:t>Plant J</w:t>
      </w:r>
      <w:r w:rsidRPr="000D3F86">
        <w:rPr>
          <w:rFonts w:eastAsia="Calibri"/>
          <w:shd w:val="clear" w:color="auto" w:fill="FFFFFF"/>
        </w:rPr>
        <w:t>. 64, 633–644</w:t>
      </w:r>
      <w:bookmarkEnd w:id="73"/>
      <w:r w:rsidRPr="000D3F86">
        <w:rPr>
          <w:rFonts w:eastAsia="Calibri"/>
          <w:shd w:val="clear" w:color="auto" w:fill="FFFFFF"/>
        </w:rPr>
        <w:t xml:space="preserve"> (2010).</w:t>
      </w:r>
      <w:bookmarkEnd w:id="74"/>
    </w:p>
    <w:p w:rsidR="00A67C10" w:rsidRPr="000D3F86" w:rsidRDefault="00A67C10" w:rsidP="00097A19">
      <w:pPr>
        <w:numPr>
          <w:ilvl w:val="0"/>
          <w:numId w:val="44"/>
        </w:numPr>
        <w:autoSpaceDE w:val="0"/>
        <w:autoSpaceDN w:val="0"/>
        <w:adjustRightInd w:val="0"/>
        <w:spacing w:after="200"/>
        <w:contextualSpacing/>
        <w:rPr>
          <w:rFonts w:eastAsia="Calibri"/>
        </w:rPr>
      </w:pPr>
      <w:bookmarkStart w:id="75" w:name="_Ref358490827"/>
      <w:r w:rsidRPr="000D3F86">
        <w:rPr>
          <w:rFonts w:eastAsia="Calibri"/>
        </w:rPr>
        <w:t>Vance CP, Kirk TK, Sherwood RT. Lignification as a mechanism of disease resistance. </w:t>
      </w:r>
      <w:r w:rsidRPr="000D3F86">
        <w:rPr>
          <w:rFonts w:eastAsia="Calibri"/>
          <w:i/>
          <w:iCs/>
        </w:rPr>
        <w:t>Annu. Rev. Phytopathol.</w:t>
      </w:r>
      <w:r w:rsidRPr="000D3F86">
        <w:rPr>
          <w:rFonts w:eastAsia="Calibri"/>
        </w:rPr>
        <w:t>18, 259–288 (1980).</w:t>
      </w:r>
      <w:bookmarkEnd w:id="75"/>
      <w:r w:rsidRPr="000D3F86">
        <w:rPr>
          <w:rFonts w:eastAsia="Calibri"/>
        </w:rPr>
        <w:t> </w:t>
      </w:r>
    </w:p>
    <w:p w:rsidR="00A67C10" w:rsidRPr="000D3F86" w:rsidRDefault="00A67C10" w:rsidP="00097A19">
      <w:pPr>
        <w:numPr>
          <w:ilvl w:val="0"/>
          <w:numId w:val="44"/>
        </w:numPr>
        <w:shd w:val="clear" w:color="auto" w:fill="FFFFFF"/>
        <w:autoSpaceDE w:val="0"/>
        <w:autoSpaceDN w:val="0"/>
        <w:adjustRightInd w:val="0"/>
        <w:spacing w:after="200"/>
        <w:contextualSpacing/>
        <w:textAlignment w:val="baseline"/>
        <w:rPr>
          <w:rFonts w:eastAsia="Calibri"/>
        </w:rPr>
      </w:pPr>
      <w:bookmarkStart w:id="76" w:name="_Ref357278774"/>
      <w:bookmarkStart w:id="77" w:name="_Ref358032854"/>
      <w:r w:rsidRPr="008119C5">
        <w:rPr>
          <w:lang w:val="es-ES"/>
        </w:rPr>
        <w:t xml:space="preserve">Quentin M, Allasia V, Pegard A </w:t>
      </w:r>
      <w:r w:rsidRPr="008119C5">
        <w:rPr>
          <w:i/>
          <w:lang w:val="es-ES"/>
        </w:rPr>
        <w:t>et al</w:t>
      </w:r>
      <w:r w:rsidRPr="008119C5">
        <w:rPr>
          <w:lang w:val="es-ES"/>
        </w:rPr>
        <w:t xml:space="preserve">. </w:t>
      </w:r>
      <w:r w:rsidRPr="000D3F86">
        <w:t xml:space="preserve">Imbalanced lignin biosynthesis promotes the sexual reproduction of homothallic oomycete pathogens. </w:t>
      </w:r>
      <w:r w:rsidRPr="000D3F86">
        <w:rPr>
          <w:i/>
        </w:rPr>
        <w:t>PLoS Pathol.</w:t>
      </w:r>
      <w:r w:rsidRPr="000D3F86">
        <w:t xml:space="preserve"> 5, e1000264</w:t>
      </w:r>
      <w:bookmarkEnd w:id="76"/>
      <w:r w:rsidRPr="000D3F86">
        <w:t xml:space="preserve"> (2009).</w:t>
      </w:r>
      <w:bookmarkStart w:id="78" w:name="_Ref357284658"/>
      <w:bookmarkStart w:id="79" w:name="_Ref358032858"/>
      <w:bookmarkEnd w:id="77"/>
    </w:p>
    <w:p w:rsidR="00A67C10" w:rsidRPr="000D3F86" w:rsidRDefault="00A67C10" w:rsidP="00097A19">
      <w:pPr>
        <w:numPr>
          <w:ilvl w:val="0"/>
          <w:numId w:val="44"/>
        </w:numPr>
        <w:shd w:val="clear" w:color="auto" w:fill="FFFFFF"/>
        <w:autoSpaceDE w:val="0"/>
        <w:autoSpaceDN w:val="0"/>
        <w:adjustRightInd w:val="0"/>
        <w:spacing w:after="200"/>
        <w:contextualSpacing/>
        <w:textAlignment w:val="baseline"/>
        <w:rPr>
          <w:rFonts w:eastAsia="Calibri"/>
        </w:rPr>
      </w:pPr>
      <w:r w:rsidRPr="000D3F86">
        <w:rPr>
          <w:rFonts w:eastAsia="Calibri"/>
        </w:rPr>
        <w:t xml:space="preserve">Maury S, Delaunay A, Mesnard F </w:t>
      </w:r>
      <w:r w:rsidRPr="000D3F86">
        <w:rPr>
          <w:rFonts w:eastAsia="Calibri"/>
          <w:i/>
        </w:rPr>
        <w:t>et al</w:t>
      </w:r>
      <w:r w:rsidRPr="000D3F86">
        <w:rPr>
          <w:rFonts w:eastAsia="Calibri"/>
        </w:rPr>
        <w:t xml:space="preserve">. </w:t>
      </w:r>
      <w:r w:rsidRPr="000D3F86">
        <w:rPr>
          <w:rFonts w:eastAsia="Calibri"/>
          <w:i/>
          <w:iCs/>
        </w:rPr>
        <w:t>O</w:t>
      </w:r>
      <w:r w:rsidRPr="000D3F86">
        <w:rPr>
          <w:rFonts w:eastAsia="Calibri"/>
        </w:rPr>
        <w:t>-methyltransferase(s)-suppressed plants produce lower amounts of phenolic vir inducers and are less susceptible to </w:t>
      </w:r>
      <w:r w:rsidRPr="000D3F86">
        <w:rPr>
          <w:rFonts w:eastAsia="Calibri"/>
          <w:i/>
          <w:iCs/>
        </w:rPr>
        <w:t xml:space="preserve">Agrobacterium tumefaciens </w:t>
      </w:r>
      <w:r w:rsidRPr="000D3F86">
        <w:rPr>
          <w:rFonts w:eastAsia="Calibri"/>
        </w:rPr>
        <w:t xml:space="preserve">infection.  </w:t>
      </w:r>
      <w:r w:rsidRPr="000D3F86">
        <w:rPr>
          <w:rFonts w:eastAsia="Calibri"/>
          <w:i/>
          <w:iCs/>
        </w:rPr>
        <w:t xml:space="preserve">Planta </w:t>
      </w:r>
      <w:r w:rsidRPr="000D3F86">
        <w:rPr>
          <w:rFonts w:eastAsia="Calibri"/>
        </w:rPr>
        <w:t>232, 975–986</w:t>
      </w:r>
      <w:bookmarkEnd w:id="78"/>
      <w:r w:rsidRPr="000D3F86">
        <w:rPr>
          <w:rFonts w:eastAsia="Calibri"/>
        </w:rPr>
        <w:t xml:space="preserve"> (2010).</w:t>
      </w:r>
      <w:bookmarkEnd w:id="79"/>
      <w:r w:rsidRPr="000D3F86">
        <w:rPr>
          <w:rFonts w:eastAsia="Calibri"/>
        </w:rPr>
        <w:t> </w:t>
      </w:r>
    </w:p>
    <w:p w:rsidR="00A67C10" w:rsidRPr="000D3F86" w:rsidRDefault="00A67C10" w:rsidP="00097A19">
      <w:pPr>
        <w:numPr>
          <w:ilvl w:val="0"/>
          <w:numId w:val="44"/>
        </w:numPr>
        <w:autoSpaceDE w:val="0"/>
        <w:autoSpaceDN w:val="0"/>
        <w:adjustRightInd w:val="0"/>
        <w:spacing w:after="200"/>
        <w:contextualSpacing/>
        <w:rPr>
          <w:rFonts w:eastAsia="Calibri"/>
        </w:rPr>
      </w:pPr>
      <w:bookmarkStart w:id="80" w:name="_Ref357282210"/>
      <w:bookmarkStart w:id="81" w:name="_Ref358032860"/>
      <w:r w:rsidRPr="000D3F86">
        <w:rPr>
          <w:rFonts w:eastAsia="Calibri"/>
          <w:lang w:val="fr-FR"/>
        </w:rPr>
        <w:t xml:space="preserve">Sonbol FM, Fornalé S, Capellades M </w:t>
      </w:r>
      <w:r w:rsidRPr="000D3F86">
        <w:rPr>
          <w:rFonts w:eastAsia="Calibri"/>
          <w:i/>
          <w:lang w:val="fr-FR"/>
        </w:rPr>
        <w:t>et al</w:t>
      </w:r>
      <w:r w:rsidRPr="000D3F86">
        <w:rPr>
          <w:rFonts w:eastAsia="Calibri"/>
          <w:lang w:val="fr-FR"/>
        </w:rPr>
        <w:t xml:space="preserve">. </w:t>
      </w:r>
      <w:r w:rsidRPr="000D3F86">
        <w:rPr>
          <w:rFonts w:eastAsia="Calibri"/>
        </w:rPr>
        <w:t>The maize ZmMYB42 represses the phenylpropanoid pathway and affects the cell wall structure, composition and degradability in </w:t>
      </w:r>
      <w:r w:rsidRPr="000D3F86">
        <w:rPr>
          <w:rFonts w:eastAsia="Calibri"/>
          <w:i/>
          <w:iCs/>
        </w:rPr>
        <w:t>Arabidopsis thaliana</w:t>
      </w:r>
      <w:r w:rsidRPr="000D3F86">
        <w:rPr>
          <w:rFonts w:eastAsia="Calibri"/>
        </w:rPr>
        <w:t>. </w:t>
      </w:r>
      <w:r w:rsidRPr="000D3F86">
        <w:rPr>
          <w:rFonts w:eastAsia="Calibri"/>
          <w:i/>
        </w:rPr>
        <w:t>Plant Mol. Biol.</w:t>
      </w:r>
      <w:r w:rsidRPr="000D3F86">
        <w:rPr>
          <w:rFonts w:eastAsia="Calibri"/>
        </w:rPr>
        <w:t xml:space="preserve"> 70, 283–296</w:t>
      </w:r>
      <w:bookmarkEnd w:id="80"/>
      <w:r w:rsidRPr="000D3F86">
        <w:rPr>
          <w:rFonts w:eastAsia="Calibri"/>
        </w:rPr>
        <w:t> (2009).</w:t>
      </w:r>
      <w:bookmarkEnd w:id="81"/>
    </w:p>
    <w:p w:rsidR="00A67C10" w:rsidRPr="000D3F86" w:rsidRDefault="00A67C10" w:rsidP="00097A19">
      <w:pPr>
        <w:numPr>
          <w:ilvl w:val="0"/>
          <w:numId w:val="44"/>
        </w:numPr>
        <w:autoSpaceDE w:val="0"/>
        <w:autoSpaceDN w:val="0"/>
        <w:adjustRightInd w:val="0"/>
        <w:spacing w:after="200"/>
        <w:contextualSpacing/>
        <w:rPr>
          <w:rFonts w:eastAsia="Calibri"/>
          <w:bdr w:val="none" w:sz="0" w:space="0" w:color="auto" w:frame="1"/>
          <w:shd w:val="clear" w:color="auto" w:fill="FFFFFF"/>
        </w:rPr>
      </w:pPr>
      <w:bookmarkStart w:id="82" w:name="_Ref357276545"/>
      <w:bookmarkStart w:id="83" w:name="_Ref358033001"/>
      <w:r w:rsidRPr="000D3F86">
        <w:rPr>
          <w:rFonts w:eastAsia="Calibri"/>
          <w:bdr w:val="none" w:sz="0" w:space="0" w:color="auto" w:frame="1"/>
          <w:shd w:val="clear" w:color="auto" w:fill="FFFFFF"/>
          <w:lang w:val="nl-NL"/>
        </w:rPr>
        <w:t>Dauwe R</w:t>
      </w:r>
      <w:r w:rsidRPr="000D3F86">
        <w:rPr>
          <w:rFonts w:eastAsia="Calibri"/>
          <w:shd w:val="clear" w:color="auto" w:fill="FFFFFF"/>
          <w:lang w:val="nl-NL"/>
        </w:rPr>
        <w:t>, </w:t>
      </w:r>
      <w:r w:rsidRPr="000D3F86">
        <w:rPr>
          <w:rFonts w:eastAsia="Calibri"/>
          <w:bdr w:val="none" w:sz="0" w:space="0" w:color="auto" w:frame="1"/>
          <w:shd w:val="clear" w:color="auto" w:fill="FFFFFF"/>
          <w:lang w:val="nl-NL"/>
        </w:rPr>
        <w:t>Morreel K</w:t>
      </w:r>
      <w:r w:rsidRPr="000D3F86">
        <w:rPr>
          <w:rFonts w:eastAsia="Calibri"/>
          <w:shd w:val="clear" w:color="auto" w:fill="FFFFFF"/>
          <w:lang w:val="nl-NL"/>
        </w:rPr>
        <w:t>, </w:t>
      </w:r>
      <w:r w:rsidRPr="000D3F86">
        <w:rPr>
          <w:rFonts w:eastAsia="Calibri"/>
          <w:bdr w:val="none" w:sz="0" w:space="0" w:color="auto" w:frame="1"/>
          <w:shd w:val="clear" w:color="auto" w:fill="FFFFFF"/>
          <w:lang w:val="nl-NL"/>
        </w:rPr>
        <w:t>Goeminne G</w:t>
      </w:r>
      <w:r w:rsidRPr="000D3F86">
        <w:rPr>
          <w:rFonts w:eastAsia="Calibri"/>
          <w:shd w:val="clear" w:color="auto" w:fill="FFFFFF"/>
          <w:lang w:val="nl-NL"/>
        </w:rPr>
        <w:t> </w:t>
      </w:r>
      <w:r w:rsidRPr="000D3F86">
        <w:rPr>
          <w:rFonts w:eastAsia="Calibri"/>
          <w:i/>
          <w:bdr w:val="none" w:sz="0" w:space="0" w:color="auto" w:frame="1"/>
          <w:shd w:val="clear" w:color="auto" w:fill="FFFFFF"/>
          <w:lang w:val="nl-NL"/>
        </w:rPr>
        <w:t>et al</w:t>
      </w:r>
      <w:r w:rsidRPr="000D3F86">
        <w:rPr>
          <w:rFonts w:eastAsia="Calibri"/>
          <w:bdr w:val="none" w:sz="0" w:space="0" w:color="auto" w:frame="1"/>
          <w:shd w:val="clear" w:color="auto" w:fill="FFFFFF"/>
          <w:lang w:val="nl-NL"/>
        </w:rPr>
        <w:t xml:space="preserve">. </w:t>
      </w:r>
      <w:r w:rsidRPr="000D3F86">
        <w:rPr>
          <w:rFonts w:eastAsia="Calibri"/>
          <w:bdr w:val="none" w:sz="0" w:space="0" w:color="auto" w:frame="1"/>
          <w:shd w:val="clear" w:color="auto" w:fill="FFFFFF"/>
        </w:rPr>
        <w:t>Molecular phenotyping of lignin-modified tobacco reveals associated changes in cell-wall metabolism, primary metabolism, stress metabolism and photorespiration</w:t>
      </w:r>
      <w:r w:rsidRPr="000D3F86">
        <w:rPr>
          <w:rFonts w:eastAsia="Calibri"/>
          <w:shd w:val="clear" w:color="auto" w:fill="FFFFFF"/>
        </w:rPr>
        <w:t>. </w:t>
      </w:r>
      <w:r w:rsidRPr="000D3F86">
        <w:rPr>
          <w:rFonts w:eastAsia="Calibri"/>
          <w:i/>
          <w:iCs/>
          <w:bdr w:val="none" w:sz="0" w:space="0" w:color="auto" w:frame="1"/>
          <w:shd w:val="clear" w:color="auto" w:fill="FFFFFF"/>
        </w:rPr>
        <w:t>Plant J.</w:t>
      </w:r>
      <w:r w:rsidRPr="000D3F86">
        <w:rPr>
          <w:rFonts w:eastAsia="Calibri"/>
          <w:shd w:val="clear" w:color="auto" w:fill="FFFFFF"/>
        </w:rPr>
        <w:t> </w:t>
      </w:r>
      <w:r w:rsidRPr="000D3F86">
        <w:rPr>
          <w:rFonts w:eastAsia="Calibri"/>
          <w:bCs/>
          <w:bdr w:val="none" w:sz="0" w:space="0" w:color="auto" w:frame="1"/>
          <w:shd w:val="clear" w:color="auto" w:fill="FFFFFF"/>
        </w:rPr>
        <w:t>52</w:t>
      </w:r>
      <w:r w:rsidRPr="000D3F86">
        <w:rPr>
          <w:rFonts w:eastAsia="Calibri"/>
          <w:shd w:val="clear" w:color="auto" w:fill="FFFFFF"/>
        </w:rPr>
        <w:t xml:space="preserve">, </w:t>
      </w:r>
      <w:r w:rsidRPr="000D3F86">
        <w:rPr>
          <w:rFonts w:eastAsia="Calibri"/>
          <w:bdr w:val="none" w:sz="0" w:space="0" w:color="auto" w:frame="1"/>
          <w:shd w:val="clear" w:color="auto" w:fill="FFFFFF"/>
        </w:rPr>
        <w:t>263</w:t>
      </w:r>
      <w:r w:rsidRPr="000D3F86">
        <w:rPr>
          <w:rFonts w:eastAsia="Calibri"/>
          <w:shd w:val="clear" w:color="auto" w:fill="FFFFFF"/>
        </w:rPr>
        <w:t>–</w:t>
      </w:r>
      <w:r w:rsidRPr="000D3F86">
        <w:rPr>
          <w:rFonts w:eastAsia="Calibri"/>
          <w:bdr w:val="none" w:sz="0" w:space="0" w:color="auto" w:frame="1"/>
          <w:shd w:val="clear" w:color="auto" w:fill="FFFFFF"/>
        </w:rPr>
        <w:t>285</w:t>
      </w:r>
      <w:bookmarkEnd w:id="82"/>
      <w:r w:rsidRPr="000D3F86">
        <w:rPr>
          <w:rFonts w:eastAsia="Calibri"/>
          <w:bdr w:val="none" w:sz="0" w:space="0" w:color="auto" w:frame="1"/>
          <w:shd w:val="clear" w:color="auto" w:fill="FFFFFF"/>
        </w:rPr>
        <w:t xml:space="preserve"> (2007</w:t>
      </w:r>
      <w:r w:rsidRPr="000D3F86">
        <w:rPr>
          <w:rFonts w:eastAsia="Calibri"/>
          <w:shd w:val="clear" w:color="auto" w:fill="FFFFFF"/>
        </w:rPr>
        <w:t>).</w:t>
      </w:r>
      <w:bookmarkEnd w:id="83"/>
    </w:p>
    <w:p w:rsidR="00A67C10" w:rsidRPr="000D3F86" w:rsidRDefault="00A67C10" w:rsidP="00097A19">
      <w:pPr>
        <w:numPr>
          <w:ilvl w:val="0"/>
          <w:numId w:val="44"/>
        </w:numPr>
        <w:autoSpaceDE w:val="0"/>
        <w:autoSpaceDN w:val="0"/>
        <w:adjustRightInd w:val="0"/>
        <w:spacing w:after="200"/>
        <w:contextualSpacing/>
        <w:rPr>
          <w:rFonts w:eastAsia="Calibri"/>
        </w:rPr>
      </w:pPr>
      <w:bookmarkStart w:id="84" w:name="_Ref357276548"/>
      <w:bookmarkStart w:id="85" w:name="_Ref358033003"/>
      <w:r w:rsidRPr="000D3F86">
        <w:rPr>
          <w:rFonts w:eastAsia="Calibri"/>
          <w:lang w:val="nl-NL"/>
        </w:rPr>
        <w:t xml:space="preserve">Leple´ JC, Dauwe R, Morreel K </w:t>
      </w:r>
      <w:r w:rsidRPr="000D3F86">
        <w:rPr>
          <w:rFonts w:eastAsia="Calibri"/>
          <w:i/>
          <w:lang w:val="nl-NL"/>
        </w:rPr>
        <w:t>et al</w:t>
      </w:r>
      <w:r w:rsidRPr="000D3F86">
        <w:rPr>
          <w:rFonts w:eastAsia="Calibri"/>
          <w:lang w:val="nl-NL"/>
        </w:rPr>
        <w:t xml:space="preserve">. </w:t>
      </w:r>
      <w:r w:rsidRPr="000D3F86">
        <w:rPr>
          <w:rFonts w:eastAsia="Calibri"/>
        </w:rPr>
        <w:t xml:space="preserve">Downregulation of cinnamoyl-Coenzyme A reductase in poplar: multiple-level phenotyping reveals effects on cell wall polymer metabolism and structure. </w:t>
      </w:r>
      <w:r w:rsidRPr="000D3F86">
        <w:rPr>
          <w:rFonts w:eastAsia="Calibri"/>
          <w:i/>
        </w:rPr>
        <w:t>Plant Cell</w:t>
      </w:r>
      <w:r w:rsidRPr="000D3F86">
        <w:rPr>
          <w:rFonts w:eastAsia="Calibri"/>
        </w:rPr>
        <w:t xml:space="preserve"> 19, 3669–3691</w:t>
      </w:r>
      <w:bookmarkEnd w:id="84"/>
      <w:r w:rsidRPr="000D3F86">
        <w:rPr>
          <w:rFonts w:eastAsia="Calibri"/>
        </w:rPr>
        <w:t xml:space="preserve"> (2007).</w:t>
      </w:r>
      <w:bookmarkEnd w:id="85"/>
    </w:p>
    <w:p w:rsidR="00A67C10" w:rsidRPr="000D3F86" w:rsidRDefault="00A67C10" w:rsidP="00097A19">
      <w:pPr>
        <w:numPr>
          <w:ilvl w:val="0"/>
          <w:numId w:val="44"/>
        </w:numPr>
        <w:autoSpaceDE w:val="0"/>
        <w:autoSpaceDN w:val="0"/>
        <w:adjustRightInd w:val="0"/>
        <w:spacing w:after="200"/>
        <w:contextualSpacing/>
        <w:rPr>
          <w:rFonts w:eastAsia="Calibri"/>
        </w:rPr>
      </w:pPr>
      <w:bookmarkStart w:id="86" w:name="_Ref363638378"/>
      <w:r w:rsidRPr="000D3F86">
        <w:rPr>
          <w:rFonts w:eastAsia="Calibri"/>
        </w:rPr>
        <w:t>Propheter JL, Staggenborg SA, Wu X, Wang D. Performance of annual and perennial biofuel crops: yield during the first two years. </w:t>
      </w:r>
      <w:r w:rsidRPr="000D3F86">
        <w:rPr>
          <w:rFonts w:eastAsia="Calibri"/>
          <w:i/>
          <w:iCs/>
        </w:rPr>
        <w:t>Agron. J.</w:t>
      </w:r>
      <w:r w:rsidRPr="000D3F86">
        <w:rPr>
          <w:rFonts w:eastAsia="Calibri"/>
        </w:rPr>
        <w:t>, </w:t>
      </w:r>
      <w:r w:rsidRPr="000D3F86">
        <w:rPr>
          <w:rFonts w:eastAsia="Calibri"/>
          <w:iCs/>
        </w:rPr>
        <w:t>102</w:t>
      </w:r>
      <w:r w:rsidRPr="000D3F86">
        <w:rPr>
          <w:rFonts w:eastAsia="Calibri"/>
        </w:rPr>
        <w:t>(2), 806-814 (2010).</w:t>
      </w:r>
      <w:bookmarkEnd w:id="86"/>
    </w:p>
    <w:p w:rsidR="00A67C10" w:rsidRPr="000D3F86" w:rsidRDefault="00A67C10" w:rsidP="00097A19">
      <w:pPr>
        <w:numPr>
          <w:ilvl w:val="0"/>
          <w:numId w:val="44"/>
        </w:numPr>
        <w:autoSpaceDE w:val="0"/>
        <w:autoSpaceDN w:val="0"/>
        <w:adjustRightInd w:val="0"/>
        <w:spacing w:after="200"/>
        <w:contextualSpacing/>
        <w:rPr>
          <w:rFonts w:eastAsia="Calibri"/>
        </w:rPr>
      </w:pPr>
      <w:bookmarkStart w:id="87" w:name="_Ref364421841"/>
      <w:r w:rsidRPr="000D3F86">
        <w:rPr>
          <w:rFonts w:eastAsia="Calibri"/>
        </w:rPr>
        <w:t xml:space="preserve">Davis SC, Boddey RM, Alves BJR </w:t>
      </w:r>
      <w:r w:rsidRPr="000D3F86">
        <w:rPr>
          <w:rFonts w:eastAsia="Calibri"/>
          <w:i/>
        </w:rPr>
        <w:t>et al</w:t>
      </w:r>
      <w:r w:rsidRPr="000D3F86">
        <w:rPr>
          <w:rFonts w:eastAsia="Calibri"/>
        </w:rPr>
        <w:t xml:space="preserve">. Management swing potential for bioenergy crops. </w:t>
      </w:r>
      <w:r w:rsidRPr="000D3F86">
        <w:rPr>
          <w:rFonts w:eastAsia="Calibri"/>
          <w:i/>
        </w:rPr>
        <w:t>GCB Bioenergy</w:t>
      </w:r>
      <w:r w:rsidRPr="000D3F86">
        <w:rPr>
          <w:rFonts w:eastAsia="Calibri"/>
        </w:rPr>
        <w:t xml:space="preserve"> doi: 10.1111/gcbb.12042 (2013).</w:t>
      </w:r>
      <w:bookmarkEnd w:id="87"/>
      <w:r w:rsidRPr="000D3F86">
        <w:rPr>
          <w:rFonts w:eastAsia="Calibri"/>
        </w:rPr>
        <w:t xml:space="preserve"> </w:t>
      </w:r>
    </w:p>
    <w:p w:rsidR="00A67C10" w:rsidRPr="000D3F86" w:rsidRDefault="00A67C10" w:rsidP="00097A19">
      <w:pPr>
        <w:numPr>
          <w:ilvl w:val="0"/>
          <w:numId w:val="44"/>
        </w:numPr>
        <w:autoSpaceDE w:val="0"/>
        <w:autoSpaceDN w:val="0"/>
        <w:adjustRightInd w:val="0"/>
        <w:spacing w:after="200"/>
        <w:contextualSpacing/>
        <w:rPr>
          <w:rFonts w:eastAsia="Calibri"/>
        </w:rPr>
      </w:pPr>
      <w:bookmarkStart w:id="88" w:name="_Ref363985363"/>
      <w:r w:rsidRPr="000D3F86">
        <w:rPr>
          <w:rFonts w:eastAsia="Calibri"/>
        </w:rPr>
        <w:t>Byrt CS, Grof CP, Furbank RT. C4 plants as biofuel feedstocks: optimising biomass production and feedstock quality from a lignocellulosic perspective. </w:t>
      </w:r>
      <w:r w:rsidRPr="000D3F86">
        <w:rPr>
          <w:rFonts w:eastAsia="Calibri"/>
          <w:i/>
          <w:iCs/>
        </w:rPr>
        <w:t>J. Integr. Plant Biol</w:t>
      </w:r>
      <w:r w:rsidRPr="000D3F86">
        <w:rPr>
          <w:rFonts w:eastAsia="Calibri"/>
        </w:rPr>
        <w:t xml:space="preserve">. </w:t>
      </w:r>
      <w:r w:rsidRPr="000D3F86">
        <w:rPr>
          <w:rFonts w:eastAsia="Calibri"/>
          <w:iCs/>
        </w:rPr>
        <w:t>53</w:t>
      </w:r>
      <w:r w:rsidRPr="000D3F86">
        <w:rPr>
          <w:rFonts w:eastAsia="Calibri"/>
        </w:rPr>
        <w:t>(2), 120-135 (2011).</w:t>
      </w:r>
      <w:bookmarkEnd w:id="88"/>
    </w:p>
    <w:p w:rsidR="00A67C10" w:rsidRPr="000D3F86" w:rsidRDefault="00A67C10" w:rsidP="00097A19">
      <w:pPr>
        <w:numPr>
          <w:ilvl w:val="0"/>
          <w:numId w:val="44"/>
        </w:numPr>
        <w:autoSpaceDE w:val="0"/>
        <w:autoSpaceDN w:val="0"/>
        <w:adjustRightInd w:val="0"/>
        <w:spacing w:after="200"/>
        <w:contextualSpacing/>
        <w:rPr>
          <w:rFonts w:eastAsia="Calibri"/>
        </w:rPr>
      </w:pPr>
      <w:bookmarkStart w:id="89" w:name="_Ref357266231"/>
      <w:r w:rsidRPr="000D3F86">
        <w:rPr>
          <w:rFonts w:eastAsia="Calibri"/>
        </w:rPr>
        <w:t xml:space="preserve">Vogt T. Phenylpropanoid biosynthesis. </w:t>
      </w:r>
      <w:r w:rsidRPr="000D3F86">
        <w:rPr>
          <w:rFonts w:eastAsia="Calibri"/>
          <w:i/>
        </w:rPr>
        <w:t>Mol. Plant</w:t>
      </w:r>
      <w:r w:rsidRPr="000D3F86">
        <w:rPr>
          <w:rFonts w:eastAsia="Calibri"/>
        </w:rPr>
        <w:t xml:space="preserve"> 3, 2-20</w:t>
      </w:r>
      <w:bookmarkEnd w:id="89"/>
      <w:r w:rsidRPr="000D3F86">
        <w:rPr>
          <w:rFonts w:eastAsia="Calibri"/>
        </w:rPr>
        <w:t xml:space="preserve"> (2010).</w:t>
      </w:r>
    </w:p>
    <w:p w:rsidR="00A67C10" w:rsidRPr="000D3F86" w:rsidRDefault="00A67C10" w:rsidP="00097A19">
      <w:pPr>
        <w:numPr>
          <w:ilvl w:val="0"/>
          <w:numId w:val="44"/>
        </w:numPr>
        <w:spacing w:after="200"/>
        <w:rPr>
          <w:rFonts w:eastAsia="Calibri"/>
          <w:noProof/>
        </w:rPr>
      </w:pPr>
      <w:bookmarkStart w:id="90" w:name="_Ref357265375"/>
      <w:r w:rsidRPr="000D3F86">
        <w:rPr>
          <w:rFonts w:eastAsia="Calibri"/>
          <w:noProof/>
        </w:rPr>
        <w:t xml:space="preserve">Dixon RA, Achnine L, Kota P, Liu C-J, Reddy MSS, Wang L. The phenylpropanoid pathway and plant defences - a genomics perspective. </w:t>
      </w:r>
      <w:r w:rsidRPr="000D3F86">
        <w:rPr>
          <w:rFonts w:eastAsia="Calibri"/>
          <w:i/>
          <w:noProof/>
        </w:rPr>
        <w:t>Mol. Plant</w:t>
      </w:r>
      <w:r w:rsidRPr="000D3F86">
        <w:rPr>
          <w:rFonts w:eastAsia="Calibri"/>
          <w:noProof/>
        </w:rPr>
        <w:t xml:space="preserve">  3(5), 371-</w:t>
      </w:r>
      <w:bookmarkEnd w:id="90"/>
      <w:r w:rsidRPr="000D3F86">
        <w:rPr>
          <w:rFonts w:eastAsia="Calibri"/>
          <w:noProof/>
        </w:rPr>
        <w:t>390 (2002).</w:t>
      </w:r>
    </w:p>
    <w:p w:rsidR="00A67C10" w:rsidRPr="000D3F86" w:rsidRDefault="00A67C10" w:rsidP="00097A19">
      <w:pPr>
        <w:numPr>
          <w:ilvl w:val="0"/>
          <w:numId w:val="44"/>
        </w:numPr>
        <w:autoSpaceDE w:val="0"/>
        <w:autoSpaceDN w:val="0"/>
        <w:adjustRightInd w:val="0"/>
        <w:spacing w:after="200"/>
        <w:contextualSpacing/>
        <w:rPr>
          <w:rFonts w:eastAsia="Calibri"/>
        </w:rPr>
      </w:pPr>
      <w:bookmarkStart w:id="91" w:name="_Ref357266905"/>
      <w:r w:rsidRPr="000D3F86">
        <w:rPr>
          <w:rFonts w:eastAsia="Calibri"/>
          <w:lang w:val="de-DE"/>
        </w:rPr>
        <w:t xml:space="preserve">Ferrer JL, Austin MB, Stewart C Jr, Noel JP. </w:t>
      </w:r>
      <w:r w:rsidRPr="000D3F86">
        <w:rPr>
          <w:rFonts w:eastAsia="Calibri"/>
        </w:rPr>
        <w:t xml:space="preserve">Structure and function of enzymes involved in the biosynthesis of phenylpropanoids. </w:t>
      </w:r>
      <w:r w:rsidRPr="000D3F86">
        <w:rPr>
          <w:rFonts w:eastAsia="Calibri"/>
          <w:i/>
        </w:rPr>
        <w:t>Plant Physiol. Biochem</w:t>
      </w:r>
      <w:r w:rsidRPr="000D3F86">
        <w:rPr>
          <w:rFonts w:eastAsia="Calibri"/>
        </w:rPr>
        <w:t>. 46, 356-370</w:t>
      </w:r>
      <w:bookmarkEnd w:id="91"/>
      <w:r w:rsidRPr="000D3F86">
        <w:rPr>
          <w:rFonts w:eastAsia="Calibri"/>
        </w:rPr>
        <w:t xml:space="preserve"> (2008).</w:t>
      </w:r>
    </w:p>
    <w:p w:rsidR="00A67C10" w:rsidRPr="000D3F86" w:rsidRDefault="00A67C10" w:rsidP="00097A19">
      <w:pPr>
        <w:numPr>
          <w:ilvl w:val="0"/>
          <w:numId w:val="44"/>
        </w:numPr>
        <w:autoSpaceDE w:val="0"/>
        <w:autoSpaceDN w:val="0"/>
        <w:adjustRightInd w:val="0"/>
        <w:spacing w:after="200"/>
        <w:contextualSpacing/>
        <w:rPr>
          <w:rFonts w:eastAsia="Calibri"/>
        </w:rPr>
      </w:pPr>
      <w:bookmarkStart w:id="92" w:name="_Ref357267007"/>
      <w:r w:rsidRPr="000D3F86">
        <w:rPr>
          <w:rFonts w:eastAsia="Calibri"/>
        </w:rPr>
        <w:lastRenderedPageBreak/>
        <w:t>Weisshaar B, Jenkins GI. Phenylpropanoid biosynthesis and its regulation. </w:t>
      </w:r>
      <w:r w:rsidRPr="000D3F86">
        <w:rPr>
          <w:rFonts w:eastAsia="Calibri"/>
          <w:i/>
          <w:iCs/>
        </w:rPr>
        <w:t>Curr. Opin. Plant Biol</w:t>
      </w:r>
      <w:r w:rsidRPr="000D3F86">
        <w:rPr>
          <w:rFonts w:eastAsia="Calibri"/>
        </w:rPr>
        <w:t>. </w:t>
      </w:r>
      <w:r w:rsidRPr="000D3F86">
        <w:rPr>
          <w:rFonts w:eastAsia="Calibri"/>
          <w:bCs/>
        </w:rPr>
        <w:t>1</w:t>
      </w:r>
      <w:r w:rsidRPr="000D3F86">
        <w:rPr>
          <w:rFonts w:eastAsia="Calibri"/>
        </w:rPr>
        <w:t>, 251–257</w:t>
      </w:r>
      <w:bookmarkEnd w:id="92"/>
      <w:r w:rsidRPr="000D3F86">
        <w:rPr>
          <w:rFonts w:eastAsia="Calibri"/>
        </w:rPr>
        <w:t xml:space="preserve"> (1998).</w:t>
      </w:r>
    </w:p>
    <w:p w:rsidR="00A67C10" w:rsidRPr="000D3F86" w:rsidRDefault="00A67C10" w:rsidP="00097A19">
      <w:pPr>
        <w:numPr>
          <w:ilvl w:val="0"/>
          <w:numId w:val="44"/>
        </w:numPr>
        <w:autoSpaceDE w:val="0"/>
        <w:autoSpaceDN w:val="0"/>
        <w:adjustRightInd w:val="0"/>
        <w:spacing w:after="200"/>
        <w:contextualSpacing/>
        <w:rPr>
          <w:rFonts w:eastAsia="Calibri"/>
        </w:rPr>
      </w:pPr>
      <w:bookmarkStart w:id="93" w:name="_Ref357267016"/>
      <w:r w:rsidRPr="000D3F86">
        <w:rPr>
          <w:rFonts w:eastAsia="Calibri"/>
        </w:rPr>
        <w:t>Vom Endt DV, Kijne JW, Memelink J. Transcription factors controlling plant secondary metabolism: what regulates the regulators? </w:t>
      </w:r>
      <w:r w:rsidRPr="000D3F86">
        <w:rPr>
          <w:rFonts w:eastAsia="Calibri"/>
          <w:i/>
          <w:iCs/>
        </w:rPr>
        <w:t>Phytochem</w:t>
      </w:r>
      <w:r w:rsidRPr="000D3F86">
        <w:rPr>
          <w:rFonts w:eastAsia="Calibri"/>
        </w:rPr>
        <w:t xml:space="preserve">. </w:t>
      </w:r>
      <w:r w:rsidRPr="000D3F86">
        <w:rPr>
          <w:rFonts w:eastAsia="Calibri"/>
          <w:bCs/>
        </w:rPr>
        <w:t>61</w:t>
      </w:r>
      <w:r w:rsidRPr="000D3F86">
        <w:rPr>
          <w:rFonts w:eastAsia="Calibri"/>
        </w:rPr>
        <w:t>, 107–114</w:t>
      </w:r>
      <w:bookmarkEnd w:id="93"/>
      <w:r w:rsidRPr="000D3F86">
        <w:rPr>
          <w:rFonts w:eastAsia="Calibri"/>
        </w:rPr>
        <w:t xml:space="preserve"> (2002). </w:t>
      </w:r>
    </w:p>
    <w:p w:rsidR="00A67C10" w:rsidRPr="000D3F86" w:rsidRDefault="00A67C10" w:rsidP="00097A19">
      <w:pPr>
        <w:numPr>
          <w:ilvl w:val="0"/>
          <w:numId w:val="44"/>
        </w:numPr>
        <w:autoSpaceDE w:val="0"/>
        <w:autoSpaceDN w:val="0"/>
        <w:adjustRightInd w:val="0"/>
        <w:spacing w:after="200"/>
        <w:contextualSpacing/>
        <w:rPr>
          <w:rFonts w:eastAsia="Calibri"/>
          <w:noProof/>
        </w:rPr>
      </w:pPr>
      <w:bookmarkStart w:id="94" w:name="_Ref357267136"/>
      <w:r w:rsidRPr="000D3F86">
        <w:rPr>
          <w:rFonts w:eastAsia="Calibri"/>
        </w:rPr>
        <w:t xml:space="preserve">Boerjan W, Ralph J, Baucher M. Lignin biosynthesis. </w:t>
      </w:r>
      <w:r w:rsidRPr="000D3F86">
        <w:rPr>
          <w:rFonts w:eastAsia="Calibri"/>
          <w:i/>
        </w:rPr>
        <w:t>Ann. Rev. Plant Biol.</w:t>
      </w:r>
      <w:r w:rsidRPr="000D3F86">
        <w:rPr>
          <w:rFonts w:eastAsia="Calibri"/>
        </w:rPr>
        <w:t xml:space="preserve"> 54, 519–549</w:t>
      </w:r>
      <w:bookmarkEnd w:id="94"/>
      <w:r w:rsidRPr="000D3F86">
        <w:rPr>
          <w:rFonts w:eastAsia="Calibri"/>
        </w:rPr>
        <w:t xml:space="preserve"> (2003).</w:t>
      </w:r>
    </w:p>
    <w:p w:rsidR="00A67C10" w:rsidRPr="000D3F86" w:rsidRDefault="00A67C10" w:rsidP="00097A19">
      <w:pPr>
        <w:numPr>
          <w:ilvl w:val="0"/>
          <w:numId w:val="44"/>
        </w:numPr>
        <w:autoSpaceDE w:val="0"/>
        <w:autoSpaceDN w:val="0"/>
        <w:adjustRightInd w:val="0"/>
        <w:spacing w:after="200"/>
        <w:contextualSpacing/>
        <w:rPr>
          <w:rFonts w:eastAsia="Calibri"/>
          <w:noProof/>
        </w:rPr>
      </w:pPr>
      <w:bookmarkStart w:id="95" w:name="_Ref358474622"/>
      <w:r w:rsidRPr="000D3F86">
        <w:rPr>
          <w:rFonts w:eastAsia="Calibri"/>
          <w:noProof/>
        </w:rPr>
        <w:t xml:space="preserve">Chen F, Tobimatsu Y, Havkin-Frenkel D, Dixon RA, Ralph  J. A polymer of caffeyl alcohol in plant seeds. </w:t>
      </w:r>
      <w:r w:rsidRPr="000D3F86">
        <w:rPr>
          <w:rFonts w:eastAsia="Calibri"/>
          <w:i/>
          <w:noProof/>
        </w:rPr>
        <w:t>Proc. Natl Acad. Sci. USA</w:t>
      </w:r>
      <w:r w:rsidRPr="000D3F86">
        <w:rPr>
          <w:rFonts w:eastAsia="Calibri"/>
          <w:noProof/>
        </w:rPr>
        <w:t xml:space="preserve"> 109, 1772–1777 (2012).</w:t>
      </w:r>
      <w:bookmarkEnd w:id="95"/>
    </w:p>
    <w:p w:rsidR="00A67C10" w:rsidRPr="000D3F86" w:rsidRDefault="00A67C10" w:rsidP="00097A19">
      <w:pPr>
        <w:numPr>
          <w:ilvl w:val="0"/>
          <w:numId w:val="44"/>
        </w:numPr>
        <w:autoSpaceDE w:val="0"/>
        <w:autoSpaceDN w:val="0"/>
        <w:adjustRightInd w:val="0"/>
        <w:spacing w:after="200"/>
        <w:contextualSpacing/>
        <w:rPr>
          <w:rFonts w:eastAsia="Calibri"/>
          <w:color w:val="000000"/>
          <w:shd w:val="clear" w:color="auto" w:fill="FFFFFF"/>
        </w:rPr>
      </w:pPr>
      <w:bookmarkStart w:id="96" w:name="_Ref357267268"/>
      <w:r w:rsidRPr="000D3F86">
        <w:rPr>
          <w:rFonts w:eastAsia="Calibri"/>
          <w:color w:val="000000"/>
          <w:shd w:val="clear" w:color="auto" w:fill="FFFFFF"/>
          <w:lang w:val="it-IT"/>
        </w:rPr>
        <w:t xml:space="preserve">Osakabe K, Tsao CC, Li L </w:t>
      </w:r>
      <w:r w:rsidRPr="000D3F86">
        <w:rPr>
          <w:rFonts w:eastAsia="Calibri"/>
          <w:i/>
          <w:color w:val="000000"/>
          <w:shd w:val="clear" w:color="auto" w:fill="FFFFFF"/>
          <w:lang w:val="it-IT"/>
        </w:rPr>
        <w:t>et al</w:t>
      </w:r>
      <w:r w:rsidRPr="000D3F86">
        <w:rPr>
          <w:rFonts w:eastAsia="Calibri"/>
          <w:color w:val="000000"/>
          <w:shd w:val="clear" w:color="auto" w:fill="FFFFFF"/>
          <w:lang w:val="it-IT"/>
        </w:rPr>
        <w:t xml:space="preserve">. </w:t>
      </w:r>
      <w:r w:rsidRPr="000D3F86">
        <w:rPr>
          <w:rFonts w:eastAsia="Calibri"/>
          <w:color w:val="000000"/>
          <w:shd w:val="clear" w:color="auto" w:fill="FFFFFF"/>
        </w:rPr>
        <w:t>Coniferyl aldehyde 5-hydroxylation and methylation direct syringyl lignin biosynthesis in angiosperms. </w:t>
      </w:r>
      <w:r w:rsidRPr="000D3F86">
        <w:rPr>
          <w:rFonts w:eastAsia="Calibri"/>
          <w:i/>
          <w:color w:val="000000"/>
          <w:bdr w:val="none" w:sz="0" w:space="0" w:color="auto" w:frame="1"/>
          <w:shd w:val="clear" w:color="auto" w:fill="FFFFFF"/>
        </w:rPr>
        <w:t xml:space="preserve">Proc. Natl Acad. Sci. USA </w:t>
      </w:r>
      <w:r w:rsidRPr="000D3F86">
        <w:rPr>
          <w:rFonts w:eastAsia="Calibri"/>
          <w:color w:val="000000"/>
          <w:bdr w:val="none" w:sz="0" w:space="0" w:color="auto" w:frame="1"/>
          <w:shd w:val="clear" w:color="auto" w:fill="FFFFFF"/>
        </w:rPr>
        <w:t>96</w:t>
      </w:r>
      <w:r w:rsidRPr="000D3F86">
        <w:rPr>
          <w:rFonts w:eastAsia="Calibri"/>
          <w:color w:val="000000"/>
          <w:shd w:val="clear" w:color="auto" w:fill="FFFFFF"/>
        </w:rPr>
        <w:t xml:space="preserve">, </w:t>
      </w:r>
      <w:r w:rsidRPr="000D3F86">
        <w:rPr>
          <w:rFonts w:eastAsia="Calibri"/>
          <w:color w:val="000000"/>
          <w:bdr w:val="none" w:sz="0" w:space="0" w:color="auto" w:frame="1"/>
          <w:shd w:val="clear" w:color="auto" w:fill="FFFFFF"/>
        </w:rPr>
        <w:t>8955</w:t>
      </w:r>
      <w:r w:rsidRPr="000D3F86">
        <w:rPr>
          <w:rFonts w:eastAsia="Calibri"/>
          <w:color w:val="000000"/>
          <w:shd w:val="clear" w:color="auto" w:fill="FFFFFF"/>
        </w:rPr>
        <w:t>–8960</w:t>
      </w:r>
      <w:bookmarkEnd w:id="96"/>
      <w:r w:rsidRPr="000D3F86">
        <w:rPr>
          <w:rFonts w:eastAsia="Calibri"/>
          <w:color w:val="000000"/>
          <w:shd w:val="clear" w:color="auto" w:fill="FFFFFF"/>
        </w:rPr>
        <w:t xml:space="preserve"> (</w:t>
      </w:r>
      <w:r w:rsidRPr="000D3F86">
        <w:rPr>
          <w:rFonts w:eastAsia="Calibri"/>
          <w:color w:val="000000"/>
          <w:bdr w:val="none" w:sz="0" w:space="0" w:color="auto" w:frame="1"/>
          <w:shd w:val="clear" w:color="auto" w:fill="FFFFFF"/>
        </w:rPr>
        <w:t>1999</w:t>
      </w:r>
      <w:r w:rsidRPr="000D3F86">
        <w:rPr>
          <w:rFonts w:eastAsia="Calibri"/>
          <w:color w:val="000000"/>
          <w:shd w:val="clear" w:color="auto" w:fill="FFFFFF"/>
        </w:rPr>
        <w:t>).</w:t>
      </w:r>
    </w:p>
    <w:p w:rsidR="00A67C10" w:rsidRPr="000D3F86" w:rsidRDefault="00A67C10" w:rsidP="00097A19">
      <w:pPr>
        <w:numPr>
          <w:ilvl w:val="0"/>
          <w:numId w:val="44"/>
        </w:numPr>
        <w:autoSpaceDE w:val="0"/>
        <w:autoSpaceDN w:val="0"/>
        <w:adjustRightInd w:val="0"/>
        <w:spacing w:after="200"/>
        <w:contextualSpacing/>
        <w:rPr>
          <w:rFonts w:eastAsia="Calibri"/>
          <w:color w:val="000000"/>
          <w:shd w:val="clear" w:color="auto" w:fill="FFFFFF"/>
        </w:rPr>
      </w:pPr>
      <w:bookmarkStart w:id="97" w:name="_Ref357267275"/>
      <w:r w:rsidRPr="000D3F86">
        <w:rPr>
          <w:rFonts w:eastAsia="Calibri"/>
          <w:color w:val="000000"/>
          <w:shd w:val="clear" w:color="auto" w:fill="FFFFFF"/>
        </w:rPr>
        <w:t>Li L, Popko JL, Umezawa T, ChiangVL. 5-hydroxyconiferyl aldehyde modulates enzymatic methylation for syringyl monolignol formation: a new view of monolignol biosynthesis in angiosperms. </w:t>
      </w:r>
      <w:r w:rsidRPr="000D3F86">
        <w:rPr>
          <w:rFonts w:eastAsia="Calibri"/>
          <w:i/>
          <w:color w:val="000000"/>
          <w:shd w:val="clear" w:color="auto" w:fill="FFFFFF"/>
        </w:rPr>
        <w:t>J. Biol. Chem</w:t>
      </w:r>
      <w:r w:rsidRPr="000D3F86">
        <w:rPr>
          <w:rFonts w:eastAsia="Calibri"/>
          <w:color w:val="000000"/>
          <w:shd w:val="clear" w:color="auto" w:fill="FFFFFF"/>
        </w:rPr>
        <w:t>. 275, 6537–6545</w:t>
      </w:r>
      <w:bookmarkEnd w:id="97"/>
      <w:r w:rsidRPr="000D3F86">
        <w:rPr>
          <w:rFonts w:eastAsia="Calibri"/>
          <w:color w:val="000000"/>
          <w:shd w:val="clear" w:color="auto" w:fill="FFFFFF"/>
        </w:rPr>
        <w:t xml:space="preserve"> (2000).</w:t>
      </w:r>
    </w:p>
    <w:p w:rsidR="00A67C10" w:rsidRPr="000D3F86" w:rsidRDefault="00A67C10" w:rsidP="00097A19">
      <w:pPr>
        <w:numPr>
          <w:ilvl w:val="0"/>
          <w:numId w:val="44"/>
        </w:numPr>
        <w:autoSpaceDE w:val="0"/>
        <w:autoSpaceDN w:val="0"/>
        <w:adjustRightInd w:val="0"/>
        <w:spacing w:after="200"/>
        <w:contextualSpacing/>
        <w:rPr>
          <w:rFonts w:eastAsia="Calibri"/>
          <w:color w:val="000000"/>
          <w:shd w:val="clear" w:color="auto" w:fill="FFFFFF"/>
        </w:rPr>
      </w:pPr>
      <w:bookmarkStart w:id="98" w:name="_Ref357267283"/>
      <w:r w:rsidRPr="000D3F86">
        <w:rPr>
          <w:rFonts w:eastAsia="Calibri"/>
          <w:color w:val="000000"/>
          <w:shd w:val="clear" w:color="auto" w:fill="FFFFFF"/>
        </w:rPr>
        <w:t xml:space="preserve">Li L, Popko JL, Zhang XH </w:t>
      </w:r>
      <w:r w:rsidRPr="000D3F86">
        <w:rPr>
          <w:rFonts w:eastAsia="Calibri"/>
          <w:i/>
          <w:color w:val="000000"/>
          <w:shd w:val="clear" w:color="auto" w:fill="FFFFFF"/>
        </w:rPr>
        <w:t>et al</w:t>
      </w:r>
      <w:r w:rsidRPr="000D3F86">
        <w:rPr>
          <w:rFonts w:eastAsia="Calibri"/>
          <w:color w:val="000000"/>
          <w:shd w:val="clear" w:color="auto" w:fill="FFFFFF"/>
        </w:rPr>
        <w:t>. A novel multifunctional </w:t>
      </w:r>
      <w:r w:rsidRPr="000D3F86">
        <w:rPr>
          <w:rFonts w:eastAsia="Calibri"/>
          <w:i/>
          <w:iCs/>
          <w:color w:val="000000"/>
          <w:shd w:val="clear" w:color="auto" w:fill="FFFFFF"/>
        </w:rPr>
        <w:t>O</w:t>
      </w:r>
      <w:r w:rsidRPr="000D3F86">
        <w:rPr>
          <w:rFonts w:eastAsia="Calibri"/>
          <w:color w:val="000000"/>
          <w:shd w:val="clear" w:color="auto" w:fill="FFFFFF"/>
        </w:rPr>
        <w:t>-methyltransferase implicated in a dual methylation pathway associated with lignin biosynthesis in loblolly pine. </w:t>
      </w:r>
      <w:r w:rsidRPr="000D3F86">
        <w:rPr>
          <w:rFonts w:eastAsia="Calibri"/>
          <w:i/>
          <w:color w:val="000000"/>
          <w:shd w:val="clear" w:color="auto" w:fill="FFFFFF"/>
        </w:rPr>
        <w:t xml:space="preserve">Proc. Natl Acad. Sci. USA </w:t>
      </w:r>
      <w:r w:rsidRPr="000D3F86">
        <w:rPr>
          <w:rFonts w:eastAsia="Calibri"/>
          <w:color w:val="000000"/>
          <w:shd w:val="clear" w:color="auto" w:fill="FFFFFF"/>
        </w:rPr>
        <w:t>94, 5431–5466</w:t>
      </w:r>
      <w:bookmarkEnd w:id="98"/>
      <w:r w:rsidRPr="000D3F86">
        <w:rPr>
          <w:rFonts w:eastAsia="Calibri"/>
          <w:color w:val="000000"/>
          <w:shd w:val="clear" w:color="auto" w:fill="FFFFFF"/>
        </w:rPr>
        <w:t xml:space="preserve"> (1997).</w:t>
      </w:r>
    </w:p>
    <w:p w:rsidR="00A67C10" w:rsidRPr="000D3F86" w:rsidRDefault="00A67C10" w:rsidP="00097A19">
      <w:pPr>
        <w:numPr>
          <w:ilvl w:val="0"/>
          <w:numId w:val="44"/>
        </w:numPr>
        <w:autoSpaceDE w:val="0"/>
        <w:autoSpaceDN w:val="0"/>
        <w:adjustRightInd w:val="0"/>
        <w:spacing w:after="200"/>
        <w:contextualSpacing/>
        <w:rPr>
          <w:rFonts w:eastAsia="Calibri"/>
        </w:rPr>
      </w:pPr>
      <w:bookmarkStart w:id="99" w:name="_Ref357267357"/>
      <w:proofErr w:type="gramStart"/>
      <w:r w:rsidRPr="000D3F86">
        <w:rPr>
          <w:rFonts w:eastAsia="Calibri"/>
          <w:color w:val="000000"/>
          <w:shd w:val="clear" w:color="auto" w:fill="FFFFFF"/>
        </w:rPr>
        <w:t>Li  L</w:t>
      </w:r>
      <w:proofErr w:type="gramEnd"/>
      <w:r w:rsidRPr="000D3F86">
        <w:rPr>
          <w:rFonts w:eastAsia="Calibri"/>
          <w:color w:val="000000"/>
          <w:shd w:val="clear" w:color="auto" w:fill="FFFFFF"/>
        </w:rPr>
        <w:t>, Cheng</w:t>
      </w:r>
      <w:r w:rsidRPr="000D3F86">
        <w:rPr>
          <w:rFonts w:eastAsia="Calibri"/>
          <w:shd w:val="clear" w:color="auto" w:fill="FFFFFF"/>
        </w:rPr>
        <w:t xml:space="preserve"> X, Lu S, Nakatsubo T, Umezawa T, Chiang VL. Clarification of cinnamoyl co-enzyme </w:t>
      </w:r>
      <w:proofErr w:type="gramStart"/>
      <w:r w:rsidRPr="000D3F86">
        <w:rPr>
          <w:rFonts w:eastAsia="Calibri"/>
          <w:shd w:val="clear" w:color="auto" w:fill="FFFFFF"/>
        </w:rPr>
        <w:t>A</w:t>
      </w:r>
      <w:proofErr w:type="gramEnd"/>
      <w:r w:rsidRPr="000D3F86">
        <w:rPr>
          <w:rFonts w:eastAsia="Calibri"/>
          <w:shd w:val="clear" w:color="auto" w:fill="FFFFFF"/>
        </w:rPr>
        <w:t xml:space="preserve"> reductase catalysis in monolignol biosynthesis of aspen. </w:t>
      </w:r>
      <w:r w:rsidRPr="000D3F86">
        <w:rPr>
          <w:rFonts w:eastAsia="Calibri"/>
          <w:i/>
          <w:shd w:val="clear" w:color="auto" w:fill="FFFFFF"/>
        </w:rPr>
        <w:t>Plant Cell Physiol</w:t>
      </w:r>
      <w:r w:rsidRPr="000D3F86">
        <w:rPr>
          <w:rFonts w:eastAsia="Calibri"/>
          <w:shd w:val="clear" w:color="auto" w:fill="FFFFFF"/>
        </w:rPr>
        <w:t>. 46, 1073–1082</w:t>
      </w:r>
      <w:bookmarkEnd w:id="99"/>
      <w:r w:rsidRPr="000D3F86">
        <w:rPr>
          <w:rFonts w:eastAsia="Calibri"/>
          <w:shd w:val="clear" w:color="auto" w:fill="FFFFFF"/>
        </w:rPr>
        <w:t xml:space="preserve"> (2005).</w:t>
      </w:r>
    </w:p>
    <w:p w:rsidR="00A67C10" w:rsidRPr="000D3F86" w:rsidRDefault="00A67C10" w:rsidP="00097A19">
      <w:pPr>
        <w:numPr>
          <w:ilvl w:val="0"/>
          <w:numId w:val="44"/>
        </w:numPr>
        <w:autoSpaceDE w:val="0"/>
        <w:autoSpaceDN w:val="0"/>
        <w:adjustRightInd w:val="0"/>
        <w:spacing w:after="200"/>
        <w:contextualSpacing/>
        <w:rPr>
          <w:rFonts w:eastAsia="Calibri"/>
        </w:rPr>
      </w:pPr>
      <w:bookmarkStart w:id="100" w:name="_Ref357267760"/>
      <w:r w:rsidRPr="000D3F86">
        <w:rPr>
          <w:rFonts w:eastAsia="Calibri"/>
        </w:rPr>
        <w:t>Simmons BA, Loqué D, Ralph J. Advances in modifying lignin for enhanced biofuel production. </w:t>
      </w:r>
      <w:r w:rsidRPr="000D3F86">
        <w:rPr>
          <w:rFonts w:eastAsia="Calibri"/>
          <w:i/>
          <w:iCs/>
        </w:rPr>
        <w:t>Curr. Opin. Plant Biol.</w:t>
      </w:r>
      <w:r w:rsidRPr="000D3F86">
        <w:rPr>
          <w:rFonts w:eastAsia="Calibri"/>
          <w:bCs/>
        </w:rPr>
        <w:t>13</w:t>
      </w:r>
      <w:r w:rsidRPr="000D3F86">
        <w:rPr>
          <w:rFonts w:eastAsia="Calibri"/>
        </w:rPr>
        <w:t>, 313–320</w:t>
      </w:r>
      <w:bookmarkEnd w:id="100"/>
      <w:r w:rsidRPr="000D3F86">
        <w:rPr>
          <w:rFonts w:eastAsia="Calibri"/>
        </w:rPr>
        <w:t xml:space="preserve"> (2010). </w:t>
      </w:r>
    </w:p>
    <w:p w:rsidR="00A67C10" w:rsidRPr="000D3F86" w:rsidRDefault="00A67C10" w:rsidP="00097A19">
      <w:pPr>
        <w:numPr>
          <w:ilvl w:val="0"/>
          <w:numId w:val="44"/>
        </w:numPr>
        <w:autoSpaceDE w:val="0"/>
        <w:autoSpaceDN w:val="0"/>
        <w:adjustRightInd w:val="0"/>
        <w:spacing w:after="200"/>
        <w:contextualSpacing/>
        <w:rPr>
          <w:rFonts w:eastAsia="Calibri"/>
        </w:rPr>
      </w:pPr>
      <w:bookmarkStart w:id="101" w:name="_Ref357270016"/>
      <w:bookmarkStart w:id="102" w:name="_Ref357459233"/>
      <w:r w:rsidRPr="000D3F86">
        <w:rPr>
          <w:rFonts w:eastAsia="Calibri"/>
          <w:bCs/>
        </w:rPr>
        <w:t>Hoffmann L, Maury S, Martz F, Geoffroy P, Legrand M.</w:t>
      </w:r>
      <w:r w:rsidRPr="000D3F86">
        <w:rPr>
          <w:rFonts w:eastAsia="Calibri"/>
        </w:rPr>
        <w:t xml:space="preserve"> Purification, cloning and properties of an acyltransferase controlling shikimate and quinate ester intermediates in phenylpropanoid metabolism. </w:t>
      </w:r>
      <w:r w:rsidRPr="000D3F86">
        <w:rPr>
          <w:rFonts w:eastAsia="Calibri"/>
          <w:i/>
          <w:iCs/>
        </w:rPr>
        <w:t>J. Biol. Chem.</w:t>
      </w:r>
      <w:r w:rsidRPr="000D3F86">
        <w:rPr>
          <w:rFonts w:eastAsia="Calibri"/>
        </w:rPr>
        <w:t> </w:t>
      </w:r>
      <w:r w:rsidRPr="000D3F86">
        <w:rPr>
          <w:rFonts w:eastAsia="Calibri"/>
          <w:bCs/>
        </w:rPr>
        <w:t>278,</w:t>
      </w:r>
      <w:r w:rsidRPr="000D3F86">
        <w:rPr>
          <w:rFonts w:eastAsia="Calibri"/>
        </w:rPr>
        <w:t> 95–103</w:t>
      </w:r>
      <w:bookmarkEnd w:id="101"/>
      <w:r w:rsidRPr="000D3F86">
        <w:rPr>
          <w:rFonts w:eastAsia="Calibri"/>
        </w:rPr>
        <w:t xml:space="preserve"> (2003).</w:t>
      </w:r>
      <w:bookmarkEnd w:id="102"/>
    </w:p>
    <w:p w:rsidR="00A67C10" w:rsidRPr="000D3F86" w:rsidRDefault="00A67C10" w:rsidP="00097A19">
      <w:pPr>
        <w:numPr>
          <w:ilvl w:val="0"/>
          <w:numId w:val="44"/>
        </w:numPr>
        <w:autoSpaceDE w:val="0"/>
        <w:autoSpaceDN w:val="0"/>
        <w:adjustRightInd w:val="0"/>
        <w:spacing w:after="200"/>
        <w:contextualSpacing/>
        <w:rPr>
          <w:rFonts w:eastAsia="Calibri"/>
        </w:rPr>
      </w:pPr>
      <w:bookmarkStart w:id="103" w:name="_Ref357459201"/>
      <w:r w:rsidRPr="000D3F86">
        <w:rPr>
          <w:rFonts w:eastAsia="Calibri"/>
        </w:rPr>
        <w:t xml:space="preserve">Hoffmann L, Besseau S, Geoffroy P </w:t>
      </w:r>
      <w:r w:rsidRPr="000D3F86">
        <w:rPr>
          <w:rFonts w:eastAsia="Calibri"/>
          <w:i/>
        </w:rPr>
        <w:t>et al</w:t>
      </w:r>
      <w:r w:rsidRPr="000D3F86">
        <w:rPr>
          <w:rFonts w:eastAsia="Calibri"/>
        </w:rPr>
        <w:t xml:space="preserve">. Silencing of hydroxycinnamoyl-coenzyme </w:t>
      </w:r>
      <w:proofErr w:type="gramStart"/>
      <w:r w:rsidRPr="000D3F86">
        <w:rPr>
          <w:rFonts w:eastAsia="Calibri"/>
        </w:rPr>
        <w:t>A</w:t>
      </w:r>
      <w:proofErr w:type="gramEnd"/>
      <w:r w:rsidRPr="000D3F86">
        <w:rPr>
          <w:rFonts w:eastAsia="Calibri"/>
        </w:rPr>
        <w:t xml:space="preserve"> shikimate/quinate hydroxycinnamoyltransferase affects phenylpropanoid biosynthesis</w:t>
      </w:r>
      <w:r w:rsidRPr="000D3F86">
        <w:rPr>
          <w:rFonts w:eastAsia="Calibri"/>
          <w:i/>
        </w:rPr>
        <w:t>. Plant Cell</w:t>
      </w:r>
      <w:r w:rsidRPr="000D3F86">
        <w:rPr>
          <w:rFonts w:eastAsia="Calibri"/>
        </w:rPr>
        <w:t xml:space="preserve"> 16, 1446–1465 (2004).</w:t>
      </w:r>
      <w:bookmarkEnd w:id="103"/>
    </w:p>
    <w:p w:rsidR="00A67C10" w:rsidRPr="000D3F86" w:rsidRDefault="00A67C10" w:rsidP="00097A19">
      <w:pPr>
        <w:numPr>
          <w:ilvl w:val="0"/>
          <w:numId w:val="44"/>
        </w:numPr>
        <w:autoSpaceDE w:val="0"/>
        <w:autoSpaceDN w:val="0"/>
        <w:adjustRightInd w:val="0"/>
        <w:spacing w:after="200"/>
        <w:contextualSpacing/>
        <w:rPr>
          <w:rFonts w:eastAsia="Calibri"/>
        </w:rPr>
      </w:pPr>
      <w:bookmarkStart w:id="104" w:name="_Ref357459576"/>
      <w:r w:rsidRPr="008119C5">
        <w:rPr>
          <w:rFonts w:eastAsia="Calibri"/>
          <w:lang w:val="es-ES"/>
        </w:rPr>
        <w:t xml:space="preserve">Burbulis IE, Iacobucci M, Shirley BW. </w:t>
      </w:r>
      <w:r w:rsidRPr="000D3F86">
        <w:rPr>
          <w:rFonts w:eastAsia="Calibri"/>
        </w:rPr>
        <w:t xml:space="preserve">A null mutation in the first enzyme of flavonoid biosynthesis does not affect male fertility in Arabidopsis. </w:t>
      </w:r>
      <w:r w:rsidRPr="000D3F86">
        <w:rPr>
          <w:rFonts w:eastAsia="Calibri"/>
          <w:i/>
        </w:rPr>
        <w:t>Plant Cell</w:t>
      </w:r>
      <w:r w:rsidRPr="000D3F86">
        <w:rPr>
          <w:rFonts w:eastAsia="Calibri"/>
        </w:rPr>
        <w:t xml:space="preserve"> 8, 1013–1025 (1996).</w:t>
      </w:r>
      <w:bookmarkEnd w:id="104"/>
    </w:p>
    <w:p w:rsidR="00A67C10" w:rsidRPr="000D3F86" w:rsidRDefault="00A67C10" w:rsidP="00097A19">
      <w:pPr>
        <w:numPr>
          <w:ilvl w:val="0"/>
          <w:numId w:val="44"/>
        </w:numPr>
        <w:autoSpaceDE w:val="0"/>
        <w:autoSpaceDN w:val="0"/>
        <w:adjustRightInd w:val="0"/>
        <w:spacing w:after="200"/>
        <w:contextualSpacing/>
        <w:rPr>
          <w:rFonts w:eastAsia="Calibri"/>
        </w:rPr>
      </w:pPr>
      <w:bookmarkStart w:id="105" w:name="_Ref357360103"/>
      <w:bookmarkStart w:id="106" w:name="_Ref357458738"/>
      <w:r w:rsidRPr="000D3F86">
        <w:rPr>
          <w:rFonts w:eastAsia="Calibri"/>
        </w:rPr>
        <w:t xml:space="preserve">Winkel-Shirley B. Biosynthesis of flavonoids and effects of stress. </w:t>
      </w:r>
      <w:r w:rsidRPr="000D3F86">
        <w:rPr>
          <w:rFonts w:eastAsia="Calibri"/>
          <w:i/>
        </w:rPr>
        <w:t>Curr. Opin. Plant Biol</w:t>
      </w:r>
      <w:r w:rsidRPr="000D3F86">
        <w:rPr>
          <w:rFonts w:eastAsia="Calibri"/>
        </w:rPr>
        <w:t>. 5, 218-223</w:t>
      </w:r>
      <w:bookmarkEnd w:id="105"/>
      <w:r w:rsidRPr="000D3F86">
        <w:rPr>
          <w:rFonts w:eastAsia="Calibri"/>
        </w:rPr>
        <w:t xml:space="preserve"> (2002).</w:t>
      </w:r>
      <w:bookmarkEnd w:id="106"/>
    </w:p>
    <w:p w:rsidR="00A67C10" w:rsidRPr="000D3F86" w:rsidRDefault="00A67C10" w:rsidP="00097A19">
      <w:pPr>
        <w:numPr>
          <w:ilvl w:val="0"/>
          <w:numId w:val="44"/>
        </w:numPr>
        <w:autoSpaceDE w:val="0"/>
        <w:autoSpaceDN w:val="0"/>
        <w:adjustRightInd w:val="0"/>
        <w:spacing w:after="200"/>
        <w:contextualSpacing/>
        <w:rPr>
          <w:rFonts w:eastAsia="Calibri"/>
        </w:rPr>
      </w:pPr>
      <w:bookmarkStart w:id="107" w:name="_Ref357271003"/>
      <w:bookmarkStart w:id="108" w:name="_Ref357460613"/>
      <w:r w:rsidRPr="000D3F86">
        <w:rPr>
          <w:rFonts w:eastAsia="Calibri"/>
        </w:rPr>
        <w:t xml:space="preserve">Schoch G, Goepfert S, Morant M </w:t>
      </w:r>
      <w:r w:rsidRPr="000D3F86">
        <w:rPr>
          <w:rFonts w:eastAsia="Calibri"/>
          <w:i/>
        </w:rPr>
        <w:t>et al</w:t>
      </w:r>
      <w:r w:rsidRPr="000D3F86">
        <w:rPr>
          <w:rFonts w:eastAsia="Calibri"/>
          <w:bCs/>
        </w:rPr>
        <w:t xml:space="preserve">. </w:t>
      </w:r>
      <w:r w:rsidRPr="000D3F86">
        <w:rPr>
          <w:rFonts w:eastAsia="Calibri"/>
        </w:rPr>
        <w:t xml:space="preserve">CYP98A3 from </w:t>
      </w:r>
      <w:r w:rsidRPr="000D3F86">
        <w:rPr>
          <w:rFonts w:eastAsia="Calibri"/>
          <w:i/>
        </w:rPr>
        <w:t>Arabidopsis thaliana</w:t>
      </w:r>
      <w:r w:rsidRPr="000D3F86">
        <w:rPr>
          <w:rFonts w:eastAsia="Calibri"/>
        </w:rPr>
        <w:t xml:space="preserve"> is a 3′-hydroxylase of phenolic esters, a missing link in the phenylpropanoid pathway. </w:t>
      </w:r>
      <w:r w:rsidRPr="000D3F86">
        <w:rPr>
          <w:rFonts w:eastAsia="Calibri"/>
          <w:i/>
        </w:rPr>
        <w:t>J. Biol. Chem.</w:t>
      </w:r>
      <w:r w:rsidRPr="000D3F86">
        <w:rPr>
          <w:rFonts w:eastAsia="Calibri"/>
        </w:rPr>
        <w:t xml:space="preserve"> 276, 36566–36574</w:t>
      </w:r>
      <w:bookmarkEnd w:id="107"/>
      <w:r w:rsidRPr="000D3F86">
        <w:rPr>
          <w:rFonts w:eastAsia="Calibri"/>
        </w:rPr>
        <w:t xml:space="preserve"> (2001).</w:t>
      </w:r>
      <w:bookmarkEnd w:id="108"/>
    </w:p>
    <w:p w:rsidR="00A67C10" w:rsidRPr="000D3F86" w:rsidRDefault="00A67C10" w:rsidP="00097A19">
      <w:pPr>
        <w:numPr>
          <w:ilvl w:val="0"/>
          <w:numId w:val="44"/>
        </w:numPr>
        <w:autoSpaceDE w:val="0"/>
        <w:autoSpaceDN w:val="0"/>
        <w:adjustRightInd w:val="0"/>
        <w:spacing w:after="200"/>
        <w:contextualSpacing/>
        <w:rPr>
          <w:rFonts w:eastAsia="Calibri"/>
        </w:rPr>
      </w:pPr>
      <w:bookmarkStart w:id="109" w:name="_Ref357460779"/>
      <w:r w:rsidRPr="000D3F86">
        <w:rPr>
          <w:rFonts w:eastAsia="Calibri"/>
          <w:lang w:val="nl-NL"/>
        </w:rPr>
        <w:t xml:space="preserve">Franke R, Humphreys JM, Hemm MR </w:t>
      </w:r>
      <w:r w:rsidRPr="000D3F86">
        <w:rPr>
          <w:rFonts w:eastAsia="Calibri"/>
          <w:i/>
          <w:lang w:val="nl-NL"/>
        </w:rPr>
        <w:t>et al</w:t>
      </w:r>
      <w:r w:rsidRPr="000D3F86">
        <w:rPr>
          <w:rFonts w:eastAsia="Calibri"/>
          <w:lang w:val="nl-NL"/>
        </w:rPr>
        <w:t xml:space="preserve">. </w:t>
      </w:r>
      <w:r w:rsidRPr="000D3F86">
        <w:rPr>
          <w:rFonts w:eastAsia="Calibri"/>
        </w:rPr>
        <w:t xml:space="preserve">The Arabidopsis REF8 gene encodes the 3-hydroxylase of phenylpropanoid metabolism. </w:t>
      </w:r>
      <w:r w:rsidRPr="000D3F86">
        <w:rPr>
          <w:rFonts w:eastAsia="Calibri"/>
          <w:i/>
        </w:rPr>
        <w:t>Plant J.</w:t>
      </w:r>
      <w:r w:rsidRPr="000D3F86">
        <w:rPr>
          <w:rFonts w:eastAsia="Calibri"/>
        </w:rPr>
        <w:t xml:space="preserve"> 30, 33–45 (2002).</w:t>
      </w:r>
      <w:bookmarkEnd w:id="109"/>
    </w:p>
    <w:p w:rsidR="00A67C10" w:rsidRPr="000D3F86" w:rsidRDefault="00A67C10" w:rsidP="00097A19">
      <w:pPr>
        <w:numPr>
          <w:ilvl w:val="0"/>
          <w:numId w:val="44"/>
        </w:numPr>
        <w:autoSpaceDE w:val="0"/>
        <w:autoSpaceDN w:val="0"/>
        <w:adjustRightInd w:val="0"/>
        <w:spacing w:after="200"/>
        <w:contextualSpacing/>
        <w:rPr>
          <w:rFonts w:eastAsia="Calibri"/>
        </w:rPr>
      </w:pPr>
      <w:bookmarkStart w:id="110" w:name="_Ref363560217"/>
      <w:r w:rsidRPr="000D3F86">
        <w:rPr>
          <w:rFonts w:eastAsia="Calibri"/>
          <w:bCs/>
        </w:rPr>
        <w:t>Zhong R, Morrison WH III, Negrel J, Ye Z-H.</w:t>
      </w:r>
      <w:r w:rsidRPr="000D3F86">
        <w:rPr>
          <w:rFonts w:eastAsia="Calibri"/>
        </w:rPr>
        <w:t> Dual methylation pathways in lignin biosynthesis. </w:t>
      </w:r>
      <w:r w:rsidRPr="000D3F86">
        <w:rPr>
          <w:rFonts w:eastAsia="Calibri"/>
          <w:i/>
          <w:iCs/>
        </w:rPr>
        <w:t>Plant Cell</w:t>
      </w:r>
      <w:r w:rsidRPr="000D3F86">
        <w:rPr>
          <w:rFonts w:eastAsia="Calibri"/>
        </w:rPr>
        <w:t> </w:t>
      </w:r>
      <w:r w:rsidRPr="000D3F86">
        <w:rPr>
          <w:rFonts w:eastAsia="Calibri"/>
          <w:bCs/>
        </w:rPr>
        <w:t>10,</w:t>
      </w:r>
      <w:r w:rsidRPr="000D3F86">
        <w:rPr>
          <w:rFonts w:eastAsia="Calibri"/>
        </w:rPr>
        <w:t> 2033–2046 (1998).</w:t>
      </w:r>
      <w:bookmarkEnd w:id="110"/>
    </w:p>
    <w:p w:rsidR="00A67C10" w:rsidRPr="000D3F86" w:rsidRDefault="00A67C10" w:rsidP="00097A19">
      <w:pPr>
        <w:numPr>
          <w:ilvl w:val="0"/>
          <w:numId w:val="44"/>
        </w:numPr>
        <w:autoSpaceDE w:val="0"/>
        <w:autoSpaceDN w:val="0"/>
        <w:adjustRightInd w:val="0"/>
        <w:spacing w:after="200"/>
        <w:contextualSpacing/>
        <w:rPr>
          <w:rFonts w:eastAsia="Calibri"/>
        </w:rPr>
      </w:pPr>
      <w:bookmarkStart w:id="111" w:name="_Ref363560219"/>
      <w:r w:rsidRPr="000D3F86">
        <w:rPr>
          <w:rFonts w:eastAsia="Calibri"/>
        </w:rPr>
        <w:t xml:space="preserve">Pinçon G, Maury S, Hoffmann L </w:t>
      </w:r>
      <w:r w:rsidRPr="000D3F86">
        <w:rPr>
          <w:rFonts w:eastAsia="Calibri"/>
          <w:i/>
        </w:rPr>
        <w:t>et al</w:t>
      </w:r>
      <w:r w:rsidRPr="000D3F86">
        <w:rPr>
          <w:rFonts w:eastAsia="Calibri"/>
        </w:rPr>
        <w:t xml:space="preserve">. Repression of O-methyltransferase genes in transgenic tobacco affects lignin synthesis and plant growth. </w:t>
      </w:r>
      <w:r w:rsidRPr="000D3F86">
        <w:rPr>
          <w:rFonts w:eastAsia="Calibri"/>
          <w:i/>
        </w:rPr>
        <w:t>Phytochemistry</w:t>
      </w:r>
      <w:r w:rsidRPr="000D3F86">
        <w:rPr>
          <w:rFonts w:eastAsia="Calibri"/>
        </w:rPr>
        <w:t xml:space="preserve"> 57, 1167–1176 (2001).</w:t>
      </w:r>
      <w:bookmarkEnd w:id="111"/>
    </w:p>
    <w:p w:rsidR="00A67C10" w:rsidRPr="000D3F86" w:rsidRDefault="00A67C10" w:rsidP="00097A19">
      <w:pPr>
        <w:numPr>
          <w:ilvl w:val="0"/>
          <w:numId w:val="44"/>
        </w:numPr>
        <w:autoSpaceDE w:val="0"/>
        <w:autoSpaceDN w:val="0"/>
        <w:adjustRightInd w:val="0"/>
        <w:spacing w:after="200"/>
        <w:contextualSpacing/>
        <w:rPr>
          <w:rFonts w:eastAsia="Calibri"/>
        </w:rPr>
      </w:pPr>
      <w:bookmarkStart w:id="112" w:name="_Ref363558056"/>
      <w:r w:rsidRPr="000D3F86">
        <w:rPr>
          <w:rFonts w:eastAsia="Calibri"/>
          <w:color w:val="222222"/>
          <w:shd w:val="clear" w:color="auto" w:fill="FFFFFF"/>
        </w:rPr>
        <w:lastRenderedPageBreak/>
        <w:t>Meyermans H, Morreel K, Lapierre C</w:t>
      </w:r>
      <w:r w:rsidRPr="000D3F86">
        <w:rPr>
          <w:rFonts w:eastAsia="Calibri"/>
          <w:i/>
          <w:color w:val="222222"/>
          <w:shd w:val="clear" w:color="auto" w:fill="FFFFFF"/>
        </w:rPr>
        <w:t xml:space="preserve"> et al</w:t>
      </w:r>
      <w:r w:rsidRPr="000D3F86">
        <w:rPr>
          <w:rFonts w:eastAsia="Calibri"/>
          <w:color w:val="222222"/>
          <w:shd w:val="clear" w:color="auto" w:fill="FFFFFF"/>
        </w:rPr>
        <w:t>. Modifications in lignin and accumulation of phenolic glucosides in poplar xylem upon down-regulation of caffeoyl-coenzyme A O-methyltransferase, an enzyme involved in lignin biosynthesis.</w:t>
      </w:r>
      <w:r w:rsidRPr="000D3F86">
        <w:rPr>
          <w:rFonts w:eastAsia="Calibri"/>
          <w:color w:val="222222"/>
        </w:rPr>
        <w:t> </w:t>
      </w:r>
      <w:r w:rsidRPr="000D3F86">
        <w:rPr>
          <w:rFonts w:eastAsia="Calibri"/>
          <w:i/>
          <w:iCs/>
          <w:color w:val="222222"/>
          <w:shd w:val="clear" w:color="auto" w:fill="FFFFFF"/>
        </w:rPr>
        <w:t>J. Biol. Chem</w:t>
      </w:r>
      <w:r w:rsidRPr="000D3F86">
        <w:rPr>
          <w:rFonts w:eastAsia="Calibri"/>
          <w:color w:val="222222"/>
          <w:shd w:val="clear" w:color="auto" w:fill="FFFFFF"/>
        </w:rPr>
        <w:t>.</w:t>
      </w:r>
      <w:r w:rsidRPr="000D3F86">
        <w:rPr>
          <w:rFonts w:eastAsia="Calibri"/>
          <w:color w:val="222222"/>
        </w:rPr>
        <w:t> </w:t>
      </w:r>
      <w:r w:rsidRPr="000D3F86">
        <w:rPr>
          <w:rFonts w:eastAsia="Calibri"/>
          <w:iCs/>
          <w:color w:val="222222"/>
          <w:shd w:val="clear" w:color="auto" w:fill="FFFFFF"/>
        </w:rPr>
        <w:t>275</w:t>
      </w:r>
      <w:r w:rsidRPr="000D3F86">
        <w:rPr>
          <w:rFonts w:eastAsia="Calibri"/>
          <w:color w:val="222222"/>
          <w:shd w:val="clear" w:color="auto" w:fill="FFFFFF"/>
        </w:rPr>
        <w:t>(47), 36899-36909 (2000).</w:t>
      </w:r>
      <w:bookmarkEnd w:id="112"/>
    </w:p>
    <w:p w:rsidR="00A67C10" w:rsidRPr="000D3F86" w:rsidRDefault="00A67C10" w:rsidP="00097A19">
      <w:pPr>
        <w:numPr>
          <w:ilvl w:val="0"/>
          <w:numId w:val="44"/>
        </w:numPr>
        <w:autoSpaceDE w:val="0"/>
        <w:autoSpaceDN w:val="0"/>
        <w:adjustRightInd w:val="0"/>
        <w:spacing w:after="200"/>
        <w:contextualSpacing/>
        <w:rPr>
          <w:rFonts w:eastAsia="Calibri"/>
        </w:rPr>
      </w:pPr>
      <w:bookmarkStart w:id="113" w:name="_Ref363634921"/>
      <w:r w:rsidRPr="000D3F86">
        <w:rPr>
          <w:rFonts w:eastAsia="Calibri"/>
        </w:rPr>
        <w:t xml:space="preserve">Chen F, Duran AL, Blount JW, Sumner LW, Dixon RA. Profiling phenolic metabolites in transgenic alfalfa modified in lignin biosynthesis. </w:t>
      </w:r>
      <w:r w:rsidRPr="000D3F86">
        <w:rPr>
          <w:rFonts w:eastAsia="Calibri"/>
          <w:i/>
        </w:rPr>
        <w:t>Phytochemistry</w:t>
      </w:r>
      <w:r w:rsidRPr="000D3F86">
        <w:rPr>
          <w:rFonts w:eastAsia="Calibri"/>
        </w:rPr>
        <w:t xml:space="preserve"> 64(5), 1013-1021 (2003).</w:t>
      </w:r>
      <w:bookmarkEnd w:id="113"/>
    </w:p>
    <w:p w:rsidR="00A67C10" w:rsidRPr="000D3F86" w:rsidRDefault="00A67C10" w:rsidP="00097A19">
      <w:pPr>
        <w:numPr>
          <w:ilvl w:val="0"/>
          <w:numId w:val="44"/>
        </w:numPr>
        <w:autoSpaceDE w:val="0"/>
        <w:autoSpaceDN w:val="0"/>
        <w:adjustRightInd w:val="0"/>
        <w:spacing w:after="200"/>
        <w:contextualSpacing/>
        <w:rPr>
          <w:rFonts w:eastAsia="Calibri"/>
        </w:rPr>
      </w:pPr>
      <w:bookmarkStart w:id="114" w:name="_Ref357274439"/>
      <w:r w:rsidRPr="000D3F86">
        <w:rPr>
          <w:rFonts w:eastAsia="Calibri"/>
          <w:lang w:val="nl-NL"/>
        </w:rPr>
        <w:t xml:space="preserve">Lacombe E, Hawkins S, Doorsselaere JV </w:t>
      </w:r>
      <w:r w:rsidRPr="000D3F86">
        <w:rPr>
          <w:rFonts w:eastAsia="Calibri"/>
          <w:i/>
          <w:lang w:val="nl-NL"/>
        </w:rPr>
        <w:t>et al</w:t>
      </w:r>
      <w:r w:rsidRPr="000D3F86">
        <w:rPr>
          <w:rFonts w:eastAsia="Calibri"/>
          <w:lang w:val="nl-NL"/>
        </w:rPr>
        <w:t xml:space="preserve">. </w:t>
      </w:r>
      <w:r w:rsidRPr="000D3F86">
        <w:rPr>
          <w:rFonts w:eastAsia="Calibri"/>
        </w:rPr>
        <w:t xml:space="preserve">Cinnamoyl CoA reductase, the first committed enzyme of the lignin branch biosynthetic pathway: Cloning, expression and phylogenetic relationships. </w:t>
      </w:r>
      <w:r w:rsidRPr="000D3F86">
        <w:rPr>
          <w:rFonts w:eastAsia="Calibri"/>
          <w:i/>
        </w:rPr>
        <w:t xml:space="preserve">Plant J. </w:t>
      </w:r>
      <w:r w:rsidRPr="000D3F86">
        <w:rPr>
          <w:rFonts w:eastAsia="Calibri"/>
        </w:rPr>
        <w:t>11, 429–441</w:t>
      </w:r>
      <w:bookmarkEnd w:id="114"/>
      <w:r w:rsidRPr="000D3F86">
        <w:rPr>
          <w:rFonts w:eastAsia="Calibri"/>
        </w:rPr>
        <w:t xml:space="preserve"> (1997).</w:t>
      </w:r>
    </w:p>
    <w:p w:rsidR="00A67C10" w:rsidRPr="000D3F86" w:rsidRDefault="00A67C10" w:rsidP="00097A19">
      <w:pPr>
        <w:numPr>
          <w:ilvl w:val="0"/>
          <w:numId w:val="44"/>
        </w:numPr>
        <w:autoSpaceDE w:val="0"/>
        <w:autoSpaceDN w:val="0"/>
        <w:adjustRightInd w:val="0"/>
        <w:spacing w:after="200"/>
        <w:contextualSpacing/>
        <w:rPr>
          <w:rFonts w:eastAsia="Calibri"/>
        </w:rPr>
      </w:pPr>
      <w:bookmarkStart w:id="115" w:name="_Ref357274447"/>
      <w:r w:rsidRPr="000D3F86">
        <w:rPr>
          <w:rFonts w:eastAsia="Calibri"/>
          <w:lang w:val="fr-FR"/>
        </w:rPr>
        <w:t xml:space="preserve">Piquemal J, Lapierre C, Myton K et al. </w:t>
      </w:r>
      <w:r w:rsidRPr="000D3F86">
        <w:rPr>
          <w:rFonts w:eastAsia="Calibri"/>
        </w:rPr>
        <w:t xml:space="preserve">Down-regulation of cinnamoyl-CoA reductase induces significant changes of lignin profiles in transgenic tobacco plants. </w:t>
      </w:r>
      <w:r w:rsidRPr="000D3F86">
        <w:rPr>
          <w:rFonts w:eastAsia="Calibri"/>
          <w:i/>
        </w:rPr>
        <w:t>Plant J.</w:t>
      </w:r>
      <w:r w:rsidRPr="000D3F86">
        <w:rPr>
          <w:rFonts w:eastAsia="Calibri"/>
        </w:rPr>
        <w:t xml:space="preserve"> 13, 71–83</w:t>
      </w:r>
      <w:bookmarkEnd w:id="115"/>
      <w:r w:rsidRPr="000D3F86">
        <w:rPr>
          <w:rFonts w:eastAsia="Calibri"/>
        </w:rPr>
        <w:t xml:space="preserve"> (1998).</w:t>
      </w:r>
    </w:p>
    <w:p w:rsidR="00A67C10" w:rsidRPr="000D3F86" w:rsidRDefault="00A67C10" w:rsidP="00097A19">
      <w:pPr>
        <w:numPr>
          <w:ilvl w:val="0"/>
          <w:numId w:val="44"/>
        </w:numPr>
        <w:autoSpaceDE w:val="0"/>
        <w:autoSpaceDN w:val="0"/>
        <w:adjustRightInd w:val="0"/>
        <w:spacing w:after="200"/>
        <w:contextualSpacing/>
        <w:rPr>
          <w:rFonts w:eastAsia="Calibri"/>
        </w:rPr>
      </w:pPr>
      <w:bookmarkStart w:id="116" w:name="_Ref357274734"/>
      <w:r w:rsidRPr="000D3F86">
        <w:rPr>
          <w:rFonts w:eastAsia="Calibri"/>
        </w:rPr>
        <w:t>Raes J, Rohde A, Christensen JH, van de Peer Y, Boerjan W. Genome-wide characterization of the lignification toolbox in </w:t>
      </w:r>
      <w:r w:rsidRPr="000D3F86">
        <w:rPr>
          <w:rFonts w:eastAsia="Calibri"/>
          <w:i/>
          <w:iCs/>
        </w:rPr>
        <w:t>Arabidopsis</w:t>
      </w:r>
      <w:r w:rsidRPr="000D3F86">
        <w:rPr>
          <w:rFonts w:eastAsia="Calibri"/>
        </w:rPr>
        <w:t>. </w:t>
      </w:r>
      <w:r w:rsidRPr="000D3F86">
        <w:rPr>
          <w:rFonts w:eastAsia="Calibri"/>
          <w:i/>
          <w:iCs/>
        </w:rPr>
        <w:t>Plant Physiol.</w:t>
      </w:r>
      <w:r w:rsidRPr="000D3F86">
        <w:rPr>
          <w:rFonts w:eastAsia="Calibri"/>
        </w:rPr>
        <w:t> </w:t>
      </w:r>
      <w:r w:rsidRPr="000D3F86">
        <w:rPr>
          <w:rFonts w:eastAsia="Calibri"/>
          <w:bCs/>
        </w:rPr>
        <w:t>133</w:t>
      </w:r>
      <w:r w:rsidRPr="000D3F86">
        <w:rPr>
          <w:rFonts w:eastAsia="Calibri"/>
        </w:rPr>
        <w:t>, 1051–1071</w:t>
      </w:r>
      <w:bookmarkEnd w:id="116"/>
      <w:r w:rsidRPr="000D3F86">
        <w:rPr>
          <w:rFonts w:eastAsia="Calibri"/>
        </w:rPr>
        <w:t xml:space="preserve"> (2003). </w:t>
      </w:r>
    </w:p>
    <w:p w:rsidR="00A67C10" w:rsidRPr="000D3F86" w:rsidRDefault="00A67C10" w:rsidP="00097A19">
      <w:pPr>
        <w:numPr>
          <w:ilvl w:val="0"/>
          <w:numId w:val="44"/>
        </w:numPr>
        <w:autoSpaceDE w:val="0"/>
        <w:autoSpaceDN w:val="0"/>
        <w:adjustRightInd w:val="0"/>
        <w:spacing w:after="200"/>
        <w:contextualSpacing/>
        <w:rPr>
          <w:rFonts w:eastAsia="Calibri"/>
        </w:rPr>
      </w:pPr>
      <w:bookmarkStart w:id="117" w:name="_Ref357360275"/>
      <w:r w:rsidRPr="000D3F86">
        <w:rPr>
          <w:rFonts w:eastAsia="Calibri"/>
          <w:lang w:val="de-DE"/>
        </w:rPr>
        <w:t xml:space="preserve">Mir Derikvand M, Sierra JB, Ruel K </w:t>
      </w:r>
      <w:r w:rsidRPr="000D3F86">
        <w:rPr>
          <w:rFonts w:eastAsia="Calibri"/>
          <w:i/>
          <w:lang w:val="de-DE"/>
        </w:rPr>
        <w:t>et al</w:t>
      </w:r>
      <w:r w:rsidRPr="000D3F86">
        <w:rPr>
          <w:rFonts w:eastAsia="Calibri"/>
          <w:lang w:val="de-DE"/>
        </w:rPr>
        <w:t xml:space="preserve">. </w:t>
      </w:r>
      <w:r w:rsidRPr="000D3F86">
        <w:rPr>
          <w:rFonts w:eastAsia="Calibri"/>
        </w:rPr>
        <w:t xml:space="preserve">Redirection of the phenylpropanoid pathway to feruloyl malate in Arabidopsis mutants deficient for cinnamoyl-CoA reductase 1. </w:t>
      </w:r>
      <w:r w:rsidRPr="000D3F86">
        <w:rPr>
          <w:rFonts w:eastAsia="Calibri"/>
          <w:i/>
        </w:rPr>
        <w:t>Planta</w:t>
      </w:r>
      <w:r w:rsidRPr="000D3F86">
        <w:rPr>
          <w:rFonts w:eastAsia="Calibri"/>
        </w:rPr>
        <w:t xml:space="preserve"> 227, 943-956 (2008).</w:t>
      </w:r>
      <w:bookmarkEnd w:id="117"/>
    </w:p>
    <w:p w:rsidR="00A67C10" w:rsidRPr="000D3F86" w:rsidRDefault="00A67C10" w:rsidP="00097A19">
      <w:pPr>
        <w:numPr>
          <w:ilvl w:val="0"/>
          <w:numId w:val="44"/>
        </w:numPr>
        <w:autoSpaceDE w:val="0"/>
        <w:autoSpaceDN w:val="0"/>
        <w:adjustRightInd w:val="0"/>
        <w:spacing w:after="200"/>
        <w:contextualSpacing/>
        <w:rPr>
          <w:rFonts w:eastAsia="Calibri"/>
        </w:rPr>
      </w:pPr>
      <w:bookmarkStart w:id="118" w:name="_Ref357446050"/>
      <w:r w:rsidRPr="000D3F86">
        <w:rPr>
          <w:rFonts w:eastAsia="Calibri"/>
        </w:rPr>
        <w:t xml:space="preserve">Zhang K, Bhuiya MW, Pazo JR </w:t>
      </w:r>
      <w:r w:rsidRPr="000D3F86">
        <w:rPr>
          <w:rFonts w:eastAsia="Calibri"/>
          <w:i/>
        </w:rPr>
        <w:t>et al</w:t>
      </w:r>
      <w:r w:rsidRPr="000D3F86">
        <w:rPr>
          <w:rFonts w:eastAsia="Calibri"/>
        </w:rPr>
        <w:t xml:space="preserve">. An engineered monolignol 4-o-methyltransferase depresses lignin biosynthesis and confers novel metabolic capability in Arabidopsis. </w:t>
      </w:r>
      <w:r w:rsidRPr="000D3F86">
        <w:rPr>
          <w:rFonts w:eastAsia="Calibri"/>
          <w:i/>
        </w:rPr>
        <w:t>Plant Cell</w:t>
      </w:r>
      <w:r w:rsidRPr="000D3F86">
        <w:rPr>
          <w:rFonts w:eastAsia="Calibri"/>
        </w:rPr>
        <w:t xml:space="preserve"> 24, 3135-3152 (2012).</w:t>
      </w:r>
      <w:bookmarkEnd w:id="118"/>
    </w:p>
    <w:p w:rsidR="00A67C10" w:rsidRPr="000D3F86" w:rsidRDefault="00A67C10" w:rsidP="00097A19">
      <w:pPr>
        <w:numPr>
          <w:ilvl w:val="0"/>
          <w:numId w:val="44"/>
        </w:numPr>
        <w:autoSpaceDE w:val="0"/>
        <w:autoSpaceDN w:val="0"/>
        <w:adjustRightInd w:val="0"/>
        <w:spacing w:after="200"/>
        <w:contextualSpacing/>
        <w:rPr>
          <w:rFonts w:eastAsia="Calibri"/>
        </w:rPr>
      </w:pPr>
      <w:bookmarkStart w:id="119" w:name="_Ref357276550"/>
      <w:bookmarkStart w:id="120" w:name="_Ref363583229"/>
      <w:r w:rsidRPr="000D3F86">
        <w:rPr>
          <w:rFonts w:eastAsia="Calibri"/>
        </w:rPr>
        <w:t xml:space="preserve">Prashant S, Srilakshmi MS, Pramod S </w:t>
      </w:r>
      <w:r w:rsidRPr="000D3F86">
        <w:rPr>
          <w:rFonts w:eastAsia="Calibri"/>
          <w:i/>
        </w:rPr>
        <w:t>et al</w:t>
      </w:r>
      <w:r w:rsidRPr="000D3F86">
        <w:rPr>
          <w:rFonts w:eastAsia="Calibri"/>
        </w:rPr>
        <w:t xml:space="preserve">. Down-regulation of </w:t>
      </w:r>
      <w:r w:rsidRPr="000D3F86">
        <w:rPr>
          <w:rFonts w:eastAsia="Calibri"/>
          <w:i/>
        </w:rPr>
        <w:t>Leucaena leucocephala</w:t>
      </w:r>
      <w:r w:rsidRPr="000D3F86">
        <w:rPr>
          <w:rFonts w:eastAsia="Calibri"/>
        </w:rPr>
        <w:t xml:space="preserve"> cinnamoyl CoA reductase (LlCCR) gene induces significant changes in phenotype, soluble phenolic pools and lignin in transgenic tobacco. </w:t>
      </w:r>
      <w:r w:rsidRPr="000D3F86">
        <w:rPr>
          <w:rFonts w:eastAsia="Calibri"/>
          <w:i/>
        </w:rPr>
        <w:t>Plant Cell Rep.</w:t>
      </w:r>
      <w:r w:rsidRPr="000D3F86">
        <w:rPr>
          <w:rFonts w:eastAsia="Calibri"/>
        </w:rPr>
        <w:t xml:space="preserve"> 30, 2215–2231</w:t>
      </w:r>
      <w:bookmarkEnd w:id="119"/>
      <w:r w:rsidRPr="000D3F86">
        <w:rPr>
          <w:rFonts w:eastAsia="Calibri"/>
        </w:rPr>
        <w:t xml:space="preserve"> (2011).</w:t>
      </w:r>
      <w:bookmarkEnd w:id="120"/>
    </w:p>
    <w:p w:rsidR="00A67C10" w:rsidRPr="000D3F86" w:rsidRDefault="00A67C10" w:rsidP="00097A19">
      <w:pPr>
        <w:numPr>
          <w:ilvl w:val="0"/>
          <w:numId w:val="44"/>
        </w:numPr>
        <w:autoSpaceDE w:val="0"/>
        <w:autoSpaceDN w:val="0"/>
        <w:adjustRightInd w:val="0"/>
        <w:spacing w:after="200"/>
        <w:contextualSpacing/>
        <w:rPr>
          <w:rFonts w:eastAsia="Calibri"/>
        </w:rPr>
      </w:pPr>
      <w:bookmarkStart w:id="121" w:name="_Ref357278014"/>
      <w:r w:rsidRPr="000D3F86">
        <w:rPr>
          <w:rFonts w:eastAsia="Calibri"/>
        </w:rPr>
        <w:t xml:space="preserve">Lam KC, Ibrahim RK, Behdad B, Dayanandan S. Structure, function, and evolution of plant </w:t>
      </w:r>
      <w:r w:rsidRPr="000D3F86">
        <w:rPr>
          <w:rFonts w:eastAsia="Calibri"/>
          <w:i/>
          <w:iCs/>
        </w:rPr>
        <w:t>O</w:t>
      </w:r>
      <w:r w:rsidRPr="000D3F86">
        <w:rPr>
          <w:rFonts w:eastAsia="Calibri"/>
        </w:rPr>
        <w:t xml:space="preserve">-methyltransferases. </w:t>
      </w:r>
      <w:r w:rsidRPr="000D3F86">
        <w:rPr>
          <w:rFonts w:eastAsia="Calibri"/>
          <w:i/>
          <w:iCs/>
        </w:rPr>
        <w:t>Genome</w:t>
      </w:r>
      <w:r w:rsidRPr="000D3F86">
        <w:rPr>
          <w:rFonts w:eastAsia="Calibri"/>
        </w:rPr>
        <w:t xml:space="preserve"> 50(11), 1001–1013</w:t>
      </w:r>
      <w:bookmarkEnd w:id="121"/>
      <w:r w:rsidRPr="000D3F86">
        <w:rPr>
          <w:rFonts w:eastAsia="Calibri"/>
        </w:rPr>
        <w:t xml:space="preserve"> (2007). </w:t>
      </w:r>
    </w:p>
    <w:p w:rsidR="00A67C10" w:rsidRPr="000D3F86" w:rsidRDefault="00A67C10" w:rsidP="00097A19">
      <w:pPr>
        <w:numPr>
          <w:ilvl w:val="0"/>
          <w:numId w:val="44"/>
        </w:numPr>
        <w:autoSpaceDE w:val="0"/>
        <w:autoSpaceDN w:val="0"/>
        <w:adjustRightInd w:val="0"/>
        <w:spacing w:after="200"/>
        <w:contextualSpacing/>
        <w:rPr>
          <w:rFonts w:eastAsia="Calibri"/>
        </w:rPr>
      </w:pPr>
      <w:bookmarkStart w:id="122" w:name="_Ref357278772"/>
      <w:bookmarkStart w:id="123" w:name="_Ref363583287"/>
      <w:r w:rsidRPr="000D3F86">
        <w:rPr>
          <w:rFonts w:eastAsia="Calibri"/>
          <w:lang w:val="fr-FR"/>
        </w:rPr>
        <w:t xml:space="preserve">Goujon T, Sibout R, Pollet B </w:t>
      </w:r>
      <w:r w:rsidRPr="000D3F86">
        <w:rPr>
          <w:rFonts w:eastAsia="Calibri"/>
          <w:i/>
          <w:lang w:val="fr-FR"/>
        </w:rPr>
        <w:t>et al</w:t>
      </w:r>
      <w:r w:rsidRPr="000D3F86">
        <w:rPr>
          <w:rFonts w:eastAsia="Calibri"/>
          <w:lang w:val="fr-FR"/>
        </w:rPr>
        <w:t xml:space="preserve">. </w:t>
      </w:r>
      <w:r w:rsidRPr="000D3F86">
        <w:rPr>
          <w:rFonts w:eastAsia="Calibri"/>
        </w:rPr>
        <w:t xml:space="preserve">A new </w:t>
      </w:r>
      <w:r w:rsidRPr="000D3F86">
        <w:rPr>
          <w:rFonts w:eastAsia="Calibri"/>
          <w:i/>
        </w:rPr>
        <w:t>Arabidopsis thaliana</w:t>
      </w:r>
      <w:r w:rsidRPr="000D3F86">
        <w:rPr>
          <w:rFonts w:eastAsia="Calibri"/>
        </w:rPr>
        <w:t xml:space="preserve"> mutant deficient in the expression of O-methyltransferase impacts lignins and sinapoyl esters. </w:t>
      </w:r>
      <w:r w:rsidRPr="000D3F86">
        <w:rPr>
          <w:rFonts w:eastAsia="Calibri"/>
          <w:i/>
        </w:rPr>
        <w:t>Plant Mol. Biol</w:t>
      </w:r>
      <w:r w:rsidRPr="000D3F86">
        <w:rPr>
          <w:rFonts w:eastAsia="Calibri"/>
        </w:rPr>
        <w:t>. 51, 973–989</w:t>
      </w:r>
      <w:bookmarkEnd w:id="122"/>
      <w:r w:rsidRPr="000D3F86">
        <w:rPr>
          <w:rFonts w:eastAsia="Calibri"/>
        </w:rPr>
        <w:t xml:space="preserve"> (2003).</w:t>
      </w:r>
      <w:bookmarkEnd w:id="123"/>
    </w:p>
    <w:p w:rsidR="00A67C10" w:rsidRPr="000D3F86" w:rsidRDefault="00A67C10" w:rsidP="00097A19">
      <w:pPr>
        <w:numPr>
          <w:ilvl w:val="0"/>
          <w:numId w:val="44"/>
        </w:numPr>
        <w:autoSpaceDE w:val="0"/>
        <w:autoSpaceDN w:val="0"/>
        <w:adjustRightInd w:val="0"/>
        <w:spacing w:after="200"/>
        <w:contextualSpacing/>
        <w:rPr>
          <w:rFonts w:eastAsia="Calibri"/>
        </w:rPr>
      </w:pPr>
      <w:bookmarkStart w:id="124" w:name="_Ref357279072"/>
      <w:bookmarkStart w:id="125" w:name="_Ref363583333"/>
      <w:r w:rsidRPr="000D3F86">
        <w:rPr>
          <w:rFonts w:eastAsia="Calibri"/>
        </w:rPr>
        <w:t xml:space="preserve">Tschaplinski TJ, Standaert RF, Engle NL </w:t>
      </w:r>
      <w:r w:rsidRPr="000D3F86">
        <w:rPr>
          <w:rFonts w:eastAsia="Calibri"/>
          <w:i/>
        </w:rPr>
        <w:t>et al</w:t>
      </w:r>
      <w:r w:rsidRPr="000D3F86">
        <w:rPr>
          <w:rFonts w:eastAsia="Calibri"/>
        </w:rPr>
        <w:t xml:space="preserve">. Down-regulation of the caffeic acid O-methyltransferase gene in switchgrass reveals a novel monolignol analog. </w:t>
      </w:r>
      <w:r w:rsidRPr="000D3F86">
        <w:rPr>
          <w:rFonts w:eastAsia="Calibri"/>
          <w:i/>
        </w:rPr>
        <w:t>Biotechnol. Biofuels</w:t>
      </w:r>
      <w:r w:rsidRPr="000D3F86">
        <w:rPr>
          <w:rFonts w:eastAsia="Calibri"/>
        </w:rPr>
        <w:t xml:space="preserve"> 5(1), </w:t>
      </w:r>
      <w:bookmarkEnd w:id="124"/>
      <w:r w:rsidRPr="000D3F86">
        <w:rPr>
          <w:rFonts w:eastAsia="Calibri"/>
        </w:rPr>
        <w:t>1-15 (2012).</w:t>
      </w:r>
      <w:bookmarkEnd w:id="125"/>
    </w:p>
    <w:p w:rsidR="00A67C10" w:rsidRPr="000D3F86" w:rsidRDefault="00A67C10" w:rsidP="00097A19">
      <w:pPr>
        <w:numPr>
          <w:ilvl w:val="0"/>
          <w:numId w:val="44"/>
        </w:numPr>
        <w:shd w:val="clear" w:color="auto" w:fill="FFFFFF"/>
        <w:autoSpaceDE w:val="0"/>
        <w:autoSpaceDN w:val="0"/>
        <w:adjustRightInd w:val="0"/>
        <w:spacing w:after="200"/>
        <w:textAlignment w:val="baseline"/>
      </w:pPr>
      <w:bookmarkStart w:id="126" w:name="_Ref357277459"/>
      <w:bookmarkStart w:id="127" w:name="_Ref363583379"/>
      <w:r w:rsidRPr="000D3F86">
        <w:rPr>
          <w:color w:val="000000"/>
        </w:rPr>
        <w:t xml:space="preserve">Wróbel-Kwiatkowska M, Starzycki M, Zebrowski J, Oszmianski J, Szopa J. Lignin deficiency in transgenic flax resulted in plants with improved mechanical properties. </w:t>
      </w:r>
      <w:r w:rsidRPr="000D3F86">
        <w:rPr>
          <w:i/>
          <w:color w:val="000000"/>
        </w:rPr>
        <w:t>J. Biotechnol</w:t>
      </w:r>
      <w:r w:rsidRPr="000D3F86">
        <w:rPr>
          <w:color w:val="000000"/>
        </w:rPr>
        <w:t>. 128, 919-934</w:t>
      </w:r>
      <w:bookmarkEnd w:id="126"/>
      <w:r w:rsidRPr="000D3F86">
        <w:rPr>
          <w:color w:val="000000"/>
        </w:rPr>
        <w:t xml:space="preserve"> (2007).</w:t>
      </w:r>
      <w:bookmarkEnd w:id="127"/>
    </w:p>
    <w:p w:rsidR="00A67C10" w:rsidRPr="000D3F86" w:rsidRDefault="00A67C10" w:rsidP="00097A19">
      <w:pPr>
        <w:numPr>
          <w:ilvl w:val="0"/>
          <w:numId w:val="44"/>
        </w:numPr>
        <w:shd w:val="clear" w:color="auto" w:fill="FFFFFF"/>
        <w:autoSpaceDE w:val="0"/>
        <w:autoSpaceDN w:val="0"/>
        <w:adjustRightInd w:val="0"/>
        <w:spacing w:after="200"/>
        <w:textAlignment w:val="baseline"/>
      </w:pPr>
      <w:bookmarkStart w:id="128" w:name="_Ref357277745"/>
      <w:bookmarkStart w:id="129" w:name="_Ref363583402"/>
      <w:r w:rsidRPr="000D3F86">
        <w:t xml:space="preserve">Sirisha VL, Prashant S, Kumar DR </w:t>
      </w:r>
      <w:r w:rsidRPr="000D3F86">
        <w:rPr>
          <w:i/>
        </w:rPr>
        <w:t>et al</w:t>
      </w:r>
      <w:r w:rsidRPr="000D3F86">
        <w:t xml:space="preserve">. Cloning, characterization and impact of up- and down-regulating subabul cinnamyl alcohol dehydrogenase (CAD) gene on plant growth and lignin profiles in transgenic tobacco. </w:t>
      </w:r>
      <w:r w:rsidRPr="000D3F86">
        <w:rPr>
          <w:i/>
        </w:rPr>
        <w:t>Plant Growth Regul.</w:t>
      </w:r>
      <w:r w:rsidRPr="000D3F86">
        <w:t xml:space="preserve"> 66, 239-253</w:t>
      </w:r>
      <w:bookmarkEnd w:id="128"/>
      <w:r w:rsidRPr="000D3F86">
        <w:t xml:space="preserve"> (2012).</w:t>
      </w:r>
      <w:bookmarkEnd w:id="129"/>
    </w:p>
    <w:p w:rsidR="00A67C10" w:rsidRPr="000D3F86" w:rsidRDefault="00A67C10" w:rsidP="00097A19">
      <w:pPr>
        <w:numPr>
          <w:ilvl w:val="0"/>
          <w:numId w:val="44"/>
        </w:numPr>
        <w:autoSpaceDE w:val="0"/>
        <w:autoSpaceDN w:val="0"/>
        <w:adjustRightInd w:val="0"/>
        <w:spacing w:after="200"/>
        <w:contextualSpacing/>
        <w:rPr>
          <w:rFonts w:eastAsia="Calibri"/>
        </w:rPr>
      </w:pPr>
      <w:bookmarkStart w:id="130" w:name="_Ref359228199"/>
      <w:r w:rsidRPr="000D3F86">
        <w:rPr>
          <w:rFonts w:eastAsia="Calibri"/>
        </w:rPr>
        <w:lastRenderedPageBreak/>
        <w:t xml:space="preserve">Deluc L, Barrieu F, Marchive C </w:t>
      </w:r>
      <w:r w:rsidRPr="000D3F86">
        <w:rPr>
          <w:rFonts w:eastAsia="Calibri"/>
          <w:i/>
        </w:rPr>
        <w:t>et al</w:t>
      </w:r>
      <w:r w:rsidRPr="000D3F86">
        <w:rPr>
          <w:rFonts w:eastAsia="Calibri"/>
        </w:rPr>
        <w:t xml:space="preserve">. Characterization of a grapevine R2R3-MYB transcription factor that regulates the phenylpropanoid pathway. </w:t>
      </w:r>
      <w:r w:rsidRPr="000D3F86">
        <w:rPr>
          <w:rFonts w:eastAsia="Calibri"/>
          <w:i/>
        </w:rPr>
        <w:t>Plant Physiol.</w:t>
      </w:r>
      <w:r w:rsidRPr="000D3F86">
        <w:rPr>
          <w:rFonts w:eastAsia="Calibri"/>
        </w:rPr>
        <w:t xml:space="preserve"> 140, 499–511 (2006).</w:t>
      </w:r>
      <w:bookmarkEnd w:id="130"/>
    </w:p>
    <w:p w:rsidR="00A67C10" w:rsidRPr="000D3F86" w:rsidRDefault="00A67C10" w:rsidP="00097A19">
      <w:pPr>
        <w:numPr>
          <w:ilvl w:val="0"/>
          <w:numId w:val="44"/>
        </w:numPr>
        <w:autoSpaceDE w:val="0"/>
        <w:autoSpaceDN w:val="0"/>
        <w:adjustRightInd w:val="0"/>
        <w:spacing w:after="200"/>
        <w:contextualSpacing/>
        <w:rPr>
          <w:rFonts w:eastAsia="Calibri"/>
        </w:rPr>
      </w:pPr>
      <w:bookmarkStart w:id="131" w:name="_Ref357282759"/>
      <w:r w:rsidRPr="000D3F86">
        <w:rPr>
          <w:rFonts w:eastAsia="Calibri"/>
          <w:bCs/>
        </w:rPr>
        <w:t>Ruegger M, Meyer K, Cusumano JC, Chapple C.</w:t>
      </w:r>
      <w:r w:rsidRPr="000D3F86">
        <w:rPr>
          <w:rFonts w:eastAsia="Calibri"/>
        </w:rPr>
        <w:t> Regulation of ferulate-5-hydroxylase expression in Arabidopsis in the context of sinapate ester biosynthesis. </w:t>
      </w:r>
      <w:r w:rsidRPr="000D3F86">
        <w:rPr>
          <w:rFonts w:eastAsia="Calibri"/>
          <w:i/>
          <w:iCs/>
        </w:rPr>
        <w:t>Plant Physiol.</w:t>
      </w:r>
      <w:r w:rsidRPr="000D3F86">
        <w:rPr>
          <w:rFonts w:eastAsia="Calibri"/>
        </w:rPr>
        <w:t> </w:t>
      </w:r>
      <w:r w:rsidRPr="000D3F86">
        <w:rPr>
          <w:rFonts w:eastAsia="Calibri"/>
          <w:bCs/>
        </w:rPr>
        <w:t>119,</w:t>
      </w:r>
      <w:r w:rsidRPr="000D3F86">
        <w:rPr>
          <w:rFonts w:eastAsia="Calibri"/>
        </w:rPr>
        <w:t> 101–110</w:t>
      </w:r>
      <w:bookmarkEnd w:id="131"/>
      <w:r w:rsidRPr="000D3F86">
        <w:rPr>
          <w:rFonts w:eastAsia="Calibri"/>
        </w:rPr>
        <w:t xml:space="preserve"> (1999).</w:t>
      </w:r>
    </w:p>
    <w:p w:rsidR="00A67C10" w:rsidRPr="000D3F86" w:rsidRDefault="00A67C10" w:rsidP="00097A19">
      <w:pPr>
        <w:numPr>
          <w:ilvl w:val="0"/>
          <w:numId w:val="44"/>
        </w:numPr>
        <w:autoSpaceDE w:val="0"/>
        <w:autoSpaceDN w:val="0"/>
        <w:adjustRightInd w:val="0"/>
        <w:spacing w:after="200"/>
        <w:contextualSpacing/>
        <w:rPr>
          <w:rFonts w:eastAsia="Calibri"/>
        </w:rPr>
      </w:pPr>
      <w:bookmarkStart w:id="132" w:name="_Ref363896321"/>
      <w:r w:rsidRPr="000D3F86">
        <w:rPr>
          <w:rFonts w:eastAsia="Calibri"/>
        </w:rPr>
        <w:t>Seifert GJ, Blaukopf C. Irritable walls: the plant extracellular matrix and signaling. </w:t>
      </w:r>
      <w:r w:rsidRPr="000D3F86">
        <w:rPr>
          <w:rFonts w:eastAsia="Calibri"/>
          <w:i/>
          <w:iCs/>
        </w:rPr>
        <w:t xml:space="preserve">Plant Physiol. </w:t>
      </w:r>
      <w:r w:rsidRPr="000D3F86">
        <w:rPr>
          <w:rFonts w:eastAsia="Calibri"/>
          <w:iCs/>
        </w:rPr>
        <w:t>153</w:t>
      </w:r>
      <w:r w:rsidRPr="000D3F86">
        <w:rPr>
          <w:rFonts w:eastAsia="Calibri"/>
        </w:rPr>
        <w:t>(2), 467-478 (2010).</w:t>
      </w:r>
      <w:bookmarkEnd w:id="132"/>
    </w:p>
    <w:p w:rsidR="00A67C10" w:rsidRPr="000D3F86" w:rsidRDefault="00A67C10" w:rsidP="00097A19">
      <w:pPr>
        <w:numPr>
          <w:ilvl w:val="0"/>
          <w:numId w:val="44"/>
        </w:numPr>
        <w:autoSpaceDE w:val="0"/>
        <w:autoSpaceDN w:val="0"/>
        <w:adjustRightInd w:val="0"/>
        <w:spacing w:after="200"/>
        <w:contextualSpacing/>
        <w:rPr>
          <w:rFonts w:eastAsia="Calibri"/>
        </w:rPr>
      </w:pPr>
      <w:bookmarkStart w:id="133" w:name="_Ref363896323"/>
      <w:r w:rsidRPr="000D3F86">
        <w:rPr>
          <w:rFonts w:eastAsia="Calibri"/>
        </w:rPr>
        <w:t>Hamann T. Plant cell wall integrity maintenance as an essential component of biotic stress response mechanisms. </w:t>
      </w:r>
      <w:r w:rsidRPr="000D3F86">
        <w:rPr>
          <w:rFonts w:eastAsia="Calibri"/>
          <w:i/>
          <w:iCs/>
        </w:rPr>
        <w:t>Front. Plant Sci.</w:t>
      </w:r>
      <w:r w:rsidRPr="000D3F86">
        <w:rPr>
          <w:rFonts w:eastAsia="Calibri"/>
        </w:rPr>
        <w:t xml:space="preserve"> </w:t>
      </w:r>
      <w:r w:rsidRPr="000D3F86">
        <w:rPr>
          <w:rFonts w:eastAsia="Calibri"/>
          <w:iCs/>
        </w:rPr>
        <w:t>3</w:t>
      </w:r>
      <w:r w:rsidRPr="000D3F86">
        <w:rPr>
          <w:rFonts w:eastAsia="Calibri"/>
        </w:rPr>
        <w:t>, (2012).</w:t>
      </w:r>
      <w:bookmarkEnd w:id="133"/>
    </w:p>
    <w:p w:rsidR="00A67C10" w:rsidRPr="000D3F86" w:rsidRDefault="00A67C10" w:rsidP="00097A19">
      <w:pPr>
        <w:numPr>
          <w:ilvl w:val="0"/>
          <w:numId w:val="44"/>
        </w:numPr>
        <w:autoSpaceDE w:val="0"/>
        <w:autoSpaceDN w:val="0"/>
        <w:adjustRightInd w:val="0"/>
        <w:spacing w:after="200"/>
        <w:contextualSpacing/>
        <w:rPr>
          <w:rFonts w:eastAsia="Calibri"/>
        </w:rPr>
      </w:pPr>
      <w:bookmarkStart w:id="134" w:name="_Ref357265908"/>
      <w:bookmarkStart w:id="135" w:name="_Ref357286340"/>
      <w:r w:rsidRPr="000D3F86">
        <w:rPr>
          <w:rFonts w:eastAsia="Calibri"/>
          <w:bCs/>
        </w:rPr>
        <w:t>Peters NK</w:t>
      </w:r>
      <w:r w:rsidRPr="000D3F86">
        <w:rPr>
          <w:rFonts w:eastAsia="Calibri"/>
        </w:rPr>
        <w:t>, </w:t>
      </w:r>
      <w:r w:rsidRPr="000D3F86">
        <w:rPr>
          <w:rFonts w:eastAsia="Calibri"/>
          <w:bCs/>
        </w:rPr>
        <w:t>Verma DPS.</w:t>
      </w:r>
      <w:r w:rsidRPr="000D3F86">
        <w:rPr>
          <w:rFonts w:eastAsia="Calibri"/>
        </w:rPr>
        <w:t xml:space="preserve"> Phenolic compounds as regulators of gene expression in plant-microbe interactions. </w:t>
      </w:r>
      <w:r w:rsidRPr="000D3F86">
        <w:rPr>
          <w:rFonts w:eastAsia="Calibri"/>
          <w:i/>
        </w:rPr>
        <w:t>Mol. Plant-Microbe Interact</w:t>
      </w:r>
      <w:r w:rsidRPr="000D3F86">
        <w:rPr>
          <w:rFonts w:eastAsia="Calibri"/>
        </w:rPr>
        <w:t>. </w:t>
      </w:r>
      <w:r w:rsidRPr="000D3F86">
        <w:rPr>
          <w:rFonts w:eastAsia="Calibri"/>
          <w:bCs/>
        </w:rPr>
        <w:t>3</w:t>
      </w:r>
      <w:r w:rsidRPr="000D3F86">
        <w:rPr>
          <w:rFonts w:eastAsia="Calibri"/>
        </w:rPr>
        <w:t>, 4–8</w:t>
      </w:r>
      <w:bookmarkEnd w:id="134"/>
      <w:r w:rsidRPr="000D3F86">
        <w:rPr>
          <w:rFonts w:eastAsia="Calibri"/>
        </w:rPr>
        <w:t xml:space="preserve"> (1990).</w:t>
      </w:r>
    </w:p>
    <w:p w:rsidR="00A67C10" w:rsidRPr="000D3F86" w:rsidRDefault="00A67C10" w:rsidP="00097A19">
      <w:pPr>
        <w:numPr>
          <w:ilvl w:val="0"/>
          <w:numId w:val="44"/>
        </w:numPr>
        <w:autoSpaceDE w:val="0"/>
        <w:autoSpaceDN w:val="0"/>
        <w:adjustRightInd w:val="0"/>
        <w:spacing w:after="200"/>
        <w:contextualSpacing/>
        <w:rPr>
          <w:rFonts w:eastAsia="Calibri"/>
        </w:rPr>
      </w:pPr>
      <w:bookmarkStart w:id="136" w:name="_Ref363567567"/>
      <w:r w:rsidRPr="000D3F86">
        <w:rPr>
          <w:rFonts w:eastAsia="Calibri"/>
        </w:rPr>
        <w:t xml:space="preserve">Zhu B, Chen TH, Li PH. Expression of three osmotin-like protein genes in response to osmotic stress and fungal infection in potato. </w:t>
      </w:r>
      <w:r w:rsidRPr="000D3F86">
        <w:rPr>
          <w:rFonts w:eastAsia="Calibri"/>
          <w:i/>
        </w:rPr>
        <w:t>Plant Mol. Biol.</w:t>
      </w:r>
      <w:r w:rsidRPr="000D3F86">
        <w:rPr>
          <w:rFonts w:eastAsia="Calibri"/>
        </w:rPr>
        <w:t xml:space="preserve"> 28, 17–26</w:t>
      </w:r>
      <w:bookmarkEnd w:id="135"/>
      <w:r w:rsidRPr="000D3F86">
        <w:rPr>
          <w:rFonts w:eastAsia="Calibri"/>
        </w:rPr>
        <w:t xml:space="preserve"> (1995).</w:t>
      </w:r>
      <w:bookmarkEnd w:id="136"/>
    </w:p>
    <w:p w:rsidR="00A67C10" w:rsidRPr="000D3F86" w:rsidRDefault="00A67C10" w:rsidP="00097A19">
      <w:pPr>
        <w:numPr>
          <w:ilvl w:val="0"/>
          <w:numId w:val="44"/>
        </w:numPr>
        <w:shd w:val="clear" w:color="auto" w:fill="FFFFFF"/>
        <w:spacing w:after="200"/>
        <w:contextualSpacing/>
        <w:textAlignment w:val="baseline"/>
        <w:rPr>
          <w:rFonts w:eastAsia="Calibri"/>
        </w:rPr>
      </w:pPr>
      <w:bookmarkStart w:id="137" w:name="_Ref357286744"/>
      <w:r w:rsidRPr="000D3F86">
        <w:rPr>
          <w:rFonts w:eastAsia="Calibri"/>
        </w:rPr>
        <w:t xml:space="preserve">Ryan CA, Farmer EE. Oligosaccharide signaling in plants: a current assessment. </w:t>
      </w:r>
      <w:r w:rsidRPr="000D3F86">
        <w:rPr>
          <w:rFonts w:eastAsia="Calibri"/>
          <w:i/>
        </w:rPr>
        <w:t>Annu. Rev. Plant Physiol. Mol. Biol</w:t>
      </w:r>
      <w:r w:rsidRPr="000D3F86">
        <w:rPr>
          <w:rFonts w:eastAsia="Calibri"/>
        </w:rPr>
        <w:t>.  42, 651-674</w:t>
      </w:r>
      <w:bookmarkEnd w:id="137"/>
      <w:r w:rsidRPr="000D3F86">
        <w:rPr>
          <w:rFonts w:eastAsia="Calibri"/>
        </w:rPr>
        <w:t xml:space="preserve"> (1991). </w:t>
      </w:r>
    </w:p>
    <w:p w:rsidR="00A67C10" w:rsidRPr="000D3F86" w:rsidRDefault="00A67C10" w:rsidP="00097A19">
      <w:pPr>
        <w:numPr>
          <w:ilvl w:val="0"/>
          <w:numId w:val="44"/>
        </w:numPr>
        <w:shd w:val="clear" w:color="auto" w:fill="FFFFFF"/>
        <w:spacing w:after="200"/>
        <w:contextualSpacing/>
        <w:textAlignment w:val="baseline"/>
        <w:rPr>
          <w:rFonts w:eastAsia="Calibri"/>
        </w:rPr>
      </w:pPr>
      <w:bookmarkStart w:id="138" w:name="_Ref357286747"/>
      <w:r w:rsidRPr="000D3F86">
        <w:rPr>
          <w:rFonts w:eastAsia="Calibri"/>
        </w:rPr>
        <w:t xml:space="preserve">Darvill A, Augur C, Bergmann C </w:t>
      </w:r>
      <w:r w:rsidRPr="000D3F86">
        <w:rPr>
          <w:rFonts w:eastAsia="Calibri"/>
          <w:i/>
        </w:rPr>
        <w:t>et al</w:t>
      </w:r>
      <w:r w:rsidRPr="000D3F86">
        <w:rPr>
          <w:rFonts w:eastAsia="Calibri"/>
        </w:rPr>
        <w:t xml:space="preserve">. Oligosaccharins-oligosaccharides that regulate growth, development and defense responses in plants. </w:t>
      </w:r>
      <w:r w:rsidRPr="000D3F86">
        <w:rPr>
          <w:rFonts w:eastAsia="Calibri"/>
          <w:i/>
        </w:rPr>
        <w:t>Glycobiology</w:t>
      </w:r>
      <w:r w:rsidRPr="000D3F86">
        <w:rPr>
          <w:rFonts w:eastAsia="Calibri"/>
        </w:rPr>
        <w:t xml:space="preserve"> 2, 181-19</w:t>
      </w:r>
      <w:bookmarkEnd w:id="138"/>
      <w:r w:rsidRPr="000D3F86">
        <w:rPr>
          <w:rFonts w:eastAsia="Calibri"/>
        </w:rPr>
        <w:t>8 (1992).</w:t>
      </w:r>
    </w:p>
    <w:p w:rsidR="00A67C10" w:rsidRPr="000D3F86" w:rsidRDefault="00A67C10" w:rsidP="00097A19">
      <w:pPr>
        <w:numPr>
          <w:ilvl w:val="0"/>
          <w:numId w:val="44"/>
        </w:numPr>
        <w:autoSpaceDE w:val="0"/>
        <w:autoSpaceDN w:val="0"/>
        <w:adjustRightInd w:val="0"/>
        <w:spacing w:after="200"/>
        <w:contextualSpacing/>
        <w:rPr>
          <w:rFonts w:eastAsia="Calibri"/>
        </w:rPr>
      </w:pPr>
      <w:bookmarkStart w:id="139" w:name="_Ref357286749"/>
      <w:r w:rsidRPr="000D3F86">
        <w:rPr>
          <w:rFonts w:eastAsia="Calibri"/>
          <w:lang w:val="it-IT"/>
        </w:rPr>
        <w:t xml:space="preserve">Roco A, Castaneda P, Perez LM. </w:t>
      </w:r>
      <w:r w:rsidRPr="000D3F86">
        <w:rPr>
          <w:rFonts w:eastAsia="Calibri"/>
        </w:rPr>
        <w:t xml:space="preserve">Oligosaccharides released by pectinase treatment of citrus </w:t>
      </w:r>
      <w:proofErr w:type="gramStart"/>
      <w:r w:rsidRPr="000D3F86">
        <w:rPr>
          <w:rFonts w:eastAsia="Calibri"/>
        </w:rPr>
        <w:t>limon</w:t>
      </w:r>
      <w:proofErr w:type="gramEnd"/>
      <w:r w:rsidRPr="000D3F86">
        <w:rPr>
          <w:rFonts w:eastAsia="Calibri"/>
        </w:rPr>
        <w:t xml:space="preserve"> seedlings are elicitors of the plant response. </w:t>
      </w:r>
      <w:r w:rsidRPr="000D3F86">
        <w:rPr>
          <w:rFonts w:eastAsia="Calibri"/>
          <w:i/>
        </w:rPr>
        <w:t>Phytochemistry</w:t>
      </w:r>
      <w:r w:rsidRPr="000D3F86">
        <w:rPr>
          <w:rFonts w:eastAsia="Calibri"/>
        </w:rPr>
        <w:t>. 33, 1301–1306</w:t>
      </w:r>
      <w:bookmarkEnd w:id="139"/>
      <w:r w:rsidRPr="000D3F86">
        <w:rPr>
          <w:rFonts w:eastAsia="Calibri"/>
        </w:rPr>
        <w:t xml:space="preserve"> (1993).</w:t>
      </w:r>
    </w:p>
    <w:p w:rsidR="00A67C10" w:rsidRPr="000D3F86" w:rsidRDefault="00A67C10" w:rsidP="00097A19">
      <w:pPr>
        <w:numPr>
          <w:ilvl w:val="0"/>
          <w:numId w:val="44"/>
        </w:numPr>
        <w:autoSpaceDE w:val="0"/>
        <w:autoSpaceDN w:val="0"/>
        <w:adjustRightInd w:val="0"/>
        <w:spacing w:after="200"/>
        <w:contextualSpacing/>
        <w:rPr>
          <w:rFonts w:eastAsia="Calibri"/>
        </w:rPr>
      </w:pPr>
      <w:bookmarkStart w:id="140" w:name="_Ref357287480"/>
      <w:r w:rsidRPr="000D3F86">
        <w:rPr>
          <w:rFonts w:eastAsia="Calibri"/>
        </w:rPr>
        <w:t>Bari R, Jones JDG. Role of plant hormones in plant defence responses. </w:t>
      </w:r>
      <w:r w:rsidRPr="000D3F86">
        <w:rPr>
          <w:rFonts w:eastAsia="Calibri"/>
          <w:i/>
        </w:rPr>
        <w:t xml:space="preserve">Plant Mol. Biol. </w:t>
      </w:r>
      <w:r w:rsidRPr="000D3F86">
        <w:rPr>
          <w:rFonts w:eastAsia="Calibri"/>
        </w:rPr>
        <w:t>69, 473-488</w:t>
      </w:r>
      <w:bookmarkEnd w:id="140"/>
      <w:r w:rsidRPr="000D3F86">
        <w:rPr>
          <w:rFonts w:eastAsia="Calibri"/>
        </w:rPr>
        <w:t xml:space="preserve"> (2009). </w:t>
      </w:r>
    </w:p>
    <w:p w:rsidR="00A67C10" w:rsidRPr="000D3F86" w:rsidRDefault="00A67C10" w:rsidP="00097A19">
      <w:pPr>
        <w:numPr>
          <w:ilvl w:val="0"/>
          <w:numId w:val="44"/>
        </w:numPr>
        <w:autoSpaceDE w:val="0"/>
        <w:autoSpaceDN w:val="0"/>
        <w:adjustRightInd w:val="0"/>
        <w:spacing w:after="200"/>
        <w:contextualSpacing/>
        <w:rPr>
          <w:rFonts w:eastAsia="Calibri"/>
        </w:rPr>
      </w:pPr>
      <w:bookmarkStart w:id="141" w:name="_Ref357287616"/>
      <w:r w:rsidRPr="000D3F86">
        <w:rPr>
          <w:rFonts w:eastAsia="Calibri"/>
        </w:rPr>
        <w:t xml:space="preserve">Wildermuth MC, Dewdney J, Wu G, Ausubel FM. Isochorismate synthase is required to synthesize salicylic acid for plant defence. </w:t>
      </w:r>
      <w:r w:rsidRPr="000D3F86">
        <w:rPr>
          <w:rFonts w:eastAsia="Calibri"/>
          <w:i/>
        </w:rPr>
        <w:t>Nature</w:t>
      </w:r>
      <w:r w:rsidRPr="000D3F86">
        <w:rPr>
          <w:rFonts w:eastAsia="Calibri"/>
        </w:rPr>
        <w:t xml:space="preserve"> 414, 562–56</w:t>
      </w:r>
      <w:bookmarkEnd w:id="141"/>
      <w:r w:rsidRPr="000D3F86">
        <w:rPr>
          <w:rFonts w:eastAsia="Calibri"/>
        </w:rPr>
        <w:t>5 (2001).</w:t>
      </w:r>
    </w:p>
    <w:p w:rsidR="00A67C10" w:rsidRPr="000D3F86" w:rsidRDefault="00A67C10" w:rsidP="00097A19">
      <w:pPr>
        <w:numPr>
          <w:ilvl w:val="0"/>
          <w:numId w:val="44"/>
        </w:numPr>
        <w:autoSpaceDE w:val="0"/>
        <w:autoSpaceDN w:val="0"/>
        <w:adjustRightInd w:val="0"/>
        <w:spacing w:after="200"/>
        <w:contextualSpacing/>
        <w:rPr>
          <w:rFonts w:eastAsia="Calibri"/>
        </w:rPr>
      </w:pPr>
      <w:bookmarkStart w:id="142" w:name="_Ref357288066"/>
      <w:r w:rsidRPr="000D3F86">
        <w:rPr>
          <w:rFonts w:eastAsia="Calibri"/>
          <w:lang w:val="it-IT"/>
        </w:rPr>
        <w:t xml:space="preserve">Gallego-Giraldo L, Escamilla-Trevino L, Jackson LA, Dixon RA. </w:t>
      </w:r>
      <w:r w:rsidRPr="000D3F86">
        <w:rPr>
          <w:rFonts w:eastAsia="Calibri"/>
        </w:rPr>
        <w:t>Salicylic acid mediates the reduced growth of lignin down-regulated plants. </w:t>
      </w:r>
      <w:r w:rsidRPr="000D3F86">
        <w:rPr>
          <w:rFonts w:eastAsia="Calibri"/>
          <w:i/>
          <w:iCs/>
        </w:rPr>
        <w:t>Proc. Natl Acad. Sci. USA </w:t>
      </w:r>
      <w:r w:rsidRPr="000D3F86">
        <w:rPr>
          <w:rFonts w:eastAsia="Calibri"/>
        </w:rPr>
        <w:t>108, 20814–20819</w:t>
      </w:r>
      <w:bookmarkEnd w:id="142"/>
      <w:r w:rsidRPr="000D3F86">
        <w:rPr>
          <w:rFonts w:eastAsia="Calibri"/>
        </w:rPr>
        <w:t xml:space="preserve"> (2011).</w:t>
      </w:r>
    </w:p>
    <w:p w:rsidR="00A67C10" w:rsidRPr="000D3F86" w:rsidRDefault="00A67C10" w:rsidP="00097A19">
      <w:pPr>
        <w:numPr>
          <w:ilvl w:val="0"/>
          <w:numId w:val="44"/>
        </w:numPr>
        <w:autoSpaceDE w:val="0"/>
        <w:autoSpaceDN w:val="0"/>
        <w:adjustRightInd w:val="0"/>
        <w:spacing w:after="200"/>
        <w:contextualSpacing/>
        <w:rPr>
          <w:rFonts w:eastAsia="Calibri"/>
        </w:rPr>
      </w:pPr>
      <w:bookmarkStart w:id="143" w:name="_Ref357288214"/>
      <w:r w:rsidRPr="000D3F86">
        <w:rPr>
          <w:rFonts w:eastAsia="Calibri"/>
        </w:rPr>
        <w:t xml:space="preserve">Alexander D, Glascock C, Pear J </w:t>
      </w:r>
      <w:r w:rsidRPr="000D3F86">
        <w:rPr>
          <w:rFonts w:eastAsia="Calibri"/>
          <w:i/>
        </w:rPr>
        <w:t>et al</w:t>
      </w:r>
      <w:r w:rsidRPr="000D3F86">
        <w:rPr>
          <w:rFonts w:eastAsia="Calibri"/>
        </w:rPr>
        <w:t xml:space="preserve">. Systemic acquired resistance in tobacco: use of transgenic expression to study the function of pathogenesis-related proteins. </w:t>
      </w:r>
      <w:r w:rsidRPr="000D3F86">
        <w:rPr>
          <w:rFonts w:eastAsia="Calibri"/>
          <w:i/>
        </w:rPr>
        <w:t>Adv. Mol. Genet. Plant–Microbe Interact</w:t>
      </w:r>
      <w:r w:rsidRPr="000D3F86">
        <w:rPr>
          <w:rFonts w:eastAsia="Calibri"/>
        </w:rPr>
        <w:t>. 2, 527–533</w:t>
      </w:r>
      <w:bookmarkEnd w:id="143"/>
      <w:r w:rsidRPr="000D3F86">
        <w:rPr>
          <w:rFonts w:eastAsia="Calibri"/>
        </w:rPr>
        <w:t xml:space="preserve"> (1993).</w:t>
      </w:r>
    </w:p>
    <w:p w:rsidR="00A67C10" w:rsidRPr="000D3F86" w:rsidRDefault="00A67C10" w:rsidP="00097A19">
      <w:pPr>
        <w:numPr>
          <w:ilvl w:val="0"/>
          <w:numId w:val="44"/>
        </w:numPr>
        <w:autoSpaceDE w:val="0"/>
        <w:autoSpaceDN w:val="0"/>
        <w:adjustRightInd w:val="0"/>
        <w:spacing w:after="200"/>
        <w:contextualSpacing/>
        <w:rPr>
          <w:rFonts w:eastAsia="Calibri"/>
        </w:rPr>
      </w:pPr>
      <w:bookmarkStart w:id="144" w:name="_Ref357288215"/>
      <w:r w:rsidRPr="000D3F86">
        <w:rPr>
          <w:rFonts w:eastAsia="Calibri"/>
          <w:lang w:val="it-IT"/>
        </w:rPr>
        <w:t xml:space="preserve">Broglie K, Chet I, Holliday M </w:t>
      </w:r>
      <w:r w:rsidRPr="000D3F86">
        <w:rPr>
          <w:rFonts w:eastAsia="Calibri"/>
          <w:i/>
          <w:lang w:val="it-IT"/>
        </w:rPr>
        <w:t>et al</w:t>
      </w:r>
      <w:r w:rsidRPr="000D3F86">
        <w:rPr>
          <w:rFonts w:eastAsia="Calibri"/>
          <w:lang w:val="it-IT"/>
        </w:rPr>
        <w:t xml:space="preserve">. </w:t>
      </w:r>
      <w:r w:rsidRPr="000D3F86">
        <w:rPr>
          <w:rFonts w:eastAsia="Calibri"/>
        </w:rPr>
        <w:t xml:space="preserve">Transgenic plants with enhanced resistance to the fungal pathogen, </w:t>
      </w:r>
      <w:r w:rsidRPr="000D3F86">
        <w:rPr>
          <w:rFonts w:eastAsia="Calibri"/>
          <w:i/>
        </w:rPr>
        <w:t>Rhizoctonia solani</w:t>
      </w:r>
      <w:r w:rsidRPr="000D3F86">
        <w:rPr>
          <w:rFonts w:eastAsia="Calibri"/>
        </w:rPr>
        <w:t xml:space="preserve">. </w:t>
      </w:r>
      <w:r w:rsidRPr="000D3F86">
        <w:rPr>
          <w:rFonts w:eastAsia="Calibri"/>
          <w:i/>
        </w:rPr>
        <w:t>Science</w:t>
      </w:r>
      <w:r w:rsidRPr="000D3F86">
        <w:rPr>
          <w:rFonts w:eastAsia="Calibri"/>
        </w:rPr>
        <w:t xml:space="preserve"> 254, 1194–1197</w:t>
      </w:r>
      <w:bookmarkEnd w:id="144"/>
      <w:r w:rsidRPr="000D3F86">
        <w:rPr>
          <w:rFonts w:eastAsia="Calibri"/>
        </w:rPr>
        <w:t xml:space="preserve"> (1991).</w:t>
      </w:r>
    </w:p>
    <w:p w:rsidR="00A67C10" w:rsidRPr="000D3F86" w:rsidRDefault="00A67C10" w:rsidP="00097A19">
      <w:pPr>
        <w:numPr>
          <w:ilvl w:val="0"/>
          <w:numId w:val="44"/>
        </w:numPr>
        <w:autoSpaceDE w:val="0"/>
        <w:autoSpaceDN w:val="0"/>
        <w:adjustRightInd w:val="0"/>
        <w:spacing w:after="200"/>
        <w:contextualSpacing/>
        <w:rPr>
          <w:rFonts w:eastAsia="Calibri"/>
        </w:rPr>
      </w:pPr>
      <w:bookmarkStart w:id="145" w:name="_Ref357288468"/>
      <w:r w:rsidRPr="000D3F86">
        <w:rPr>
          <w:rFonts w:eastAsia="Calibri"/>
        </w:rPr>
        <w:t xml:space="preserve">Mir G, Domenech J, Huguet G </w:t>
      </w:r>
      <w:r w:rsidRPr="000D3F86">
        <w:rPr>
          <w:rFonts w:eastAsia="Calibri"/>
          <w:i/>
        </w:rPr>
        <w:t>et al</w:t>
      </w:r>
      <w:r w:rsidRPr="000D3F86">
        <w:rPr>
          <w:rFonts w:eastAsia="Calibri"/>
        </w:rPr>
        <w:t xml:space="preserve">. A plant type 2 metallothionein (MT) from cork tissue responds to oxidative stress. </w:t>
      </w:r>
      <w:r w:rsidRPr="000D3F86">
        <w:rPr>
          <w:rFonts w:eastAsia="Calibri"/>
          <w:i/>
        </w:rPr>
        <w:t>J. Exp. Bot.</w:t>
      </w:r>
      <w:r w:rsidRPr="000D3F86">
        <w:rPr>
          <w:rFonts w:eastAsia="Calibri"/>
        </w:rPr>
        <w:t xml:space="preserve"> 55, 2483–2493</w:t>
      </w:r>
      <w:bookmarkEnd w:id="145"/>
      <w:r w:rsidRPr="000D3F86">
        <w:rPr>
          <w:rFonts w:eastAsia="Calibri"/>
        </w:rPr>
        <w:t xml:space="preserve"> (2004).</w:t>
      </w:r>
    </w:p>
    <w:p w:rsidR="00A67C10" w:rsidRPr="000D3F86" w:rsidRDefault="00A67C10" w:rsidP="00097A19">
      <w:pPr>
        <w:numPr>
          <w:ilvl w:val="0"/>
          <w:numId w:val="44"/>
        </w:numPr>
        <w:autoSpaceDE w:val="0"/>
        <w:autoSpaceDN w:val="0"/>
        <w:adjustRightInd w:val="0"/>
        <w:spacing w:after="200"/>
        <w:contextualSpacing/>
        <w:rPr>
          <w:rFonts w:eastAsia="Calibri"/>
        </w:rPr>
      </w:pPr>
      <w:bookmarkStart w:id="146" w:name="_Ref357288470"/>
      <w:r w:rsidRPr="000D3F86">
        <w:rPr>
          <w:rFonts w:eastAsia="Calibri"/>
        </w:rPr>
        <w:t xml:space="preserve">Wilce MCJ, Parker MW. Structure and function of glutathione S-transferases. </w:t>
      </w:r>
      <w:r w:rsidRPr="000D3F86">
        <w:rPr>
          <w:rFonts w:eastAsia="Calibri"/>
          <w:i/>
        </w:rPr>
        <w:t>Biochim. Biophys. Acta.</w:t>
      </w:r>
      <w:r w:rsidRPr="000D3F86">
        <w:rPr>
          <w:rFonts w:eastAsia="Calibri"/>
        </w:rPr>
        <w:t xml:space="preserve"> 1205, 1–18</w:t>
      </w:r>
      <w:bookmarkEnd w:id="146"/>
      <w:r w:rsidRPr="000D3F86">
        <w:rPr>
          <w:rFonts w:eastAsia="Calibri"/>
        </w:rPr>
        <w:t xml:space="preserve"> (1994).</w:t>
      </w:r>
    </w:p>
    <w:p w:rsidR="00A67C10" w:rsidRPr="000D3F86" w:rsidRDefault="00A67C10" w:rsidP="00097A19">
      <w:pPr>
        <w:numPr>
          <w:ilvl w:val="0"/>
          <w:numId w:val="44"/>
        </w:numPr>
        <w:spacing w:after="200"/>
        <w:contextualSpacing/>
        <w:rPr>
          <w:rFonts w:eastAsia="Calibri"/>
        </w:rPr>
      </w:pPr>
      <w:bookmarkStart w:id="147" w:name="_Ref357358615"/>
      <w:r w:rsidRPr="000D3F86">
        <w:rPr>
          <w:rFonts w:eastAsia="Calibri"/>
        </w:rPr>
        <w:t xml:space="preserve">Guillet G, De Luca V. Wound-inducible biosynthesis of phytoalexin hydroxycinnamic acid amides of tyramine in tryptophan and tyrosine decarboxylase transgenic tobacco lines. </w:t>
      </w:r>
      <w:r w:rsidRPr="000D3F86">
        <w:rPr>
          <w:rFonts w:eastAsia="Calibri"/>
          <w:i/>
        </w:rPr>
        <w:t>Plant Physiol.</w:t>
      </w:r>
      <w:r w:rsidRPr="000D3F86">
        <w:rPr>
          <w:rFonts w:eastAsia="Calibri"/>
        </w:rPr>
        <w:t xml:space="preserve"> 137, 692–699</w:t>
      </w:r>
      <w:bookmarkEnd w:id="147"/>
      <w:r w:rsidRPr="000D3F86">
        <w:rPr>
          <w:rFonts w:eastAsia="Calibri"/>
        </w:rPr>
        <w:t xml:space="preserve"> (2005).</w:t>
      </w:r>
    </w:p>
    <w:p w:rsidR="00A67C10" w:rsidRPr="000D3F86" w:rsidRDefault="00A67C10" w:rsidP="00097A19">
      <w:pPr>
        <w:numPr>
          <w:ilvl w:val="0"/>
          <w:numId w:val="44"/>
        </w:numPr>
        <w:autoSpaceDE w:val="0"/>
        <w:autoSpaceDN w:val="0"/>
        <w:adjustRightInd w:val="0"/>
        <w:spacing w:after="200"/>
        <w:contextualSpacing/>
        <w:rPr>
          <w:rFonts w:eastAsia="Calibri"/>
        </w:rPr>
      </w:pPr>
      <w:bookmarkStart w:id="148" w:name="_Ref357359863"/>
      <w:r w:rsidRPr="000D3F86">
        <w:rPr>
          <w:rFonts w:eastAsia="Calibri"/>
          <w:lang w:val="it-IT"/>
        </w:rPr>
        <w:t>Moeder W, Del Pozo O, Navarre DA, Martin GB, Klessig DF. </w:t>
      </w:r>
      <w:r w:rsidRPr="000D3F86">
        <w:rPr>
          <w:rFonts w:eastAsia="Calibri"/>
        </w:rPr>
        <w:t>Aconitase plays a role in regulating resistance to oxidative stress and cell death in Arabidopsis and </w:t>
      </w:r>
      <w:r w:rsidRPr="000D3F86">
        <w:rPr>
          <w:rFonts w:eastAsia="Calibri"/>
          <w:i/>
          <w:iCs/>
        </w:rPr>
        <w:t>Nicotiana benthamiana</w:t>
      </w:r>
      <w:r w:rsidRPr="000D3F86">
        <w:rPr>
          <w:rFonts w:eastAsia="Calibri"/>
        </w:rPr>
        <w:t>. </w:t>
      </w:r>
      <w:r w:rsidRPr="000D3F86">
        <w:rPr>
          <w:rFonts w:eastAsia="Calibri"/>
          <w:i/>
          <w:iCs/>
        </w:rPr>
        <w:t>Plant Mol. Biol.</w:t>
      </w:r>
      <w:r w:rsidRPr="000D3F86">
        <w:rPr>
          <w:rFonts w:eastAsia="Calibri"/>
        </w:rPr>
        <w:t> </w:t>
      </w:r>
      <w:r w:rsidRPr="000D3F86">
        <w:rPr>
          <w:rFonts w:eastAsia="Calibri"/>
          <w:bCs/>
        </w:rPr>
        <w:t>63</w:t>
      </w:r>
      <w:r w:rsidRPr="000D3F86">
        <w:rPr>
          <w:rFonts w:eastAsia="Calibri"/>
        </w:rPr>
        <w:t>, 273–287</w:t>
      </w:r>
      <w:bookmarkEnd w:id="148"/>
      <w:r w:rsidRPr="000D3F86">
        <w:rPr>
          <w:rFonts w:eastAsia="Calibri"/>
        </w:rPr>
        <w:t xml:space="preserve"> (2007). </w:t>
      </w:r>
    </w:p>
    <w:p w:rsidR="00A67C10" w:rsidRPr="000D3F86" w:rsidRDefault="00A67C10" w:rsidP="00097A19">
      <w:pPr>
        <w:numPr>
          <w:ilvl w:val="0"/>
          <w:numId w:val="44"/>
        </w:numPr>
        <w:autoSpaceDE w:val="0"/>
        <w:autoSpaceDN w:val="0"/>
        <w:adjustRightInd w:val="0"/>
        <w:spacing w:after="200"/>
        <w:contextualSpacing/>
        <w:rPr>
          <w:rFonts w:eastAsia="Calibri"/>
        </w:rPr>
      </w:pPr>
      <w:bookmarkStart w:id="149" w:name="_Ref357360105"/>
      <w:r w:rsidRPr="000D3F86">
        <w:rPr>
          <w:rFonts w:eastAsia="Calibri"/>
        </w:rPr>
        <w:lastRenderedPageBreak/>
        <w:t xml:space="preserve">Landry LG, Chapple CCS, Last RL. Arabidopsis mutants lacking phenolic sunscreens exhibit enhanced ultraviolet-B injury and oxidative damage. </w:t>
      </w:r>
      <w:r w:rsidRPr="000D3F86">
        <w:rPr>
          <w:rFonts w:eastAsia="Calibri"/>
          <w:i/>
        </w:rPr>
        <w:t>Plant Physiol</w:t>
      </w:r>
      <w:r w:rsidRPr="000D3F86">
        <w:rPr>
          <w:rFonts w:eastAsia="Calibri"/>
        </w:rPr>
        <w:t>. 109, 1159–1166</w:t>
      </w:r>
      <w:bookmarkEnd w:id="149"/>
      <w:r w:rsidRPr="000D3F86">
        <w:rPr>
          <w:rFonts w:eastAsia="Calibri"/>
        </w:rPr>
        <w:t xml:space="preserve"> (1995).</w:t>
      </w:r>
    </w:p>
    <w:p w:rsidR="00A67C10" w:rsidRPr="000D3F86" w:rsidRDefault="00A67C10" w:rsidP="00097A19">
      <w:pPr>
        <w:numPr>
          <w:ilvl w:val="0"/>
          <w:numId w:val="44"/>
        </w:numPr>
        <w:shd w:val="clear" w:color="auto" w:fill="FFFFFF"/>
        <w:spacing w:after="200"/>
        <w:contextualSpacing/>
        <w:textAlignment w:val="baseline"/>
        <w:rPr>
          <w:rFonts w:eastAsia="Calibri"/>
        </w:rPr>
      </w:pPr>
      <w:bookmarkStart w:id="150" w:name="_Ref357361553"/>
      <w:r w:rsidRPr="000D3F86">
        <w:rPr>
          <w:rFonts w:eastAsia="Calibri"/>
        </w:rPr>
        <w:t xml:space="preserve">Swamy PM, Smith B. Role of abscisic acid in plant stress tolerance. </w:t>
      </w:r>
      <w:r w:rsidRPr="000D3F86">
        <w:rPr>
          <w:rFonts w:eastAsia="Calibri"/>
          <w:i/>
          <w:iCs/>
        </w:rPr>
        <w:t xml:space="preserve">Current Sci. </w:t>
      </w:r>
      <w:r w:rsidRPr="000D3F86">
        <w:rPr>
          <w:rFonts w:eastAsia="Calibri"/>
        </w:rPr>
        <w:t>76, 1220–1227</w:t>
      </w:r>
      <w:bookmarkEnd w:id="150"/>
      <w:r w:rsidRPr="000D3F86">
        <w:rPr>
          <w:rFonts w:eastAsia="Calibri"/>
        </w:rPr>
        <w:t xml:space="preserve"> (1999).</w:t>
      </w:r>
    </w:p>
    <w:p w:rsidR="00A67C10" w:rsidRPr="000D3F86" w:rsidRDefault="00A67C10" w:rsidP="00097A19">
      <w:pPr>
        <w:numPr>
          <w:ilvl w:val="0"/>
          <w:numId w:val="44"/>
        </w:numPr>
        <w:autoSpaceDE w:val="0"/>
        <w:autoSpaceDN w:val="0"/>
        <w:adjustRightInd w:val="0"/>
        <w:spacing w:after="200"/>
        <w:contextualSpacing/>
        <w:rPr>
          <w:rFonts w:eastAsia="Calibri"/>
        </w:rPr>
      </w:pPr>
      <w:bookmarkStart w:id="151" w:name="_Ref357361711"/>
      <w:bookmarkStart w:id="152" w:name="_Ref363915322"/>
      <w:r w:rsidRPr="000D3F86">
        <w:rPr>
          <w:rFonts w:eastAsia="Calibri"/>
        </w:rPr>
        <w:t xml:space="preserve">Xu Z, Zhou G. Responses of leaf stomatal density to water status and its relationship with photosynthesis in a grass. </w:t>
      </w:r>
      <w:r w:rsidRPr="000D3F86">
        <w:rPr>
          <w:rFonts w:eastAsia="Calibri"/>
          <w:i/>
        </w:rPr>
        <w:t>J. Exp. Bot.</w:t>
      </w:r>
      <w:r w:rsidRPr="000D3F86">
        <w:rPr>
          <w:rFonts w:eastAsia="Calibri"/>
        </w:rPr>
        <w:t xml:space="preserve"> 59, 3317–3325</w:t>
      </w:r>
      <w:bookmarkEnd w:id="151"/>
      <w:r w:rsidRPr="000D3F86">
        <w:rPr>
          <w:rFonts w:eastAsia="Calibri"/>
        </w:rPr>
        <w:t xml:space="preserve"> (2008).</w:t>
      </w:r>
    </w:p>
    <w:p w:rsidR="00A67C10" w:rsidRPr="000D3F86" w:rsidRDefault="00A67C10" w:rsidP="00097A19">
      <w:pPr>
        <w:numPr>
          <w:ilvl w:val="0"/>
          <w:numId w:val="44"/>
        </w:numPr>
        <w:shd w:val="clear" w:color="auto" w:fill="FFFFFF"/>
        <w:spacing w:after="200"/>
        <w:contextualSpacing/>
        <w:textAlignment w:val="baseline"/>
        <w:rPr>
          <w:rFonts w:eastAsia="Calibri"/>
        </w:rPr>
      </w:pPr>
      <w:bookmarkStart w:id="153" w:name="_Ref363915407"/>
      <w:bookmarkStart w:id="154" w:name="_Ref364180753"/>
      <w:r w:rsidRPr="000D3F86">
        <w:rPr>
          <w:rFonts w:eastAsia="Calibri"/>
        </w:rPr>
        <w:t>Wang ZY, Scott M, Bell J, Hopkins A, Lehmann D. Field performance of transgenic tall fescue (</w:t>
      </w:r>
      <w:r w:rsidRPr="000D3F86">
        <w:rPr>
          <w:rFonts w:eastAsia="Calibri"/>
          <w:i/>
        </w:rPr>
        <w:t xml:space="preserve">Festuca arundinacea </w:t>
      </w:r>
      <w:r w:rsidRPr="000D3F86">
        <w:rPr>
          <w:rFonts w:eastAsia="Calibri"/>
        </w:rPr>
        <w:t>Schreb.) plants and their progenies. </w:t>
      </w:r>
      <w:r w:rsidRPr="000D3F86">
        <w:rPr>
          <w:rFonts w:eastAsia="Calibri"/>
          <w:i/>
          <w:iCs/>
        </w:rPr>
        <w:t>Theor. Appl. Genet.</w:t>
      </w:r>
      <w:r w:rsidRPr="000D3F86">
        <w:rPr>
          <w:rFonts w:eastAsia="Calibri"/>
        </w:rPr>
        <w:t> </w:t>
      </w:r>
      <w:r w:rsidRPr="000D3F86">
        <w:rPr>
          <w:rFonts w:eastAsia="Calibri"/>
          <w:iCs/>
        </w:rPr>
        <w:t>107</w:t>
      </w:r>
      <w:r w:rsidRPr="000D3F86">
        <w:rPr>
          <w:rFonts w:eastAsia="Calibri"/>
        </w:rPr>
        <w:t>(3), 406-412 (2003).</w:t>
      </w:r>
      <w:bookmarkEnd w:id="153"/>
    </w:p>
    <w:p w:rsidR="00A67C10" w:rsidRPr="000D3F86" w:rsidRDefault="00A67C10" w:rsidP="00097A19">
      <w:pPr>
        <w:numPr>
          <w:ilvl w:val="0"/>
          <w:numId w:val="44"/>
        </w:numPr>
        <w:autoSpaceDE w:val="0"/>
        <w:autoSpaceDN w:val="0"/>
        <w:adjustRightInd w:val="0"/>
        <w:spacing w:after="200"/>
        <w:contextualSpacing/>
        <w:rPr>
          <w:rFonts w:eastAsia="Calibri"/>
        </w:rPr>
      </w:pPr>
      <w:bookmarkStart w:id="155" w:name="_Ref364180900"/>
      <w:r w:rsidRPr="000D3F86">
        <w:rPr>
          <w:rFonts w:eastAsia="Calibri"/>
        </w:rPr>
        <w:t xml:space="preserve">Voelker, SL, Lachenbruch B, Meinzer FC </w:t>
      </w:r>
      <w:r w:rsidRPr="000D3F86">
        <w:rPr>
          <w:rFonts w:eastAsia="Calibri"/>
          <w:i/>
        </w:rPr>
        <w:t>et al</w:t>
      </w:r>
      <w:r w:rsidRPr="000D3F86">
        <w:rPr>
          <w:rFonts w:eastAsia="Calibri"/>
        </w:rPr>
        <w:t>. Antisense down-regulation of 4CL expression alters lignification, tree growth, and saccharification potential of field-grown poplar. </w:t>
      </w:r>
      <w:r w:rsidRPr="000D3F86">
        <w:rPr>
          <w:rFonts w:eastAsia="Calibri"/>
          <w:i/>
          <w:iCs/>
        </w:rPr>
        <w:t xml:space="preserve">Plant </w:t>
      </w:r>
      <w:proofErr w:type="gramStart"/>
      <w:r w:rsidRPr="000D3F86">
        <w:rPr>
          <w:rFonts w:eastAsia="Calibri"/>
          <w:i/>
          <w:iCs/>
        </w:rPr>
        <w:t>Physiol.</w:t>
      </w:r>
      <w:r w:rsidRPr="000D3F86">
        <w:rPr>
          <w:rFonts w:eastAsia="Calibri"/>
          <w:iCs/>
        </w:rPr>
        <w:t>154</w:t>
      </w:r>
      <w:r w:rsidRPr="000D3F86">
        <w:rPr>
          <w:rFonts w:eastAsia="Calibri"/>
        </w:rPr>
        <w:t>(</w:t>
      </w:r>
      <w:proofErr w:type="gramEnd"/>
      <w:r w:rsidRPr="000D3F86">
        <w:rPr>
          <w:rFonts w:eastAsia="Calibri"/>
        </w:rPr>
        <w:t>2), 874-886 (2010).</w:t>
      </w:r>
      <w:bookmarkEnd w:id="154"/>
      <w:bookmarkEnd w:id="155"/>
    </w:p>
    <w:p w:rsidR="00A67C10" w:rsidRPr="000D3F86" w:rsidRDefault="00A67C10" w:rsidP="00097A19">
      <w:pPr>
        <w:numPr>
          <w:ilvl w:val="0"/>
          <w:numId w:val="44"/>
        </w:numPr>
        <w:autoSpaceDE w:val="0"/>
        <w:autoSpaceDN w:val="0"/>
        <w:adjustRightInd w:val="0"/>
        <w:spacing w:after="200"/>
        <w:contextualSpacing/>
        <w:rPr>
          <w:rFonts w:eastAsia="Calibri"/>
        </w:rPr>
      </w:pPr>
      <w:bookmarkStart w:id="156" w:name="_Ref363627264"/>
      <w:bookmarkEnd w:id="152"/>
      <w:r w:rsidRPr="000D3F86">
        <w:rPr>
          <w:rFonts w:eastAsia="Calibri"/>
          <w:lang w:val="fr-FR"/>
        </w:rPr>
        <w:t xml:space="preserve">Tu Y, Rochfort S, Liu Z </w:t>
      </w:r>
      <w:r w:rsidRPr="000D3F86">
        <w:rPr>
          <w:rFonts w:eastAsia="Calibri"/>
          <w:i/>
          <w:lang w:val="fr-FR"/>
        </w:rPr>
        <w:t>et al</w:t>
      </w:r>
      <w:r w:rsidRPr="000D3F86">
        <w:rPr>
          <w:rFonts w:eastAsia="Calibri"/>
          <w:lang w:val="fr-FR"/>
        </w:rPr>
        <w:t xml:space="preserve">. </w:t>
      </w:r>
      <w:r w:rsidRPr="000D3F86">
        <w:rPr>
          <w:rFonts w:eastAsia="Calibri"/>
        </w:rPr>
        <w:t>Functional analyses of caffeic acid O-methyltransferase and cinnamoyl-CoA-reductase genes from perennial ryegrass (</w:t>
      </w:r>
      <w:r w:rsidRPr="000D3F86">
        <w:rPr>
          <w:rFonts w:eastAsia="Calibri"/>
          <w:i/>
          <w:iCs/>
        </w:rPr>
        <w:t>Lolium perenne</w:t>
      </w:r>
      <w:r w:rsidRPr="000D3F86">
        <w:rPr>
          <w:rFonts w:eastAsia="Calibri"/>
        </w:rPr>
        <w:t>). </w:t>
      </w:r>
      <w:r w:rsidRPr="000D3F86">
        <w:rPr>
          <w:rFonts w:eastAsia="Calibri"/>
          <w:i/>
        </w:rPr>
        <w:t>Plant Cell</w:t>
      </w:r>
      <w:r w:rsidRPr="000D3F86">
        <w:rPr>
          <w:rFonts w:eastAsia="Calibri"/>
        </w:rPr>
        <w:t> 22, 3357–3373 (2010).</w:t>
      </w:r>
      <w:bookmarkEnd w:id="156"/>
    </w:p>
    <w:p w:rsidR="00A67C10" w:rsidRPr="000D3F86" w:rsidRDefault="00A67C10" w:rsidP="00097A19">
      <w:pPr>
        <w:numPr>
          <w:ilvl w:val="0"/>
          <w:numId w:val="44"/>
        </w:numPr>
        <w:autoSpaceDE w:val="0"/>
        <w:autoSpaceDN w:val="0"/>
        <w:adjustRightInd w:val="0"/>
        <w:spacing w:after="200"/>
        <w:contextualSpacing/>
        <w:rPr>
          <w:rFonts w:eastAsia="Calibri"/>
        </w:rPr>
      </w:pPr>
      <w:bookmarkStart w:id="157" w:name="_Ref363555477"/>
      <w:bookmarkStart w:id="158" w:name="_Ref363552672"/>
      <w:r w:rsidRPr="000D3F86">
        <w:rPr>
          <w:rFonts w:eastAsia="Calibri"/>
          <w:lang w:val="de-DE"/>
        </w:rPr>
        <w:t xml:space="preserve">Voelker SL, Lachenbruch B, Meinzer FC, Kitin P, Strauss SH. </w:t>
      </w:r>
      <w:r w:rsidRPr="000D3F86">
        <w:rPr>
          <w:rFonts w:eastAsia="Calibri"/>
        </w:rPr>
        <w:t>Transgenic poplars with reduced lignin show impaired xylem conductivity, growth efficiency and survival. </w:t>
      </w:r>
      <w:r w:rsidRPr="000D3F86">
        <w:rPr>
          <w:rFonts w:eastAsia="Calibri"/>
          <w:i/>
          <w:iCs/>
        </w:rPr>
        <w:t>Plant, Cell Environ</w:t>
      </w:r>
      <w:r w:rsidRPr="000D3F86">
        <w:rPr>
          <w:rFonts w:eastAsia="Calibri"/>
        </w:rPr>
        <w:t xml:space="preserve">. </w:t>
      </w:r>
      <w:r w:rsidRPr="000D3F86">
        <w:rPr>
          <w:rFonts w:eastAsia="Calibri"/>
          <w:iCs/>
        </w:rPr>
        <w:t>34</w:t>
      </w:r>
      <w:r w:rsidRPr="000D3F86">
        <w:rPr>
          <w:rFonts w:eastAsia="Calibri"/>
        </w:rPr>
        <w:t>(4), 655-668 (2011).</w:t>
      </w:r>
      <w:bookmarkEnd w:id="157"/>
    </w:p>
    <w:p w:rsidR="00A67C10" w:rsidRPr="000D3F86" w:rsidRDefault="00A67C10" w:rsidP="00097A19">
      <w:pPr>
        <w:numPr>
          <w:ilvl w:val="0"/>
          <w:numId w:val="44"/>
        </w:numPr>
        <w:autoSpaceDE w:val="0"/>
        <w:autoSpaceDN w:val="0"/>
        <w:adjustRightInd w:val="0"/>
        <w:spacing w:after="200"/>
        <w:contextualSpacing/>
        <w:rPr>
          <w:rFonts w:eastAsia="Calibri"/>
        </w:rPr>
      </w:pPr>
      <w:bookmarkStart w:id="159" w:name="_Ref363555491"/>
      <w:r w:rsidRPr="000D3F86">
        <w:rPr>
          <w:rFonts w:eastAsia="Calibri"/>
          <w:color w:val="222222"/>
          <w:shd w:val="clear" w:color="auto" w:fill="FFFFFF"/>
        </w:rPr>
        <w:t>Kitin P, Voelker SL, Meinzer FC, Beeckman H, Strauss SH</w:t>
      </w:r>
      <w:proofErr w:type="gramStart"/>
      <w:r w:rsidRPr="000D3F86">
        <w:rPr>
          <w:rFonts w:eastAsia="Calibri"/>
          <w:color w:val="222222"/>
          <w:shd w:val="clear" w:color="auto" w:fill="FFFFFF"/>
        </w:rPr>
        <w:t>,  Lachenbruch</w:t>
      </w:r>
      <w:proofErr w:type="gramEnd"/>
      <w:r w:rsidRPr="000D3F86">
        <w:rPr>
          <w:rFonts w:eastAsia="Calibri"/>
          <w:color w:val="222222"/>
          <w:shd w:val="clear" w:color="auto" w:fill="FFFFFF"/>
        </w:rPr>
        <w:t xml:space="preserve"> B. Tyloses and phenolic deposits in xylem vessels impede water transport in low-lignin transgenic poplars: a study by cryo-fluorescence microscopy.</w:t>
      </w:r>
      <w:r w:rsidRPr="000D3F86">
        <w:rPr>
          <w:rFonts w:eastAsia="Calibri"/>
          <w:color w:val="222222"/>
        </w:rPr>
        <w:t> </w:t>
      </w:r>
      <w:r w:rsidRPr="000D3F86">
        <w:rPr>
          <w:rFonts w:eastAsia="Calibri"/>
          <w:i/>
          <w:iCs/>
          <w:color w:val="222222"/>
          <w:shd w:val="clear" w:color="auto" w:fill="FFFFFF"/>
        </w:rPr>
        <w:t>Plant Physiol</w:t>
      </w:r>
      <w:r w:rsidRPr="000D3F86">
        <w:rPr>
          <w:rFonts w:eastAsia="Calibri"/>
          <w:color w:val="222222"/>
          <w:shd w:val="clear" w:color="auto" w:fill="FFFFFF"/>
        </w:rPr>
        <w:t xml:space="preserve">. </w:t>
      </w:r>
      <w:r w:rsidRPr="000D3F86">
        <w:rPr>
          <w:rFonts w:eastAsia="Calibri"/>
          <w:iCs/>
          <w:color w:val="222222"/>
          <w:shd w:val="clear" w:color="auto" w:fill="FFFFFF"/>
        </w:rPr>
        <w:t>154</w:t>
      </w:r>
      <w:r w:rsidRPr="000D3F86">
        <w:rPr>
          <w:rFonts w:eastAsia="Calibri"/>
          <w:color w:val="222222"/>
          <w:shd w:val="clear" w:color="auto" w:fill="FFFFFF"/>
        </w:rPr>
        <w:t>(2), 887-898 (2010).</w:t>
      </w:r>
      <w:bookmarkEnd w:id="158"/>
      <w:bookmarkEnd w:id="159"/>
    </w:p>
    <w:p w:rsidR="00A67C10" w:rsidRPr="000D3F86" w:rsidRDefault="00A67C10" w:rsidP="00097A19">
      <w:pPr>
        <w:numPr>
          <w:ilvl w:val="0"/>
          <w:numId w:val="44"/>
        </w:numPr>
        <w:autoSpaceDE w:val="0"/>
        <w:autoSpaceDN w:val="0"/>
        <w:adjustRightInd w:val="0"/>
        <w:spacing w:after="200"/>
        <w:contextualSpacing/>
        <w:rPr>
          <w:rFonts w:eastAsia="Calibri"/>
        </w:rPr>
      </w:pPr>
      <w:bookmarkStart w:id="160" w:name="_Ref363555741"/>
      <w:r w:rsidRPr="000D3F86">
        <w:rPr>
          <w:rFonts w:eastAsia="Calibri"/>
        </w:rPr>
        <w:t>Voelker SL, Lachenbruch B, Meinzer FC, Strauss S H. Reduced wood stiffness and strength, and altered stem form, in young antisense 4CL transgenic poplars with reduced lignin contents. </w:t>
      </w:r>
      <w:r w:rsidRPr="000D3F86">
        <w:rPr>
          <w:rFonts w:eastAsia="Calibri"/>
          <w:i/>
          <w:iCs/>
        </w:rPr>
        <w:t>New Phytol.</w:t>
      </w:r>
      <w:r w:rsidRPr="000D3F86">
        <w:rPr>
          <w:rFonts w:eastAsia="Calibri"/>
        </w:rPr>
        <w:t> </w:t>
      </w:r>
      <w:r w:rsidRPr="000D3F86">
        <w:rPr>
          <w:rFonts w:eastAsia="Calibri"/>
          <w:iCs/>
        </w:rPr>
        <w:t>189</w:t>
      </w:r>
      <w:r w:rsidRPr="000D3F86">
        <w:rPr>
          <w:rFonts w:eastAsia="Calibri"/>
        </w:rPr>
        <w:t>(4), 1096-1109</w:t>
      </w:r>
      <w:bookmarkEnd w:id="160"/>
      <w:r w:rsidRPr="000D3F86">
        <w:rPr>
          <w:rFonts w:eastAsia="Calibri"/>
        </w:rPr>
        <w:t xml:space="preserve"> (2011).</w:t>
      </w:r>
    </w:p>
    <w:p w:rsidR="00A67C10" w:rsidRPr="000D3F86" w:rsidRDefault="00A67C10" w:rsidP="00097A19">
      <w:pPr>
        <w:numPr>
          <w:ilvl w:val="0"/>
          <w:numId w:val="44"/>
        </w:numPr>
        <w:spacing w:after="200"/>
        <w:contextualSpacing/>
        <w:rPr>
          <w:rFonts w:eastAsia="Calibri"/>
        </w:rPr>
      </w:pPr>
      <w:bookmarkStart w:id="161" w:name="_Ref358475786"/>
      <w:r w:rsidRPr="000D3F86">
        <w:rPr>
          <w:rFonts w:eastAsia="Calibri"/>
        </w:rPr>
        <w:t xml:space="preserve">Barber MS, McConnell VS, DeCaux BS. Antimicrobial intermediates of the general phenylpropanoid and lignin specific pathways. </w:t>
      </w:r>
      <w:r w:rsidRPr="000D3F86">
        <w:rPr>
          <w:rFonts w:eastAsia="Calibri"/>
          <w:i/>
        </w:rPr>
        <w:t>Phytochemistry</w:t>
      </w:r>
      <w:r w:rsidRPr="000D3F86">
        <w:rPr>
          <w:rFonts w:eastAsia="Calibri"/>
        </w:rPr>
        <w:t xml:space="preserve"> 54, 53–56 (2000).</w:t>
      </w:r>
      <w:bookmarkEnd w:id="161"/>
    </w:p>
    <w:p w:rsidR="00A67C10" w:rsidRPr="000D3F86" w:rsidRDefault="00A67C10" w:rsidP="00097A19">
      <w:pPr>
        <w:numPr>
          <w:ilvl w:val="0"/>
          <w:numId w:val="44"/>
        </w:numPr>
        <w:spacing w:after="200"/>
        <w:contextualSpacing/>
        <w:rPr>
          <w:rFonts w:eastAsia="Calibri"/>
        </w:rPr>
      </w:pPr>
      <w:bookmarkStart w:id="162" w:name="_Ref363576776"/>
      <w:r w:rsidRPr="000D3F86">
        <w:rPr>
          <w:rFonts w:eastAsia="Calibri"/>
        </w:rPr>
        <w:t>Niggeweg R, Michael A J, Martin C. Engineering plants with increased levels of the antioxidant chlorogenic acid. </w:t>
      </w:r>
      <w:r w:rsidRPr="000D3F86">
        <w:rPr>
          <w:rFonts w:eastAsia="Calibri"/>
          <w:i/>
          <w:iCs/>
        </w:rPr>
        <w:t xml:space="preserve">Nat. Biotechnol. </w:t>
      </w:r>
      <w:r w:rsidRPr="000D3F86">
        <w:rPr>
          <w:rFonts w:eastAsia="Calibri"/>
          <w:iCs/>
        </w:rPr>
        <w:t>22</w:t>
      </w:r>
      <w:r w:rsidRPr="000D3F86">
        <w:rPr>
          <w:rFonts w:eastAsia="Calibri"/>
        </w:rPr>
        <w:t>(6), 746-754 (2004).</w:t>
      </w:r>
      <w:bookmarkEnd w:id="162"/>
    </w:p>
    <w:p w:rsidR="00A67C10" w:rsidRPr="000D3F86" w:rsidRDefault="00A67C10" w:rsidP="00097A19">
      <w:pPr>
        <w:numPr>
          <w:ilvl w:val="0"/>
          <w:numId w:val="44"/>
        </w:numPr>
        <w:spacing w:after="200"/>
        <w:contextualSpacing/>
        <w:rPr>
          <w:rFonts w:eastAsia="Calibri"/>
        </w:rPr>
      </w:pPr>
      <w:bookmarkStart w:id="163" w:name="_Ref363646876"/>
      <w:r w:rsidRPr="000D3F86">
        <w:rPr>
          <w:rFonts w:eastAsia="Calibri"/>
        </w:rPr>
        <w:t>Leiss KA, Maltese F, Choi YH, Verpoorte R, Klinkhamer PG. Identification of chlorogenic acid as a resistance factor for thrips in chrysanthemum. </w:t>
      </w:r>
      <w:r w:rsidRPr="000D3F86">
        <w:rPr>
          <w:rFonts w:eastAsia="Calibri"/>
          <w:i/>
          <w:iCs/>
        </w:rPr>
        <w:t>Plant Physiol.</w:t>
      </w:r>
      <w:r w:rsidRPr="000D3F86">
        <w:rPr>
          <w:rFonts w:eastAsia="Calibri"/>
        </w:rPr>
        <w:t> </w:t>
      </w:r>
      <w:r w:rsidRPr="000D3F86">
        <w:rPr>
          <w:rFonts w:eastAsia="Calibri"/>
          <w:iCs/>
        </w:rPr>
        <w:t>150</w:t>
      </w:r>
      <w:r w:rsidRPr="000D3F86">
        <w:rPr>
          <w:rFonts w:eastAsia="Calibri"/>
        </w:rPr>
        <w:t>(3), 1567-1575 (2009).</w:t>
      </w:r>
      <w:bookmarkEnd w:id="163"/>
    </w:p>
    <w:p w:rsidR="00A67C10" w:rsidRPr="000D3F86" w:rsidRDefault="00A67C10" w:rsidP="00097A19">
      <w:pPr>
        <w:numPr>
          <w:ilvl w:val="0"/>
          <w:numId w:val="44"/>
        </w:numPr>
        <w:spacing w:after="200"/>
        <w:contextualSpacing/>
        <w:rPr>
          <w:rFonts w:eastAsia="Calibri"/>
        </w:rPr>
      </w:pPr>
      <w:bookmarkStart w:id="164" w:name="_Ref358820646"/>
      <w:r w:rsidRPr="000D3F86">
        <w:rPr>
          <w:rFonts w:eastAsia="Calibri"/>
          <w:lang w:val="nl-NL"/>
        </w:rPr>
        <w:t xml:space="preserve">Pedersen JF, Vogel KP, Funnell DL. </w:t>
      </w:r>
      <w:r w:rsidRPr="000D3F86">
        <w:rPr>
          <w:rFonts w:eastAsia="Calibri"/>
        </w:rPr>
        <w:t xml:space="preserve">Impact of reduced lignin on plant fitness. </w:t>
      </w:r>
      <w:r w:rsidRPr="000D3F86">
        <w:rPr>
          <w:rFonts w:eastAsia="Calibri"/>
          <w:i/>
        </w:rPr>
        <w:t>Crop. Sci</w:t>
      </w:r>
      <w:r w:rsidRPr="000D3F86">
        <w:rPr>
          <w:rFonts w:eastAsia="Calibri"/>
        </w:rPr>
        <w:t>. 45, 812-819 (2005).</w:t>
      </w:r>
      <w:bookmarkEnd w:id="164"/>
    </w:p>
    <w:p w:rsidR="00A67C10" w:rsidRPr="000D3F86" w:rsidRDefault="00A67C10" w:rsidP="00097A19">
      <w:pPr>
        <w:numPr>
          <w:ilvl w:val="0"/>
          <w:numId w:val="44"/>
        </w:numPr>
        <w:spacing w:after="200"/>
        <w:contextualSpacing/>
        <w:rPr>
          <w:rFonts w:eastAsia="Calibri"/>
        </w:rPr>
      </w:pPr>
      <w:bookmarkStart w:id="165" w:name="_Ref358820654"/>
      <w:r w:rsidRPr="000D3F86">
        <w:rPr>
          <w:rFonts w:eastAsia="Calibri"/>
        </w:rPr>
        <w:t xml:space="preserve">Dowd PF, Sarath G, Mitchell RB, Saathoff AJ, Vogel KP. Insect resistance of a full sib family of tetraploid switchgrass </w:t>
      </w:r>
      <w:r w:rsidRPr="000D3F86">
        <w:rPr>
          <w:rFonts w:eastAsia="Calibri"/>
          <w:i/>
        </w:rPr>
        <w:t>Panicum virgatum</w:t>
      </w:r>
      <w:r w:rsidRPr="000D3F86">
        <w:rPr>
          <w:rFonts w:eastAsia="Calibri"/>
        </w:rPr>
        <w:t xml:space="preserve"> L. with varying lignin levels</w:t>
      </w:r>
      <w:r w:rsidRPr="000D3F86">
        <w:rPr>
          <w:rFonts w:eastAsia="Calibri"/>
          <w:i/>
        </w:rPr>
        <w:t>. Genet. Resourc. Crop Evol</w:t>
      </w:r>
      <w:r w:rsidRPr="000D3F86">
        <w:rPr>
          <w:rFonts w:eastAsia="Calibri"/>
        </w:rPr>
        <w:t>. 60, 975-984 (2012).</w:t>
      </w:r>
      <w:bookmarkEnd w:id="165"/>
    </w:p>
    <w:p w:rsidR="00A67C10" w:rsidRPr="000D3F86" w:rsidRDefault="00A67C10" w:rsidP="00097A19">
      <w:pPr>
        <w:numPr>
          <w:ilvl w:val="0"/>
          <w:numId w:val="44"/>
        </w:numPr>
        <w:autoSpaceDE w:val="0"/>
        <w:autoSpaceDN w:val="0"/>
        <w:adjustRightInd w:val="0"/>
        <w:spacing w:after="200"/>
        <w:contextualSpacing/>
        <w:rPr>
          <w:rFonts w:eastAsia="Calibri"/>
        </w:rPr>
      </w:pPr>
      <w:bookmarkStart w:id="166" w:name="_Ref358476149"/>
      <w:r w:rsidRPr="000D3F86">
        <w:rPr>
          <w:rFonts w:eastAsia="Calibri"/>
        </w:rPr>
        <w:t xml:space="preserve">Classen D, Arnason JT, Serratos JA, Lambert JDH, Nozzolillo C, Philogene BJR. Correlation of phenolic acid content of maize to resistance to </w:t>
      </w:r>
      <w:r w:rsidRPr="000D3F86">
        <w:rPr>
          <w:rFonts w:eastAsia="Calibri"/>
          <w:i/>
        </w:rPr>
        <w:t>Sitophilius zeamais</w:t>
      </w:r>
      <w:r w:rsidRPr="000D3F86">
        <w:rPr>
          <w:rFonts w:eastAsia="Calibri"/>
        </w:rPr>
        <w:t xml:space="preserve">, the maize weevil, in CIMMYT's collections. </w:t>
      </w:r>
      <w:r w:rsidRPr="000D3F86">
        <w:rPr>
          <w:rFonts w:eastAsia="Calibri"/>
          <w:i/>
        </w:rPr>
        <w:t>J. Chem. Ecol.</w:t>
      </w:r>
      <w:r w:rsidRPr="000D3F86">
        <w:rPr>
          <w:rFonts w:eastAsia="Calibri"/>
        </w:rPr>
        <w:t>16, 301-315 (1990).</w:t>
      </w:r>
      <w:bookmarkEnd w:id="166"/>
    </w:p>
    <w:p w:rsidR="00A67C10" w:rsidRPr="000D3F86" w:rsidRDefault="00A67C10" w:rsidP="00097A19">
      <w:pPr>
        <w:numPr>
          <w:ilvl w:val="0"/>
          <w:numId w:val="44"/>
        </w:numPr>
        <w:spacing w:after="200"/>
        <w:contextualSpacing/>
        <w:rPr>
          <w:rFonts w:eastAsia="Calibri"/>
        </w:rPr>
      </w:pPr>
      <w:bookmarkStart w:id="167" w:name="_Ref358476150"/>
      <w:r w:rsidRPr="008119C5">
        <w:rPr>
          <w:rFonts w:eastAsia="Calibri"/>
          <w:lang w:val="es-ES"/>
        </w:rPr>
        <w:t xml:space="preserve">Santiago R, Malvar RA, Baamonde MD, Revilla P, Souto XC. </w:t>
      </w:r>
      <w:r w:rsidRPr="000D3F86">
        <w:rPr>
          <w:rFonts w:eastAsia="Calibri"/>
        </w:rPr>
        <w:t xml:space="preserve">Free phenols in maize pith and their relationship with resistance to </w:t>
      </w:r>
      <w:r w:rsidRPr="000D3F86">
        <w:rPr>
          <w:rFonts w:eastAsia="Calibri"/>
          <w:i/>
          <w:iCs/>
        </w:rPr>
        <w:t xml:space="preserve">Sesamia nonagrioides </w:t>
      </w:r>
      <w:r w:rsidRPr="000D3F86">
        <w:rPr>
          <w:rFonts w:eastAsia="Calibri"/>
        </w:rPr>
        <w:t xml:space="preserve">(Lepidoptera: Noctuidae) attack. </w:t>
      </w:r>
      <w:r w:rsidRPr="000D3F86">
        <w:rPr>
          <w:rFonts w:eastAsia="Calibri"/>
          <w:i/>
        </w:rPr>
        <w:t>J. Econ. Entomol</w:t>
      </w:r>
      <w:r w:rsidRPr="000D3F86">
        <w:rPr>
          <w:rFonts w:eastAsia="Calibri"/>
        </w:rPr>
        <w:t xml:space="preserve">. </w:t>
      </w:r>
      <w:r w:rsidRPr="000D3F86">
        <w:rPr>
          <w:rFonts w:eastAsia="Calibri"/>
          <w:bCs/>
        </w:rPr>
        <w:t>98</w:t>
      </w:r>
      <w:r w:rsidRPr="000D3F86">
        <w:rPr>
          <w:rFonts w:eastAsia="Calibri"/>
        </w:rPr>
        <w:t>(4), 1349–1356 (2005).</w:t>
      </w:r>
      <w:bookmarkEnd w:id="167"/>
    </w:p>
    <w:p w:rsidR="00A67C10" w:rsidRPr="000D3F86" w:rsidRDefault="00A67C10" w:rsidP="00097A19">
      <w:pPr>
        <w:numPr>
          <w:ilvl w:val="0"/>
          <w:numId w:val="44"/>
        </w:numPr>
        <w:spacing w:after="200"/>
        <w:contextualSpacing/>
        <w:rPr>
          <w:rFonts w:eastAsia="Calibri"/>
        </w:rPr>
      </w:pPr>
      <w:bookmarkStart w:id="168" w:name="_Ref358477810"/>
      <w:r w:rsidRPr="000D3F86">
        <w:rPr>
          <w:rFonts w:eastAsia="Calibri"/>
        </w:rPr>
        <w:lastRenderedPageBreak/>
        <w:t xml:space="preserve">Wahid A, Ghazanfar A. Possible involvement of some secondary metabolites in salt tolerance of sugarcane. </w:t>
      </w:r>
      <w:r w:rsidRPr="000D3F86">
        <w:rPr>
          <w:rFonts w:eastAsia="Calibri"/>
          <w:i/>
        </w:rPr>
        <w:t>J. Plant Physiol.</w:t>
      </w:r>
      <w:r w:rsidRPr="000D3F86">
        <w:rPr>
          <w:rFonts w:eastAsia="Calibri"/>
        </w:rPr>
        <w:t xml:space="preserve"> 163, 723–730 (2006).</w:t>
      </w:r>
      <w:bookmarkEnd w:id="168"/>
    </w:p>
    <w:p w:rsidR="00A67C10" w:rsidRPr="000D3F86" w:rsidRDefault="00A67C10" w:rsidP="00097A19">
      <w:pPr>
        <w:numPr>
          <w:ilvl w:val="0"/>
          <w:numId w:val="44"/>
        </w:numPr>
        <w:spacing w:after="200"/>
        <w:contextualSpacing/>
        <w:rPr>
          <w:rFonts w:eastAsia="Calibri"/>
        </w:rPr>
      </w:pPr>
      <w:bookmarkStart w:id="169" w:name="_Ref358477812"/>
      <w:r w:rsidRPr="000D3F86">
        <w:rPr>
          <w:rFonts w:eastAsia="Calibri"/>
        </w:rPr>
        <w:t xml:space="preserve">Chalker-Scott L. Environmental significance of anthocyanins in plant stress responses. </w:t>
      </w:r>
      <w:r w:rsidRPr="000D3F86">
        <w:rPr>
          <w:rFonts w:eastAsia="Calibri"/>
          <w:i/>
        </w:rPr>
        <w:t>Photochem. Photobiol</w:t>
      </w:r>
      <w:r w:rsidRPr="000D3F86">
        <w:rPr>
          <w:rFonts w:eastAsia="Calibri"/>
        </w:rPr>
        <w:t>. 70, 1-9 (1999).</w:t>
      </w:r>
      <w:bookmarkEnd w:id="169"/>
    </w:p>
    <w:p w:rsidR="00A67C10" w:rsidRPr="000D3F86" w:rsidRDefault="00A67C10" w:rsidP="00097A19">
      <w:pPr>
        <w:numPr>
          <w:ilvl w:val="0"/>
          <w:numId w:val="44"/>
        </w:numPr>
        <w:spacing w:after="200"/>
        <w:contextualSpacing/>
        <w:rPr>
          <w:rFonts w:eastAsia="Calibri"/>
        </w:rPr>
      </w:pPr>
      <w:bookmarkStart w:id="170" w:name="_Ref358477845"/>
      <w:r w:rsidRPr="000D3F86">
        <w:rPr>
          <w:rFonts w:eastAsia="Calibri"/>
        </w:rPr>
        <w:t>Solecka D, Boudet AM, Kacperska A. Phenylpropanoid and anthocyanin changes in low</w:t>
      </w:r>
      <w:r w:rsidRPr="000D3F86">
        <w:rPr>
          <w:rFonts w:eastAsia="MS Mincho"/>
        </w:rPr>
        <w:t>-</w:t>
      </w:r>
      <w:r w:rsidRPr="000D3F86">
        <w:rPr>
          <w:rFonts w:eastAsia="Calibri"/>
        </w:rPr>
        <w:t xml:space="preserve">temperature treated winter oilseed rape leaves. </w:t>
      </w:r>
      <w:r w:rsidRPr="000D3F86">
        <w:rPr>
          <w:rFonts w:eastAsia="Calibri"/>
          <w:i/>
        </w:rPr>
        <w:t>Plant Physiol. Biochem.</w:t>
      </w:r>
      <w:r w:rsidRPr="000D3F86">
        <w:rPr>
          <w:rFonts w:eastAsia="Calibri"/>
        </w:rPr>
        <w:t xml:space="preserve"> 37, 491–496 (1999).</w:t>
      </w:r>
      <w:bookmarkEnd w:id="170"/>
    </w:p>
    <w:p w:rsidR="00A67C10" w:rsidRPr="000D3F86" w:rsidRDefault="00A67C10" w:rsidP="00097A19">
      <w:pPr>
        <w:numPr>
          <w:ilvl w:val="0"/>
          <w:numId w:val="44"/>
        </w:numPr>
        <w:spacing w:after="200"/>
        <w:contextualSpacing/>
        <w:rPr>
          <w:rFonts w:eastAsia="Calibri"/>
        </w:rPr>
      </w:pPr>
      <w:bookmarkStart w:id="171" w:name="_Ref358976611"/>
      <w:r w:rsidRPr="000D3F86">
        <w:rPr>
          <w:rFonts w:eastAsia="Calibri"/>
        </w:rPr>
        <w:t xml:space="preserve">Comont D, Winters </w:t>
      </w:r>
      <w:proofErr w:type="gramStart"/>
      <w:r w:rsidRPr="000D3F86">
        <w:rPr>
          <w:rFonts w:eastAsia="Calibri"/>
        </w:rPr>
        <w:t>A</w:t>
      </w:r>
      <w:proofErr w:type="gramEnd"/>
      <w:r w:rsidRPr="000D3F86">
        <w:rPr>
          <w:rFonts w:eastAsia="Calibri"/>
        </w:rPr>
        <w:t xml:space="preserve">, Gomez LD, McQueen-Mason SJ, Gwynn-Jones D. Latitudinal variation in ambient UV-B radiation is an important determinant of </w:t>
      </w:r>
      <w:r w:rsidRPr="000D3F86">
        <w:rPr>
          <w:rFonts w:eastAsia="Calibri"/>
          <w:i/>
        </w:rPr>
        <w:t>Lolium perenne</w:t>
      </w:r>
      <w:r w:rsidRPr="000D3F86">
        <w:rPr>
          <w:rFonts w:eastAsia="Calibri"/>
        </w:rPr>
        <w:t xml:space="preserve"> forage production, quality, and digestibility. </w:t>
      </w:r>
      <w:r w:rsidRPr="000D3F86">
        <w:rPr>
          <w:rFonts w:eastAsia="Calibri"/>
          <w:i/>
          <w:iCs/>
        </w:rPr>
        <w:t>J. Exp. Bot</w:t>
      </w:r>
      <w:r w:rsidRPr="000D3F86">
        <w:rPr>
          <w:rFonts w:eastAsia="Calibri"/>
        </w:rPr>
        <w:t>. </w:t>
      </w:r>
      <w:r w:rsidRPr="000D3F86">
        <w:rPr>
          <w:rFonts w:eastAsia="Calibri"/>
          <w:iCs/>
        </w:rPr>
        <w:t>64,</w:t>
      </w:r>
      <w:r w:rsidRPr="000D3F86">
        <w:rPr>
          <w:rFonts w:eastAsia="Calibri"/>
        </w:rPr>
        <w:t xml:space="preserve"> 2193-2204 (2013).</w:t>
      </w:r>
      <w:bookmarkEnd w:id="171"/>
    </w:p>
    <w:p w:rsidR="00A67C10" w:rsidRPr="000D3F86" w:rsidRDefault="00A67C10" w:rsidP="00097A19">
      <w:pPr>
        <w:numPr>
          <w:ilvl w:val="0"/>
          <w:numId w:val="44"/>
        </w:numPr>
        <w:spacing w:after="200"/>
        <w:contextualSpacing/>
        <w:rPr>
          <w:rFonts w:eastAsia="Calibri"/>
        </w:rPr>
      </w:pPr>
      <w:bookmarkStart w:id="172" w:name="_Ref358477857"/>
      <w:r w:rsidRPr="000D3F86">
        <w:rPr>
          <w:rFonts w:eastAsia="Calibri"/>
        </w:rPr>
        <w:t xml:space="preserve">Heil M, Baldwin IT. Fitness costs of induced resistance: emerging experimental support for a slippery concept. </w:t>
      </w:r>
      <w:r w:rsidRPr="000D3F86">
        <w:rPr>
          <w:rFonts w:eastAsia="Calibri"/>
          <w:i/>
        </w:rPr>
        <w:t>Trends Plant Sci.</w:t>
      </w:r>
      <w:r w:rsidRPr="000D3F86">
        <w:rPr>
          <w:rFonts w:eastAsia="Calibri"/>
        </w:rPr>
        <w:t xml:space="preserve"> 7, 61–67 (2002).</w:t>
      </w:r>
      <w:bookmarkEnd w:id="172"/>
    </w:p>
    <w:p w:rsidR="00A67C10" w:rsidRDefault="00A67C10" w:rsidP="00097A19">
      <w:pPr>
        <w:numPr>
          <w:ilvl w:val="0"/>
          <w:numId w:val="44"/>
        </w:numPr>
        <w:spacing w:after="200"/>
        <w:contextualSpacing/>
        <w:rPr>
          <w:rFonts w:eastAsia="Calibri"/>
        </w:rPr>
      </w:pPr>
      <w:bookmarkStart w:id="173" w:name="_Ref358477858"/>
      <w:r w:rsidRPr="008119C5">
        <w:rPr>
          <w:rFonts w:eastAsia="Calibri"/>
          <w:lang w:val="es-ES"/>
        </w:rPr>
        <w:t xml:space="preserve">Igari K, Endo S, Hibara K </w:t>
      </w:r>
      <w:r w:rsidRPr="008119C5">
        <w:rPr>
          <w:rFonts w:eastAsia="Calibri"/>
          <w:i/>
          <w:lang w:val="es-ES"/>
        </w:rPr>
        <w:t>et al</w:t>
      </w:r>
      <w:r w:rsidRPr="008119C5">
        <w:rPr>
          <w:rFonts w:eastAsia="Calibri"/>
          <w:lang w:val="es-ES"/>
        </w:rPr>
        <w:t xml:space="preserve">. </w:t>
      </w:r>
      <w:r w:rsidRPr="000D3F86">
        <w:rPr>
          <w:rFonts w:eastAsia="Calibri"/>
        </w:rPr>
        <w:t xml:space="preserve">Constitutive activation of a CC-NB-LRR protein alters morphogenesis through the cytokinin pathway in Arabidopsis. </w:t>
      </w:r>
      <w:r w:rsidRPr="000D3F86">
        <w:rPr>
          <w:rFonts w:eastAsia="Calibri"/>
          <w:i/>
        </w:rPr>
        <w:t>Plant J.</w:t>
      </w:r>
      <w:r w:rsidRPr="000D3F86">
        <w:rPr>
          <w:rFonts w:eastAsia="Calibri"/>
        </w:rPr>
        <w:t xml:space="preserve"> 55, 14–27 (2008</w:t>
      </w:r>
      <w:r w:rsidRPr="00A67C10">
        <w:rPr>
          <w:rFonts w:eastAsia="Calibri"/>
        </w:rPr>
        <w:t>).</w:t>
      </w:r>
      <w:bookmarkEnd w:id="173"/>
    </w:p>
    <w:p w:rsidR="000D5148" w:rsidRDefault="000D5148" w:rsidP="00097A19">
      <w:pPr>
        <w:pStyle w:val="Heading2"/>
        <w:spacing w:line="480" w:lineRule="auto"/>
        <w:rPr>
          <w:rFonts w:eastAsia="Calibri"/>
        </w:rPr>
      </w:pPr>
      <w:r>
        <w:rPr>
          <w:rFonts w:eastAsia="Calibri"/>
        </w:rPr>
        <w:br w:type="page"/>
      </w:r>
      <w:r>
        <w:rPr>
          <w:rFonts w:eastAsia="Calibri"/>
        </w:rPr>
        <w:lastRenderedPageBreak/>
        <w:t>Appendix</w:t>
      </w:r>
      <w:r w:rsidR="002C1C5F">
        <w:rPr>
          <w:rFonts w:eastAsia="Calibri"/>
        </w:rPr>
        <w:t xml:space="preserve"> A</w:t>
      </w:r>
    </w:p>
    <w:p w:rsidR="000D5148" w:rsidRPr="00EA03CD" w:rsidRDefault="00EA1B3C" w:rsidP="00097A19">
      <w:pPr>
        <w:pStyle w:val="Heading3"/>
        <w:spacing w:line="480" w:lineRule="auto"/>
        <w:rPr>
          <w:sz w:val="28"/>
          <w:szCs w:val="28"/>
        </w:rPr>
      </w:pPr>
      <w:r w:rsidRPr="00EA03CD">
        <w:rPr>
          <w:sz w:val="28"/>
          <w:szCs w:val="28"/>
        </w:rPr>
        <w:t>Tables</w:t>
      </w:r>
    </w:p>
    <w:p w:rsidR="00EA1B3C" w:rsidRDefault="005C2CC2" w:rsidP="00097A19">
      <w:pPr>
        <w:spacing w:line="480" w:lineRule="auto"/>
      </w:pPr>
      <w:r w:rsidRPr="00956898">
        <w:rPr>
          <w:b/>
        </w:rPr>
        <w:t xml:space="preserve">Table </w:t>
      </w:r>
      <w:r w:rsidR="008F29AA">
        <w:rPr>
          <w:b/>
        </w:rPr>
        <w:t>A.</w:t>
      </w:r>
      <w:r w:rsidRPr="00956898">
        <w:rPr>
          <w:b/>
        </w:rPr>
        <w:t>1</w:t>
      </w:r>
      <w:r w:rsidRPr="005C2CC2">
        <w:t>. Summary of the effects of altered lignin biosynthesis in transgenic or mutant plants on the synthesis of phenylpropanoid-derived secondary metabolites (↑ = accumulation; ↓ = suppression).</w:t>
      </w:r>
    </w:p>
    <w:tbl>
      <w:tblPr>
        <w:tblW w:w="5000" w:type="pct"/>
        <w:tblLook w:val="00A0" w:firstRow="1" w:lastRow="0" w:firstColumn="1" w:lastColumn="0" w:noHBand="0" w:noVBand="0"/>
      </w:tblPr>
      <w:tblGrid>
        <w:gridCol w:w="1496"/>
        <w:gridCol w:w="1820"/>
        <w:gridCol w:w="1507"/>
        <w:gridCol w:w="2931"/>
        <w:gridCol w:w="886"/>
      </w:tblGrid>
      <w:tr w:rsidR="00EA1B3C" w:rsidRPr="00EA1B3C" w:rsidTr="00BF6B06">
        <w:trPr>
          <w:trHeight w:val="591"/>
        </w:trPr>
        <w:tc>
          <w:tcPr>
            <w:tcW w:w="1509" w:type="dxa"/>
            <w:tcBorders>
              <w:top w:val="single" w:sz="12" w:space="0" w:color="auto"/>
              <w:bottom w:val="single" w:sz="4" w:space="0" w:color="auto"/>
            </w:tcBorders>
          </w:tcPr>
          <w:p w:rsidR="00EA1B3C" w:rsidRPr="00EA1B3C" w:rsidRDefault="00EA1B3C" w:rsidP="00BB3998">
            <w:pPr>
              <w:spacing w:after="200"/>
              <w:rPr>
                <w:rFonts w:eastAsia="Calibri"/>
                <w:b/>
                <w:color w:val="222222"/>
                <w:shd w:val="clear" w:color="auto" w:fill="FFFFFF"/>
              </w:rPr>
            </w:pPr>
            <w:r w:rsidRPr="00EA1B3C">
              <w:rPr>
                <w:rFonts w:eastAsia="Calibri"/>
                <w:b/>
                <w:color w:val="222222"/>
                <w:shd w:val="clear" w:color="auto" w:fill="FFFFFF"/>
              </w:rPr>
              <w:t xml:space="preserve">Gene </w:t>
            </w:r>
          </w:p>
        </w:tc>
        <w:tc>
          <w:tcPr>
            <w:tcW w:w="1825" w:type="dxa"/>
            <w:tcBorders>
              <w:top w:val="single" w:sz="12" w:space="0" w:color="auto"/>
              <w:bottom w:val="single" w:sz="4" w:space="0" w:color="auto"/>
            </w:tcBorders>
          </w:tcPr>
          <w:p w:rsidR="00EA1B3C" w:rsidRPr="00EA1B3C" w:rsidRDefault="00EA1B3C" w:rsidP="00BB3998">
            <w:pPr>
              <w:spacing w:after="200"/>
              <w:rPr>
                <w:rFonts w:eastAsia="Calibri"/>
                <w:b/>
                <w:color w:val="222222"/>
                <w:shd w:val="clear" w:color="auto" w:fill="FFFFFF"/>
              </w:rPr>
            </w:pPr>
            <w:r w:rsidRPr="00EA1B3C">
              <w:rPr>
                <w:rFonts w:eastAsia="Calibri"/>
                <w:b/>
                <w:color w:val="222222"/>
                <w:shd w:val="clear" w:color="auto" w:fill="FFFFFF"/>
              </w:rPr>
              <w:t>Type of modification</w:t>
            </w:r>
          </w:p>
        </w:tc>
        <w:tc>
          <w:tcPr>
            <w:tcW w:w="1555" w:type="dxa"/>
            <w:tcBorders>
              <w:top w:val="single" w:sz="12" w:space="0" w:color="auto"/>
              <w:bottom w:val="single" w:sz="4" w:space="0" w:color="auto"/>
            </w:tcBorders>
          </w:tcPr>
          <w:p w:rsidR="00EA1B3C" w:rsidRPr="00EA1B3C" w:rsidRDefault="00EA1B3C" w:rsidP="00BB3998">
            <w:pPr>
              <w:spacing w:after="200"/>
              <w:rPr>
                <w:rFonts w:eastAsia="Calibri"/>
                <w:b/>
                <w:color w:val="222222"/>
                <w:shd w:val="clear" w:color="auto" w:fill="FFFFFF"/>
              </w:rPr>
            </w:pPr>
            <w:r w:rsidRPr="00123353">
              <w:rPr>
                <w:rFonts w:eastAsia="Calibri"/>
                <w:b/>
                <w:color w:val="222222"/>
                <w:shd w:val="clear" w:color="auto" w:fill="FFFFFF"/>
              </w:rPr>
              <w:t>Plant</w:t>
            </w:r>
          </w:p>
        </w:tc>
        <w:tc>
          <w:tcPr>
            <w:tcW w:w="3031" w:type="dxa"/>
            <w:tcBorders>
              <w:top w:val="single" w:sz="12" w:space="0" w:color="auto"/>
              <w:bottom w:val="single" w:sz="4" w:space="0" w:color="auto"/>
            </w:tcBorders>
          </w:tcPr>
          <w:p w:rsidR="00EA1B3C" w:rsidRPr="00EA1B3C" w:rsidRDefault="00EA1B3C" w:rsidP="00BB3998">
            <w:pPr>
              <w:spacing w:after="200"/>
              <w:rPr>
                <w:rFonts w:eastAsia="Calibri"/>
                <w:b/>
                <w:color w:val="222222"/>
                <w:shd w:val="clear" w:color="auto" w:fill="FFFFFF"/>
              </w:rPr>
            </w:pPr>
            <w:r w:rsidRPr="00EA1B3C">
              <w:rPr>
                <w:rFonts w:eastAsia="Calibri"/>
                <w:b/>
                <w:color w:val="222222"/>
                <w:shd w:val="clear" w:color="auto" w:fill="FFFFFF"/>
              </w:rPr>
              <w:t>Effect on phenylpropanoid metabolism</w:t>
            </w:r>
          </w:p>
        </w:tc>
        <w:tc>
          <w:tcPr>
            <w:tcW w:w="900" w:type="dxa"/>
            <w:tcBorders>
              <w:top w:val="single" w:sz="12" w:space="0" w:color="auto"/>
              <w:bottom w:val="single" w:sz="4" w:space="0" w:color="auto"/>
            </w:tcBorders>
          </w:tcPr>
          <w:p w:rsidR="00EA1B3C" w:rsidRPr="00EA1B3C" w:rsidRDefault="00EA1B3C" w:rsidP="00BB3998">
            <w:pPr>
              <w:spacing w:after="200"/>
              <w:rPr>
                <w:rFonts w:eastAsia="Calibri"/>
                <w:b/>
                <w:color w:val="222222"/>
                <w:shd w:val="clear" w:color="auto" w:fill="FFFFFF"/>
              </w:rPr>
            </w:pPr>
            <w:r w:rsidRPr="00EA1B3C">
              <w:rPr>
                <w:rFonts w:eastAsia="Calibri"/>
                <w:b/>
                <w:color w:val="222222"/>
                <w:shd w:val="clear" w:color="auto" w:fill="FFFFFF"/>
              </w:rPr>
              <w:t>Ref.</w:t>
            </w:r>
          </w:p>
        </w:tc>
      </w:tr>
      <w:tr w:rsidR="00EA1B3C" w:rsidRPr="00EA1B3C" w:rsidTr="00BF6B06">
        <w:trPr>
          <w:trHeight w:val="285"/>
        </w:trPr>
        <w:tc>
          <w:tcPr>
            <w:tcW w:w="1509" w:type="dxa"/>
            <w:vMerge w:val="restart"/>
            <w:tcBorders>
              <w:top w:val="single" w:sz="4" w:space="0" w:color="auto"/>
            </w:tcBorders>
          </w:tcPr>
          <w:p w:rsidR="00EA1B3C" w:rsidRPr="00EA1B3C" w:rsidRDefault="00EA1B3C" w:rsidP="00BB3998">
            <w:pPr>
              <w:spacing w:after="200"/>
              <w:rPr>
                <w:rFonts w:eastAsia="Calibri"/>
                <w:color w:val="222222"/>
                <w:shd w:val="clear" w:color="auto" w:fill="FFFFFF"/>
              </w:rPr>
            </w:pPr>
            <w:r w:rsidRPr="00EA1B3C">
              <w:rPr>
                <w:rFonts w:eastAsia="Calibri"/>
              </w:rPr>
              <w:t xml:space="preserve"> </w:t>
            </w:r>
            <w:r w:rsidRPr="00EA1B3C">
              <w:rPr>
                <w:rFonts w:eastAsia="Calibri"/>
                <w:color w:val="222222"/>
                <w:shd w:val="clear" w:color="auto" w:fill="FFFFFF"/>
              </w:rPr>
              <w:t>HCT</w:t>
            </w:r>
          </w:p>
        </w:tc>
        <w:tc>
          <w:tcPr>
            <w:tcW w:w="1825" w:type="dxa"/>
            <w:tcBorders>
              <w:top w:val="single" w:sz="4" w:space="0" w:color="auto"/>
            </w:tcBorders>
          </w:tcPr>
          <w:p w:rsidR="00EA1B3C" w:rsidRPr="00EA1B3C" w:rsidRDefault="00EA1B3C" w:rsidP="00BB3998">
            <w:pPr>
              <w:spacing w:after="200"/>
              <w:rPr>
                <w:rFonts w:eastAsia="Calibri"/>
                <w:color w:val="222222"/>
                <w:shd w:val="clear" w:color="auto" w:fill="FFFFFF"/>
              </w:rPr>
            </w:pPr>
            <w:r w:rsidRPr="00EA1B3C">
              <w:rPr>
                <w:rFonts w:eastAsia="Calibri"/>
                <w:color w:val="222222"/>
                <w:shd w:val="clear" w:color="auto" w:fill="FFFFFF"/>
              </w:rPr>
              <w:t>Downregulation</w:t>
            </w:r>
          </w:p>
        </w:tc>
        <w:tc>
          <w:tcPr>
            <w:tcW w:w="1555" w:type="dxa"/>
            <w:tcBorders>
              <w:top w:val="single" w:sz="4" w:space="0" w:color="auto"/>
            </w:tcBorders>
          </w:tcPr>
          <w:p w:rsidR="00EA1B3C" w:rsidRPr="00EA1B3C" w:rsidRDefault="00EA1B3C" w:rsidP="00BB3998">
            <w:pPr>
              <w:spacing w:after="200"/>
              <w:rPr>
                <w:rFonts w:eastAsia="Calibri"/>
                <w:i/>
                <w:color w:val="222222"/>
                <w:shd w:val="clear" w:color="auto" w:fill="FFFFFF"/>
              </w:rPr>
            </w:pPr>
            <w:r w:rsidRPr="00EA1B3C">
              <w:rPr>
                <w:rFonts w:eastAsia="Calibri"/>
                <w:i/>
                <w:color w:val="222222"/>
                <w:shd w:val="clear" w:color="auto" w:fill="FFFFFF"/>
              </w:rPr>
              <w:t>A. thaliana</w:t>
            </w:r>
          </w:p>
        </w:tc>
        <w:tc>
          <w:tcPr>
            <w:tcW w:w="3031" w:type="dxa"/>
            <w:tcBorders>
              <w:top w:val="single" w:sz="4" w:space="0" w:color="auto"/>
            </w:tcBorders>
          </w:tcPr>
          <w:p w:rsidR="00EA1B3C" w:rsidRPr="00EA1B3C" w:rsidRDefault="00EA1B3C" w:rsidP="00BB3998">
            <w:pPr>
              <w:spacing w:after="200"/>
              <w:rPr>
                <w:rFonts w:eastAsia="Calibri"/>
                <w:color w:val="222222"/>
                <w:shd w:val="clear" w:color="auto" w:fill="FFFFFF"/>
              </w:rPr>
            </w:pPr>
            <w:r w:rsidRPr="00EA1B3C">
              <w:rPr>
                <w:rFonts w:eastAsia="Calibri"/>
                <w:color w:val="222222"/>
                <w:shd w:val="clear" w:color="auto" w:fill="FFFFFF"/>
              </w:rPr>
              <w:t xml:space="preserve">↑ flavonoids </w:t>
            </w:r>
          </w:p>
        </w:tc>
        <w:tc>
          <w:tcPr>
            <w:tcW w:w="900" w:type="dxa"/>
            <w:tcBorders>
              <w:top w:val="single" w:sz="4" w:space="0" w:color="auto"/>
            </w:tcBorders>
          </w:tcPr>
          <w:p w:rsidR="00EA1B3C" w:rsidRPr="00EA1B3C" w:rsidRDefault="00631FB3" w:rsidP="00BB3998">
            <w:pPr>
              <w:spacing w:after="200"/>
              <w:rPr>
                <w:rFonts w:eastAsia="Calibri"/>
                <w:color w:val="222222"/>
                <w:shd w:val="clear" w:color="auto" w:fill="FFFFFF"/>
              </w:rPr>
            </w:pPr>
            <w:r w:rsidRPr="00631FB3">
              <w:rPr>
                <w:rFonts w:eastAsia="Calibri"/>
                <w:color w:val="222222"/>
                <w:shd w:val="clear" w:color="auto" w:fill="FFFFFF"/>
              </w:rPr>
              <w:t>32</w:t>
            </w:r>
          </w:p>
        </w:tc>
      </w:tr>
      <w:tr w:rsidR="00EA1B3C" w:rsidRPr="00EA1B3C" w:rsidTr="00BF6B06">
        <w:trPr>
          <w:trHeight w:val="239"/>
        </w:trPr>
        <w:tc>
          <w:tcPr>
            <w:tcW w:w="1509" w:type="dxa"/>
            <w:vMerge/>
          </w:tcPr>
          <w:p w:rsidR="00EA1B3C" w:rsidRPr="00EA1B3C" w:rsidRDefault="00EA1B3C" w:rsidP="00BB3998">
            <w:pPr>
              <w:spacing w:after="200"/>
              <w:rPr>
                <w:rFonts w:eastAsia="Calibri"/>
                <w:color w:val="222222"/>
                <w:shd w:val="clear" w:color="auto" w:fill="FFFFFF"/>
              </w:rPr>
            </w:pPr>
          </w:p>
        </w:tc>
        <w:tc>
          <w:tcPr>
            <w:tcW w:w="1825" w:type="dxa"/>
          </w:tcPr>
          <w:p w:rsidR="00EA1B3C" w:rsidRPr="00EA1B3C" w:rsidRDefault="00EA1B3C" w:rsidP="00BB3998">
            <w:pPr>
              <w:spacing w:after="200"/>
              <w:rPr>
                <w:rFonts w:eastAsia="Calibri"/>
                <w:color w:val="222222"/>
                <w:shd w:val="clear" w:color="auto" w:fill="FFFFFF"/>
              </w:rPr>
            </w:pPr>
            <w:r w:rsidRPr="00EA1B3C">
              <w:rPr>
                <w:rFonts w:eastAsia="Calibri"/>
                <w:color w:val="222222"/>
                <w:shd w:val="clear" w:color="auto" w:fill="FFFFFF"/>
              </w:rPr>
              <w:t>Downregulation</w:t>
            </w:r>
          </w:p>
        </w:tc>
        <w:tc>
          <w:tcPr>
            <w:tcW w:w="1555" w:type="dxa"/>
          </w:tcPr>
          <w:p w:rsidR="00EA1B3C" w:rsidRPr="00EA1B3C" w:rsidRDefault="00EA1B3C" w:rsidP="00BB3998">
            <w:pPr>
              <w:spacing w:after="200"/>
              <w:rPr>
                <w:rFonts w:eastAsia="Calibri"/>
                <w:color w:val="222222"/>
                <w:shd w:val="clear" w:color="auto" w:fill="FFFFFF"/>
              </w:rPr>
            </w:pPr>
            <w:r w:rsidRPr="00EA1B3C">
              <w:rPr>
                <w:rFonts w:eastAsia="Calibri"/>
                <w:color w:val="222222"/>
                <w:shd w:val="clear" w:color="auto" w:fill="FFFFFF"/>
              </w:rPr>
              <w:t xml:space="preserve">Alfalfa </w:t>
            </w:r>
          </w:p>
        </w:tc>
        <w:tc>
          <w:tcPr>
            <w:tcW w:w="3031" w:type="dxa"/>
          </w:tcPr>
          <w:p w:rsidR="00EA1B3C" w:rsidRPr="00EA1B3C" w:rsidRDefault="00EA1B3C" w:rsidP="00BB3998">
            <w:pPr>
              <w:spacing w:after="200"/>
              <w:rPr>
                <w:rFonts w:eastAsia="Calibri"/>
                <w:color w:val="222222"/>
                <w:shd w:val="clear" w:color="auto" w:fill="FFFFFF"/>
              </w:rPr>
            </w:pPr>
            <w:r w:rsidRPr="00EA1B3C">
              <w:rPr>
                <w:rFonts w:eastAsia="Calibri"/>
                <w:color w:val="222222"/>
                <w:shd w:val="clear" w:color="auto" w:fill="FFFFFF"/>
              </w:rPr>
              <w:t>↑ flavonoids</w:t>
            </w:r>
          </w:p>
          <w:p w:rsidR="00EA1B3C" w:rsidRPr="00EA1B3C" w:rsidRDefault="00EA1B3C" w:rsidP="00BB3998">
            <w:pPr>
              <w:spacing w:after="200"/>
              <w:rPr>
                <w:rFonts w:eastAsia="Calibri"/>
                <w:color w:val="222222"/>
                <w:shd w:val="clear" w:color="auto" w:fill="FFFFFF"/>
              </w:rPr>
            </w:pPr>
            <w:r w:rsidRPr="00EA1B3C">
              <w:rPr>
                <w:rFonts w:eastAsia="Calibri"/>
                <w:color w:val="222222"/>
                <w:shd w:val="clear" w:color="auto" w:fill="FFFFFF"/>
              </w:rPr>
              <w:t>↑ coumaric acid</w:t>
            </w:r>
          </w:p>
        </w:tc>
        <w:tc>
          <w:tcPr>
            <w:tcW w:w="900" w:type="dxa"/>
          </w:tcPr>
          <w:p w:rsidR="00EA1B3C" w:rsidRPr="00123353" w:rsidRDefault="00631FB3" w:rsidP="00BB3998">
            <w:pPr>
              <w:spacing w:after="200"/>
              <w:rPr>
                <w:rFonts w:eastAsia="Calibri"/>
                <w:color w:val="222222"/>
                <w:shd w:val="clear" w:color="auto" w:fill="FFFFFF"/>
              </w:rPr>
            </w:pPr>
            <w:r w:rsidRPr="00631FB3">
              <w:rPr>
                <w:rFonts w:eastAsia="Calibri"/>
                <w:color w:val="222222"/>
                <w:shd w:val="clear" w:color="auto" w:fill="FFFFFF"/>
              </w:rPr>
              <w:t>31</w:t>
            </w:r>
          </w:p>
          <w:p w:rsidR="00EA1B3C" w:rsidRPr="00123353" w:rsidRDefault="00EA1B3C" w:rsidP="00BB3998">
            <w:pPr>
              <w:rPr>
                <w:rFonts w:eastAsia="Calibri"/>
              </w:rPr>
            </w:pPr>
            <w:r w:rsidRPr="00123353">
              <w:rPr>
                <w:rFonts w:eastAsia="Calibri"/>
              </w:rPr>
              <w:t>31</w:t>
            </w:r>
          </w:p>
        </w:tc>
      </w:tr>
      <w:tr w:rsidR="00EA1B3C" w:rsidRPr="00EA1B3C" w:rsidTr="00BF6B06">
        <w:trPr>
          <w:trHeight w:val="239"/>
        </w:trPr>
        <w:tc>
          <w:tcPr>
            <w:tcW w:w="1509" w:type="dxa"/>
          </w:tcPr>
          <w:p w:rsidR="00EA1B3C" w:rsidRPr="00EA1B3C" w:rsidRDefault="00EA1B3C" w:rsidP="00BB3998">
            <w:pPr>
              <w:spacing w:after="200"/>
              <w:rPr>
                <w:rFonts w:eastAsia="Calibri"/>
                <w:color w:val="222222"/>
                <w:shd w:val="clear" w:color="auto" w:fill="FFFFFF"/>
              </w:rPr>
            </w:pPr>
            <w:r w:rsidRPr="00EA1B3C">
              <w:rPr>
                <w:rFonts w:eastAsia="Calibri"/>
              </w:rPr>
              <w:t xml:space="preserve"> </w:t>
            </w:r>
            <w:r w:rsidRPr="00EA1B3C">
              <w:rPr>
                <w:rFonts w:eastAsia="Calibri"/>
                <w:color w:val="222222"/>
                <w:shd w:val="clear" w:color="auto" w:fill="FFFFFF"/>
              </w:rPr>
              <w:t>C3H</w:t>
            </w:r>
          </w:p>
        </w:tc>
        <w:tc>
          <w:tcPr>
            <w:tcW w:w="1825" w:type="dxa"/>
          </w:tcPr>
          <w:p w:rsidR="00EA1B3C" w:rsidRPr="00EA1B3C" w:rsidRDefault="00EA1B3C" w:rsidP="00BB3998">
            <w:pPr>
              <w:spacing w:after="200"/>
              <w:rPr>
                <w:rFonts w:eastAsia="Calibri"/>
                <w:shd w:val="clear" w:color="auto" w:fill="FFFFFF"/>
              </w:rPr>
            </w:pPr>
            <w:r w:rsidRPr="00EA1B3C">
              <w:rPr>
                <w:rFonts w:eastAsia="Calibri"/>
                <w:shd w:val="clear" w:color="auto" w:fill="FFFFFF"/>
              </w:rPr>
              <w:t>Downregulation</w:t>
            </w:r>
          </w:p>
        </w:tc>
        <w:tc>
          <w:tcPr>
            <w:tcW w:w="1555" w:type="dxa"/>
          </w:tcPr>
          <w:p w:rsidR="00EA1B3C" w:rsidRPr="00EA1B3C" w:rsidRDefault="00EA1B3C" w:rsidP="00BB3998">
            <w:pPr>
              <w:spacing w:after="200"/>
              <w:rPr>
                <w:rFonts w:eastAsia="Calibri"/>
                <w:color w:val="222222"/>
                <w:shd w:val="clear" w:color="auto" w:fill="FFFFFF"/>
              </w:rPr>
            </w:pPr>
            <w:r w:rsidRPr="00EA1B3C">
              <w:rPr>
                <w:rFonts w:eastAsia="Calibri"/>
                <w:shd w:val="clear" w:color="auto" w:fill="FFFFFF"/>
              </w:rPr>
              <w:t xml:space="preserve">Poplar </w:t>
            </w:r>
          </w:p>
        </w:tc>
        <w:tc>
          <w:tcPr>
            <w:tcW w:w="3031" w:type="dxa"/>
          </w:tcPr>
          <w:p w:rsidR="00EA1B3C" w:rsidRPr="00EA1B3C" w:rsidRDefault="00EA1B3C" w:rsidP="00BB3998">
            <w:pPr>
              <w:spacing w:after="200"/>
              <w:rPr>
                <w:rFonts w:eastAsia="Calibri"/>
                <w:color w:val="222222"/>
                <w:shd w:val="clear" w:color="auto" w:fill="FFFFFF"/>
              </w:rPr>
            </w:pPr>
            <w:r w:rsidRPr="00EA1B3C">
              <w:rPr>
                <w:rFonts w:eastAsia="Calibri"/>
                <w:color w:val="222222"/>
                <w:shd w:val="clear" w:color="auto" w:fill="FFFFFF"/>
              </w:rPr>
              <w:t>↑</w:t>
            </w:r>
            <w:r w:rsidRPr="00EA1B3C">
              <w:rPr>
                <w:rFonts w:eastAsia="Calibri"/>
                <w:shd w:val="clear" w:color="auto" w:fill="FFFFFF"/>
              </w:rPr>
              <w:t xml:space="preserve"> phenolic glucosides</w:t>
            </w:r>
          </w:p>
        </w:tc>
        <w:tc>
          <w:tcPr>
            <w:tcW w:w="900" w:type="dxa"/>
          </w:tcPr>
          <w:p w:rsidR="00EA1B3C" w:rsidRPr="00EA1B3C" w:rsidRDefault="00631FB3" w:rsidP="00BB3998">
            <w:pPr>
              <w:spacing w:after="200"/>
              <w:rPr>
                <w:rFonts w:eastAsia="Calibri"/>
                <w:color w:val="222222"/>
                <w:shd w:val="clear" w:color="auto" w:fill="FFFFFF"/>
              </w:rPr>
            </w:pPr>
            <w:r w:rsidRPr="00631FB3">
              <w:rPr>
                <w:rFonts w:eastAsia="Calibri"/>
                <w:color w:val="222222"/>
                <w:shd w:val="clear" w:color="auto" w:fill="FFFFFF"/>
              </w:rPr>
              <w:t>33</w:t>
            </w:r>
          </w:p>
        </w:tc>
      </w:tr>
      <w:tr w:rsidR="00EA1B3C" w:rsidRPr="00EA1B3C" w:rsidTr="00BF6B06">
        <w:trPr>
          <w:trHeight w:val="239"/>
        </w:trPr>
        <w:tc>
          <w:tcPr>
            <w:tcW w:w="1509" w:type="dxa"/>
          </w:tcPr>
          <w:p w:rsidR="00EA1B3C" w:rsidRPr="00EA1B3C" w:rsidRDefault="00EA1B3C" w:rsidP="00BB3998">
            <w:pPr>
              <w:spacing w:after="200"/>
              <w:rPr>
                <w:rFonts w:eastAsia="Calibri"/>
              </w:rPr>
            </w:pPr>
            <w:r w:rsidRPr="00EA1B3C">
              <w:rPr>
                <w:rFonts w:eastAsia="Calibri"/>
                <w:color w:val="222222"/>
                <w:shd w:val="clear" w:color="auto" w:fill="FFFFFF"/>
              </w:rPr>
              <w:t>CCoAOMT</w:t>
            </w:r>
          </w:p>
        </w:tc>
        <w:tc>
          <w:tcPr>
            <w:tcW w:w="1825" w:type="dxa"/>
          </w:tcPr>
          <w:p w:rsidR="00EA1B3C" w:rsidRPr="00EA1B3C" w:rsidRDefault="00EA1B3C" w:rsidP="00BB3998">
            <w:pPr>
              <w:spacing w:after="200"/>
              <w:rPr>
                <w:rFonts w:eastAsia="Calibri"/>
                <w:shd w:val="clear" w:color="auto" w:fill="FFFFFF"/>
              </w:rPr>
            </w:pPr>
            <w:r w:rsidRPr="00EA1B3C">
              <w:rPr>
                <w:rFonts w:eastAsia="Calibri"/>
                <w:shd w:val="clear" w:color="auto" w:fill="FFFFFF"/>
              </w:rPr>
              <w:t>Downregulation</w:t>
            </w:r>
          </w:p>
        </w:tc>
        <w:tc>
          <w:tcPr>
            <w:tcW w:w="1555" w:type="dxa"/>
          </w:tcPr>
          <w:p w:rsidR="00EA1B3C" w:rsidRPr="00EA1B3C" w:rsidRDefault="00EA1B3C" w:rsidP="00BB3998">
            <w:pPr>
              <w:spacing w:after="200"/>
              <w:rPr>
                <w:rFonts w:eastAsia="Calibri"/>
                <w:shd w:val="clear" w:color="auto" w:fill="FFFFFF"/>
              </w:rPr>
            </w:pPr>
            <w:r w:rsidRPr="00EA1B3C">
              <w:rPr>
                <w:rFonts w:eastAsia="Calibri"/>
                <w:shd w:val="clear" w:color="auto" w:fill="FFFFFF"/>
              </w:rPr>
              <w:t xml:space="preserve">Poplar </w:t>
            </w:r>
          </w:p>
        </w:tc>
        <w:tc>
          <w:tcPr>
            <w:tcW w:w="3031" w:type="dxa"/>
          </w:tcPr>
          <w:p w:rsidR="00EA1B3C" w:rsidRPr="00EA1B3C" w:rsidRDefault="00EA1B3C" w:rsidP="00BB3998">
            <w:pPr>
              <w:spacing w:after="200"/>
              <w:rPr>
                <w:rFonts w:eastAsia="Calibri"/>
                <w:color w:val="222222"/>
                <w:shd w:val="clear" w:color="auto" w:fill="FFFFFF"/>
              </w:rPr>
            </w:pPr>
            <w:r w:rsidRPr="00EA1B3C">
              <w:rPr>
                <w:rFonts w:eastAsia="Calibri"/>
                <w:color w:val="222222"/>
                <w:shd w:val="clear" w:color="auto" w:fill="FFFFFF"/>
              </w:rPr>
              <w:t>↑</w:t>
            </w:r>
            <w:r w:rsidRPr="00EA1B3C">
              <w:rPr>
                <w:rFonts w:eastAsia="Calibri"/>
                <w:shd w:val="clear" w:color="auto" w:fill="FFFFFF"/>
              </w:rPr>
              <w:t xml:space="preserve"> phenolic glucosides</w:t>
            </w:r>
          </w:p>
        </w:tc>
        <w:tc>
          <w:tcPr>
            <w:tcW w:w="900" w:type="dxa"/>
          </w:tcPr>
          <w:p w:rsidR="00EA1B3C" w:rsidRPr="00EA1B3C" w:rsidRDefault="00631FB3" w:rsidP="00BB3998">
            <w:pPr>
              <w:spacing w:after="200"/>
              <w:rPr>
                <w:rFonts w:eastAsia="Calibri"/>
                <w:color w:val="222222"/>
                <w:shd w:val="clear" w:color="auto" w:fill="FFFFFF"/>
              </w:rPr>
            </w:pPr>
            <w:r w:rsidRPr="00631FB3">
              <w:rPr>
                <w:rFonts w:eastAsia="Calibri"/>
                <w:color w:val="222222"/>
                <w:shd w:val="clear" w:color="auto" w:fill="FFFFFF"/>
              </w:rPr>
              <w:t>64</w:t>
            </w:r>
          </w:p>
        </w:tc>
      </w:tr>
      <w:tr w:rsidR="00EA1B3C" w:rsidRPr="00EA1B3C" w:rsidTr="00BF6B06">
        <w:trPr>
          <w:trHeight w:val="239"/>
        </w:trPr>
        <w:tc>
          <w:tcPr>
            <w:tcW w:w="1509" w:type="dxa"/>
          </w:tcPr>
          <w:p w:rsidR="00EA1B3C" w:rsidRPr="00EA1B3C" w:rsidRDefault="00EA1B3C" w:rsidP="00BB3998">
            <w:pPr>
              <w:spacing w:after="200"/>
              <w:rPr>
                <w:rFonts w:eastAsia="Calibri"/>
              </w:rPr>
            </w:pPr>
          </w:p>
        </w:tc>
        <w:tc>
          <w:tcPr>
            <w:tcW w:w="1825" w:type="dxa"/>
          </w:tcPr>
          <w:p w:rsidR="00EA1B3C" w:rsidRPr="00EA1B3C" w:rsidRDefault="00EA1B3C" w:rsidP="00BB3998">
            <w:pPr>
              <w:spacing w:after="200"/>
              <w:rPr>
                <w:rFonts w:eastAsia="Calibri"/>
                <w:shd w:val="clear" w:color="auto" w:fill="FFFFFF"/>
              </w:rPr>
            </w:pPr>
            <w:r w:rsidRPr="00EA1B3C">
              <w:rPr>
                <w:rFonts w:eastAsia="Calibri"/>
                <w:shd w:val="clear" w:color="auto" w:fill="FFFFFF"/>
              </w:rPr>
              <w:t>Downregulation</w:t>
            </w:r>
          </w:p>
        </w:tc>
        <w:tc>
          <w:tcPr>
            <w:tcW w:w="1555" w:type="dxa"/>
          </w:tcPr>
          <w:p w:rsidR="00EA1B3C" w:rsidRPr="00EA1B3C" w:rsidRDefault="00EA1B3C" w:rsidP="00BB3998">
            <w:pPr>
              <w:spacing w:after="200"/>
              <w:rPr>
                <w:rFonts w:eastAsia="Calibri"/>
                <w:shd w:val="clear" w:color="auto" w:fill="FFFFFF"/>
              </w:rPr>
            </w:pPr>
            <w:r w:rsidRPr="00EA1B3C">
              <w:rPr>
                <w:rFonts w:eastAsia="Calibri"/>
                <w:shd w:val="clear" w:color="auto" w:fill="FFFFFF"/>
              </w:rPr>
              <w:t>Alfalfa</w:t>
            </w:r>
          </w:p>
        </w:tc>
        <w:tc>
          <w:tcPr>
            <w:tcW w:w="3031" w:type="dxa"/>
          </w:tcPr>
          <w:p w:rsidR="00EA1B3C" w:rsidRPr="00EA1B3C" w:rsidRDefault="00EA1B3C" w:rsidP="00BB3998">
            <w:pPr>
              <w:spacing w:after="200"/>
              <w:rPr>
                <w:rFonts w:eastAsia="Calibri"/>
                <w:color w:val="222222"/>
                <w:shd w:val="clear" w:color="auto" w:fill="FFFFFF"/>
              </w:rPr>
            </w:pPr>
            <w:r w:rsidRPr="00EA1B3C">
              <w:rPr>
                <w:rFonts w:eastAsia="Calibri"/>
                <w:color w:val="222222"/>
                <w:shd w:val="clear" w:color="auto" w:fill="FFFFFF"/>
              </w:rPr>
              <w:t>↑</w:t>
            </w:r>
            <w:r w:rsidRPr="00EA1B3C">
              <w:rPr>
                <w:rFonts w:eastAsia="Calibri"/>
                <w:shd w:val="clear" w:color="auto" w:fill="FFFFFF"/>
              </w:rPr>
              <w:t xml:space="preserve"> caffeoyl glucosides</w:t>
            </w:r>
          </w:p>
        </w:tc>
        <w:tc>
          <w:tcPr>
            <w:tcW w:w="900" w:type="dxa"/>
          </w:tcPr>
          <w:p w:rsidR="00EA1B3C" w:rsidRPr="00EA1B3C" w:rsidRDefault="00631FB3" w:rsidP="00BB3998">
            <w:pPr>
              <w:spacing w:after="200"/>
              <w:rPr>
                <w:rFonts w:eastAsia="Calibri"/>
                <w:color w:val="222222"/>
                <w:shd w:val="clear" w:color="auto" w:fill="FFFFFF"/>
              </w:rPr>
            </w:pPr>
            <w:r w:rsidRPr="00631FB3">
              <w:rPr>
                <w:rFonts w:eastAsia="Calibri"/>
                <w:color w:val="222222"/>
                <w:shd w:val="clear" w:color="auto" w:fill="FFFFFF"/>
              </w:rPr>
              <w:t>65</w:t>
            </w:r>
          </w:p>
        </w:tc>
      </w:tr>
      <w:tr w:rsidR="00EA1B3C" w:rsidRPr="00EA1B3C" w:rsidTr="00BF6B06">
        <w:trPr>
          <w:trHeight w:val="239"/>
        </w:trPr>
        <w:tc>
          <w:tcPr>
            <w:tcW w:w="1509" w:type="dxa"/>
            <w:vMerge w:val="restart"/>
          </w:tcPr>
          <w:p w:rsidR="00EA1B3C" w:rsidRPr="00EA1B3C" w:rsidRDefault="00EA1B3C" w:rsidP="00BB3998">
            <w:pPr>
              <w:spacing w:after="200"/>
              <w:rPr>
                <w:rFonts w:eastAsia="Calibri"/>
                <w:color w:val="222222"/>
                <w:shd w:val="clear" w:color="auto" w:fill="FFFFFF"/>
              </w:rPr>
            </w:pPr>
            <w:r w:rsidRPr="00EA1B3C">
              <w:rPr>
                <w:rFonts w:eastAsia="Calibri"/>
                <w:color w:val="222222"/>
                <w:shd w:val="clear" w:color="auto" w:fill="FFFFFF"/>
              </w:rPr>
              <w:t>CCR</w:t>
            </w:r>
          </w:p>
        </w:tc>
        <w:tc>
          <w:tcPr>
            <w:tcW w:w="1825" w:type="dxa"/>
          </w:tcPr>
          <w:p w:rsidR="00EA1B3C" w:rsidRPr="00EA1B3C" w:rsidRDefault="00EA1B3C" w:rsidP="00BB3998">
            <w:pPr>
              <w:spacing w:after="200"/>
              <w:rPr>
                <w:rFonts w:eastAsia="Calibri"/>
                <w:color w:val="222222"/>
                <w:shd w:val="clear" w:color="auto" w:fill="FFFFFF"/>
              </w:rPr>
            </w:pPr>
            <w:r w:rsidRPr="00EA1B3C">
              <w:rPr>
                <w:rFonts w:eastAsia="Calibri"/>
                <w:color w:val="222222"/>
                <w:shd w:val="clear" w:color="auto" w:fill="FFFFFF"/>
              </w:rPr>
              <w:t>Mutant</w:t>
            </w:r>
          </w:p>
        </w:tc>
        <w:tc>
          <w:tcPr>
            <w:tcW w:w="1555" w:type="dxa"/>
          </w:tcPr>
          <w:p w:rsidR="00EA1B3C" w:rsidRPr="00EA1B3C" w:rsidRDefault="00EA1B3C" w:rsidP="00BB3998">
            <w:pPr>
              <w:spacing w:after="200"/>
              <w:rPr>
                <w:rFonts w:eastAsia="Calibri"/>
                <w:i/>
                <w:color w:val="222222"/>
                <w:shd w:val="clear" w:color="auto" w:fill="FFFFFF"/>
              </w:rPr>
            </w:pPr>
            <w:r w:rsidRPr="00EA1B3C">
              <w:rPr>
                <w:rFonts w:eastAsia="Calibri"/>
                <w:i/>
                <w:color w:val="222222"/>
                <w:shd w:val="clear" w:color="auto" w:fill="FFFFFF"/>
              </w:rPr>
              <w:t>A. thaliana</w:t>
            </w:r>
          </w:p>
        </w:tc>
        <w:tc>
          <w:tcPr>
            <w:tcW w:w="3031" w:type="dxa"/>
          </w:tcPr>
          <w:p w:rsidR="00EA1B3C" w:rsidRPr="00EA1B3C" w:rsidRDefault="00EA1B3C" w:rsidP="00BB3998">
            <w:pPr>
              <w:spacing w:after="200"/>
              <w:rPr>
                <w:rFonts w:eastAsia="Calibri"/>
                <w:shd w:val="clear" w:color="auto" w:fill="FFFFFF"/>
              </w:rPr>
            </w:pPr>
            <w:r w:rsidRPr="00EA1B3C">
              <w:rPr>
                <w:rFonts w:eastAsia="Calibri"/>
                <w:color w:val="222222"/>
                <w:shd w:val="clear" w:color="auto" w:fill="FFFFFF"/>
              </w:rPr>
              <w:t>↑</w:t>
            </w:r>
            <w:r w:rsidRPr="00EA1B3C">
              <w:rPr>
                <w:rFonts w:eastAsia="Calibri"/>
                <w:shd w:val="clear" w:color="auto" w:fill="FFFFFF"/>
              </w:rPr>
              <w:t xml:space="preserve"> feruloyl malate</w:t>
            </w:r>
          </w:p>
          <w:p w:rsidR="00EA1B3C" w:rsidRPr="00EA1B3C" w:rsidRDefault="00EA1B3C" w:rsidP="00BB3998">
            <w:pPr>
              <w:spacing w:after="200"/>
              <w:rPr>
                <w:rFonts w:eastAsia="Calibri"/>
                <w:color w:val="222222"/>
                <w:shd w:val="clear" w:color="auto" w:fill="FFFFFF"/>
              </w:rPr>
            </w:pPr>
            <w:r w:rsidRPr="00EA1B3C">
              <w:rPr>
                <w:rFonts w:eastAsia="Calibri"/>
                <w:shd w:val="clear" w:color="auto" w:fill="FFFFFF"/>
              </w:rPr>
              <w:t>↓ sinapoyl malate</w:t>
            </w:r>
          </w:p>
        </w:tc>
        <w:tc>
          <w:tcPr>
            <w:tcW w:w="900" w:type="dxa"/>
          </w:tcPr>
          <w:p w:rsidR="00EA1B3C" w:rsidRPr="00123353" w:rsidRDefault="00EA1B3C" w:rsidP="00BB3998">
            <w:pPr>
              <w:spacing w:after="200"/>
              <w:rPr>
                <w:rFonts w:eastAsia="Calibri"/>
                <w:color w:val="222222"/>
                <w:shd w:val="clear" w:color="auto" w:fill="FFFFFF"/>
              </w:rPr>
            </w:pPr>
            <w:r w:rsidRPr="00123353">
              <w:rPr>
                <w:rFonts w:eastAsia="Calibri"/>
                <w:color w:val="222222"/>
                <w:shd w:val="clear" w:color="auto" w:fill="FFFFFF"/>
              </w:rPr>
              <w:t>69</w:t>
            </w:r>
          </w:p>
          <w:p w:rsidR="00EA1B3C" w:rsidRPr="00EA1B3C" w:rsidRDefault="00631FB3" w:rsidP="00BB3998">
            <w:pPr>
              <w:spacing w:after="200"/>
              <w:rPr>
                <w:rFonts w:eastAsia="Calibri"/>
                <w:color w:val="222222"/>
                <w:shd w:val="clear" w:color="auto" w:fill="FFFFFF"/>
              </w:rPr>
            </w:pPr>
            <w:r w:rsidRPr="00631FB3">
              <w:rPr>
                <w:rFonts w:eastAsia="Calibri"/>
                <w:color w:val="222222"/>
                <w:shd w:val="clear" w:color="auto" w:fill="FFFFFF"/>
              </w:rPr>
              <w:t>69</w:t>
            </w:r>
          </w:p>
        </w:tc>
      </w:tr>
      <w:tr w:rsidR="00EA1B3C" w:rsidRPr="00EA1B3C" w:rsidTr="00BF6B06">
        <w:trPr>
          <w:trHeight w:val="239"/>
        </w:trPr>
        <w:tc>
          <w:tcPr>
            <w:tcW w:w="1509" w:type="dxa"/>
            <w:vMerge/>
          </w:tcPr>
          <w:p w:rsidR="00EA1B3C" w:rsidRPr="00EA1B3C" w:rsidRDefault="00EA1B3C" w:rsidP="00BB3998">
            <w:pPr>
              <w:spacing w:after="200"/>
              <w:rPr>
                <w:rFonts w:eastAsia="Calibri"/>
                <w:color w:val="222222"/>
                <w:shd w:val="clear" w:color="auto" w:fill="FFFFFF"/>
              </w:rPr>
            </w:pPr>
          </w:p>
        </w:tc>
        <w:tc>
          <w:tcPr>
            <w:tcW w:w="1825" w:type="dxa"/>
          </w:tcPr>
          <w:p w:rsidR="00EA1B3C" w:rsidRPr="00EA1B3C" w:rsidRDefault="00EA1B3C" w:rsidP="00BB3998">
            <w:pPr>
              <w:spacing w:after="200"/>
              <w:rPr>
                <w:rFonts w:eastAsia="Calibri"/>
                <w:color w:val="222222"/>
                <w:shd w:val="clear" w:color="auto" w:fill="FFFFFF"/>
              </w:rPr>
            </w:pPr>
            <w:r w:rsidRPr="00EA1B3C">
              <w:rPr>
                <w:rFonts w:eastAsia="Calibri"/>
                <w:color w:val="222222"/>
                <w:shd w:val="clear" w:color="auto" w:fill="FFFFFF"/>
              </w:rPr>
              <w:t>Downregulation</w:t>
            </w:r>
          </w:p>
        </w:tc>
        <w:tc>
          <w:tcPr>
            <w:tcW w:w="1555" w:type="dxa"/>
          </w:tcPr>
          <w:p w:rsidR="00EA1B3C" w:rsidRPr="00EA1B3C" w:rsidRDefault="00EA1B3C" w:rsidP="00BB3998">
            <w:pPr>
              <w:spacing w:after="200"/>
              <w:rPr>
                <w:rFonts w:eastAsia="Calibri"/>
                <w:color w:val="222222"/>
                <w:shd w:val="clear" w:color="auto" w:fill="FFFFFF"/>
              </w:rPr>
            </w:pPr>
            <w:r w:rsidRPr="00EA1B3C">
              <w:rPr>
                <w:rFonts w:eastAsia="Calibri"/>
                <w:color w:val="222222"/>
                <w:shd w:val="clear" w:color="auto" w:fill="FFFFFF"/>
              </w:rPr>
              <w:t>Poplar</w:t>
            </w:r>
          </w:p>
        </w:tc>
        <w:tc>
          <w:tcPr>
            <w:tcW w:w="3031" w:type="dxa"/>
          </w:tcPr>
          <w:p w:rsidR="00EA1B3C" w:rsidRPr="00EA1B3C" w:rsidRDefault="00EA1B3C" w:rsidP="00BB3998">
            <w:pPr>
              <w:spacing w:after="200"/>
              <w:rPr>
                <w:rFonts w:eastAsia="Calibri"/>
                <w:shd w:val="clear" w:color="auto" w:fill="FFFFFF"/>
              </w:rPr>
            </w:pPr>
            <w:r w:rsidRPr="00EA1B3C">
              <w:rPr>
                <w:rFonts w:eastAsia="Calibri"/>
                <w:color w:val="222222"/>
                <w:shd w:val="clear" w:color="auto" w:fill="FFFFFF"/>
              </w:rPr>
              <w:t>↑</w:t>
            </w:r>
            <w:r w:rsidRPr="00EA1B3C">
              <w:rPr>
                <w:rFonts w:eastAsia="Calibri"/>
                <w:shd w:val="clear" w:color="auto" w:fill="FFFFFF"/>
              </w:rPr>
              <w:t xml:space="preserve"> ferulic acid</w:t>
            </w:r>
          </w:p>
          <w:p w:rsidR="00EA1B3C" w:rsidRPr="00EA1B3C" w:rsidRDefault="00EA1B3C" w:rsidP="00BB3998">
            <w:pPr>
              <w:spacing w:after="200"/>
              <w:rPr>
                <w:rFonts w:eastAsia="Calibri"/>
                <w:color w:val="222222"/>
                <w:shd w:val="clear" w:color="auto" w:fill="FFFFFF"/>
              </w:rPr>
            </w:pPr>
            <w:r w:rsidRPr="00EA1B3C">
              <w:rPr>
                <w:rFonts w:eastAsia="Calibri"/>
                <w:color w:val="222222"/>
                <w:shd w:val="clear" w:color="auto" w:fill="FFFFFF"/>
              </w:rPr>
              <w:t xml:space="preserve">↑ </w:t>
            </w:r>
            <w:r w:rsidRPr="00EA1B3C">
              <w:rPr>
                <w:rFonts w:eastAsia="Calibri"/>
                <w:shd w:val="clear" w:color="auto" w:fill="FFFFFF"/>
              </w:rPr>
              <w:t>sinapic acid</w:t>
            </w:r>
          </w:p>
        </w:tc>
        <w:tc>
          <w:tcPr>
            <w:tcW w:w="900" w:type="dxa"/>
          </w:tcPr>
          <w:p w:rsidR="00EA1B3C" w:rsidRPr="00123353" w:rsidRDefault="00631FB3" w:rsidP="00BB3998">
            <w:pPr>
              <w:spacing w:after="200"/>
              <w:rPr>
                <w:rFonts w:eastAsia="Calibri"/>
                <w:color w:val="222222"/>
                <w:shd w:val="clear" w:color="auto" w:fill="FFFFFF"/>
              </w:rPr>
            </w:pPr>
            <w:r w:rsidRPr="00631FB3">
              <w:rPr>
                <w:rFonts w:eastAsia="Calibri"/>
                <w:color w:val="222222"/>
                <w:shd w:val="clear" w:color="auto" w:fill="FFFFFF"/>
              </w:rPr>
              <w:t>40</w:t>
            </w:r>
          </w:p>
          <w:p w:rsidR="00EA1B3C" w:rsidRPr="00EA1B3C" w:rsidRDefault="00EA1B3C" w:rsidP="00BB3998">
            <w:pPr>
              <w:spacing w:after="200"/>
              <w:rPr>
                <w:rFonts w:eastAsia="Calibri"/>
                <w:color w:val="222222"/>
                <w:shd w:val="clear" w:color="auto" w:fill="FFFFFF"/>
              </w:rPr>
            </w:pPr>
            <w:r w:rsidRPr="00123353">
              <w:rPr>
                <w:rFonts w:eastAsia="Calibri"/>
                <w:color w:val="222222"/>
                <w:shd w:val="clear" w:color="auto" w:fill="FFFFFF"/>
              </w:rPr>
              <w:t>40</w:t>
            </w:r>
          </w:p>
        </w:tc>
      </w:tr>
      <w:tr w:rsidR="00EA1B3C" w:rsidRPr="00EA1B3C" w:rsidTr="00BF6B06">
        <w:trPr>
          <w:trHeight w:val="239"/>
        </w:trPr>
        <w:tc>
          <w:tcPr>
            <w:tcW w:w="1509" w:type="dxa"/>
            <w:vMerge/>
          </w:tcPr>
          <w:p w:rsidR="00EA1B3C" w:rsidRPr="00EA1B3C" w:rsidRDefault="00EA1B3C" w:rsidP="00BB3998">
            <w:pPr>
              <w:spacing w:after="200"/>
              <w:rPr>
                <w:rFonts w:eastAsia="Calibri"/>
                <w:color w:val="222222"/>
                <w:shd w:val="clear" w:color="auto" w:fill="FFFFFF"/>
              </w:rPr>
            </w:pPr>
          </w:p>
        </w:tc>
        <w:tc>
          <w:tcPr>
            <w:tcW w:w="1825" w:type="dxa"/>
          </w:tcPr>
          <w:p w:rsidR="00EA1B3C" w:rsidRPr="00EA1B3C" w:rsidRDefault="00EA1B3C" w:rsidP="00BB3998">
            <w:pPr>
              <w:spacing w:after="200"/>
              <w:rPr>
                <w:rFonts w:eastAsia="Calibri"/>
                <w:color w:val="222222"/>
                <w:shd w:val="clear" w:color="auto" w:fill="FFFFFF"/>
              </w:rPr>
            </w:pPr>
            <w:r w:rsidRPr="00EA1B3C">
              <w:rPr>
                <w:rFonts w:eastAsia="Calibri"/>
                <w:color w:val="222222"/>
                <w:shd w:val="clear" w:color="auto" w:fill="FFFFFF"/>
              </w:rPr>
              <w:t>Downregulation</w:t>
            </w:r>
          </w:p>
        </w:tc>
        <w:tc>
          <w:tcPr>
            <w:tcW w:w="1555" w:type="dxa"/>
          </w:tcPr>
          <w:p w:rsidR="00EA1B3C" w:rsidRPr="00EA1B3C" w:rsidRDefault="00EA1B3C" w:rsidP="00BB3998">
            <w:pPr>
              <w:spacing w:after="200"/>
              <w:rPr>
                <w:rFonts w:eastAsia="Calibri"/>
                <w:color w:val="222222"/>
                <w:shd w:val="clear" w:color="auto" w:fill="FFFFFF"/>
              </w:rPr>
            </w:pPr>
            <w:r w:rsidRPr="00EA1B3C">
              <w:rPr>
                <w:rFonts w:eastAsia="Calibri"/>
                <w:color w:val="222222"/>
                <w:shd w:val="clear" w:color="auto" w:fill="FFFFFF"/>
              </w:rPr>
              <w:t>Tobacco</w:t>
            </w:r>
          </w:p>
        </w:tc>
        <w:tc>
          <w:tcPr>
            <w:tcW w:w="3031" w:type="dxa"/>
          </w:tcPr>
          <w:p w:rsidR="00EA1B3C" w:rsidRPr="00EA1B3C" w:rsidRDefault="00EA1B3C" w:rsidP="00BB3998">
            <w:pPr>
              <w:spacing w:after="200"/>
              <w:rPr>
                <w:rFonts w:eastAsia="Calibri"/>
                <w:shd w:val="clear" w:color="auto" w:fill="FFFFFF"/>
              </w:rPr>
            </w:pPr>
            <w:r w:rsidRPr="00EA1B3C">
              <w:rPr>
                <w:rFonts w:eastAsia="Calibri"/>
                <w:color w:val="222222"/>
                <w:shd w:val="clear" w:color="auto" w:fill="FFFFFF"/>
              </w:rPr>
              <w:t>↑</w:t>
            </w:r>
            <w:r w:rsidRPr="00EA1B3C">
              <w:rPr>
                <w:rFonts w:eastAsia="Calibri"/>
                <w:shd w:val="clear" w:color="auto" w:fill="FFFFFF"/>
              </w:rPr>
              <w:t xml:space="preserve"> ferulic acid</w:t>
            </w:r>
          </w:p>
          <w:p w:rsidR="00EA1B3C" w:rsidRPr="00EA1B3C" w:rsidRDefault="00EA1B3C" w:rsidP="00BB3998">
            <w:pPr>
              <w:spacing w:after="200"/>
              <w:rPr>
                <w:rFonts w:eastAsia="Calibri"/>
                <w:color w:val="222222"/>
                <w:shd w:val="clear" w:color="auto" w:fill="FFFFFF"/>
              </w:rPr>
            </w:pPr>
            <w:r w:rsidRPr="00EA1B3C">
              <w:rPr>
                <w:rFonts w:eastAsia="Calibri"/>
                <w:color w:val="222222"/>
                <w:shd w:val="clear" w:color="auto" w:fill="FFFFFF"/>
              </w:rPr>
              <w:t xml:space="preserve">↑ </w:t>
            </w:r>
            <w:r w:rsidRPr="00EA1B3C">
              <w:rPr>
                <w:rFonts w:eastAsia="Calibri"/>
                <w:shd w:val="clear" w:color="auto" w:fill="FFFFFF"/>
              </w:rPr>
              <w:t>sinapic acid</w:t>
            </w:r>
          </w:p>
        </w:tc>
        <w:tc>
          <w:tcPr>
            <w:tcW w:w="900" w:type="dxa"/>
          </w:tcPr>
          <w:p w:rsidR="00EA1B3C" w:rsidRPr="00123353" w:rsidRDefault="00631FB3" w:rsidP="00BB3998">
            <w:pPr>
              <w:spacing w:after="200"/>
              <w:rPr>
                <w:rFonts w:eastAsia="Calibri"/>
                <w:color w:val="222222"/>
                <w:shd w:val="clear" w:color="auto" w:fill="FFFFFF"/>
              </w:rPr>
            </w:pPr>
            <w:r w:rsidRPr="00631FB3">
              <w:rPr>
                <w:rFonts w:eastAsia="Calibri"/>
                <w:color w:val="222222"/>
                <w:shd w:val="clear" w:color="auto" w:fill="FFFFFF"/>
              </w:rPr>
              <w:t>39</w:t>
            </w:r>
            <w:r w:rsidR="00EA1B3C" w:rsidRPr="00EA1B3C">
              <w:rPr>
                <w:rFonts w:eastAsia="Calibri"/>
                <w:color w:val="222222"/>
                <w:shd w:val="clear" w:color="auto" w:fill="FFFFFF"/>
              </w:rPr>
              <w:t xml:space="preserve">, </w:t>
            </w:r>
            <w:r w:rsidRPr="00631FB3">
              <w:rPr>
                <w:rFonts w:eastAsia="Calibri"/>
                <w:color w:val="222222"/>
                <w:shd w:val="clear" w:color="auto" w:fill="FFFFFF"/>
              </w:rPr>
              <w:t>71</w:t>
            </w:r>
          </w:p>
          <w:p w:rsidR="00EA1B3C" w:rsidRPr="00EA1B3C" w:rsidRDefault="00EA1B3C" w:rsidP="00BB3998">
            <w:pPr>
              <w:spacing w:after="200"/>
              <w:rPr>
                <w:rFonts w:eastAsia="Calibri"/>
                <w:color w:val="222222"/>
                <w:shd w:val="clear" w:color="auto" w:fill="FFFFFF"/>
              </w:rPr>
            </w:pPr>
            <w:r w:rsidRPr="00123353">
              <w:rPr>
                <w:rFonts w:eastAsia="Calibri"/>
                <w:color w:val="222222"/>
                <w:shd w:val="clear" w:color="auto" w:fill="FFFFFF"/>
              </w:rPr>
              <w:t>39,71</w:t>
            </w:r>
          </w:p>
        </w:tc>
      </w:tr>
    </w:tbl>
    <w:p w:rsidR="00BB3998" w:rsidRDefault="00BB3998">
      <w:r>
        <w:br w:type="page"/>
      </w:r>
    </w:p>
    <w:p w:rsidR="00BB3998" w:rsidRDefault="00BB3998" w:rsidP="00BB3998">
      <w:pPr>
        <w:spacing w:line="480" w:lineRule="auto"/>
      </w:pPr>
      <w:r w:rsidRPr="00956898">
        <w:rPr>
          <w:b/>
        </w:rPr>
        <w:lastRenderedPageBreak/>
        <w:t xml:space="preserve">Table </w:t>
      </w:r>
      <w:r>
        <w:rPr>
          <w:b/>
        </w:rPr>
        <w:t>A.</w:t>
      </w:r>
      <w:r w:rsidRPr="00956898">
        <w:rPr>
          <w:b/>
        </w:rPr>
        <w:t>1</w:t>
      </w:r>
      <w:r w:rsidRPr="005C2CC2">
        <w:t xml:space="preserve">. </w:t>
      </w:r>
      <w:r>
        <w:t>Continued.</w:t>
      </w:r>
    </w:p>
    <w:tbl>
      <w:tblPr>
        <w:tblW w:w="8910" w:type="dxa"/>
        <w:tblLook w:val="00A0" w:firstRow="1" w:lastRow="0" w:firstColumn="1" w:lastColumn="0" w:noHBand="0" w:noVBand="0"/>
      </w:tblPr>
      <w:tblGrid>
        <w:gridCol w:w="1509"/>
        <w:gridCol w:w="1825"/>
        <w:gridCol w:w="1555"/>
        <w:gridCol w:w="3121"/>
        <w:gridCol w:w="900"/>
      </w:tblGrid>
      <w:tr w:rsidR="00BB3998" w:rsidRPr="00EA1B3C" w:rsidTr="00BF6B06">
        <w:trPr>
          <w:trHeight w:val="714"/>
        </w:trPr>
        <w:tc>
          <w:tcPr>
            <w:tcW w:w="1509" w:type="dxa"/>
            <w:tcBorders>
              <w:top w:val="single" w:sz="12" w:space="0" w:color="auto"/>
              <w:bottom w:val="single" w:sz="4" w:space="0" w:color="auto"/>
            </w:tcBorders>
          </w:tcPr>
          <w:p w:rsidR="00BB3998" w:rsidRPr="00EA1B3C" w:rsidRDefault="00BB3998" w:rsidP="0062494E">
            <w:pPr>
              <w:spacing w:after="200" w:line="480" w:lineRule="auto"/>
              <w:rPr>
                <w:rFonts w:eastAsia="Calibri"/>
                <w:b/>
                <w:color w:val="222222"/>
                <w:shd w:val="clear" w:color="auto" w:fill="FFFFFF"/>
              </w:rPr>
            </w:pPr>
            <w:r w:rsidRPr="00EA1B3C">
              <w:rPr>
                <w:rFonts w:eastAsia="Calibri"/>
                <w:b/>
                <w:color w:val="222222"/>
                <w:shd w:val="clear" w:color="auto" w:fill="FFFFFF"/>
              </w:rPr>
              <w:t xml:space="preserve">Gene </w:t>
            </w:r>
          </w:p>
        </w:tc>
        <w:tc>
          <w:tcPr>
            <w:tcW w:w="1825" w:type="dxa"/>
            <w:tcBorders>
              <w:top w:val="single" w:sz="12" w:space="0" w:color="auto"/>
              <w:bottom w:val="single" w:sz="4" w:space="0" w:color="auto"/>
            </w:tcBorders>
          </w:tcPr>
          <w:p w:rsidR="00BB3998" w:rsidRPr="00EA1B3C" w:rsidRDefault="00BB3998" w:rsidP="0062494E">
            <w:pPr>
              <w:spacing w:after="200" w:line="480" w:lineRule="auto"/>
              <w:rPr>
                <w:rFonts w:eastAsia="Calibri"/>
                <w:b/>
                <w:color w:val="222222"/>
                <w:shd w:val="clear" w:color="auto" w:fill="FFFFFF"/>
              </w:rPr>
            </w:pPr>
            <w:r w:rsidRPr="00EA1B3C">
              <w:rPr>
                <w:rFonts w:eastAsia="Calibri"/>
                <w:b/>
                <w:color w:val="222222"/>
                <w:shd w:val="clear" w:color="auto" w:fill="FFFFFF"/>
              </w:rPr>
              <w:t>Type of modification</w:t>
            </w:r>
          </w:p>
        </w:tc>
        <w:tc>
          <w:tcPr>
            <w:tcW w:w="1555" w:type="dxa"/>
            <w:tcBorders>
              <w:top w:val="single" w:sz="12" w:space="0" w:color="auto"/>
              <w:bottom w:val="single" w:sz="4" w:space="0" w:color="auto"/>
            </w:tcBorders>
          </w:tcPr>
          <w:p w:rsidR="00BB3998" w:rsidRPr="00EA1B3C" w:rsidRDefault="00BB3998" w:rsidP="0062494E">
            <w:pPr>
              <w:spacing w:after="200" w:line="480" w:lineRule="auto"/>
              <w:rPr>
                <w:rFonts w:eastAsia="Calibri"/>
                <w:b/>
                <w:color w:val="222222"/>
                <w:shd w:val="clear" w:color="auto" w:fill="FFFFFF"/>
              </w:rPr>
            </w:pPr>
            <w:r w:rsidRPr="00123353">
              <w:rPr>
                <w:rFonts w:eastAsia="Calibri"/>
                <w:b/>
                <w:color w:val="222222"/>
                <w:shd w:val="clear" w:color="auto" w:fill="FFFFFF"/>
              </w:rPr>
              <w:t>Plant</w:t>
            </w:r>
          </w:p>
        </w:tc>
        <w:tc>
          <w:tcPr>
            <w:tcW w:w="3121" w:type="dxa"/>
            <w:tcBorders>
              <w:top w:val="single" w:sz="12" w:space="0" w:color="auto"/>
              <w:bottom w:val="single" w:sz="4" w:space="0" w:color="auto"/>
            </w:tcBorders>
          </w:tcPr>
          <w:p w:rsidR="00BB3998" w:rsidRPr="00EA1B3C" w:rsidRDefault="00BB3998" w:rsidP="0062494E">
            <w:pPr>
              <w:spacing w:after="200" w:line="480" w:lineRule="auto"/>
              <w:rPr>
                <w:rFonts w:eastAsia="Calibri"/>
                <w:b/>
                <w:color w:val="222222"/>
                <w:shd w:val="clear" w:color="auto" w:fill="FFFFFF"/>
              </w:rPr>
            </w:pPr>
            <w:r w:rsidRPr="00EA1B3C">
              <w:rPr>
                <w:rFonts w:eastAsia="Calibri"/>
                <w:b/>
                <w:color w:val="222222"/>
                <w:shd w:val="clear" w:color="auto" w:fill="FFFFFF"/>
              </w:rPr>
              <w:t>Effect on phenylpropanoid metabolism</w:t>
            </w:r>
          </w:p>
        </w:tc>
        <w:tc>
          <w:tcPr>
            <w:tcW w:w="900" w:type="dxa"/>
            <w:tcBorders>
              <w:top w:val="single" w:sz="12" w:space="0" w:color="auto"/>
              <w:bottom w:val="single" w:sz="4" w:space="0" w:color="auto"/>
            </w:tcBorders>
          </w:tcPr>
          <w:p w:rsidR="00BB3998" w:rsidRPr="00EA1B3C" w:rsidRDefault="00BB3998" w:rsidP="0062494E">
            <w:pPr>
              <w:spacing w:after="200" w:line="480" w:lineRule="auto"/>
              <w:rPr>
                <w:rFonts w:eastAsia="Calibri"/>
                <w:b/>
                <w:color w:val="222222"/>
                <w:shd w:val="clear" w:color="auto" w:fill="FFFFFF"/>
              </w:rPr>
            </w:pPr>
            <w:r w:rsidRPr="00EA1B3C">
              <w:rPr>
                <w:rFonts w:eastAsia="Calibri"/>
                <w:b/>
                <w:color w:val="222222"/>
                <w:shd w:val="clear" w:color="auto" w:fill="FFFFFF"/>
              </w:rPr>
              <w:t>Ref.</w:t>
            </w:r>
          </w:p>
        </w:tc>
      </w:tr>
      <w:tr w:rsidR="00EA1B3C" w:rsidRPr="00EA1B3C" w:rsidTr="00BF6B06">
        <w:trPr>
          <w:trHeight w:val="239"/>
        </w:trPr>
        <w:tc>
          <w:tcPr>
            <w:tcW w:w="1509" w:type="dxa"/>
            <w:vMerge w:val="restart"/>
          </w:tcPr>
          <w:p w:rsidR="00EA1B3C" w:rsidRPr="00EA1B3C" w:rsidRDefault="00EA1B3C" w:rsidP="00BB3998">
            <w:pPr>
              <w:spacing w:after="200"/>
              <w:rPr>
                <w:rFonts w:eastAsia="Calibri"/>
                <w:color w:val="222222"/>
                <w:shd w:val="clear" w:color="auto" w:fill="FFFFFF"/>
              </w:rPr>
            </w:pPr>
            <w:r w:rsidRPr="00EA1B3C">
              <w:rPr>
                <w:rFonts w:eastAsia="Calibri"/>
                <w:color w:val="222222"/>
                <w:shd w:val="clear" w:color="auto" w:fill="FFFFFF"/>
              </w:rPr>
              <w:t>COMT</w:t>
            </w:r>
          </w:p>
        </w:tc>
        <w:tc>
          <w:tcPr>
            <w:tcW w:w="1825" w:type="dxa"/>
          </w:tcPr>
          <w:p w:rsidR="00EA1B3C" w:rsidRPr="00EA1B3C" w:rsidRDefault="00EA1B3C" w:rsidP="00BB3998">
            <w:pPr>
              <w:spacing w:after="200"/>
              <w:rPr>
                <w:rFonts w:eastAsia="Calibri"/>
                <w:color w:val="222222"/>
                <w:shd w:val="clear" w:color="auto" w:fill="FFFFFF"/>
              </w:rPr>
            </w:pPr>
            <w:r w:rsidRPr="00EA1B3C">
              <w:rPr>
                <w:rFonts w:eastAsia="Calibri"/>
                <w:color w:val="222222"/>
                <w:shd w:val="clear" w:color="auto" w:fill="FFFFFF"/>
              </w:rPr>
              <w:t>Mutant</w:t>
            </w:r>
          </w:p>
        </w:tc>
        <w:tc>
          <w:tcPr>
            <w:tcW w:w="1555" w:type="dxa"/>
          </w:tcPr>
          <w:p w:rsidR="00EA1B3C" w:rsidRPr="00EA1B3C" w:rsidRDefault="00EA1B3C" w:rsidP="00BB3998">
            <w:pPr>
              <w:spacing w:after="200"/>
              <w:rPr>
                <w:rFonts w:eastAsia="Calibri"/>
                <w:color w:val="222222"/>
                <w:shd w:val="clear" w:color="auto" w:fill="FFFFFF"/>
              </w:rPr>
            </w:pPr>
            <w:r w:rsidRPr="00EA1B3C">
              <w:rPr>
                <w:rFonts w:eastAsia="Calibri"/>
                <w:i/>
                <w:color w:val="222222"/>
                <w:shd w:val="clear" w:color="auto" w:fill="FFFFFF"/>
              </w:rPr>
              <w:t>A. thaliana</w:t>
            </w:r>
          </w:p>
        </w:tc>
        <w:tc>
          <w:tcPr>
            <w:tcW w:w="3121" w:type="dxa"/>
          </w:tcPr>
          <w:p w:rsidR="00EA1B3C" w:rsidRPr="00EA1B3C" w:rsidRDefault="00EA1B3C" w:rsidP="00BB3998">
            <w:pPr>
              <w:spacing w:after="200"/>
              <w:rPr>
                <w:rFonts w:eastAsia="Calibri"/>
                <w:shd w:val="clear" w:color="auto" w:fill="FFFFFF"/>
              </w:rPr>
            </w:pPr>
            <w:r w:rsidRPr="00EA1B3C">
              <w:rPr>
                <w:rFonts w:eastAsia="Calibri"/>
                <w:shd w:val="clear" w:color="auto" w:fill="FFFFFF"/>
              </w:rPr>
              <w:t>↓ sinapoyl malate</w:t>
            </w:r>
          </w:p>
          <w:p w:rsidR="00EA1B3C" w:rsidRPr="00EA1B3C" w:rsidRDefault="00EA1B3C" w:rsidP="00BB3998">
            <w:pPr>
              <w:spacing w:after="200"/>
              <w:rPr>
                <w:rFonts w:eastAsia="Calibri"/>
                <w:color w:val="222222"/>
                <w:shd w:val="clear" w:color="auto" w:fill="FFFFFF"/>
              </w:rPr>
            </w:pPr>
            <w:r w:rsidRPr="00EA1B3C">
              <w:rPr>
                <w:rFonts w:eastAsia="Calibri"/>
                <w:color w:val="222222"/>
                <w:shd w:val="clear" w:color="auto" w:fill="FFFFFF"/>
              </w:rPr>
              <w:t xml:space="preserve">↑ </w:t>
            </w:r>
            <w:r w:rsidRPr="00EA1B3C">
              <w:rPr>
                <w:rFonts w:eastAsia="Calibri"/>
                <w:shd w:val="clear" w:color="auto" w:fill="FFFFFF"/>
              </w:rPr>
              <w:t>hydroxyferuloyl malate</w:t>
            </w:r>
          </w:p>
        </w:tc>
        <w:tc>
          <w:tcPr>
            <w:tcW w:w="900" w:type="dxa"/>
          </w:tcPr>
          <w:p w:rsidR="00EA1B3C" w:rsidRPr="00EA1B3C" w:rsidRDefault="00631FB3" w:rsidP="00BB3998">
            <w:pPr>
              <w:spacing w:after="200"/>
              <w:rPr>
                <w:rFonts w:eastAsia="Calibri"/>
                <w:shd w:val="clear" w:color="auto" w:fill="FFFFFF"/>
              </w:rPr>
            </w:pPr>
            <w:r w:rsidRPr="00631FB3">
              <w:rPr>
                <w:rFonts w:eastAsia="Calibri"/>
                <w:shd w:val="clear" w:color="auto" w:fill="FFFFFF"/>
              </w:rPr>
              <w:t>36</w:t>
            </w:r>
            <w:r w:rsidR="00EA1B3C" w:rsidRPr="00EA1B3C">
              <w:rPr>
                <w:rFonts w:eastAsia="Calibri"/>
                <w:shd w:val="clear" w:color="auto" w:fill="FFFFFF"/>
              </w:rPr>
              <w:t xml:space="preserve">, </w:t>
            </w:r>
            <w:r w:rsidRPr="00631FB3">
              <w:rPr>
                <w:rFonts w:eastAsia="Calibri"/>
                <w:shd w:val="clear" w:color="auto" w:fill="FFFFFF"/>
              </w:rPr>
              <w:t>73</w:t>
            </w:r>
          </w:p>
          <w:p w:rsidR="00EA1B3C" w:rsidRPr="00EA1B3C" w:rsidRDefault="00631FB3" w:rsidP="00BB3998">
            <w:pPr>
              <w:spacing w:after="200"/>
              <w:rPr>
                <w:rFonts w:eastAsia="Calibri"/>
                <w:shd w:val="clear" w:color="auto" w:fill="FFFFFF"/>
              </w:rPr>
            </w:pPr>
            <w:r w:rsidRPr="00631FB3">
              <w:rPr>
                <w:rFonts w:eastAsia="Calibri"/>
                <w:shd w:val="clear" w:color="auto" w:fill="FFFFFF"/>
              </w:rPr>
              <w:t>36</w:t>
            </w:r>
          </w:p>
        </w:tc>
      </w:tr>
      <w:tr w:rsidR="00EA1B3C" w:rsidRPr="00EA1B3C" w:rsidTr="00BF6B06">
        <w:trPr>
          <w:trHeight w:val="239"/>
        </w:trPr>
        <w:tc>
          <w:tcPr>
            <w:tcW w:w="1509" w:type="dxa"/>
            <w:vMerge/>
          </w:tcPr>
          <w:p w:rsidR="00EA1B3C" w:rsidRPr="00EA1B3C" w:rsidRDefault="00EA1B3C" w:rsidP="00BB3998">
            <w:pPr>
              <w:spacing w:after="200"/>
              <w:rPr>
                <w:rFonts w:eastAsia="Calibri"/>
                <w:color w:val="222222"/>
                <w:shd w:val="clear" w:color="auto" w:fill="FFFFFF"/>
              </w:rPr>
            </w:pPr>
          </w:p>
        </w:tc>
        <w:tc>
          <w:tcPr>
            <w:tcW w:w="1825" w:type="dxa"/>
          </w:tcPr>
          <w:p w:rsidR="00EA1B3C" w:rsidRPr="00EA1B3C" w:rsidRDefault="00EA1B3C" w:rsidP="00BB3998">
            <w:pPr>
              <w:spacing w:after="200"/>
              <w:rPr>
                <w:rFonts w:eastAsia="Calibri"/>
                <w:color w:val="222222"/>
                <w:shd w:val="clear" w:color="auto" w:fill="FFFFFF"/>
              </w:rPr>
            </w:pPr>
            <w:r w:rsidRPr="00EA1B3C">
              <w:rPr>
                <w:rFonts w:eastAsia="Calibri"/>
                <w:color w:val="222222"/>
                <w:shd w:val="clear" w:color="auto" w:fill="FFFFFF"/>
              </w:rPr>
              <w:t>Downregulation</w:t>
            </w:r>
          </w:p>
        </w:tc>
        <w:tc>
          <w:tcPr>
            <w:tcW w:w="1555" w:type="dxa"/>
          </w:tcPr>
          <w:p w:rsidR="00EA1B3C" w:rsidRPr="00EA1B3C" w:rsidRDefault="00EA1B3C" w:rsidP="00BB3998">
            <w:pPr>
              <w:spacing w:after="200"/>
              <w:rPr>
                <w:rFonts w:eastAsia="Calibri"/>
                <w:color w:val="222222"/>
                <w:shd w:val="clear" w:color="auto" w:fill="FFFFFF"/>
              </w:rPr>
            </w:pPr>
            <w:r w:rsidRPr="00EA1B3C">
              <w:rPr>
                <w:rFonts w:eastAsia="Calibri"/>
                <w:color w:val="222222"/>
                <w:shd w:val="clear" w:color="auto" w:fill="FFFFFF"/>
              </w:rPr>
              <w:t>Switchgrass</w:t>
            </w:r>
          </w:p>
        </w:tc>
        <w:tc>
          <w:tcPr>
            <w:tcW w:w="3121" w:type="dxa"/>
          </w:tcPr>
          <w:p w:rsidR="00EA1B3C" w:rsidRPr="00EA1B3C" w:rsidRDefault="00EA1B3C" w:rsidP="00BB3998">
            <w:pPr>
              <w:spacing w:after="200"/>
              <w:rPr>
                <w:rFonts w:eastAsia="Calibri"/>
                <w:shd w:val="clear" w:color="auto" w:fill="FFFFFF"/>
              </w:rPr>
            </w:pPr>
            <w:r w:rsidRPr="00EA1B3C">
              <w:rPr>
                <w:rFonts w:eastAsia="Calibri"/>
                <w:color w:val="222222"/>
                <w:shd w:val="clear" w:color="auto" w:fill="FFFFFF"/>
              </w:rPr>
              <w:t xml:space="preserve">↑ </w:t>
            </w:r>
            <w:r w:rsidRPr="00EA1B3C">
              <w:rPr>
                <w:rFonts w:eastAsia="Calibri"/>
                <w:shd w:val="clear" w:color="auto" w:fill="FFFFFF"/>
              </w:rPr>
              <w:t>ferulic acid</w:t>
            </w:r>
          </w:p>
          <w:p w:rsidR="00EA1B3C" w:rsidRPr="00EA1B3C" w:rsidRDefault="00EA1B3C" w:rsidP="00BB3998">
            <w:pPr>
              <w:spacing w:after="200"/>
              <w:rPr>
                <w:rFonts w:eastAsia="Calibri"/>
                <w:shd w:val="clear" w:color="auto" w:fill="FFFFFF"/>
              </w:rPr>
            </w:pPr>
            <w:r w:rsidRPr="00EA1B3C">
              <w:rPr>
                <w:rFonts w:eastAsia="Calibri"/>
                <w:color w:val="222222"/>
                <w:shd w:val="clear" w:color="auto" w:fill="FFFFFF"/>
              </w:rPr>
              <w:t xml:space="preserve">↑ </w:t>
            </w:r>
            <w:r w:rsidRPr="00EA1B3C">
              <w:rPr>
                <w:rFonts w:eastAsia="Calibri"/>
                <w:shd w:val="clear" w:color="auto" w:fill="FFFFFF"/>
              </w:rPr>
              <w:t>5-hydroxyferulic acid</w:t>
            </w:r>
          </w:p>
          <w:p w:rsidR="00EA1B3C" w:rsidRPr="00EA1B3C" w:rsidRDefault="00EA1B3C" w:rsidP="00BB3998">
            <w:pPr>
              <w:spacing w:after="200"/>
              <w:rPr>
                <w:rFonts w:eastAsia="Calibri"/>
                <w:shd w:val="clear" w:color="auto" w:fill="FFFFFF"/>
              </w:rPr>
            </w:pPr>
            <w:r w:rsidRPr="00EA1B3C">
              <w:rPr>
                <w:rFonts w:eastAsia="Calibri"/>
                <w:color w:val="222222"/>
                <w:shd w:val="clear" w:color="auto" w:fill="FFFFFF"/>
              </w:rPr>
              <w:t xml:space="preserve">↑ </w:t>
            </w:r>
            <w:r w:rsidRPr="00EA1B3C">
              <w:rPr>
                <w:rFonts w:eastAsia="Calibri"/>
                <w:shd w:val="clear" w:color="auto" w:fill="FFFFFF"/>
              </w:rPr>
              <w:t>vanillin</w:t>
            </w:r>
          </w:p>
          <w:p w:rsidR="00EA1B3C" w:rsidRPr="00EA1B3C" w:rsidRDefault="00EA1B3C" w:rsidP="00BB3998">
            <w:pPr>
              <w:spacing w:after="200"/>
              <w:rPr>
                <w:rFonts w:eastAsia="Calibri"/>
                <w:shd w:val="clear" w:color="auto" w:fill="FFFFFF"/>
              </w:rPr>
            </w:pPr>
            <w:r w:rsidRPr="00EA1B3C">
              <w:rPr>
                <w:rFonts w:eastAsia="Calibri"/>
                <w:color w:val="222222"/>
                <w:shd w:val="clear" w:color="auto" w:fill="FFFFFF"/>
              </w:rPr>
              <w:t xml:space="preserve">↑ </w:t>
            </w:r>
            <w:r w:rsidRPr="00EA1B3C">
              <w:rPr>
                <w:rFonts w:eastAsia="Calibri"/>
                <w:shd w:val="clear" w:color="auto" w:fill="FFFFFF"/>
              </w:rPr>
              <w:t>5-hydroxyconiferaldehyde</w:t>
            </w:r>
          </w:p>
          <w:p w:rsidR="00EA1B3C" w:rsidRPr="00EA1B3C" w:rsidRDefault="00EA1B3C" w:rsidP="00BB3998">
            <w:pPr>
              <w:spacing w:after="200"/>
              <w:rPr>
                <w:rFonts w:eastAsia="Calibri"/>
                <w:color w:val="222222"/>
                <w:shd w:val="clear" w:color="auto" w:fill="FFFFFF"/>
              </w:rPr>
            </w:pPr>
            <w:r w:rsidRPr="00EA1B3C">
              <w:rPr>
                <w:rFonts w:eastAsia="Calibri"/>
                <w:color w:val="222222"/>
                <w:shd w:val="clear" w:color="auto" w:fill="FFFFFF"/>
              </w:rPr>
              <w:t xml:space="preserve">↑ </w:t>
            </w:r>
            <w:r w:rsidRPr="00EA1B3C">
              <w:rPr>
                <w:rFonts w:eastAsia="Calibri"/>
                <w:shd w:val="clear" w:color="auto" w:fill="FFFFFF"/>
              </w:rPr>
              <w:t>iso-sinapyl alcohol</w:t>
            </w:r>
          </w:p>
        </w:tc>
        <w:tc>
          <w:tcPr>
            <w:tcW w:w="900" w:type="dxa"/>
          </w:tcPr>
          <w:p w:rsidR="00EA1B3C" w:rsidRPr="00123353" w:rsidRDefault="00631FB3" w:rsidP="00BB3998">
            <w:pPr>
              <w:spacing w:after="200"/>
              <w:rPr>
                <w:rFonts w:eastAsia="Calibri"/>
                <w:color w:val="222222"/>
                <w:shd w:val="clear" w:color="auto" w:fill="FFFFFF"/>
              </w:rPr>
            </w:pPr>
            <w:r w:rsidRPr="00631FB3">
              <w:rPr>
                <w:rFonts w:eastAsia="Calibri"/>
                <w:color w:val="222222"/>
                <w:shd w:val="clear" w:color="auto" w:fill="FFFFFF"/>
              </w:rPr>
              <w:t>74</w:t>
            </w:r>
          </w:p>
          <w:p w:rsidR="00EA1B3C" w:rsidRPr="00123353" w:rsidRDefault="00EA1B3C" w:rsidP="00BB3998">
            <w:pPr>
              <w:spacing w:after="200"/>
              <w:rPr>
                <w:rFonts w:eastAsia="Calibri"/>
                <w:color w:val="222222"/>
                <w:shd w:val="clear" w:color="auto" w:fill="FFFFFF"/>
              </w:rPr>
            </w:pPr>
            <w:r w:rsidRPr="00123353">
              <w:rPr>
                <w:rFonts w:eastAsia="Calibri"/>
                <w:color w:val="222222"/>
                <w:shd w:val="clear" w:color="auto" w:fill="FFFFFF"/>
              </w:rPr>
              <w:t>74</w:t>
            </w:r>
          </w:p>
          <w:p w:rsidR="00EA1B3C" w:rsidRPr="00123353" w:rsidRDefault="00EA1B3C" w:rsidP="00BB3998">
            <w:pPr>
              <w:spacing w:after="200"/>
              <w:rPr>
                <w:rFonts w:eastAsia="Calibri"/>
                <w:color w:val="222222"/>
                <w:shd w:val="clear" w:color="auto" w:fill="FFFFFF"/>
              </w:rPr>
            </w:pPr>
            <w:r w:rsidRPr="00123353">
              <w:rPr>
                <w:rFonts w:eastAsia="Calibri"/>
                <w:color w:val="222222"/>
                <w:shd w:val="clear" w:color="auto" w:fill="FFFFFF"/>
              </w:rPr>
              <w:t>74</w:t>
            </w:r>
          </w:p>
          <w:p w:rsidR="00EA1B3C" w:rsidRPr="00123353" w:rsidRDefault="00EA1B3C" w:rsidP="00BB3998">
            <w:pPr>
              <w:spacing w:after="200"/>
              <w:rPr>
                <w:rFonts w:eastAsia="Calibri"/>
                <w:color w:val="222222"/>
                <w:shd w:val="clear" w:color="auto" w:fill="FFFFFF"/>
              </w:rPr>
            </w:pPr>
            <w:r w:rsidRPr="00123353">
              <w:rPr>
                <w:rFonts w:eastAsia="Calibri"/>
                <w:color w:val="222222"/>
                <w:shd w:val="clear" w:color="auto" w:fill="FFFFFF"/>
              </w:rPr>
              <w:t>74</w:t>
            </w:r>
          </w:p>
          <w:p w:rsidR="00EA1B3C" w:rsidRPr="00EA1B3C" w:rsidRDefault="00EA1B3C" w:rsidP="00BB3998">
            <w:pPr>
              <w:spacing w:after="200"/>
              <w:rPr>
                <w:rFonts w:eastAsia="Calibri"/>
                <w:color w:val="222222"/>
                <w:shd w:val="clear" w:color="auto" w:fill="FFFFFF"/>
              </w:rPr>
            </w:pPr>
            <w:r w:rsidRPr="00123353">
              <w:rPr>
                <w:rFonts w:eastAsia="Calibri"/>
                <w:color w:val="222222"/>
                <w:shd w:val="clear" w:color="auto" w:fill="FFFFFF"/>
              </w:rPr>
              <w:t>74</w:t>
            </w:r>
          </w:p>
        </w:tc>
      </w:tr>
      <w:tr w:rsidR="00EA1B3C" w:rsidRPr="00EA1B3C" w:rsidTr="00BF6B06">
        <w:trPr>
          <w:trHeight w:val="239"/>
        </w:trPr>
        <w:tc>
          <w:tcPr>
            <w:tcW w:w="1509" w:type="dxa"/>
          </w:tcPr>
          <w:p w:rsidR="00EA1B3C" w:rsidRPr="00EA1B3C" w:rsidRDefault="00EA1B3C" w:rsidP="00BB3998">
            <w:pPr>
              <w:spacing w:after="200"/>
              <w:rPr>
                <w:rFonts w:eastAsia="Calibri"/>
                <w:color w:val="222222"/>
                <w:shd w:val="clear" w:color="auto" w:fill="FFFFFF"/>
              </w:rPr>
            </w:pPr>
            <w:r w:rsidRPr="00EA1B3C">
              <w:rPr>
                <w:rFonts w:eastAsia="Calibri"/>
                <w:color w:val="222222"/>
                <w:shd w:val="clear" w:color="auto" w:fill="FFFFFF"/>
              </w:rPr>
              <w:t>CAD</w:t>
            </w:r>
          </w:p>
        </w:tc>
        <w:tc>
          <w:tcPr>
            <w:tcW w:w="1825" w:type="dxa"/>
          </w:tcPr>
          <w:p w:rsidR="00EA1B3C" w:rsidRPr="00EA1B3C" w:rsidRDefault="00EA1B3C" w:rsidP="00BB3998">
            <w:pPr>
              <w:spacing w:after="200"/>
              <w:rPr>
                <w:rFonts w:eastAsia="Calibri"/>
                <w:color w:val="222222"/>
                <w:shd w:val="clear" w:color="auto" w:fill="FFFFFF"/>
              </w:rPr>
            </w:pPr>
            <w:r w:rsidRPr="00EA1B3C">
              <w:rPr>
                <w:rFonts w:eastAsia="Calibri"/>
                <w:color w:val="222222"/>
                <w:shd w:val="clear" w:color="auto" w:fill="FFFFFF"/>
              </w:rPr>
              <w:t>Downregulation</w:t>
            </w:r>
          </w:p>
        </w:tc>
        <w:tc>
          <w:tcPr>
            <w:tcW w:w="1555" w:type="dxa"/>
          </w:tcPr>
          <w:p w:rsidR="00EA1B3C" w:rsidRPr="00EA1B3C" w:rsidRDefault="00EA1B3C" w:rsidP="00BB3998">
            <w:pPr>
              <w:spacing w:after="200"/>
              <w:rPr>
                <w:rFonts w:eastAsia="Calibri"/>
                <w:color w:val="222222"/>
                <w:shd w:val="clear" w:color="auto" w:fill="FFFFFF"/>
              </w:rPr>
            </w:pPr>
            <w:r w:rsidRPr="00EA1B3C">
              <w:rPr>
                <w:rFonts w:eastAsia="Calibri"/>
                <w:color w:val="222222"/>
                <w:shd w:val="clear" w:color="auto" w:fill="FFFFFF"/>
              </w:rPr>
              <w:t>Switchgrass</w:t>
            </w:r>
          </w:p>
        </w:tc>
        <w:tc>
          <w:tcPr>
            <w:tcW w:w="3121" w:type="dxa"/>
          </w:tcPr>
          <w:p w:rsidR="00EA1B3C" w:rsidRPr="00EA1B3C" w:rsidRDefault="00EA1B3C" w:rsidP="00BB3998">
            <w:pPr>
              <w:spacing w:after="200"/>
              <w:rPr>
                <w:rFonts w:eastAsia="Calibri"/>
                <w:shd w:val="clear" w:color="auto" w:fill="FFFFFF"/>
              </w:rPr>
            </w:pPr>
            <w:r w:rsidRPr="00EA1B3C">
              <w:rPr>
                <w:rFonts w:eastAsia="Calibri"/>
                <w:color w:val="222222"/>
                <w:shd w:val="clear" w:color="auto" w:fill="FFFFFF"/>
              </w:rPr>
              <w:t>↑</w:t>
            </w:r>
            <w:r w:rsidRPr="00EA1B3C">
              <w:rPr>
                <w:rFonts w:eastAsia="Calibri"/>
                <w:shd w:val="clear" w:color="auto" w:fill="FFFFFF"/>
              </w:rPr>
              <w:t xml:space="preserve"> chlorogenic acid</w:t>
            </w:r>
          </w:p>
        </w:tc>
        <w:tc>
          <w:tcPr>
            <w:tcW w:w="900" w:type="dxa"/>
          </w:tcPr>
          <w:p w:rsidR="00EA1B3C" w:rsidRPr="00EA1B3C" w:rsidRDefault="00631FB3" w:rsidP="00BB3998">
            <w:pPr>
              <w:spacing w:after="200"/>
              <w:rPr>
                <w:rFonts w:eastAsia="Calibri"/>
                <w:color w:val="222222"/>
                <w:shd w:val="clear" w:color="auto" w:fill="FFFFFF"/>
              </w:rPr>
            </w:pPr>
            <w:r w:rsidRPr="00631FB3">
              <w:rPr>
                <w:rFonts w:eastAsia="Calibri"/>
                <w:color w:val="222222"/>
                <w:shd w:val="clear" w:color="auto" w:fill="FFFFFF"/>
              </w:rPr>
              <w:t>17</w:t>
            </w:r>
          </w:p>
        </w:tc>
      </w:tr>
      <w:tr w:rsidR="00EA1B3C" w:rsidRPr="00EA1B3C" w:rsidTr="00BF6B06">
        <w:trPr>
          <w:trHeight w:val="239"/>
        </w:trPr>
        <w:tc>
          <w:tcPr>
            <w:tcW w:w="1509" w:type="dxa"/>
          </w:tcPr>
          <w:p w:rsidR="00EA1B3C" w:rsidRPr="00EA1B3C" w:rsidRDefault="00EA1B3C" w:rsidP="00BB3998">
            <w:pPr>
              <w:spacing w:after="200"/>
              <w:rPr>
                <w:rFonts w:eastAsia="Calibri"/>
              </w:rPr>
            </w:pPr>
          </w:p>
        </w:tc>
        <w:tc>
          <w:tcPr>
            <w:tcW w:w="1825" w:type="dxa"/>
          </w:tcPr>
          <w:p w:rsidR="00EA1B3C" w:rsidRPr="00EA1B3C" w:rsidRDefault="00EA1B3C" w:rsidP="00BB3998">
            <w:pPr>
              <w:spacing w:after="200"/>
              <w:rPr>
                <w:rFonts w:eastAsia="Calibri"/>
                <w:color w:val="222222"/>
                <w:shd w:val="clear" w:color="auto" w:fill="FFFFFF"/>
              </w:rPr>
            </w:pPr>
            <w:r w:rsidRPr="00EA1B3C">
              <w:rPr>
                <w:rFonts w:eastAsia="Calibri"/>
                <w:color w:val="222222"/>
                <w:shd w:val="clear" w:color="auto" w:fill="FFFFFF"/>
              </w:rPr>
              <w:t>Downregulation</w:t>
            </w:r>
          </w:p>
        </w:tc>
        <w:tc>
          <w:tcPr>
            <w:tcW w:w="1555" w:type="dxa"/>
          </w:tcPr>
          <w:p w:rsidR="00EA1B3C" w:rsidRPr="00EA1B3C" w:rsidRDefault="00EA1B3C" w:rsidP="00BB3998">
            <w:pPr>
              <w:spacing w:after="200"/>
              <w:rPr>
                <w:rFonts w:eastAsia="Calibri"/>
                <w:color w:val="222222"/>
                <w:shd w:val="clear" w:color="auto" w:fill="FFFFFF"/>
              </w:rPr>
            </w:pPr>
            <w:r w:rsidRPr="00EA1B3C">
              <w:rPr>
                <w:rFonts w:eastAsia="Calibri"/>
                <w:color w:val="222222"/>
                <w:shd w:val="clear" w:color="auto" w:fill="FFFFFF"/>
              </w:rPr>
              <w:t>Flax</w:t>
            </w:r>
          </w:p>
        </w:tc>
        <w:tc>
          <w:tcPr>
            <w:tcW w:w="3121" w:type="dxa"/>
          </w:tcPr>
          <w:p w:rsidR="00EA1B3C" w:rsidRPr="00EA1B3C" w:rsidRDefault="00EA1B3C" w:rsidP="00BB3998">
            <w:pPr>
              <w:spacing w:after="200"/>
              <w:rPr>
                <w:rFonts w:eastAsia="Calibri"/>
              </w:rPr>
            </w:pPr>
            <w:r w:rsidRPr="00EA1B3C">
              <w:rPr>
                <w:rFonts w:eastAsia="Calibri"/>
                <w:color w:val="222222"/>
                <w:shd w:val="clear" w:color="auto" w:fill="FFFFFF"/>
              </w:rPr>
              <w:t>↑</w:t>
            </w:r>
            <w:r w:rsidRPr="00EA1B3C">
              <w:rPr>
                <w:rFonts w:eastAsia="Calibri"/>
                <w:shd w:val="clear" w:color="auto" w:fill="FFFFFF"/>
              </w:rPr>
              <w:t xml:space="preserve"> </w:t>
            </w:r>
            <w:r w:rsidRPr="00EA1B3C">
              <w:rPr>
                <w:rFonts w:eastAsia="Calibri"/>
              </w:rPr>
              <w:t>ferulic acid</w:t>
            </w:r>
          </w:p>
          <w:p w:rsidR="00EA1B3C" w:rsidRPr="00EA1B3C" w:rsidRDefault="00EA1B3C" w:rsidP="00BB3998">
            <w:pPr>
              <w:spacing w:after="200"/>
              <w:rPr>
                <w:rFonts w:eastAsia="Calibri"/>
                <w:shd w:val="clear" w:color="auto" w:fill="FFFFFF"/>
              </w:rPr>
            </w:pPr>
            <w:r w:rsidRPr="00EA1B3C">
              <w:rPr>
                <w:rFonts w:eastAsia="Calibri"/>
                <w:color w:val="222222"/>
                <w:shd w:val="clear" w:color="auto" w:fill="FFFFFF"/>
              </w:rPr>
              <w:t>↑</w:t>
            </w:r>
            <w:r w:rsidRPr="00EA1B3C">
              <w:rPr>
                <w:rFonts w:eastAsia="Calibri"/>
                <w:shd w:val="clear" w:color="auto" w:fill="FFFFFF"/>
              </w:rPr>
              <w:t xml:space="preserve"> </w:t>
            </w:r>
            <w:r w:rsidRPr="00EA1B3C">
              <w:rPr>
                <w:rFonts w:eastAsia="Calibri"/>
                <w:i/>
              </w:rPr>
              <w:t>p</w:t>
            </w:r>
            <w:r w:rsidRPr="00EA1B3C">
              <w:rPr>
                <w:rFonts w:eastAsia="Calibri"/>
              </w:rPr>
              <w:t>-coumaric acid</w:t>
            </w:r>
          </w:p>
        </w:tc>
        <w:tc>
          <w:tcPr>
            <w:tcW w:w="900" w:type="dxa"/>
          </w:tcPr>
          <w:p w:rsidR="00EA1B3C" w:rsidRPr="00123353" w:rsidRDefault="00631FB3" w:rsidP="00BB3998">
            <w:pPr>
              <w:spacing w:after="200"/>
              <w:rPr>
                <w:rFonts w:eastAsia="Calibri"/>
                <w:color w:val="222222"/>
                <w:shd w:val="clear" w:color="auto" w:fill="FFFFFF"/>
              </w:rPr>
            </w:pPr>
            <w:r w:rsidRPr="00631FB3">
              <w:rPr>
                <w:rFonts w:eastAsia="Calibri"/>
                <w:color w:val="222222"/>
                <w:shd w:val="clear" w:color="auto" w:fill="FFFFFF"/>
              </w:rPr>
              <w:t>75</w:t>
            </w:r>
          </w:p>
          <w:p w:rsidR="00EA1B3C" w:rsidRPr="00EA1B3C" w:rsidRDefault="00EA1B3C" w:rsidP="00BB3998">
            <w:pPr>
              <w:spacing w:after="200"/>
              <w:rPr>
                <w:rFonts w:eastAsia="Calibri"/>
                <w:color w:val="222222"/>
                <w:shd w:val="clear" w:color="auto" w:fill="FFFFFF"/>
              </w:rPr>
            </w:pPr>
            <w:r w:rsidRPr="00123353">
              <w:rPr>
                <w:rFonts w:eastAsia="Calibri"/>
                <w:color w:val="222222"/>
                <w:shd w:val="clear" w:color="auto" w:fill="FFFFFF"/>
              </w:rPr>
              <w:t>75</w:t>
            </w:r>
          </w:p>
        </w:tc>
      </w:tr>
      <w:tr w:rsidR="00EA1B3C" w:rsidRPr="00EA1B3C" w:rsidTr="00BF6B06">
        <w:trPr>
          <w:trHeight w:val="239"/>
        </w:trPr>
        <w:tc>
          <w:tcPr>
            <w:tcW w:w="1509" w:type="dxa"/>
          </w:tcPr>
          <w:p w:rsidR="00EA1B3C" w:rsidRPr="00EA1B3C" w:rsidRDefault="00EA1B3C" w:rsidP="00BB3998">
            <w:pPr>
              <w:spacing w:after="200"/>
              <w:rPr>
                <w:rFonts w:eastAsia="Calibri"/>
              </w:rPr>
            </w:pPr>
          </w:p>
        </w:tc>
        <w:tc>
          <w:tcPr>
            <w:tcW w:w="1825" w:type="dxa"/>
          </w:tcPr>
          <w:p w:rsidR="00EA1B3C" w:rsidRPr="00EA1B3C" w:rsidRDefault="00EA1B3C" w:rsidP="00BB3998">
            <w:pPr>
              <w:spacing w:after="200"/>
              <w:rPr>
                <w:rFonts w:eastAsia="Calibri"/>
                <w:color w:val="222222"/>
                <w:shd w:val="clear" w:color="auto" w:fill="FFFFFF"/>
              </w:rPr>
            </w:pPr>
            <w:r w:rsidRPr="00EA1B3C">
              <w:rPr>
                <w:rFonts w:eastAsia="Calibri"/>
                <w:color w:val="222222"/>
                <w:shd w:val="clear" w:color="auto" w:fill="FFFFFF"/>
              </w:rPr>
              <w:t>Downregulation</w:t>
            </w:r>
          </w:p>
        </w:tc>
        <w:tc>
          <w:tcPr>
            <w:tcW w:w="1555" w:type="dxa"/>
          </w:tcPr>
          <w:p w:rsidR="00EA1B3C" w:rsidRPr="00EA1B3C" w:rsidRDefault="00EA1B3C" w:rsidP="00BB3998">
            <w:pPr>
              <w:spacing w:after="200"/>
              <w:rPr>
                <w:rFonts w:eastAsia="Calibri"/>
                <w:color w:val="222222"/>
                <w:shd w:val="clear" w:color="auto" w:fill="FFFFFF"/>
              </w:rPr>
            </w:pPr>
            <w:r w:rsidRPr="00EA1B3C">
              <w:rPr>
                <w:rFonts w:eastAsia="Calibri"/>
                <w:color w:val="222222"/>
                <w:shd w:val="clear" w:color="auto" w:fill="FFFFFF"/>
              </w:rPr>
              <w:t>Tobacco</w:t>
            </w:r>
          </w:p>
        </w:tc>
        <w:tc>
          <w:tcPr>
            <w:tcW w:w="3121" w:type="dxa"/>
          </w:tcPr>
          <w:p w:rsidR="00EA1B3C" w:rsidRPr="00EA1B3C" w:rsidRDefault="00EA1B3C" w:rsidP="00BB3998">
            <w:pPr>
              <w:spacing w:after="200"/>
              <w:rPr>
                <w:rFonts w:eastAsia="Calibri"/>
              </w:rPr>
            </w:pPr>
            <w:r w:rsidRPr="00EA1B3C">
              <w:rPr>
                <w:rFonts w:eastAsia="Calibri"/>
                <w:color w:val="222222"/>
                <w:shd w:val="clear" w:color="auto" w:fill="FFFFFF"/>
              </w:rPr>
              <w:t>↑</w:t>
            </w:r>
            <w:r w:rsidRPr="00EA1B3C">
              <w:rPr>
                <w:rFonts w:eastAsia="Calibri"/>
                <w:shd w:val="clear" w:color="auto" w:fill="FFFFFF"/>
              </w:rPr>
              <w:t xml:space="preserve"> </w:t>
            </w:r>
            <w:r w:rsidRPr="00EA1B3C">
              <w:rPr>
                <w:rFonts w:eastAsia="Calibri"/>
              </w:rPr>
              <w:t>syringic acid</w:t>
            </w:r>
          </w:p>
          <w:p w:rsidR="00EA1B3C" w:rsidRPr="00EA1B3C" w:rsidRDefault="00EA1B3C" w:rsidP="00BB3998">
            <w:pPr>
              <w:spacing w:after="200"/>
              <w:rPr>
                <w:rFonts w:eastAsia="Calibri"/>
              </w:rPr>
            </w:pPr>
            <w:r w:rsidRPr="00EA1B3C">
              <w:rPr>
                <w:rFonts w:eastAsia="Calibri"/>
                <w:color w:val="222222"/>
                <w:shd w:val="clear" w:color="auto" w:fill="FFFFFF"/>
              </w:rPr>
              <w:t>↑</w:t>
            </w:r>
            <w:r w:rsidRPr="00EA1B3C">
              <w:rPr>
                <w:rFonts w:eastAsia="Calibri"/>
                <w:shd w:val="clear" w:color="auto" w:fill="FFFFFF"/>
              </w:rPr>
              <w:t xml:space="preserve"> </w:t>
            </w:r>
            <w:r w:rsidRPr="00EA1B3C">
              <w:rPr>
                <w:rFonts w:eastAsia="Calibri"/>
              </w:rPr>
              <w:t>ferulic acid</w:t>
            </w:r>
          </w:p>
          <w:p w:rsidR="00EA1B3C" w:rsidRPr="00EA1B3C" w:rsidRDefault="00EA1B3C" w:rsidP="00BB3998">
            <w:pPr>
              <w:spacing w:after="200"/>
              <w:rPr>
                <w:rFonts w:eastAsia="Calibri"/>
              </w:rPr>
            </w:pPr>
            <w:r w:rsidRPr="00EA1B3C">
              <w:rPr>
                <w:rFonts w:eastAsia="Calibri"/>
                <w:color w:val="222222"/>
                <w:shd w:val="clear" w:color="auto" w:fill="FFFFFF"/>
              </w:rPr>
              <w:t>↑</w:t>
            </w:r>
            <w:r w:rsidRPr="00EA1B3C">
              <w:rPr>
                <w:rFonts w:eastAsia="Calibri"/>
                <w:shd w:val="clear" w:color="auto" w:fill="FFFFFF"/>
              </w:rPr>
              <w:t xml:space="preserve"> </w:t>
            </w:r>
            <w:r w:rsidRPr="00EA1B3C">
              <w:rPr>
                <w:rFonts w:eastAsia="Calibri"/>
                <w:i/>
              </w:rPr>
              <w:t>p</w:t>
            </w:r>
            <w:r w:rsidRPr="00EA1B3C">
              <w:rPr>
                <w:rFonts w:eastAsia="Calibri"/>
              </w:rPr>
              <w:t>-coumaric acid</w:t>
            </w:r>
          </w:p>
          <w:p w:rsidR="00EA1B3C" w:rsidRPr="00EA1B3C" w:rsidRDefault="00EA1B3C" w:rsidP="00BB3998">
            <w:pPr>
              <w:spacing w:after="200"/>
              <w:rPr>
                <w:rFonts w:eastAsia="Calibri"/>
                <w:shd w:val="clear" w:color="auto" w:fill="FFFFFF"/>
              </w:rPr>
            </w:pPr>
            <w:r w:rsidRPr="00EA1B3C">
              <w:rPr>
                <w:rFonts w:eastAsia="Calibri"/>
                <w:color w:val="222222"/>
                <w:shd w:val="clear" w:color="auto" w:fill="FFFFFF"/>
              </w:rPr>
              <w:t>↑</w:t>
            </w:r>
            <w:r w:rsidRPr="00EA1B3C">
              <w:rPr>
                <w:rFonts w:eastAsia="Calibri"/>
                <w:shd w:val="clear" w:color="auto" w:fill="FFFFFF"/>
              </w:rPr>
              <w:t xml:space="preserve"> </w:t>
            </w:r>
            <w:r w:rsidRPr="00EA1B3C">
              <w:rPr>
                <w:rFonts w:eastAsia="Calibri"/>
              </w:rPr>
              <w:t>sinapic acid</w:t>
            </w:r>
          </w:p>
        </w:tc>
        <w:tc>
          <w:tcPr>
            <w:tcW w:w="900" w:type="dxa"/>
          </w:tcPr>
          <w:p w:rsidR="00EA1B3C" w:rsidRPr="00123353" w:rsidRDefault="00631FB3" w:rsidP="00BB3998">
            <w:pPr>
              <w:spacing w:after="200"/>
              <w:rPr>
                <w:rFonts w:eastAsia="Calibri"/>
                <w:color w:val="222222"/>
                <w:shd w:val="clear" w:color="auto" w:fill="FFFFFF"/>
              </w:rPr>
            </w:pPr>
            <w:r w:rsidRPr="00631FB3">
              <w:rPr>
                <w:rFonts w:eastAsia="Calibri"/>
                <w:color w:val="222222"/>
                <w:shd w:val="clear" w:color="auto" w:fill="FFFFFF"/>
              </w:rPr>
              <w:t>76</w:t>
            </w:r>
          </w:p>
          <w:p w:rsidR="00EA1B3C" w:rsidRPr="00123353" w:rsidRDefault="00EA1B3C" w:rsidP="00BB3998">
            <w:pPr>
              <w:spacing w:after="200"/>
              <w:rPr>
                <w:rFonts w:eastAsia="Calibri"/>
                <w:color w:val="222222"/>
                <w:shd w:val="clear" w:color="auto" w:fill="FFFFFF"/>
              </w:rPr>
            </w:pPr>
            <w:r w:rsidRPr="00123353">
              <w:rPr>
                <w:rFonts w:eastAsia="Calibri"/>
                <w:color w:val="222222"/>
                <w:shd w:val="clear" w:color="auto" w:fill="FFFFFF"/>
              </w:rPr>
              <w:t>76</w:t>
            </w:r>
          </w:p>
          <w:p w:rsidR="00EA1B3C" w:rsidRPr="00123353" w:rsidRDefault="00EA1B3C" w:rsidP="00BB3998">
            <w:pPr>
              <w:spacing w:after="200"/>
              <w:rPr>
                <w:rFonts w:eastAsia="Calibri"/>
                <w:color w:val="222222"/>
                <w:shd w:val="clear" w:color="auto" w:fill="FFFFFF"/>
              </w:rPr>
            </w:pPr>
            <w:r w:rsidRPr="00123353">
              <w:rPr>
                <w:rFonts w:eastAsia="Calibri"/>
                <w:color w:val="222222"/>
                <w:shd w:val="clear" w:color="auto" w:fill="FFFFFF"/>
              </w:rPr>
              <w:t>76</w:t>
            </w:r>
          </w:p>
          <w:p w:rsidR="00EA1B3C" w:rsidRPr="00EA1B3C" w:rsidRDefault="00EA1B3C" w:rsidP="00BB3998">
            <w:pPr>
              <w:spacing w:after="200"/>
              <w:rPr>
                <w:rFonts w:eastAsia="Calibri"/>
                <w:color w:val="222222"/>
                <w:shd w:val="clear" w:color="auto" w:fill="FFFFFF"/>
              </w:rPr>
            </w:pPr>
            <w:r w:rsidRPr="00123353">
              <w:rPr>
                <w:rFonts w:eastAsia="Calibri"/>
                <w:color w:val="222222"/>
                <w:shd w:val="clear" w:color="auto" w:fill="FFFFFF"/>
              </w:rPr>
              <w:t>76</w:t>
            </w:r>
          </w:p>
        </w:tc>
      </w:tr>
      <w:tr w:rsidR="00EA1B3C" w:rsidRPr="00EA1B3C" w:rsidTr="00BF6B06">
        <w:trPr>
          <w:trHeight w:val="239"/>
        </w:trPr>
        <w:tc>
          <w:tcPr>
            <w:tcW w:w="1509" w:type="dxa"/>
          </w:tcPr>
          <w:p w:rsidR="00EA1B3C" w:rsidRPr="00EA1B3C" w:rsidRDefault="00EA1B3C" w:rsidP="00BB3998">
            <w:pPr>
              <w:spacing w:after="200"/>
              <w:rPr>
                <w:rFonts w:eastAsia="Calibri"/>
                <w:shd w:val="clear" w:color="auto" w:fill="FFFFFF"/>
              </w:rPr>
            </w:pPr>
            <w:r w:rsidRPr="00EA1B3C">
              <w:rPr>
                <w:rFonts w:eastAsia="Calibri"/>
                <w:shd w:val="clear" w:color="auto" w:fill="FFFFFF"/>
              </w:rPr>
              <w:t xml:space="preserve">ZmMYB42 transcription factor </w:t>
            </w:r>
          </w:p>
        </w:tc>
        <w:tc>
          <w:tcPr>
            <w:tcW w:w="1825" w:type="dxa"/>
          </w:tcPr>
          <w:p w:rsidR="00EA1B3C" w:rsidRPr="00EA1B3C" w:rsidRDefault="00EA1B3C" w:rsidP="00BB3998">
            <w:pPr>
              <w:spacing w:after="200"/>
              <w:rPr>
                <w:rFonts w:eastAsia="Calibri"/>
                <w:color w:val="222222"/>
                <w:shd w:val="clear" w:color="auto" w:fill="FFFFFF"/>
              </w:rPr>
            </w:pPr>
            <w:r w:rsidRPr="00EA1B3C">
              <w:rPr>
                <w:rFonts w:eastAsia="Calibri"/>
                <w:color w:val="222222"/>
                <w:shd w:val="clear" w:color="auto" w:fill="FFFFFF"/>
              </w:rPr>
              <w:t>Overexpression</w:t>
            </w:r>
          </w:p>
        </w:tc>
        <w:tc>
          <w:tcPr>
            <w:tcW w:w="1555" w:type="dxa"/>
          </w:tcPr>
          <w:p w:rsidR="00EA1B3C" w:rsidRPr="00EA1B3C" w:rsidRDefault="00EA1B3C" w:rsidP="00BB3998">
            <w:pPr>
              <w:spacing w:after="200"/>
              <w:rPr>
                <w:rFonts w:eastAsia="Calibri"/>
                <w:i/>
                <w:color w:val="222222"/>
                <w:shd w:val="clear" w:color="auto" w:fill="FFFFFF"/>
              </w:rPr>
            </w:pPr>
            <w:r w:rsidRPr="00EA1B3C">
              <w:rPr>
                <w:rFonts w:eastAsia="Calibri"/>
                <w:i/>
                <w:color w:val="222222"/>
                <w:shd w:val="clear" w:color="auto" w:fill="FFFFFF"/>
              </w:rPr>
              <w:t>A. thaliana</w:t>
            </w:r>
          </w:p>
        </w:tc>
        <w:tc>
          <w:tcPr>
            <w:tcW w:w="3121" w:type="dxa"/>
          </w:tcPr>
          <w:p w:rsidR="00EA1B3C" w:rsidRPr="00EA1B3C" w:rsidRDefault="00EA1B3C" w:rsidP="00BB3998">
            <w:pPr>
              <w:spacing w:after="200"/>
              <w:rPr>
                <w:rFonts w:eastAsia="Calibri"/>
                <w:color w:val="222222"/>
                <w:shd w:val="clear" w:color="auto" w:fill="FFFFFF"/>
              </w:rPr>
            </w:pPr>
            <w:r w:rsidRPr="00EA1B3C">
              <w:rPr>
                <w:rFonts w:eastAsia="Calibri"/>
                <w:shd w:val="clear" w:color="auto" w:fill="FFFFFF"/>
              </w:rPr>
              <w:t xml:space="preserve">↓ </w:t>
            </w:r>
            <w:r w:rsidRPr="00EA1B3C">
              <w:rPr>
                <w:rFonts w:eastAsia="Calibri"/>
                <w:color w:val="222222"/>
                <w:shd w:val="clear" w:color="auto" w:fill="FFFFFF"/>
              </w:rPr>
              <w:t>flavonoids</w:t>
            </w:r>
          </w:p>
          <w:p w:rsidR="00EA1B3C" w:rsidRPr="00EA1B3C" w:rsidRDefault="00EA1B3C" w:rsidP="00BB3998">
            <w:pPr>
              <w:spacing w:after="200"/>
              <w:rPr>
                <w:rFonts w:eastAsia="Calibri"/>
                <w:shd w:val="clear" w:color="auto" w:fill="FFFFFF"/>
              </w:rPr>
            </w:pPr>
            <w:r w:rsidRPr="00EA1B3C">
              <w:rPr>
                <w:rFonts w:eastAsia="Calibri"/>
                <w:shd w:val="clear" w:color="auto" w:fill="FFFFFF"/>
              </w:rPr>
              <w:t>↓ sinapoyl malate</w:t>
            </w:r>
          </w:p>
        </w:tc>
        <w:tc>
          <w:tcPr>
            <w:tcW w:w="900" w:type="dxa"/>
          </w:tcPr>
          <w:p w:rsidR="00EA1B3C" w:rsidRPr="00123353" w:rsidRDefault="00631FB3" w:rsidP="00BB3998">
            <w:pPr>
              <w:spacing w:after="200"/>
              <w:rPr>
                <w:rFonts w:eastAsia="Calibri"/>
                <w:shd w:val="clear" w:color="auto" w:fill="FFFFFF"/>
              </w:rPr>
            </w:pPr>
            <w:r w:rsidRPr="00631FB3">
              <w:rPr>
                <w:rFonts w:eastAsia="Calibri"/>
                <w:shd w:val="clear" w:color="auto" w:fill="FFFFFF"/>
              </w:rPr>
              <w:t>38</w:t>
            </w:r>
          </w:p>
          <w:p w:rsidR="00EA1B3C" w:rsidRPr="00EA1B3C" w:rsidRDefault="00EA1B3C" w:rsidP="00BB3998">
            <w:pPr>
              <w:spacing w:after="200"/>
              <w:rPr>
                <w:rFonts w:eastAsia="Calibri"/>
                <w:shd w:val="clear" w:color="auto" w:fill="FFFFFF"/>
              </w:rPr>
            </w:pPr>
            <w:r w:rsidRPr="00123353">
              <w:rPr>
                <w:rFonts w:eastAsia="Calibri"/>
                <w:shd w:val="clear" w:color="auto" w:fill="FFFFFF"/>
              </w:rPr>
              <w:t>38</w:t>
            </w:r>
          </w:p>
        </w:tc>
      </w:tr>
      <w:tr w:rsidR="00EA1B3C" w:rsidRPr="00EA1B3C" w:rsidTr="00BF6B06">
        <w:trPr>
          <w:trHeight w:val="239"/>
        </w:trPr>
        <w:tc>
          <w:tcPr>
            <w:tcW w:w="1509" w:type="dxa"/>
            <w:tcBorders>
              <w:bottom w:val="single" w:sz="12" w:space="0" w:color="auto"/>
            </w:tcBorders>
          </w:tcPr>
          <w:p w:rsidR="00EA1B3C" w:rsidRPr="00EA1B3C" w:rsidRDefault="00EA1B3C" w:rsidP="00BB3998">
            <w:pPr>
              <w:spacing w:after="200"/>
              <w:rPr>
                <w:rFonts w:eastAsia="Calibri"/>
                <w:shd w:val="clear" w:color="auto" w:fill="FFFFFF"/>
              </w:rPr>
            </w:pPr>
            <w:r w:rsidRPr="00EA1B3C">
              <w:rPr>
                <w:rFonts w:eastAsia="Calibri"/>
                <w:shd w:val="clear" w:color="auto" w:fill="FFFFFF"/>
              </w:rPr>
              <w:t xml:space="preserve">ZmMYB31 transcription factor </w:t>
            </w:r>
          </w:p>
        </w:tc>
        <w:tc>
          <w:tcPr>
            <w:tcW w:w="1825" w:type="dxa"/>
            <w:tcBorders>
              <w:bottom w:val="single" w:sz="12" w:space="0" w:color="auto"/>
            </w:tcBorders>
          </w:tcPr>
          <w:p w:rsidR="00EA1B3C" w:rsidRPr="00EA1B3C" w:rsidRDefault="00EA1B3C" w:rsidP="00BB3998">
            <w:pPr>
              <w:spacing w:after="200"/>
              <w:rPr>
                <w:rFonts w:eastAsia="Calibri"/>
                <w:color w:val="222222"/>
                <w:shd w:val="clear" w:color="auto" w:fill="FFFFFF"/>
              </w:rPr>
            </w:pPr>
            <w:r w:rsidRPr="00EA1B3C">
              <w:rPr>
                <w:rFonts w:eastAsia="Calibri"/>
                <w:color w:val="222222"/>
                <w:shd w:val="clear" w:color="auto" w:fill="FFFFFF"/>
              </w:rPr>
              <w:t>Overexpression</w:t>
            </w:r>
          </w:p>
        </w:tc>
        <w:tc>
          <w:tcPr>
            <w:tcW w:w="1555" w:type="dxa"/>
            <w:tcBorders>
              <w:bottom w:val="single" w:sz="12" w:space="0" w:color="auto"/>
            </w:tcBorders>
          </w:tcPr>
          <w:p w:rsidR="00EA1B3C" w:rsidRPr="00EA1B3C" w:rsidRDefault="00EA1B3C" w:rsidP="00BB3998">
            <w:pPr>
              <w:spacing w:after="200"/>
              <w:rPr>
                <w:rFonts w:eastAsia="Calibri"/>
                <w:i/>
                <w:color w:val="222222"/>
                <w:shd w:val="clear" w:color="auto" w:fill="FFFFFF"/>
              </w:rPr>
            </w:pPr>
            <w:r w:rsidRPr="00EA1B3C">
              <w:rPr>
                <w:rFonts w:eastAsia="Calibri"/>
                <w:i/>
                <w:color w:val="222222"/>
                <w:shd w:val="clear" w:color="auto" w:fill="FFFFFF"/>
              </w:rPr>
              <w:t>A. thaliana</w:t>
            </w:r>
          </w:p>
        </w:tc>
        <w:tc>
          <w:tcPr>
            <w:tcW w:w="3121" w:type="dxa"/>
            <w:tcBorders>
              <w:bottom w:val="single" w:sz="12" w:space="0" w:color="auto"/>
            </w:tcBorders>
          </w:tcPr>
          <w:p w:rsidR="00EA1B3C" w:rsidRPr="00EA1B3C" w:rsidRDefault="00EA1B3C" w:rsidP="00BB3998">
            <w:pPr>
              <w:spacing w:after="200"/>
              <w:rPr>
                <w:rFonts w:eastAsia="Calibri"/>
                <w:color w:val="222222"/>
                <w:shd w:val="clear" w:color="auto" w:fill="FFFFFF"/>
              </w:rPr>
            </w:pPr>
            <w:r w:rsidRPr="00EA1B3C">
              <w:rPr>
                <w:rFonts w:eastAsia="Calibri"/>
                <w:color w:val="222222"/>
                <w:shd w:val="clear" w:color="auto" w:fill="FFFFFF"/>
              </w:rPr>
              <w:t>↑ flavonoids</w:t>
            </w:r>
          </w:p>
          <w:p w:rsidR="00EA1B3C" w:rsidRPr="00EA1B3C" w:rsidRDefault="00EA1B3C" w:rsidP="00BB3998">
            <w:pPr>
              <w:spacing w:after="200"/>
              <w:rPr>
                <w:rFonts w:eastAsia="Calibri"/>
                <w:color w:val="222222"/>
                <w:shd w:val="clear" w:color="auto" w:fill="FFFFFF"/>
              </w:rPr>
            </w:pPr>
            <w:r w:rsidRPr="00EA1B3C">
              <w:rPr>
                <w:rFonts w:eastAsia="Calibri"/>
                <w:shd w:val="clear" w:color="auto" w:fill="FFFFFF"/>
              </w:rPr>
              <w:t>↓ sinapoyl malate</w:t>
            </w:r>
          </w:p>
        </w:tc>
        <w:tc>
          <w:tcPr>
            <w:tcW w:w="900" w:type="dxa"/>
            <w:tcBorders>
              <w:bottom w:val="single" w:sz="12" w:space="0" w:color="auto"/>
            </w:tcBorders>
          </w:tcPr>
          <w:p w:rsidR="00EA1B3C" w:rsidRPr="00123353" w:rsidRDefault="00631FB3" w:rsidP="00BB3998">
            <w:pPr>
              <w:spacing w:after="200"/>
              <w:rPr>
                <w:rFonts w:eastAsia="Calibri"/>
                <w:color w:val="222222"/>
                <w:shd w:val="clear" w:color="auto" w:fill="FFFFFF"/>
              </w:rPr>
            </w:pPr>
            <w:r w:rsidRPr="00631FB3">
              <w:rPr>
                <w:rFonts w:eastAsia="Calibri"/>
                <w:color w:val="222222"/>
                <w:shd w:val="clear" w:color="auto" w:fill="FFFFFF"/>
              </w:rPr>
              <w:t>34</w:t>
            </w:r>
          </w:p>
          <w:p w:rsidR="00EA1B3C" w:rsidRPr="00EA1B3C" w:rsidRDefault="00EA1B3C" w:rsidP="00BB3998">
            <w:pPr>
              <w:spacing w:after="200"/>
              <w:rPr>
                <w:rFonts w:eastAsia="Calibri"/>
                <w:color w:val="222222"/>
                <w:shd w:val="clear" w:color="auto" w:fill="FFFFFF"/>
              </w:rPr>
            </w:pPr>
            <w:r w:rsidRPr="00123353">
              <w:rPr>
                <w:rFonts w:eastAsia="Calibri"/>
                <w:color w:val="222222"/>
                <w:shd w:val="clear" w:color="auto" w:fill="FFFFFF"/>
              </w:rPr>
              <w:t>34</w:t>
            </w:r>
          </w:p>
        </w:tc>
      </w:tr>
    </w:tbl>
    <w:p w:rsidR="00EA1B3C" w:rsidRPr="00EA1B3C" w:rsidRDefault="00EA1B3C" w:rsidP="00BB3998"/>
    <w:p w:rsidR="000D5148" w:rsidRPr="000D5148" w:rsidRDefault="000D5148" w:rsidP="00097A19">
      <w:pPr>
        <w:autoSpaceDE w:val="0"/>
        <w:autoSpaceDN w:val="0"/>
        <w:adjustRightInd w:val="0"/>
        <w:spacing w:line="480" w:lineRule="auto"/>
        <w:rPr>
          <w:rFonts w:eastAsia="Calibri"/>
        </w:rPr>
      </w:pPr>
    </w:p>
    <w:p w:rsidR="008119C5" w:rsidRDefault="00FF195C" w:rsidP="00097A19">
      <w:pPr>
        <w:pStyle w:val="Heading1"/>
        <w:rPr>
          <w:szCs w:val="28"/>
        </w:rPr>
      </w:pPr>
      <w:r w:rsidRPr="00A67C10">
        <w:br w:type="page"/>
      </w:r>
      <w:r w:rsidR="00D219AF">
        <w:lastRenderedPageBreak/>
        <w:t>CHAPTER 3</w:t>
      </w:r>
      <w:r w:rsidR="00097A19" w:rsidRPr="000F6FE1">
        <w:br/>
      </w:r>
      <w:r w:rsidR="00097A19">
        <w:rPr>
          <w:szCs w:val="28"/>
        </w:rPr>
        <w:t>Two-year field analysis of reduced recalcitrance transgenic switchgrass</w:t>
      </w:r>
    </w:p>
    <w:p w:rsidR="008119C5" w:rsidRDefault="008119C5">
      <w:pPr>
        <w:rPr>
          <w:b/>
          <w:bCs/>
          <w:caps/>
          <w:sz w:val="28"/>
          <w:szCs w:val="28"/>
        </w:rPr>
      </w:pPr>
      <w:r>
        <w:rPr>
          <w:szCs w:val="28"/>
        </w:rPr>
        <w:br w:type="page"/>
      </w:r>
    </w:p>
    <w:p w:rsidR="008119C5" w:rsidRDefault="008119C5" w:rsidP="008119C5">
      <w:pPr>
        <w:pStyle w:val="Caption"/>
        <w:rPr>
          <w:b w:val="0"/>
          <w:sz w:val="24"/>
          <w:szCs w:val="24"/>
        </w:rPr>
      </w:pPr>
      <w:r w:rsidRPr="008119C5">
        <w:rPr>
          <w:b w:val="0"/>
          <w:sz w:val="24"/>
          <w:szCs w:val="24"/>
        </w:rPr>
        <w:lastRenderedPageBreak/>
        <w:t xml:space="preserve">A version of this chapter </w:t>
      </w:r>
      <w:r w:rsidR="00DD457B">
        <w:rPr>
          <w:b w:val="0"/>
          <w:sz w:val="24"/>
          <w:szCs w:val="24"/>
        </w:rPr>
        <w:t>will be published in</w:t>
      </w:r>
      <w:r w:rsidR="00C00F50">
        <w:rPr>
          <w:b w:val="0"/>
          <w:sz w:val="24"/>
          <w:szCs w:val="24"/>
        </w:rPr>
        <w:t xml:space="preserve"> Plant Biotechnology Journal by </w:t>
      </w:r>
      <w:r>
        <w:rPr>
          <w:b w:val="0"/>
          <w:sz w:val="24"/>
          <w:szCs w:val="24"/>
        </w:rPr>
        <w:t>Holly Baxter, Mitra Mazarei, Nicole Labb</w:t>
      </w:r>
      <w:r w:rsidR="00E53F59">
        <w:rPr>
          <w:b w:val="0"/>
          <w:sz w:val="24"/>
          <w:szCs w:val="24"/>
        </w:rPr>
        <w:t>é</w:t>
      </w:r>
      <w:r>
        <w:rPr>
          <w:b w:val="0"/>
          <w:sz w:val="24"/>
          <w:szCs w:val="24"/>
        </w:rPr>
        <w:t>, Lindsey Kline, Qunkang Cheng, Mark Windham, David G.J. Mann, Chunxiang Fu, Angela Ziebell, Robert Sykes, Miguel Rodriguez</w:t>
      </w:r>
      <w:r w:rsidRPr="008119C5">
        <w:rPr>
          <w:b w:val="0"/>
          <w:sz w:val="24"/>
          <w:szCs w:val="24"/>
        </w:rPr>
        <w:t>, Mark Davi</w:t>
      </w:r>
      <w:r>
        <w:rPr>
          <w:b w:val="0"/>
          <w:sz w:val="24"/>
          <w:szCs w:val="24"/>
        </w:rPr>
        <w:t>s, Jonathan Mielenz, Richard A. Dixon, Zen</w:t>
      </w:r>
      <w:r w:rsidR="00E53F59">
        <w:rPr>
          <w:b w:val="0"/>
          <w:sz w:val="24"/>
          <w:szCs w:val="24"/>
        </w:rPr>
        <w:t>g-Yu Wang, C. Neal Stewart, Jr., under the following title:</w:t>
      </w:r>
    </w:p>
    <w:p w:rsidR="008119C5" w:rsidRPr="008119C5" w:rsidRDefault="008119C5" w:rsidP="008119C5">
      <w:r>
        <w:t>Two-year field analysis of reduced recalcitrance transgenic switchgrass</w:t>
      </w:r>
    </w:p>
    <w:p w:rsidR="008119C5" w:rsidRDefault="008119C5" w:rsidP="008119C5">
      <w:pPr>
        <w:pStyle w:val="Caption"/>
        <w:rPr>
          <w:b w:val="0"/>
          <w:sz w:val="24"/>
          <w:szCs w:val="24"/>
        </w:rPr>
      </w:pPr>
      <w:r>
        <w:rPr>
          <w:b w:val="0"/>
          <w:sz w:val="24"/>
          <w:szCs w:val="24"/>
        </w:rPr>
        <w:t xml:space="preserve">This version of the manuscript was written by Holly L. Baxter, with the exception of the </w:t>
      </w:r>
      <w:r w:rsidR="007B5CD1">
        <w:rPr>
          <w:b w:val="0"/>
          <w:sz w:val="24"/>
          <w:szCs w:val="24"/>
        </w:rPr>
        <w:t xml:space="preserve">following </w:t>
      </w:r>
      <w:r w:rsidR="00CB01B8">
        <w:rPr>
          <w:b w:val="0"/>
          <w:sz w:val="24"/>
          <w:szCs w:val="24"/>
        </w:rPr>
        <w:t>sections in Materials and Methods</w:t>
      </w:r>
      <w:r w:rsidR="007B5CD1">
        <w:rPr>
          <w:b w:val="0"/>
          <w:sz w:val="24"/>
          <w:szCs w:val="24"/>
        </w:rPr>
        <w:t>:</w:t>
      </w:r>
      <w:r>
        <w:rPr>
          <w:b w:val="0"/>
          <w:sz w:val="24"/>
          <w:szCs w:val="24"/>
        </w:rPr>
        <w:t xml:space="preserve"> </w:t>
      </w:r>
      <w:r w:rsidR="007B5CD1">
        <w:rPr>
          <w:b w:val="0"/>
          <w:sz w:val="24"/>
          <w:szCs w:val="24"/>
        </w:rPr>
        <w:t>‘C</w:t>
      </w:r>
      <w:r>
        <w:rPr>
          <w:b w:val="0"/>
          <w:sz w:val="24"/>
          <w:szCs w:val="24"/>
        </w:rPr>
        <w:t>ell wall composition</w:t>
      </w:r>
      <w:r w:rsidR="007B5CD1">
        <w:rPr>
          <w:b w:val="0"/>
          <w:sz w:val="24"/>
          <w:szCs w:val="24"/>
        </w:rPr>
        <w:t xml:space="preserve"> by wet chemistry’ and ‘F</w:t>
      </w:r>
      <w:r>
        <w:rPr>
          <w:b w:val="0"/>
          <w:sz w:val="24"/>
          <w:szCs w:val="24"/>
        </w:rPr>
        <w:t xml:space="preserve">ourier </w:t>
      </w:r>
      <w:r w:rsidR="007B5CD1">
        <w:rPr>
          <w:b w:val="0"/>
          <w:sz w:val="24"/>
          <w:szCs w:val="24"/>
        </w:rPr>
        <w:t>transform infrared spectroscopy’</w:t>
      </w:r>
      <w:r>
        <w:rPr>
          <w:b w:val="0"/>
          <w:sz w:val="24"/>
          <w:szCs w:val="24"/>
        </w:rPr>
        <w:t xml:space="preserve"> </w:t>
      </w:r>
      <w:r w:rsidR="007B5CD1">
        <w:rPr>
          <w:b w:val="0"/>
          <w:sz w:val="24"/>
          <w:szCs w:val="24"/>
        </w:rPr>
        <w:t>(</w:t>
      </w:r>
      <w:r>
        <w:rPr>
          <w:b w:val="0"/>
          <w:sz w:val="24"/>
          <w:szCs w:val="24"/>
        </w:rPr>
        <w:t>written by Lindsey Kline</w:t>
      </w:r>
      <w:r w:rsidR="007B5CD1">
        <w:rPr>
          <w:b w:val="0"/>
          <w:sz w:val="24"/>
          <w:szCs w:val="24"/>
        </w:rPr>
        <w:t>), ‘An</w:t>
      </w:r>
      <w:r w:rsidR="00421F89">
        <w:rPr>
          <w:b w:val="0"/>
          <w:sz w:val="24"/>
          <w:szCs w:val="24"/>
        </w:rPr>
        <w:t>alysis of COMT transcript levels</w:t>
      </w:r>
      <w:r w:rsidR="007B5CD1">
        <w:rPr>
          <w:b w:val="0"/>
          <w:sz w:val="24"/>
          <w:szCs w:val="24"/>
        </w:rPr>
        <w:t>’ (written by Chunxiang Fu and Zeng-Yu Wang)</w:t>
      </w:r>
      <w:r w:rsidR="00421F89">
        <w:rPr>
          <w:b w:val="0"/>
          <w:sz w:val="24"/>
          <w:szCs w:val="24"/>
        </w:rPr>
        <w:t>, and ‘Rust Evaluation’ (written by Qunkang Cheng)</w:t>
      </w:r>
      <w:r>
        <w:rPr>
          <w:b w:val="0"/>
          <w:sz w:val="24"/>
          <w:szCs w:val="24"/>
        </w:rPr>
        <w:t>. Th</w:t>
      </w:r>
      <w:r w:rsidR="007B5CD1">
        <w:rPr>
          <w:b w:val="0"/>
          <w:sz w:val="24"/>
          <w:szCs w:val="24"/>
        </w:rPr>
        <w:t>is</w:t>
      </w:r>
      <w:r>
        <w:rPr>
          <w:b w:val="0"/>
          <w:sz w:val="24"/>
          <w:szCs w:val="24"/>
        </w:rPr>
        <w:t xml:space="preserve"> manuscript was </w:t>
      </w:r>
      <w:r w:rsidR="00CB01B8">
        <w:rPr>
          <w:b w:val="0"/>
          <w:sz w:val="24"/>
          <w:szCs w:val="24"/>
        </w:rPr>
        <w:t>edited and r</w:t>
      </w:r>
      <w:r>
        <w:rPr>
          <w:b w:val="0"/>
          <w:sz w:val="24"/>
          <w:szCs w:val="24"/>
        </w:rPr>
        <w:t xml:space="preserve">evised by </w:t>
      </w:r>
      <w:r w:rsidR="005D4915">
        <w:rPr>
          <w:b w:val="0"/>
          <w:sz w:val="24"/>
          <w:szCs w:val="24"/>
        </w:rPr>
        <w:t xml:space="preserve">C. </w:t>
      </w:r>
      <w:r>
        <w:rPr>
          <w:b w:val="0"/>
          <w:sz w:val="24"/>
          <w:szCs w:val="24"/>
        </w:rPr>
        <w:t>Neal Stewart</w:t>
      </w:r>
      <w:r w:rsidR="005D4915">
        <w:rPr>
          <w:b w:val="0"/>
          <w:sz w:val="24"/>
          <w:szCs w:val="24"/>
        </w:rPr>
        <w:t>, Jr.</w:t>
      </w:r>
      <w:r>
        <w:rPr>
          <w:b w:val="0"/>
          <w:sz w:val="24"/>
          <w:szCs w:val="24"/>
        </w:rPr>
        <w:t xml:space="preserve"> and Mitra Mazarei. </w:t>
      </w:r>
    </w:p>
    <w:p w:rsidR="008119C5" w:rsidRDefault="005B29C3" w:rsidP="008119C5">
      <w:pPr>
        <w:pStyle w:val="Caption"/>
        <w:rPr>
          <w:b w:val="0"/>
          <w:sz w:val="24"/>
          <w:szCs w:val="24"/>
        </w:rPr>
      </w:pPr>
      <w:r>
        <w:rPr>
          <w:b w:val="0"/>
          <w:sz w:val="24"/>
          <w:szCs w:val="24"/>
        </w:rPr>
        <w:t>Holly Baxter</w:t>
      </w:r>
      <w:r w:rsidR="007B5CD1">
        <w:rPr>
          <w:b w:val="0"/>
          <w:sz w:val="24"/>
          <w:szCs w:val="24"/>
        </w:rPr>
        <w:t xml:space="preserve"> </w:t>
      </w:r>
      <w:r w:rsidR="00BC47C8">
        <w:rPr>
          <w:b w:val="0"/>
          <w:sz w:val="24"/>
          <w:szCs w:val="24"/>
        </w:rPr>
        <w:t>performed the majority of the work involved in the field trial</w:t>
      </w:r>
      <w:r w:rsidR="00CE66DB">
        <w:rPr>
          <w:b w:val="0"/>
          <w:sz w:val="24"/>
          <w:szCs w:val="24"/>
        </w:rPr>
        <w:t>,</w:t>
      </w:r>
      <w:r w:rsidR="00BC47C8">
        <w:rPr>
          <w:b w:val="0"/>
          <w:sz w:val="24"/>
          <w:szCs w:val="24"/>
        </w:rPr>
        <w:t xml:space="preserve"> </w:t>
      </w:r>
      <w:r w:rsidR="00452D64">
        <w:rPr>
          <w:b w:val="0"/>
          <w:sz w:val="24"/>
          <w:szCs w:val="24"/>
        </w:rPr>
        <w:t xml:space="preserve">including </w:t>
      </w:r>
      <w:r w:rsidR="00BC47C8">
        <w:rPr>
          <w:b w:val="0"/>
          <w:sz w:val="24"/>
          <w:szCs w:val="24"/>
        </w:rPr>
        <w:t xml:space="preserve">general field maintenance and observation, collection and preparation </w:t>
      </w:r>
      <w:r w:rsidR="00CB01B8">
        <w:rPr>
          <w:b w:val="0"/>
          <w:sz w:val="24"/>
          <w:szCs w:val="24"/>
        </w:rPr>
        <w:t>samples for</w:t>
      </w:r>
      <w:r w:rsidR="007B5CD1">
        <w:rPr>
          <w:b w:val="0"/>
          <w:sz w:val="24"/>
          <w:szCs w:val="24"/>
        </w:rPr>
        <w:t xml:space="preserve"> </w:t>
      </w:r>
      <w:r>
        <w:rPr>
          <w:b w:val="0"/>
          <w:sz w:val="24"/>
          <w:szCs w:val="24"/>
        </w:rPr>
        <w:t xml:space="preserve">all </w:t>
      </w:r>
      <w:r w:rsidR="00BC47C8">
        <w:rPr>
          <w:b w:val="0"/>
          <w:sz w:val="24"/>
          <w:szCs w:val="24"/>
        </w:rPr>
        <w:t xml:space="preserve">experiments, </w:t>
      </w:r>
      <w:r w:rsidR="007B5CD1">
        <w:rPr>
          <w:b w:val="0"/>
          <w:sz w:val="24"/>
          <w:szCs w:val="24"/>
        </w:rPr>
        <w:t xml:space="preserve">agronomic performance </w:t>
      </w:r>
      <w:r w:rsidR="00857CB8">
        <w:rPr>
          <w:b w:val="0"/>
          <w:sz w:val="24"/>
          <w:szCs w:val="24"/>
        </w:rPr>
        <w:t>evaluation</w:t>
      </w:r>
      <w:r>
        <w:rPr>
          <w:b w:val="0"/>
          <w:sz w:val="24"/>
          <w:szCs w:val="24"/>
        </w:rPr>
        <w:t>s, ethanol fermentation</w:t>
      </w:r>
      <w:r w:rsidR="00BC47C8">
        <w:rPr>
          <w:b w:val="0"/>
          <w:sz w:val="24"/>
          <w:szCs w:val="24"/>
        </w:rPr>
        <w:t xml:space="preserve"> experiments, and statistical analyses for all experiments.</w:t>
      </w:r>
    </w:p>
    <w:p w:rsidR="007B5CD1" w:rsidRPr="00857CB8" w:rsidRDefault="007B5CD1" w:rsidP="007B5CD1"/>
    <w:p w:rsidR="007B5CD1" w:rsidRPr="00857CB8" w:rsidRDefault="007B5CD1" w:rsidP="007B5CD1"/>
    <w:p w:rsidR="007B5CD1" w:rsidRPr="00857CB8" w:rsidRDefault="007B5CD1" w:rsidP="007B5CD1"/>
    <w:p w:rsidR="00097A19" w:rsidRPr="000F6FE1" w:rsidRDefault="00097A19" w:rsidP="00097A19">
      <w:pPr>
        <w:pStyle w:val="Heading2"/>
        <w:spacing w:line="480" w:lineRule="auto"/>
        <w:rPr>
          <w:rFonts w:cs="Times New Roman"/>
        </w:rPr>
      </w:pPr>
      <w:r>
        <w:rPr>
          <w:rFonts w:cs="Times New Roman"/>
        </w:rPr>
        <w:t>Abstract</w:t>
      </w:r>
    </w:p>
    <w:p w:rsidR="00830E7E" w:rsidRDefault="00711244" w:rsidP="00097A19">
      <w:pPr>
        <w:spacing w:after="200" w:line="480" w:lineRule="auto"/>
        <w:rPr>
          <w:rFonts w:eastAsia="Calibri"/>
        </w:rPr>
      </w:pPr>
      <w:r w:rsidRPr="000D3F86">
        <w:rPr>
          <w:rFonts w:eastAsia="Calibri"/>
        </w:rPr>
        <w:t>Switchgrass (</w:t>
      </w:r>
      <w:r w:rsidRPr="000D3F86">
        <w:rPr>
          <w:rFonts w:eastAsia="Calibri"/>
          <w:i/>
        </w:rPr>
        <w:t>Panicum virgatum</w:t>
      </w:r>
      <w:r w:rsidRPr="000D3F86">
        <w:rPr>
          <w:rFonts w:eastAsia="Calibri"/>
        </w:rPr>
        <w:t xml:space="preserve"> L.) is a leading candidate for a dedicated lignocellulosic feedstock due to its high biomass production, wide adaptation, and low agronomic input requirements. One major limitation of such bioenergy feedstock is the recalcitrance of the biomass to conversion into biofuels. The presence of lignin in the secondary cell wall is known to be a primary contributor to recalcitrance, limiting the accessibility of cell wall carbohydrates to enzymatic breakdown into fermentable sugars. Low-lignin transgenic switchgrass events produced by the downregulation of caffeic acid </w:t>
      </w:r>
      <w:r w:rsidRPr="000D3F86">
        <w:rPr>
          <w:rFonts w:eastAsia="Calibri"/>
          <w:i/>
        </w:rPr>
        <w:t>O</w:t>
      </w:r>
      <w:r w:rsidRPr="000D3F86">
        <w:rPr>
          <w:rFonts w:eastAsia="Calibri"/>
        </w:rPr>
        <w:t>-methyltransferase (COMT), a lignin biosynthetic enzyme, were analyzed in the field over a period of two growing seasons for</w:t>
      </w:r>
      <w:r w:rsidR="00421F89">
        <w:rPr>
          <w:rFonts w:eastAsia="Calibri"/>
        </w:rPr>
        <w:t xml:space="preserve"> </w:t>
      </w:r>
      <w:r w:rsidRPr="000D3F86">
        <w:rPr>
          <w:rFonts w:eastAsia="Calibri"/>
        </w:rPr>
        <w:t>cell wall composition, sugar release efficiency, ethanol yield</w:t>
      </w:r>
      <w:r w:rsidR="00421F89">
        <w:rPr>
          <w:rFonts w:eastAsia="Calibri"/>
        </w:rPr>
        <w:t>,</w:t>
      </w:r>
      <w:r w:rsidR="00421F89" w:rsidRPr="00421F89">
        <w:rPr>
          <w:rFonts w:eastAsia="Calibri"/>
        </w:rPr>
        <w:t xml:space="preserve"> </w:t>
      </w:r>
      <w:r w:rsidR="00421F89" w:rsidRPr="000D3F86">
        <w:rPr>
          <w:rFonts w:eastAsia="Calibri"/>
        </w:rPr>
        <w:t xml:space="preserve">agronomic performance, </w:t>
      </w:r>
      <w:r w:rsidR="00421F89">
        <w:rPr>
          <w:rFonts w:eastAsia="Calibri"/>
        </w:rPr>
        <w:t xml:space="preserve">and </w:t>
      </w:r>
      <w:r w:rsidR="00421F89" w:rsidRPr="000D3F86">
        <w:rPr>
          <w:rFonts w:eastAsia="Calibri"/>
        </w:rPr>
        <w:t>disease susceptibility</w:t>
      </w:r>
      <w:r w:rsidRPr="000D3F86">
        <w:rPr>
          <w:rFonts w:eastAsia="Calibri"/>
        </w:rPr>
        <w:t xml:space="preserve">. COMT transcript abundance, total </w:t>
      </w:r>
      <w:r w:rsidRPr="000D3F86">
        <w:rPr>
          <w:rFonts w:eastAsia="Calibri"/>
        </w:rPr>
        <w:lastRenderedPageBreak/>
        <w:t>l</w:t>
      </w:r>
      <w:r w:rsidR="00CE5ABD">
        <w:rPr>
          <w:rFonts w:eastAsia="Calibri"/>
        </w:rPr>
        <w:t xml:space="preserve">ignin content, and the syringyl to </w:t>
      </w:r>
      <w:r w:rsidRPr="000D3F86">
        <w:rPr>
          <w:rFonts w:eastAsia="Calibri"/>
        </w:rPr>
        <w:t xml:space="preserve">guaiacyl lignin monomer ratio were consistently lower in the COMT-downregulated plants throughout the duration of the field trial. </w:t>
      </w:r>
      <w:r w:rsidR="00730010">
        <w:rPr>
          <w:rFonts w:eastAsia="Calibri"/>
        </w:rPr>
        <w:t>At the end of year two, s</w:t>
      </w:r>
      <w:r w:rsidRPr="000D3F86">
        <w:rPr>
          <w:rFonts w:eastAsia="Calibri"/>
        </w:rPr>
        <w:t xml:space="preserve">ugar release was improved by up to 34% and ethanol yield by up to 28% in both </w:t>
      </w:r>
      <w:r w:rsidR="00730010">
        <w:rPr>
          <w:rFonts w:eastAsia="Calibri"/>
        </w:rPr>
        <w:t xml:space="preserve">field-grown </w:t>
      </w:r>
      <w:r w:rsidRPr="000D3F86">
        <w:rPr>
          <w:rFonts w:eastAsia="Calibri"/>
        </w:rPr>
        <w:t xml:space="preserve">transgenic events relative to their controls. </w:t>
      </w:r>
      <w:r w:rsidR="001B34F2">
        <w:rPr>
          <w:rFonts w:eastAsia="Calibri"/>
        </w:rPr>
        <w:t>Additionally</w:t>
      </w:r>
      <w:r w:rsidRPr="000D3F86">
        <w:rPr>
          <w:rFonts w:eastAsia="Calibri"/>
        </w:rPr>
        <w:t xml:space="preserve">, these results were obtained using senesced plant material harvested </w:t>
      </w:r>
      <w:r w:rsidR="001B34F2">
        <w:rPr>
          <w:rFonts w:eastAsia="Calibri"/>
        </w:rPr>
        <w:t>at the end of the growing season</w:t>
      </w:r>
      <w:r w:rsidR="00493160">
        <w:rPr>
          <w:rFonts w:eastAsia="Calibri"/>
        </w:rPr>
        <w:t>, compared to the</w:t>
      </w:r>
      <w:r w:rsidR="00CE5ABD">
        <w:rPr>
          <w:rFonts w:eastAsia="Calibri"/>
        </w:rPr>
        <w:t xml:space="preserve"> young, green tissue that was used in the greenhouse experiments</w:t>
      </w:r>
      <w:r w:rsidRPr="000D3F86">
        <w:rPr>
          <w:rFonts w:eastAsia="Calibri"/>
        </w:rPr>
        <w:t xml:space="preserve">. </w:t>
      </w:r>
      <w:r w:rsidR="00730010">
        <w:rPr>
          <w:rFonts w:eastAsia="Calibri"/>
        </w:rPr>
        <w:t>Furthermore, transgenic plants were not more susceptible than their controls to rust (</w:t>
      </w:r>
      <w:r w:rsidR="00730010" w:rsidRPr="00730010">
        <w:rPr>
          <w:rFonts w:eastAsia="Calibri"/>
          <w:i/>
        </w:rPr>
        <w:t>Puccinia emaculata</w:t>
      </w:r>
      <w:r w:rsidR="00730010">
        <w:rPr>
          <w:rFonts w:eastAsia="Calibri"/>
        </w:rPr>
        <w:t xml:space="preserve">). </w:t>
      </w:r>
      <w:r w:rsidRPr="000D3F86">
        <w:rPr>
          <w:rFonts w:eastAsia="Calibri"/>
        </w:rPr>
        <w:t xml:space="preserve">The results of this study suggest that, after an initial period of establishment, improvements in sugar release and ethanol yield in low-lignin transgenic switchgrass can be </w:t>
      </w:r>
      <w:r w:rsidR="0000467A">
        <w:rPr>
          <w:rFonts w:eastAsia="Calibri"/>
        </w:rPr>
        <w:t>achieved</w:t>
      </w:r>
      <w:r w:rsidRPr="000D3F86">
        <w:rPr>
          <w:rFonts w:eastAsia="Calibri"/>
        </w:rPr>
        <w:t xml:space="preserve"> in the field with no negative impact on biomass yield or </w:t>
      </w:r>
      <w:r w:rsidR="00730010">
        <w:rPr>
          <w:rFonts w:eastAsia="Calibri"/>
        </w:rPr>
        <w:t>disease susceptibility.</w:t>
      </w:r>
    </w:p>
    <w:p w:rsidR="00711244" w:rsidRPr="00BA3093" w:rsidRDefault="00830E7E" w:rsidP="00097A19">
      <w:pPr>
        <w:pStyle w:val="Heading2"/>
        <w:spacing w:line="480" w:lineRule="auto"/>
        <w:rPr>
          <w:rFonts w:eastAsia="Calibri"/>
        </w:rPr>
      </w:pPr>
      <w:r>
        <w:rPr>
          <w:rFonts w:eastAsia="Calibri"/>
        </w:rPr>
        <w:br w:type="page"/>
      </w:r>
      <w:r w:rsidR="00711244" w:rsidRPr="00830E7E">
        <w:lastRenderedPageBreak/>
        <w:t>Introduction</w:t>
      </w:r>
    </w:p>
    <w:p w:rsidR="00F26493" w:rsidRDefault="00711244" w:rsidP="00097A19">
      <w:pPr>
        <w:spacing w:after="200" w:line="480" w:lineRule="auto"/>
        <w:rPr>
          <w:rFonts w:eastAsia="Calibri"/>
        </w:rPr>
      </w:pPr>
      <w:r w:rsidRPr="000D3F86">
        <w:rPr>
          <w:rFonts w:eastAsia="Calibri"/>
        </w:rPr>
        <w:t>Switchgrass (</w:t>
      </w:r>
      <w:r w:rsidRPr="000D3F86">
        <w:rPr>
          <w:rFonts w:eastAsia="Calibri"/>
          <w:i/>
        </w:rPr>
        <w:t>Panicum virgatum</w:t>
      </w:r>
      <w:r w:rsidRPr="000D3F86">
        <w:rPr>
          <w:rFonts w:eastAsia="Calibri"/>
        </w:rPr>
        <w:t xml:space="preserve"> L.)</w:t>
      </w:r>
      <w:r w:rsidR="0000467A">
        <w:rPr>
          <w:rFonts w:eastAsia="Calibri"/>
        </w:rPr>
        <w:t xml:space="preserve">, </w:t>
      </w:r>
      <w:r w:rsidR="003123A3">
        <w:rPr>
          <w:rFonts w:eastAsia="Calibri"/>
        </w:rPr>
        <w:t>a</w:t>
      </w:r>
      <w:r w:rsidRPr="000D3F86">
        <w:rPr>
          <w:rFonts w:eastAsia="Calibri"/>
        </w:rPr>
        <w:t xml:space="preserve"> warm-season C4 perennial grass native to the prairies of North America</w:t>
      </w:r>
      <w:r w:rsidR="003123A3">
        <w:rPr>
          <w:rFonts w:eastAsia="Calibri"/>
        </w:rPr>
        <w:t>, has been identified as a promising lignocellulosic biofuel feedstock due to its h</w:t>
      </w:r>
      <w:r w:rsidRPr="000D3F86">
        <w:rPr>
          <w:rFonts w:eastAsia="Calibri"/>
        </w:rPr>
        <w:t>igh biomass production, minimal water and nutritional requirements, widespread adaptability, and high net ener</w:t>
      </w:r>
      <w:r w:rsidR="003123A3">
        <w:rPr>
          <w:rFonts w:eastAsia="Calibri"/>
        </w:rPr>
        <w:t>gy gain</w:t>
      </w:r>
      <w:r w:rsidRPr="000D3F86">
        <w:rPr>
          <w:rFonts w:eastAsia="Calibri"/>
        </w:rPr>
        <w:t xml:space="preserve">. In addition, switchgrass is relatively tolerant to a range biotic and abiotic stresses and provides numerous environmental benefits including reduced soil erosion, improved surface water quality, and the potential to reduce greenhouse gas emissions due to </w:t>
      </w:r>
      <w:r w:rsidR="00330DCC">
        <w:rPr>
          <w:rFonts w:eastAsia="Calibri"/>
        </w:rPr>
        <w:t>a</w:t>
      </w:r>
      <w:r w:rsidRPr="000D3F86">
        <w:rPr>
          <w:rFonts w:eastAsia="Calibri"/>
        </w:rPr>
        <w:t xml:space="preserve"> high rate of carbon sequestration [</w:t>
      </w:r>
      <w:r w:rsidR="00631FB3">
        <w:t>1</w:t>
      </w:r>
      <w:r w:rsidRPr="000D3F86">
        <w:rPr>
          <w:rFonts w:eastAsia="Calibri"/>
        </w:rPr>
        <w:t xml:space="preserve">, </w:t>
      </w:r>
      <w:r w:rsidR="00631FB3">
        <w:t>2</w:t>
      </w:r>
      <w:r w:rsidRPr="000D3F86">
        <w:rPr>
          <w:rFonts w:eastAsia="Calibri"/>
        </w:rPr>
        <w:t xml:space="preserve">, </w:t>
      </w:r>
      <w:r w:rsidR="00631FB3">
        <w:t>3</w:t>
      </w:r>
      <w:r w:rsidRPr="000D3F86">
        <w:rPr>
          <w:rFonts w:eastAsia="Calibri"/>
        </w:rPr>
        <w:t xml:space="preserve">, </w:t>
      </w:r>
      <w:proofErr w:type="gramStart"/>
      <w:r w:rsidR="00631FB3">
        <w:rPr>
          <w:rFonts w:eastAsia="Calibri"/>
        </w:rPr>
        <w:t>4</w:t>
      </w:r>
      <w:proofErr w:type="gramEnd"/>
      <w:r w:rsidRPr="000D3F86">
        <w:rPr>
          <w:rFonts w:eastAsia="Calibri"/>
        </w:rPr>
        <w:t xml:space="preserve">]. </w:t>
      </w:r>
      <w:r w:rsidR="00F26493" w:rsidRPr="00F26493">
        <w:rPr>
          <w:rFonts w:eastAsia="Calibri"/>
        </w:rPr>
        <w:t xml:space="preserve">Despite these advantages, high costs associated with the conversion of plant biomass into biofuels currently prevent lignocellulosic feedstocks such as switchgrass from being economically competitive fuel sources </w:t>
      </w:r>
      <w:r w:rsidR="0000467A">
        <w:rPr>
          <w:rFonts w:eastAsia="Calibri"/>
        </w:rPr>
        <w:t>[</w:t>
      </w:r>
      <w:r w:rsidR="00631FB3">
        <w:rPr>
          <w:rFonts w:eastAsia="Calibri"/>
        </w:rPr>
        <w:t>5</w:t>
      </w:r>
      <w:r w:rsidR="0000467A">
        <w:rPr>
          <w:rFonts w:eastAsia="Calibri"/>
        </w:rPr>
        <w:t>]</w:t>
      </w:r>
      <w:r w:rsidRPr="000D3F86">
        <w:rPr>
          <w:rFonts w:eastAsia="Calibri"/>
        </w:rPr>
        <w:t xml:space="preserve">. </w:t>
      </w:r>
    </w:p>
    <w:p w:rsidR="00711244" w:rsidRDefault="00870B1C" w:rsidP="00097A19">
      <w:pPr>
        <w:spacing w:after="200" w:line="480" w:lineRule="auto"/>
        <w:rPr>
          <w:rFonts w:eastAsia="Calibri"/>
        </w:rPr>
      </w:pPr>
      <w:r>
        <w:rPr>
          <w:rFonts w:eastAsia="Calibri"/>
        </w:rPr>
        <w:t>A major barrier</w:t>
      </w:r>
      <w:r w:rsidR="00711244" w:rsidRPr="000D3F86">
        <w:rPr>
          <w:rFonts w:eastAsia="Calibri"/>
        </w:rPr>
        <w:t xml:space="preserve"> to cost-efficient biofuel production from lignocellulosic </w:t>
      </w:r>
      <w:r w:rsidR="00330DCC">
        <w:rPr>
          <w:rFonts w:eastAsia="Calibri"/>
        </w:rPr>
        <w:t>plants</w:t>
      </w:r>
      <w:r w:rsidR="00711244" w:rsidRPr="000D3F86">
        <w:rPr>
          <w:rFonts w:eastAsia="Calibri"/>
        </w:rPr>
        <w:t xml:space="preserve"> is the resistance of the cell wall to chemical, microbial, or enzymatic deconstruction into fermentable monosaccharides, also referred to as cell wall recalcitrance [</w:t>
      </w:r>
      <w:r w:rsidR="00631FB3">
        <w:t>5</w:t>
      </w:r>
      <w:r w:rsidR="00711244" w:rsidRPr="000D3F86">
        <w:rPr>
          <w:rFonts w:eastAsia="Calibri"/>
        </w:rPr>
        <w:t>]. The primary structural components of switchgrass cell walls are cellulose (30-40%), hemicellulose (25-35%) and lignin (15-20%) [</w:t>
      </w:r>
      <w:r w:rsidR="00631FB3">
        <w:t>6</w:t>
      </w:r>
      <w:r w:rsidR="0048574D">
        <w:rPr>
          <w:rFonts w:eastAsia="Calibri"/>
        </w:rPr>
        <w:t xml:space="preserve">]. </w:t>
      </w:r>
      <w:proofErr w:type="gramStart"/>
      <w:r w:rsidR="00730010">
        <w:rPr>
          <w:rFonts w:eastAsia="Calibri"/>
        </w:rPr>
        <w:t>T</w:t>
      </w:r>
      <w:r w:rsidR="00711244" w:rsidRPr="000D3F86">
        <w:rPr>
          <w:rFonts w:eastAsia="Calibri"/>
        </w:rPr>
        <w:t>he</w:t>
      </w:r>
      <w:proofErr w:type="gramEnd"/>
      <w:r w:rsidR="00711244" w:rsidRPr="000D3F86">
        <w:rPr>
          <w:rFonts w:eastAsia="Calibri"/>
        </w:rPr>
        <w:t xml:space="preserve"> cellulose microfibrils are integrated into a highly cross-linked matrix of lignin and hemicellulose [</w:t>
      </w:r>
      <w:r w:rsidR="00631FB3">
        <w:t>7</w:t>
      </w:r>
      <w:r w:rsidR="00711244" w:rsidRPr="000D3F86">
        <w:rPr>
          <w:rFonts w:eastAsia="Calibri"/>
        </w:rPr>
        <w:t xml:space="preserve">]. </w:t>
      </w:r>
      <w:r>
        <w:rPr>
          <w:rFonts w:eastAsia="Calibri"/>
        </w:rPr>
        <w:t xml:space="preserve">Lignin is a complex phenolic polymer </w:t>
      </w:r>
      <w:r w:rsidR="0048574D" w:rsidRPr="007F585F">
        <w:t xml:space="preserve">composed of </w:t>
      </w:r>
      <w:r w:rsidR="0048574D" w:rsidRPr="007F585F">
        <w:rPr>
          <w:i/>
        </w:rPr>
        <w:t>p</w:t>
      </w:r>
      <w:r w:rsidR="0048574D" w:rsidRPr="007F585F">
        <w:t xml:space="preserve">-hydroxyphenyl (H), guaiacyl (G), and syringyl (S) lignin units, which are derived from the monolignols p-coumaryl, coniferyl, and sinapyl alcohol, respectively. </w:t>
      </w:r>
      <w:r w:rsidR="0048574D">
        <w:t xml:space="preserve">Lignin </w:t>
      </w:r>
      <w:r>
        <w:rPr>
          <w:rFonts w:eastAsia="Calibri"/>
        </w:rPr>
        <w:t xml:space="preserve">contributes structural stability to the plant, aids in water transportation in vascular tissues, and protects the cell wall from pathogen penetration. </w:t>
      </w:r>
      <w:r>
        <w:t xml:space="preserve">Because it inhibits enzymatic and microbial access to fermentable cell wall </w:t>
      </w:r>
      <w:r>
        <w:lastRenderedPageBreak/>
        <w:t xml:space="preserve">polysaccharides, lignin is known as a primary contributor to biomass recalcitrance. </w:t>
      </w:r>
      <w:r w:rsidR="009A1EF5">
        <w:rPr>
          <w:rFonts w:eastAsia="Calibri"/>
        </w:rPr>
        <w:t xml:space="preserve">Recalcitrance </w:t>
      </w:r>
      <w:r w:rsidR="0048574D">
        <w:rPr>
          <w:rFonts w:eastAsia="Calibri"/>
        </w:rPr>
        <w:t>can be</w:t>
      </w:r>
      <w:r w:rsidR="009A1EF5">
        <w:rPr>
          <w:rFonts w:eastAsia="Calibri"/>
        </w:rPr>
        <w:t xml:space="preserve"> influenced by lignin content as well as the relative abundance of the S and G lignin mon</w:t>
      </w:r>
      <w:r w:rsidR="00596FDD">
        <w:rPr>
          <w:rFonts w:eastAsia="Calibri"/>
        </w:rPr>
        <w:t>omers</w:t>
      </w:r>
      <w:r>
        <w:rPr>
          <w:rFonts w:eastAsia="Calibri"/>
        </w:rPr>
        <w:t xml:space="preserve"> </w:t>
      </w:r>
      <w:r w:rsidR="009A1EF5">
        <w:rPr>
          <w:rFonts w:eastAsia="Calibri"/>
        </w:rPr>
        <w:t>[</w:t>
      </w:r>
      <w:r w:rsidR="00631FB3">
        <w:rPr>
          <w:rFonts w:eastAsia="Calibri"/>
        </w:rPr>
        <w:t>9</w:t>
      </w:r>
      <w:r w:rsidR="009A1EF5">
        <w:rPr>
          <w:rFonts w:eastAsia="Calibri"/>
        </w:rPr>
        <w:t xml:space="preserve">, </w:t>
      </w:r>
      <w:r w:rsidR="00631FB3">
        <w:rPr>
          <w:rFonts w:eastAsia="Calibri"/>
        </w:rPr>
        <w:t>10</w:t>
      </w:r>
      <w:r w:rsidR="009A1EF5">
        <w:rPr>
          <w:rFonts w:eastAsia="Calibri"/>
        </w:rPr>
        <w:t xml:space="preserve">, </w:t>
      </w:r>
      <w:r w:rsidR="00631FB3">
        <w:rPr>
          <w:rFonts w:eastAsia="Calibri"/>
        </w:rPr>
        <w:t>11</w:t>
      </w:r>
      <w:r w:rsidR="009A1EF5">
        <w:rPr>
          <w:rFonts w:eastAsia="Calibri"/>
        </w:rPr>
        <w:t xml:space="preserve">, </w:t>
      </w:r>
      <w:proofErr w:type="gramStart"/>
      <w:r w:rsidR="00631FB3">
        <w:rPr>
          <w:rFonts w:eastAsia="Calibri"/>
        </w:rPr>
        <w:t>12</w:t>
      </w:r>
      <w:proofErr w:type="gramEnd"/>
      <w:r w:rsidR="009A1EF5">
        <w:rPr>
          <w:rFonts w:eastAsia="Calibri"/>
        </w:rPr>
        <w:t xml:space="preserve">]. </w:t>
      </w:r>
      <w:r w:rsidR="00711244" w:rsidRPr="000D3F86">
        <w:rPr>
          <w:rFonts w:eastAsia="Calibri"/>
        </w:rPr>
        <w:t>Expensive and energy-inefficient thermo-chemical pretreatment processes are generally required to disrupt the lignin-polysaccharide matrix and increase the accessibility of carbohydrates for hydrolysis prior to fermentation [</w:t>
      </w:r>
      <w:r w:rsidR="00631FB3">
        <w:rPr>
          <w:rFonts w:eastAsia="Calibri"/>
        </w:rPr>
        <w:t>13</w:t>
      </w:r>
      <w:r>
        <w:rPr>
          <w:rFonts w:eastAsia="Calibri"/>
        </w:rPr>
        <w:t xml:space="preserve">]. </w:t>
      </w:r>
      <w:r w:rsidR="00711244" w:rsidRPr="000D3F86">
        <w:rPr>
          <w:rFonts w:eastAsia="Calibri"/>
        </w:rPr>
        <w:t>In addition to being costly, many pretreatment processes also generate degradation products that can be inhibitory to downstream microbial fermentation [</w:t>
      </w:r>
      <w:r w:rsidR="00631FB3">
        <w:rPr>
          <w:rFonts w:eastAsia="Calibri"/>
        </w:rPr>
        <w:t>14</w:t>
      </w:r>
      <w:r w:rsidR="00711244" w:rsidRPr="000D3F86">
        <w:rPr>
          <w:rFonts w:eastAsia="Calibri"/>
        </w:rPr>
        <w:t xml:space="preserve">]. </w:t>
      </w:r>
    </w:p>
    <w:p w:rsidR="00D97DEF" w:rsidRDefault="00512790" w:rsidP="00097A19">
      <w:pPr>
        <w:spacing w:after="200" w:line="480" w:lineRule="auto"/>
        <w:rPr>
          <w:rFonts w:eastAsia="Calibri"/>
        </w:rPr>
      </w:pPr>
      <w:r w:rsidRPr="00512790">
        <w:rPr>
          <w:rFonts w:eastAsia="Calibri"/>
        </w:rPr>
        <w:t xml:space="preserve">One approach to </w:t>
      </w:r>
      <w:r w:rsidR="00F26493">
        <w:rPr>
          <w:rFonts w:eastAsia="Calibri"/>
        </w:rPr>
        <w:t>improve biofuel yields from lignocellulosic plants</w:t>
      </w:r>
      <w:r w:rsidRPr="00512790">
        <w:rPr>
          <w:rFonts w:eastAsia="Calibri"/>
        </w:rPr>
        <w:t xml:space="preserve"> is </w:t>
      </w:r>
      <w:r w:rsidR="0000467A">
        <w:rPr>
          <w:rFonts w:eastAsia="Calibri"/>
        </w:rPr>
        <w:t xml:space="preserve">by genetically modifying cell wall characteristics to develop feedstocks that are more amenable to enzymatic hydrolysis. </w:t>
      </w:r>
      <w:r w:rsidR="0023582D">
        <w:rPr>
          <w:rFonts w:eastAsia="Calibri"/>
        </w:rPr>
        <w:t xml:space="preserve">Manipulating genes in </w:t>
      </w:r>
      <w:r w:rsidRPr="00512790">
        <w:rPr>
          <w:rFonts w:eastAsia="Calibri"/>
        </w:rPr>
        <w:t xml:space="preserve">the lignin biosynthetic pathway </w:t>
      </w:r>
      <w:r w:rsidR="0000467A">
        <w:rPr>
          <w:rFonts w:eastAsia="Calibri"/>
        </w:rPr>
        <w:t>can</w:t>
      </w:r>
      <w:r w:rsidRPr="00512790">
        <w:rPr>
          <w:rFonts w:eastAsia="Calibri"/>
        </w:rPr>
        <w:t xml:space="preserve"> decrease the total lignin content </w:t>
      </w:r>
      <w:r w:rsidR="0000467A">
        <w:rPr>
          <w:rFonts w:eastAsia="Calibri"/>
        </w:rPr>
        <w:t>and/</w:t>
      </w:r>
      <w:r w:rsidR="0048574D">
        <w:rPr>
          <w:rFonts w:eastAsia="Calibri"/>
        </w:rPr>
        <w:t>or modify its composition</w:t>
      </w:r>
      <w:r w:rsidRPr="00512790">
        <w:rPr>
          <w:rFonts w:eastAsia="Calibri"/>
        </w:rPr>
        <w:t xml:space="preserve">, which could </w:t>
      </w:r>
      <w:r w:rsidR="00596FDD">
        <w:rPr>
          <w:rFonts w:eastAsia="Calibri"/>
        </w:rPr>
        <w:t>reduce or eliminate</w:t>
      </w:r>
      <w:r w:rsidRPr="00512790">
        <w:rPr>
          <w:rFonts w:eastAsia="Calibri"/>
        </w:rPr>
        <w:t xml:space="preserve"> the need for pretreatment prior to fermentation </w:t>
      </w:r>
      <w:r w:rsidR="00711244" w:rsidRPr="000D3F86">
        <w:rPr>
          <w:rFonts w:eastAsia="Calibri"/>
        </w:rPr>
        <w:t>[</w:t>
      </w:r>
      <w:r w:rsidR="00631FB3">
        <w:t>9</w:t>
      </w:r>
      <w:r w:rsidR="00711244" w:rsidRPr="000D3F86">
        <w:rPr>
          <w:rFonts w:eastAsia="Calibri"/>
        </w:rPr>
        <w:t xml:space="preserve">, </w:t>
      </w:r>
      <w:r w:rsidR="00631FB3" w:rsidRPr="00631FB3">
        <w:rPr>
          <w:rFonts w:eastAsia="Calibri"/>
        </w:rPr>
        <w:t>15</w:t>
      </w:r>
      <w:r w:rsidR="00711244" w:rsidRPr="000D3F86">
        <w:rPr>
          <w:rFonts w:eastAsia="Calibri"/>
        </w:rPr>
        <w:t xml:space="preserve">]. </w:t>
      </w:r>
      <w:r w:rsidR="00870B1C">
        <w:rPr>
          <w:rFonts w:eastAsia="Calibri"/>
        </w:rPr>
        <w:t>The downregulation of lignin biosynthetic enzymes has been successful in improving saccharification in lignocellulosic grass species including Brachypodium (</w:t>
      </w:r>
      <w:r w:rsidR="00870B1C" w:rsidRPr="00B1276B">
        <w:rPr>
          <w:rFonts w:eastAsia="Calibri"/>
          <w:i/>
        </w:rPr>
        <w:t>Brachypodium distachyon</w:t>
      </w:r>
      <w:r w:rsidR="00870B1C" w:rsidRPr="00B1276B">
        <w:rPr>
          <w:rFonts w:eastAsia="Calibri"/>
        </w:rPr>
        <w:t>)</w:t>
      </w:r>
      <w:r w:rsidR="00870B1C">
        <w:rPr>
          <w:rFonts w:eastAsia="Calibri"/>
        </w:rPr>
        <w:t>, sugarcane (</w:t>
      </w:r>
      <w:r w:rsidR="00870B1C" w:rsidRPr="00B1276B">
        <w:rPr>
          <w:rFonts w:eastAsia="Calibri"/>
          <w:i/>
        </w:rPr>
        <w:t>Saccharum</w:t>
      </w:r>
      <w:r w:rsidR="00870B1C">
        <w:rPr>
          <w:rFonts w:eastAsia="Calibri"/>
        </w:rPr>
        <w:t xml:space="preserve"> spp. hybrids), and switchgrass [</w:t>
      </w:r>
      <w:r w:rsidR="00631FB3">
        <w:rPr>
          <w:rFonts w:eastAsia="Calibri"/>
        </w:rPr>
        <w:t>16</w:t>
      </w:r>
      <w:r w:rsidR="00870B1C">
        <w:rPr>
          <w:rFonts w:eastAsia="Calibri"/>
        </w:rPr>
        <w:t xml:space="preserve">, </w:t>
      </w:r>
      <w:r w:rsidR="00631FB3">
        <w:rPr>
          <w:rFonts w:eastAsia="Calibri"/>
        </w:rPr>
        <w:t>17</w:t>
      </w:r>
      <w:r w:rsidR="00870B1C">
        <w:rPr>
          <w:rFonts w:eastAsia="Calibri"/>
        </w:rPr>
        <w:t xml:space="preserve">, </w:t>
      </w:r>
      <w:r w:rsidR="00631FB3">
        <w:rPr>
          <w:rFonts w:eastAsia="Calibri"/>
        </w:rPr>
        <w:t>18</w:t>
      </w:r>
      <w:r w:rsidR="00870B1C">
        <w:rPr>
          <w:rFonts w:eastAsia="Calibri"/>
        </w:rPr>
        <w:t xml:space="preserve">, </w:t>
      </w:r>
      <w:r w:rsidR="00631FB3">
        <w:rPr>
          <w:rFonts w:eastAsia="Calibri"/>
        </w:rPr>
        <w:t>19</w:t>
      </w:r>
      <w:r w:rsidR="00870B1C">
        <w:rPr>
          <w:rFonts w:eastAsia="Calibri"/>
        </w:rPr>
        <w:t xml:space="preserve">, </w:t>
      </w:r>
      <w:r w:rsidR="00631FB3">
        <w:rPr>
          <w:rFonts w:eastAsia="Calibri"/>
        </w:rPr>
        <w:t>20</w:t>
      </w:r>
      <w:r w:rsidR="00870B1C">
        <w:rPr>
          <w:rFonts w:eastAsia="Calibri"/>
        </w:rPr>
        <w:t xml:space="preserve">]. </w:t>
      </w:r>
    </w:p>
    <w:p w:rsidR="00711244" w:rsidRPr="000D3F86" w:rsidRDefault="00512790" w:rsidP="00097A19">
      <w:pPr>
        <w:spacing w:after="200" w:line="480" w:lineRule="auto"/>
        <w:rPr>
          <w:rFonts w:eastAsia="Calibri"/>
        </w:rPr>
      </w:pPr>
      <w:r w:rsidRPr="00512790">
        <w:t xml:space="preserve">Caffeic acid </w:t>
      </w:r>
      <w:r w:rsidRPr="00512790">
        <w:rPr>
          <w:i/>
          <w:iCs/>
        </w:rPr>
        <w:t>O</w:t>
      </w:r>
      <w:r w:rsidRPr="00512790">
        <w:t xml:space="preserve">-methyltransferase (COMT) is an enzyme functioning late in the lignin biosynthetic pathway, catalyzing the </w:t>
      </w:r>
      <w:r w:rsidRPr="00512790">
        <w:rPr>
          <w:i/>
        </w:rPr>
        <w:t>O</w:t>
      </w:r>
      <w:r w:rsidRPr="00512790">
        <w:t>-methylation of the 5-hydroxyl g</w:t>
      </w:r>
      <w:r w:rsidR="0000467A">
        <w:t>roups of monolignol precursors.</w:t>
      </w:r>
      <w:r w:rsidRPr="00512790">
        <w:t xml:space="preserve"> Studies with monocot and dicot species have demonstrated that the preferred substrates of COMT are 5-hydroxyconiferyl aldehyde and 5-hydroxyconiferyl alcohol, two metabolites involved in the synthesis of the S-monomer subunit sinapyl alcohol</w:t>
      </w:r>
      <w:r>
        <w:rPr>
          <w:rFonts w:eastAsia="Calibri"/>
        </w:rPr>
        <w:t xml:space="preserve"> </w:t>
      </w:r>
      <w:r w:rsidR="00711244" w:rsidRPr="000D3F86">
        <w:rPr>
          <w:rFonts w:eastAsia="Calibri"/>
        </w:rPr>
        <w:t>[</w:t>
      </w:r>
      <w:r w:rsidR="00631FB3" w:rsidRPr="00631FB3">
        <w:rPr>
          <w:rFonts w:eastAsia="Calibri"/>
        </w:rPr>
        <w:t>21</w:t>
      </w:r>
      <w:r w:rsidR="00711244" w:rsidRPr="000D3F86">
        <w:rPr>
          <w:rFonts w:eastAsia="Calibri"/>
        </w:rPr>
        <w:t xml:space="preserve">, </w:t>
      </w:r>
      <w:r w:rsidR="00631FB3" w:rsidRPr="00631FB3">
        <w:rPr>
          <w:rFonts w:eastAsia="Calibri"/>
        </w:rPr>
        <w:t>22</w:t>
      </w:r>
      <w:r w:rsidR="00711244" w:rsidRPr="000D3F86">
        <w:rPr>
          <w:rFonts w:eastAsia="Calibri"/>
        </w:rPr>
        <w:t xml:space="preserve">]. </w:t>
      </w:r>
      <w:r w:rsidR="003C63BA" w:rsidRPr="003C123C">
        <w:t xml:space="preserve">Reduced COMT activity results in a decreased flux of </w:t>
      </w:r>
      <w:r w:rsidR="003C63BA" w:rsidRPr="003C123C">
        <w:lastRenderedPageBreak/>
        <w:t>lignin precursors toward the synthesis of sinapyl alcohol, thus reducing the S/G lignin monomer ratio and the overall lignin content</w:t>
      </w:r>
      <w:r w:rsidR="003C63BA">
        <w:t>.</w:t>
      </w:r>
      <w:r w:rsidR="003C63BA" w:rsidRPr="003C123C">
        <w:t xml:space="preserve"> These characteristics have been observed in COMT-deficient brown midrib mutants of maize (bm3) and sorghum (bmr12), as well as in transgenic plants with antisense or RNAi-mediated downregulation of COMT</w:t>
      </w:r>
      <w:r w:rsidR="003C63BA">
        <w:t xml:space="preserve"> [</w:t>
      </w:r>
      <w:r w:rsidR="00631FB3">
        <w:t>17</w:t>
      </w:r>
      <w:r w:rsidR="003C63BA">
        <w:t xml:space="preserve">, </w:t>
      </w:r>
      <w:r w:rsidR="00631FB3">
        <w:t>21</w:t>
      </w:r>
      <w:r w:rsidR="003C63BA">
        <w:t xml:space="preserve">, </w:t>
      </w:r>
      <w:r w:rsidR="00631FB3">
        <w:t>23</w:t>
      </w:r>
      <w:r w:rsidR="003C63BA">
        <w:t xml:space="preserve">, </w:t>
      </w:r>
      <w:r w:rsidR="00631FB3">
        <w:t>24</w:t>
      </w:r>
      <w:r w:rsidR="003C63BA">
        <w:t xml:space="preserve">, </w:t>
      </w:r>
      <w:r w:rsidR="00631FB3">
        <w:t>25</w:t>
      </w:r>
      <w:r w:rsidR="003C63BA">
        <w:t xml:space="preserve">]. </w:t>
      </w:r>
      <w:r w:rsidRPr="00512790">
        <w:t>Consistent with these studies, greenhouse-grown T</w:t>
      </w:r>
      <w:r w:rsidRPr="00512790">
        <w:rPr>
          <w:vertAlign w:val="subscript"/>
        </w:rPr>
        <w:t>1</w:t>
      </w:r>
      <w:r w:rsidRPr="00512790">
        <w:t xml:space="preserve"> generation transgenic COMT-RNAi switchgrass </w:t>
      </w:r>
      <w:r w:rsidR="00D97DEF">
        <w:t>exhibited</w:t>
      </w:r>
      <w:r w:rsidRPr="00512790">
        <w:t xml:space="preserve"> a reduction in total lignin content (11.4-13.4%) and the S/G lignin monomer ratio</w:t>
      </w:r>
      <w:r w:rsidRPr="00512790">
        <w:rPr>
          <w:b/>
          <w:bCs/>
          <w:kern w:val="24"/>
        </w:rPr>
        <w:t xml:space="preserve"> </w:t>
      </w:r>
      <w:r w:rsidRPr="00512790">
        <w:rPr>
          <w:bCs/>
          <w:kern w:val="24"/>
        </w:rPr>
        <w:t>(</w:t>
      </w:r>
      <w:r w:rsidRPr="00512790">
        <w:rPr>
          <w:bCs/>
        </w:rPr>
        <w:t>44-46%)</w:t>
      </w:r>
      <w:r w:rsidRPr="00512790">
        <w:t xml:space="preserve">. These plants, without pretreatment, also </w:t>
      </w:r>
      <w:r w:rsidR="00D97DEF">
        <w:t>exhibited</w:t>
      </w:r>
      <w:r w:rsidRPr="00512790">
        <w:t xml:space="preserve"> an increase in the enzymatic release of sugars (29-38%) and </w:t>
      </w:r>
      <w:r w:rsidR="00730010">
        <w:t xml:space="preserve">produced </w:t>
      </w:r>
      <w:r w:rsidRPr="00512790">
        <w:t xml:space="preserve">up to 42% more ethanol yield per unit of biomass than controls. With pretreatment, a 17-22% increase in enzymatic sugar release and 30-38% increase in ethanol yield per unit of biomass compared to controls </w:t>
      </w:r>
      <w:r w:rsidR="00D97DEF">
        <w:t>was</w:t>
      </w:r>
      <w:r w:rsidRPr="00512790">
        <w:t xml:space="preserve"> observed</w:t>
      </w:r>
      <w:r w:rsidR="00D97DEF">
        <w:t xml:space="preserve">. </w:t>
      </w:r>
      <w:r w:rsidR="00D97DEF">
        <w:rPr>
          <w:rFonts w:eastAsia="Calibri"/>
        </w:rPr>
        <w:t>Additionally, the reduced lignin content had no effect on morphology or biomass yield</w:t>
      </w:r>
      <w:r w:rsidR="00D97DEF">
        <w:rPr>
          <w:vertAlign w:val="superscript"/>
        </w:rPr>
        <w:t xml:space="preserve"> </w:t>
      </w:r>
      <w:r w:rsidR="00D97DEF" w:rsidRPr="000D3F86">
        <w:rPr>
          <w:rFonts w:eastAsia="Calibri"/>
        </w:rPr>
        <w:t>[</w:t>
      </w:r>
      <w:r w:rsidR="00631FB3" w:rsidRPr="00631FB3">
        <w:rPr>
          <w:rFonts w:eastAsia="Calibri"/>
        </w:rPr>
        <w:t>18</w:t>
      </w:r>
      <w:r w:rsidR="00D97DEF" w:rsidRPr="000D3F86">
        <w:rPr>
          <w:rFonts w:eastAsia="Calibri"/>
        </w:rPr>
        <w:t>].</w:t>
      </w:r>
    </w:p>
    <w:p w:rsidR="00711244" w:rsidRPr="000D3F86" w:rsidRDefault="00711244" w:rsidP="00097A19">
      <w:pPr>
        <w:spacing w:after="200" w:line="480" w:lineRule="auto"/>
        <w:rPr>
          <w:rFonts w:eastAsia="Calibri"/>
        </w:rPr>
      </w:pPr>
      <w:r w:rsidRPr="000D3F86">
        <w:rPr>
          <w:rFonts w:eastAsia="Calibri"/>
        </w:rPr>
        <w:t xml:space="preserve">While the results of the greenhouse study are promising, no field trials of transgenic switchgrass with modified lignin biosynthesis have been reported to date. </w:t>
      </w:r>
      <w:r w:rsidR="00E64EF7">
        <w:rPr>
          <w:rFonts w:eastAsia="Calibri"/>
        </w:rPr>
        <w:t>Given the important roles of lignin in plant development</w:t>
      </w:r>
      <w:r w:rsidR="00E64EF7" w:rsidRPr="000D3F86">
        <w:rPr>
          <w:rFonts w:eastAsia="Calibri"/>
        </w:rPr>
        <w:t xml:space="preserve"> and stress-related processes</w:t>
      </w:r>
      <w:r w:rsidR="00E64EF7">
        <w:rPr>
          <w:rFonts w:eastAsia="Calibri"/>
        </w:rPr>
        <w:t>,</w:t>
      </w:r>
      <w:r w:rsidR="00E64EF7" w:rsidRPr="000D3F86">
        <w:rPr>
          <w:rFonts w:eastAsia="Calibri"/>
        </w:rPr>
        <w:t xml:space="preserve"> </w:t>
      </w:r>
      <w:r w:rsidR="00E64EF7">
        <w:rPr>
          <w:rFonts w:eastAsia="Calibri"/>
        </w:rPr>
        <w:t>e</w:t>
      </w:r>
      <w:r w:rsidRPr="000D3F86">
        <w:rPr>
          <w:rFonts w:eastAsia="Calibri"/>
        </w:rPr>
        <w:t xml:space="preserve">valuating the performance of </w:t>
      </w:r>
      <w:r w:rsidR="00330DCC">
        <w:rPr>
          <w:rFonts w:eastAsia="Calibri"/>
        </w:rPr>
        <w:t xml:space="preserve">low-lignin </w:t>
      </w:r>
      <w:r w:rsidRPr="000D3F86">
        <w:rPr>
          <w:rFonts w:eastAsia="Calibri"/>
        </w:rPr>
        <w:t xml:space="preserve">plants </w:t>
      </w:r>
      <w:r w:rsidR="00330DCC">
        <w:rPr>
          <w:rFonts w:eastAsia="Calibri"/>
        </w:rPr>
        <w:t xml:space="preserve">in the field </w:t>
      </w:r>
      <w:r w:rsidR="00E64EF7">
        <w:rPr>
          <w:rFonts w:eastAsia="Calibri"/>
        </w:rPr>
        <w:t>is essential.</w:t>
      </w:r>
      <w:r w:rsidRPr="000D3F86">
        <w:rPr>
          <w:rFonts w:eastAsia="Calibri"/>
        </w:rPr>
        <w:t xml:space="preserve"> The synthesis and deposition of lignin is influenced by a range of biotic and abiotic stresses</w:t>
      </w:r>
      <w:r w:rsidR="00E64EF7">
        <w:rPr>
          <w:rFonts w:eastAsia="Calibri"/>
        </w:rPr>
        <w:t>,</w:t>
      </w:r>
      <w:r w:rsidRPr="000D3F86">
        <w:rPr>
          <w:rFonts w:eastAsia="Calibri"/>
        </w:rPr>
        <w:t xml:space="preserve"> including herbivory, pathogen infection, temperature stress, light and oxidative stress, water deficiency, and mechanical injury [</w:t>
      </w:r>
      <w:r w:rsidR="00631FB3" w:rsidRPr="00631FB3">
        <w:rPr>
          <w:rFonts w:eastAsia="Calibri"/>
        </w:rPr>
        <w:t>26</w:t>
      </w:r>
      <w:r w:rsidRPr="000D3F86">
        <w:rPr>
          <w:rFonts w:eastAsia="Calibri"/>
        </w:rPr>
        <w:t xml:space="preserve">]. </w:t>
      </w:r>
      <w:r w:rsidR="00B8037F">
        <w:rPr>
          <w:rFonts w:eastAsia="Calibri"/>
        </w:rPr>
        <w:t>As</w:t>
      </w:r>
      <w:r w:rsidRPr="000D3F86">
        <w:rPr>
          <w:rFonts w:eastAsia="Calibri"/>
        </w:rPr>
        <w:t xml:space="preserve"> lignin-modified plants respond and adapt to stresses in the field, the consequent physiological changes could cause results to vary from those observed in plants grown under greenhouse conditions. </w:t>
      </w:r>
      <w:r w:rsidR="00824B62">
        <w:rPr>
          <w:rFonts w:eastAsia="Calibri"/>
        </w:rPr>
        <w:t>Considering</w:t>
      </w:r>
      <w:r w:rsidRPr="000D3F86">
        <w:rPr>
          <w:rFonts w:eastAsia="Calibri"/>
        </w:rPr>
        <w:t xml:space="preserve"> this potential for variation, field </w:t>
      </w:r>
      <w:r w:rsidR="00512790">
        <w:rPr>
          <w:rFonts w:eastAsia="Calibri"/>
        </w:rPr>
        <w:t>trials are necessary to ensure that</w:t>
      </w:r>
      <w:r w:rsidR="00512790" w:rsidRPr="003C123C">
        <w:t xml:space="preserve"> the altered lignin profiles and associated </w:t>
      </w:r>
      <w:r w:rsidR="00512790" w:rsidRPr="003C123C">
        <w:lastRenderedPageBreak/>
        <w:t xml:space="preserve">gains in saccharification and ethanol yield </w:t>
      </w:r>
      <w:r w:rsidR="00512790">
        <w:t>can</w:t>
      </w:r>
      <w:r w:rsidR="00512790" w:rsidRPr="003C123C">
        <w:t xml:space="preserve"> be </w:t>
      </w:r>
      <w:r w:rsidR="009A1EF5">
        <w:t>maintained</w:t>
      </w:r>
      <w:r w:rsidR="00512790" w:rsidRPr="003C123C">
        <w:t xml:space="preserve"> under field conditions. </w:t>
      </w:r>
      <w:r w:rsidR="00512790" w:rsidRPr="003C123C">
        <w:rPr>
          <w:rFonts w:eastAsia="Calibri"/>
        </w:rPr>
        <w:t xml:space="preserve">Additionally, these improvements </w:t>
      </w:r>
      <w:r w:rsidR="00D97DEF">
        <w:rPr>
          <w:rFonts w:eastAsia="Calibri"/>
        </w:rPr>
        <w:t>need to</w:t>
      </w:r>
      <w:r w:rsidR="00512790" w:rsidRPr="003C123C">
        <w:rPr>
          <w:rFonts w:eastAsia="Calibri"/>
        </w:rPr>
        <w:t xml:space="preserve"> be </w:t>
      </w:r>
      <w:r w:rsidR="00512790">
        <w:rPr>
          <w:rFonts w:eastAsia="Calibri"/>
        </w:rPr>
        <w:t>demonstrated</w:t>
      </w:r>
      <w:r w:rsidR="00512790" w:rsidRPr="003C123C">
        <w:rPr>
          <w:rFonts w:eastAsia="Calibri"/>
        </w:rPr>
        <w:t xml:space="preserve"> in senesced </w:t>
      </w:r>
      <w:r w:rsidR="00F26493">
        <w:rPr>
          <w:rFonts w:eastAsia="Calibri"/>
        </w:rPr>
        <w:t>biomass</w:t>
      </w:r>
      <w:r w:rsidR="00512790" w:rsidRPr="003C123C">
        <w:rPr>
          <w:rFonts w:eastAsia="Calibri"/>
        </w:rPr>
        <w:t xml:space="preserve"> harvested at the end of the growing season, as this is the material that is used in commercial biofuel production</w:t>
      </w:r>
      <w:r w:rsidRPr="000D3F86">
        <w:rPr>
          <w:rFonts w:eastAsia="Calibri"/>
        </w:rPr>
        <w:t xml:space="preserve"> [</w:t>
      </w:r>
      <w:r w:rsidR="00631FB3" w:rsidRPr="00631FB3">
        <w:rPr>
          <w:rFonts w:eastAsia="Calibri"/>
        </w:rPr>
        <w:t>27</w:t>
      </w:r>
      <w:r w:rsidR="00512790">
        <w:rPr>
          <w:rFonts w:eastAsia="Calibri"/>
        </w:rPr>
        <w:t>].</w:t>
      </w:r>
      <w:r w:rsidRPr="000D3F86">
        <w:rPr>
          <w:rFonts w:eastAsia="Calibri"/>
        </w:rPr>
        <w:t xml:space="preserve"> </w:t>
      </w:r>
    </w:p>
    <w:p w:rsidR="00711244" w:rsidRPr="000D3F86" w:rsidRDefault="00711244" w:rsidP="00097A19">
      <w:pPr>
        <w:spacing w:after="200" w:line="480" w:lineRule="auto"/>
        <w:rPr>
          <w:rFonts w:eastAsia="Calibri"/>
        </w:rPr>
      </w:pPr>
      <w:r w:rsidRPr="000D3F86">
        <w:rPr>
          <w:rFonts w:eastAsia="Calibri"/>
        </w:rPr>
        <w:t xml:space="preserve">There is currently limited knowledge available regarding the downstream effects of lignin modification on </w:t>
      </w:r>
      <w:r w:rsidR="00CB01B8">
        <w:rPr>
          <w:rFonts w:eastAsia="Calibri"/>
        </w:rPr>
        <w:t>plant response to biotic stresses in</w:t>
      </w:r>
      <w:r w:rsidRPr="000D3F86">
        <w:rPr>
          <w:rFonts w:eastAsia="Calibri"/>
        </w:rPr>
        <w:t xml:space="preserve"> </w:t>
      </w:r>
      <w:r w:rsidR="00CB01B8">
        <w:rPr>
          <w:rFonts w:eastAsia="Calibri"/>
        </w:rPr>
        <w:t>a field environment</w:t>
      </w:r>
      <w:r w:rsidR="000623D8">
        <w:rPr>
          <w:rFonts w:eastAsia="Calibri"/>
        </w:rPr>
        <w:t>. Therefore</w:t>
      </w:r>
      <w:r w:rsidRPr="000D3F86">
        <w:rPr>
          <w:rFonts w:eastAsia="Calibri"/>
        </w:rPr>
        <w:t xml:space="preserve">, another goal of this study was to assess </w:t>
      </w:r>
      <w:r w:rsidR="002F2C92">
        <w:rPr>
          <w:rFonts w:eastAsia="Calibri"/>
        </w:rPr>
        <w:t>disease</w:t>
      </w:r>
      <w:r w:rsidRPr="000D3F86">
        <w:rPr>
          <w:rFonts w:eastAsia="Calibri"/>
        </w:rPr>
        <w:t xml:space="preserve"> susceptibility </w:t>
      </w:r>
      <w:r w:rsidR="000623D8">
        <w:rPr>
          <w:rFonts w:eastAsia="Calibri"/>
        </w:rPr>
        <w:t>in</w:t>
      </w:r>
      <w:r w:rsidRPr="000D3F86">
        <w:rPr>
          <w:rFonts w:eastAsia="Calibri"/>
        </w:rPr>
        <w:t xml:space="preserve"> </w:t>
      </w:r>
      <w:r w:rsidR="00957266">
        <w:rPr>
          <w:rFonts w:eastAsia="Calibri"/>
        </w:rPr>
        <w:t xml:space="preserve">COMT-downregulated </w:t>
      </w:r>
      <w:r w:rsidR="00D97DEF">
        <w:rPr>
          <w:rFonts w:eastAsia="Calibri"/>
        </w:rPr>
        <w:t xml:space="preserve">switchgrass </w:t>
      </w:r>
      <w:r w:rsidR="00957266">
        <w:rPr>
          <w:rFonts w:eastAsia="Calibri"/>
        </w:rPr>
        <w:t>plants</w:t>
      </w:r>
      <w:r w:rsidR="000623D8">
        <w:rPr>
          <w:rFonts w:eastAsia="Calibri"/>
        </w:rPr>
        <w:t xml:space="preserve">. </w:t>
      </w:r>
      <w:r w:rsidRPr="000D3F86">
        <w:rPr>
          <w:rFonts w:eastAsia="Calibri"/>
        </w:rPr>
        <w:t>Increased production and accumulation of lignin or lignin-related phenolic compounds at specific sites to protect the cell wall from penetration by insects and pathogens is a well-documented defense mechanism in plants [</w:t>
      </w:r>
      <w:r w:rsidR="00631FB3" w:rsidRPr="00631FB3">
        <w:rPr>
          <w:rFonts w:eastAsia="Calibri"/>
        </w:rPr>
        <w:t>28</w:t>
      </w:r>
      <w:r w:rsidRPr="000D3F86">
        <w:rPr>
          <w:rFonts w:eastAsia="Calibri"/>
        </w:rPr>
        <w:t xml:space="preserve">, </w:t>
      </w:r>
      <w:r w:rsidR="00631FB3" w:rsidRPr="00631FB3">
        <w:rPr>
          <w:rFonts w:eastAsia="Calibri"/>
        </w:rPr>
        <w:t>29</w:t>
      </w:r>
      <w:r w:rsidRPr="000D3F86">
        <w:rPr>
          <w:rFonts w:eastAsia="Calibri"/>
        </w:rPr>
        <w:t>], and inhibiting the expression of genes involved in lignin biosynthesis has been shown to negatively interfere with plant stress responses to fungal and bacterial pathogens [</w:t>
      </w:r>
      <w:r w:rsidR="00631FB3" w:rsidRPr="00631FB3">
        <w:rPr>
          <w:rFonts w:eastAsia="Calibri"/>
        </w:rPr>
        <w:t>30</w:t>
      </w:r>
      <w:r w:rsidRPr="000D3F86">
        <w:rPr>
          <w:rFonts w:eastAsia="Calibri"/>
        </w:rPr>
        <w:t xml:space="preserve">, </w:t>
      </w:r>
      <w:r w:rsidR="00631FB3" w:rsidRPr="00631FB3">
        <w:rPr>
          <w:rFonts w:eastAsia="Calibri"/>
        </w:rPr>
        <w:t>31</w:t>
      </w:r>
      <w:r w:rsidRPr="000D3F86">
        <w:rPr>
          <w:rFonts w:eastAsia="Calibri"/>
        </w:rPr>
        <w:t xml:space="preserve">]. Of particular relevance, the fungal pathogen </w:t>
      </w:r>
      <w:r w:rsidRPr="000D3F86">
        <w:rPr>
          <w:rFonts w:eastAsia="Calibri"/>
          <w:i/>
        </w:rPr>
        <w:t>Puccinia emaculata</w:t>
      </w:r>
      <w:r w:rsidRPr="000D3F86">
        <w:rPr>
          <w:rFonts w:eastAsia="Calibri"/>
        </w:rPr>
        <w:t xml:space="preserve"> has been reported to cause rust disease in switchgrass and has recently been observed in agronomic fields in Tennessee [</w:t>
      </w:r>
      <w:r w:rsidR="00631FB3" w:rsidRPr="00631FB3">
        <w:rPr>
          <w:rFonts w:eastAsia="Calibri"/>
        </w:rPr>
        <w:t>32</w:t>
      </w:r>
      <w:r w:rsidRPr="000D3F86">
        <w:rPr>
          <w:rFonts w:eastAsia="Calibri"/>
        </w:rPr>
        <w:t>] and Arkansas [</w:t>
      </w:r>
      <w:r w:rsidR="00631FB3" w:rsidRPr="00631FB3">
        <w:rPr>
          <w:rFonts w:eastAsia="Calibri"/>
        </w:rPr>
        <w:t>33</w:t>
      </w:r>
      <w:r w:rsidRPr="000D3F86">
        <w:rPr>
          <w:rFonts w:eastAsia="Calibri"/>
        </w:rPr>
        <w:t>]. Switchgrass rust epidemics typically start at varying times of the season, but there has been a trend over the past four years for disease outbreaks to occur earlier each year [</w:t>
      </w:r>
      <w:r w:rsidR="00631FB3" w:rsidRPr="00631FB3">
        <w:rPr>
          <w:rFonts w:eastAsia="Calibri"/>
        </w:rPr>
        <w:t>34</w:t>
      </w:r>
      <w:r w:rsidRPr="000D3F86">
        <w:rPr>
          <w:rFonts w:eastAsia="Calibri"/>
        </w:rPr>
        <w:t>]. Resistant switchgrass plants exhibit a hypersensitive response to inhibit the spread of rust infection [</w:t>
      </w:r>
      <w:r w:rsidR="00631FB3" w:rsidRPr="00631FB3">
        <w:rPr>
          <w:rFonts w:eastAsia="Calibri"/>
        </w:rPr>
        <w:t>35</w:t>
      </w:r>
      <w:r w:rsidRPr="000D3F86">
        <w:rPr>
          <w:rFonts w:eastAsia="Calibri"/>
        </w:rPr>
        <w:t xml:space="preserve">], and previous studies have indicated that lignin and its precursors are essential for activating this response in several </w:t>
      </w:r>
      <w:r w:rsidR="0000467A">
        <w:rPr>
          <w:rFonts w:eastAsia="Calibri"/>
        </w:rPr>
        <w:t>plant species</w:t>
      </w:r>
      <w:r w:rsidRPr="000D3F86">
        <w:rPr>
          <w:rFonts w:eastAsia="Calibri"/>
        </w:rPr>
        <w:t xml:space="preserve"> [</w:t>
      </w:r>
      <w:r w:rsidR="00631FB3" w:rsidRPr="00631FB3">
        <w:rPr>
          <w:rFonts w:eastAsia="Calibri"/>
        </w:rPr>
        <w:t>36</w:t>
      </w:r>
      <w:r w:rsidRPr="000D3F86">
        <w:rPr>
          <w:rFonts w:eastAsia="Calibri"/>
        </w:rPr>
        <w:t xml:space="preserve">]. Moerschbacker </w:t>
      </w:r>
      <w:r w:rsidRPr="000D3F86">
        <w:rPr>
          <w:rFonts w:eastAsia="Calibri"/>
          <w:i/>
        </w:rPr>
        <w:t>et al.</w:t>
      </w:r>
      <w:r w:rsidRPr="000D3F86">
        <w:rPr>
          <w:rFonts w:eastAsia="Calibri"/>
        </w:rPr>
        <w:t xml:space="preserve"> [</w:t>
      </w:r>
      <w:r w:rsidR="00631FB3" w:rsidRPr="00631FB3">
        <w:rPr>
          <w:rFonts w:eastAsia="Calibri"/>
        </w:rPr>
        <w:t>37</w:t>
      </w:r>
      <w:r w:rsidRPr="000D3F86">
        <w:rPr>
          <w:rFonts w:eastAsia="Calibri"/>
        </w:rPr>
        <w:t xml:space="preserve">] found that rust-resistant wheat plants treated with lignification inhibitors had increased growth of </w:t>
      </w:r>
      <w:r w:rsidRPr="000D3F86">
        <w:rPr>
          <w:rFonts w:eastAsia="Calibri"/>
          <w:i/>
        </w:rPr>
        <w:t>Puccinia graminis</w:t>
      </w:r>
      <w:r w:rsidRPr="000D3F86">
        <w:rPr>
          <w:rFonts w:eastAsia="Calibri"/>
        </w:rPr>
        <w:t xml:space="preserve"> as a result of the reduced hypersensitive response to infection. Additionally, RNAi-mediated </w:t>
      </w:r>
      <w:r w:rsidRPr="000D3F86">
        <w:rPr>
          <w:rFonts w:eastAsia="Calibri"/>
        </w:rPr>
        <w:lastRenderedPageBreak/>
        <w:t xml:space="preserve">transient gene silencing of COMT in perennial ryegrass led to an increased susceptibility of the plants to </w:t>
      </w:r>
      <w:r w:rsidRPr="000D3F86">
        <w:rPr>
          <w:rFonts w:eastAsia="Calibri"/>
          <w:i/>
        </w:rPr>
        <w:t>Puccinia</w:t>
      </w:r>
      <w:r w:rsidRPr="000D3F86">
        <w:rPr>
          <w:rFonts w:eastAsia="Calibri"/>
        </w:rPr>
        <w:t xml:space="preserve"> rust infections under field conditions compare</w:t>
      </w:r>
      <w:r w:rsidR="00085EBF">
        <w:rPr>
          <w:rFonts w:eastAsia="Calibri"/>
        </w:rPr>
        <w:t>d to control plants [</w:t>
      </w:r>
      <w:r w:rsidR="00631FB3">
        <w:rPr>
          <w:rFonts w:eastAsia="Calibri"/>
        </w:rPr>
        <w:t>38</w:t>
      </w:r>
      <w:r w:rsidRPr="000D3F86">
        <w:rPr>
          <w:rFonts w:eastAsia="Calibri"/>
        </w:rPr>
        <w:t>]. Therefore, downregulating COMT in switchgrass may increase sugar conversion efficiency and ethanol yields, but could simultaneously increase susceptibility to rust and cause stunted growth and biomass yield reductions.</w:t>
      </w:r>
    </w:p>
    <w:p w:rsidR="00D42074" w:rsidRDefault="00D42074" w:rsidP="00097A19">
      <w:pPr>
        <w:spacing w:after="200" w:line="480" w:lineRule="auto"/>
        <w:rPr>
          <w:rFonts w:eastAsia="Calibri"/>
        </w:rPr>
      </w:pPr>
      <w:r w:rsidRPr="00D42074">
        <w:rPr>
          <w:rFonts w:eastAsia="Calibri"/>
        </w:rPr>
        <w:t xml:space="preserve">The objectives of this study were: (i) to verify that RNAi-mediated silencing of COMT was stable in transgenic tissues and that the expected modifications to lignin content and composition were retained in field-grown plants, (ii) to characterize the chemical composition of the cell wall, and to assess whether the improved sugar release efficiency and ethanol yield were maintained in field-grown plants, and (iii) to investigate potential impacts of COMT-downregulation on agronomic performance and </w:t>
      </w:r>
      <w:r w:rsidR="002F2C92">
        <w:rPr>
          <w:rFonts w:eastAsia="Calibri"/>
        </w:rPr>
        <w:t>disease susceptibility</w:t>
      </w:r>
      <w:r w:rsidRPr="00D42074">
        <w:rPr>
          <w:rFonts w:eastAsia="Calibri"/>
        </w:rPr>
        <w:t>.</w:t>
      </w:r>
    </w:p>
    <w:p w:rsidR="00236E6D" w:rsidRDefault="00BA3093" w:rsidP="00097A19">
      <w:pPr>
        <w:pStyle w:val="Heading2"/>
        <w:spacing w:line="480" w:lineRule="auto"/>
      </w:pPr>
      <w:r>
        <w:rPr>
          <w:rFonts w:eastAsia="Calibri"/>
        </w:rPr>
        <w:br w:type="page"/>
      </w:r>
      <w:bookmarkStart w:id="174" w:name="_Toc286145908"/>
      <w:r w:rsidR="003D63DF" w:rsidRPr="00830E7E">
        <w:lastRenderedPageBreak/>
        <w:t>Materials and Methods</w:t>
      </w:r>
      <w:bookmarkEnd w:id="174"/>
    </w:p>
    <w:p w:rsidR="00D65D6B" w:rsidRPr="000D3F86" w:rsidRDefault="00D65D6B" w:rsidP="00097A19">
      <w:pPr>
        <w:pStyle w:val="Heading3"/>
        <w:spacing w:line="480" w:lineRule="auto"/>
        <w:rPr>
          <w:rFonts w:cs="Times New Roman"/>
          <w:szCs w:val="24"/>
        </w:rPr>
      </w:pPr>
      <w:r w:rsidRPr="000D3F86">
        <w:rPr>
          <w:rFonts w:cs="Times New Roman"/>
          <w:szCs w:val="24"/>
        </w:rPr>
        <w:t>Generation of plants used in the experiments</w:t>
      </w:r>
    </w:p>
    <w:p w:rsidR="008C1F64" w:rsidRDefault="008C1F64" w:rsidP="00097A19">
      <w:pPr>
        <w:spacing w:after="200" w:line="480" w:lineRule="auto"/>
        <w:rPr>
          <w:rFonts w:eastAsia="Calibri"/>
        </w:rPr>
      </w:pPr>
      <w:r w:rsidRPr="008C1F64">
        <w:rPr>
          <w:rFonts w:eastAsia="Calibri"/>
        </w:rPr>
        <w:t>Generation of the plants used in this experiment is described in detail by Fu et al. [</w:t>
      </w:r>
      <w:r w:rsidR="00631FB3" w:rsidRPr="00631FB3">
        <w:rPr>
          <w:rFonts w:eastAsia="Calibri"/>
        </w:rPr>
        <w:t>18</w:t>
      </w:r>
      <w:r w:rsidRPr="008C1F64">
        <w:rPr>
          <w:rFonts w:eastAsia="Calibri"/>
        </w:rPr>
        <w:t xml:space="preserve">]. Briefly, transgenic COMT events were generated by propagating seed-derived callus from the switchgrass cv. Alamo and transforming it using </w:t>
      </w:r>
      <w:r w:rsidRPr="008C1F64">
        <w:rPr>
          <w:rFonts w:eastAsia="Calibri"/>
          <w:i/>
        </w:rPr>
        <w:t>Agrobacterium-</w:t>
      </w:r>
      <w:r w:rsidRPr="008C1F64">
        <w:rPr>
          <w:rFonts w:eastAsia="Calibri"/>
        </w:rPr>
        <w:t xml:space="preserve">mediated transformation with an RNAi-hairpin loop construct containing a DNA sequence specifically designed to target suppression of the </w:t>
      </w:r>
      <w:r w:rsidRPr="008C1F64">
        <w:rPr>
          <w:rFonts w:eastAsia="Calibri"/>
          <w:i/>
        </w:rPr>
        <w:t>COMT</w:t>
      </w:r>
      <w:r w:rsidRPr="008C1F64">
        <w:rPr>
          <w:rFonts w:eastAsia="Calibri"/>
        </w:rPr>
        <w:t xml:space="preserve"> gene. The most promising plants were regenerated from tissue culture and selected based on down-regulation of COMT expression level, reduced lignin content and S/G ratios. </w:t>
      </w:r>
      <w:r w:rsidR="001A2F1E">
        <w:rPr>
          <w:rFonts w:eastAsia="Calibri"/>
        </w:rPr>
        <w:t>E</w:t>
      </w:r>
      <w:r w:rsidRPr="008C1F64">
        <w:rPr>
          <w:rFonts w:eastAsia="Calibri"/>
        </w:rPr>
        <w:t xml:space="preserve">ach first generation transgenic (T0) event was outcrossed to wild-type Alamo plants to obtain second generation transgenic (T1) plants containing the transgenic insert and null segregants which were used as non-transgenic controls. Plants were replicated by vegetative propagation from tillers in a greenhouse at the Noble Foundation, Ardmore, OK. Plants were shipped from the Noble Foundation to the University of Tennessee in September of 2010 following USDA-APHIS transportation guidelines, and maintained in D40 Deepots (16.4 cm diameter × 25 cm height) (Stuewe and Sons, Inc., Corvallis, Oregon, USA) in an environmentally controlled growth chamber under standard growing conditions (16/8-h photoperiod, 25-29°C) for 6 months prior to transplantation to the field. </w:t>
      </w:r>
    </w:p>
    <w:p w:rsidR="005C2CC2" w:rsidRPr="008C1F64" w:rsidRDefault="005C2CC2" w:rsidP="00097A19">
      <w:pPr>
        <w:spacing w:after="200" w:line="480" w:lineRule="auto"/>
        <w:rPr>
          <w:rFonts w:eastAsia="Calibri"/>
        </w:rPr>
      </w:pPr>
    </w:p>
    <w:p w:rsidR="005705DB" w:rsidRPr="000D3F86" w:rsidRDefault="005705DB" w:rsidP="005705DB">
      <w:pPr>
        <w:pStyle w:val="Heading3"/>
        <w:spacing w:line="480" w:lineRule="auto"/>
        <w:rPr>
          <w:rFonts w:cs="Times New Roman"/>
          <w:szCs w:val="24"/>
        </w:rPr>
      </w:pPr>
      <w:r w:rsidRPr="000D3F86">
        <w:rPr>
          <w:rFonts w:cs="Times New Roman"/>
          <w:szCs w:val="24"/>
        </w:rPr>
        <w:lastRenderedPageBreak/>
        <w:t>Field design and maintenance</w:t>
      </w:r>
    </w:p>
    <w:p w:rsidR="005705DB" w:rsidRPr="008C1F64" w:rsidRDefault="005705DB" w:rsidP="005705DB">
      <w:pPr>
        <w:spacing w:after="200" w:line="480" w:lineRule="auto"/>
        <w:rPr>
          <w:rFonts w:eastAsia="Calibri"/>
        </w:rPr>
      </w:pPr>
      <w:r w:rsidRPr="008C1F64">
        <w:rPr>
          <w:rFonts w:eastAsia="Calibri"/>
        </w:rPr>
        <w:t xml:space="preserve">Transgenic, non-transgenic control, and border plants at approximately the E2-E4 growth stage (growth stages determined using the criteria described by Moore </w:t>
      </w:r>
      <w:r w:rsidRPr="008C1F64">
        <w:rPr>
          <w:rFonts w:eastAsia="Calibri"/>
          <w:i/>
        </w:rPr>
        <w:t>et al.</w:t>
      </w:r>
      <w:r w:rsidRPr="008C1F64">
        <w:rPr>
          <w:rFonts w:eastAsia="Calibri"/>
        </w:rPr>
        <w:t xml:space="preserve"> [</w:t>
      </w:r>
      <w:r w:rsidR="00631FB3">
        <w:rPr>
          <w:rFonts w:eastAsia="Calibri"/>
        </w:rPr>
        <w:t>38</w:t>
      </w:r>
      <w:r>
        <w:rPr>
          <w:rFonts w:eastAsia="Calibri"/>
        </w:rPr>
        <w:t>]</w:t>
      </w:r>
      <w:r w:rsidRPr="008C1F64">
        <w:rPr>
          <w:rFonts w:eastAsia="Calibri"/>
        </w:rPr>
        <w:t>) were transplanted from Deepots (approximately 2-3 tillers per plant) to the field on May 11, 2011. The field was located at the University of Tennessee Plant Sciences Unit of the East Tennessee Research and Education Center (ETREC). The field layout consisted of a 22.9 m x 25.9 m plot (607.0 m</w:t>
      </w:r>
      <w:r w:rsidRPr="008C1F64">
        <w:rPr>
          <w:rFonts w:eastAsia="Calibri"/>
          <w:vertAlign w:val="superscript"/>
        </w:rPr>
        <w:t>2</w:t>
      </w:r>
      <w:r w:rsidRPr="008C1F64">
        <w:rPr>
          <w:rFonts w:eastAsia="Calibri"/>
        </w:rPr>
        <w:t>) containing two independ</w:t>
      </w:r>
      <w:r>
        <w:rPr>
          <w:rFonts w:eastAsia="Calibri"/>
        </w:rPr>
        <w:t>ent transgenic events (COMT2 and COMT3</w:t>
      </w:r>
      <w:r w:rsidRPr="008C1F64">
        <w:rPr>
          <w:rFonts w:eastAsia="Calibri"/>
        </w:rPr>
        <w:t xml:space="preserve">) and </w:t>
      </w:r>
      <w:r>
        <w:rPr>
          <w:rFonts w:eastAsia="Calibri"/>
        </w:rPr>
        <w:t xml:space="preserve">two </w:t>
      </w:r>
      <w:r w:rsidRPr="008C1F64">
        <w:rPr>
          <w:rFonts w:eastAsia="Calibri"/>
        </w:rPr>
        <w:t xml:space="preserve">corresponding null-segregant control plants for each of these </w:t>
      </w:r>
      <w:r>
        <w:rPr>
          <w:rFonts w:eastAsia="Calibri"/>
        </w:rPr>
        <w:t>events</w:t>
      </w:r>
      <w:r w:rsidRPr="008C1F64">
        <w:rPr>
          <w:rFonts w:eastAsia="Calibri"/>
        </w:rPr>
        <w:t xml:space="preserve">. Ten replicates for each transgenic event and five replicates for each control (30 replicates in total) were distributed throughout the plot in a completely randomized design (Figure </w:t>
      </w:r>
      <w:r>
        <w:rPr>
          <w:rFonts w:eastAsia="Calibri"/>
        </w:rPr>
        <w:t xml:space="preserve">B.1; </w:t>
      </w:r>
      <w:r w:rsidRPr="000D3F86">
        <w:rPr>
          <w:color w:val="000000"/>
        </w:rPr>
        <w:t xml:space="preserve">all figures and tables are located in </w:t>
      </w:r>
      <w:r>
        <w:rPr>
          <w:color w:val="000000"/>
        </w:rPr>
        <w:t>appendix B</w:t>
      </w:r>
      <w:r w:rsidRPr="008C1F64">
        <w:rPr>
          <w:rFonts w:eastAsia="Calibri"/>
        </w:rPr>
        <w:t>). Nine vegetatively-propagated clones were planted within each replicate. Replicates were spaced 152.4 cm apart with 76.2 cm between the nine plants within each single replicate. The investigated plants were surrounded by border plants to reduce any shading effects.</w:t>
      </w:r>
    </w:p>
    <w:p w:rsidR="005705DB" w:rsidRDefault="005705DB" w:rsidP="005705DB">
      <w:pPr>
        <w:spacing w:after="200" w:line="480" w:lineRule="auto"/>
        <w:rPr>
          <w:rFonts w:eastAsia="Calibri"/>
        </w:rPr>
      </w:pPr>
      <w:r w:rsidRPr="008C1F64">
        <w:rPr>
          <w:rFonts w:eastAsia="Calibri"/>
        </w:rPr>
        <w:t xml:space="preserve">The field trial was conducted for two consecutive growing seasons in years 2011 and 2012 (pictures of field: Figure </w:t>
      </w:r>
      <w:r>
        <w:rPr>
          <w:rFonts w:eastAsia="Calibri"/>
        </w:rPr>
        <w:t>B.</w:t>
      </w:r>
      <w:r w:rsidRPr="008C1F64">
        <w:rPr>
          <w:rFonts w:eastAsia="Calibri"/>
        </w:rPr>
        <w:t xml:space="preserve">2). A soil pH and fertility test was performed by the Soil, Plant and Pest Center (University of Tennessee) and no fertilizer application or other modifications were recommended for either year. During the first growing season, newly transplanted plants were irrigated as needed, depending on the amount of rainfall, to ensure successful establishment. Irrigation was not used during the second growing season. No herbicides were applied; all weeds were removed from the field by hand or by tilling for both years. Weeding was required less frequently in the second growing season </w:t>
      </w:r>
      <w:r w:rsidRPr="008C1F64">
        <w:rPr>
          <w:rFonts w:eastAsia="Calibri"/>
        </w:rPr>
        <w:lastRenderedPageBreak/>
        <w:t>after the plants had become more established. Following USDA-APHIS guidelines, plants were monitored daily during the reproductive stage and emerging panicles were removed from all plants (transgenic, non-transgenic control, and border plants) at the R0-R1 growth stage by cutting the plant below the top node containing the inflorescence.</w:t>
      </w:r>
    </w:p>
    <w:p w:rsidR="00D65D6B" w:rsidRPr="000D3F86" w:rsidRDefault="00D65D6B" w:rsidP="00097A19">
      <w:pPr>
        <w:pStyle w:val="Heading3"/>
        <w:spacing w:line="480" w:lineRule="auto"/>
        <w:rPr>
          <w:rFonts w:cs="Times New Roman"/>
          <w:szCs w:val="24"/>
        </w:rPr>
      </w:pPr>
      <w:r w:rsidRPr="000D3F86">
        <w:rPr>
          <w:rFonts w:cs="Times New Roman"/>
          <w:szCs w:val="24"/>
        </w:rPr>
        <w:t>Analysis of COMT transcript levels</w:t>
      </w:r>
    </w:p>
    <w:p w:rsidR="007E628E" w:rsidRPr="002E763E" w:rsidRDefault="007E628E" w:rsidP="00097A19">
      <w:pPr>
        <w:spacing w:line="480" w:lineRule="auto"/>
      </w:pPr>
      <w:r w:rsidRPr="00575757">
        <w:rPr>
          <w:i/>
        </w:rPr>
        <w:t>Sample collection</w:t>
      </w:r>
      <w:r>
        <w:t>. Samples were collected from green plants in August in 2011 and 2012. All samples were collected at the same date and time for each year analyzed. Analyses were performed on four randomly selected replicates for each transgenic event, and four randomly selected replicates for each corresponding control. A single tiller at the R0 growth stage was chosen at random within each selected replicate. The tiller was cut below the top internode, and the top portion (with the top two leaves intact) was immediately flash frozen in liquid nitrogen in the field, transported back to the laboratory on dry ice, and stored at -80°C until quantitative RT-PCR</w:t>
      </w:r>
      <w:r w:rsidRPr="002E763E">
        <w:t xml:space="preserve"> analysis.</w:t>
      </w:r>
    </w:p>
    <w:p w:rsidR="007E628E" w:rsidRPr="002E763E" w:rsidRDefault="007E628E" w:rsidP="00097A19">
      <w:pPr>
        <w:spacing w:line="480" w:lineRule="auto"/>
        <w:jc w:val="both"/>
        <w:rPr>
          <w:bCs/>
          <w:color w:val="000000"/>
        </w:rPr>
      </w:pPr>
    </w:p>
    <w:p w:rsidR="007E628E" w:rsidRDefault="007E628E" w:rsidP="00085EBF">
      <w:pPr>
        <w:spacing w:line="480" w:lineRule="auto"/>
        <w:rPr>
          <w:color w:val="000000"/>
        </w:rPr>
      </w:pPr>
      <w:r w:rsidRPr="00575757">
        <w:rPr>
          <w:i/>
          <w:color w:val="000000"/>
        </w:rPr>
        <w:t>Quantitative RT-PCR analysis</w:t>
      </w:r>
      <w:r>
        <w:rPr>
          <w:color w:val="000000"/>
        </w:rPr>
        <w:t xml:space="preserve">. </w:t>
      </w:r>
      <w:r w:rsidRPr="002E763E">
        <w:rPr>
          <w:color w:val="000000"/>
        </w:rPr>
        <w:t>Total RNA was isolated from leaves using Trizol reagent (Promega, Madison, WI)</w:t>
      </w:r>
      <w:r w:rsidRPr="002E763E">
        <w:rPr>
          <w:bCs/>
          <w:color w:val="000000"/>
        </w:rPr>
        <w:t xml:space="preserve"> </w:t>
      </w:r>
      <w:r w:rsidRPr="002E763E">
        <w:rPr>
          <w:color w:val="000000"/>
        </w:rPr>
        <w:t>and subjected to reverse transcription using an Omniscript</w:t>
      </w:r>
      <w:r w:rsidRPr="002E763E">
        <w:rPr>
          <w:color w:val="000000"/>
          <w:vertAlign w:val="superscript"/>
        </w:rPr>
        <w:t>®</w:t>
      </w:r>
      <w:r w:rsidRPr="002E763E">
        <w:rPr>
          <w:color w:val="000000"/>
        </w:rPr>
        <w:t xml:space="preserve"> Reverse Transcription Kit (Qiagen, Valencia, CA) after incubation with RNase-free RQ1 DNase (Promega, Madison, WI) at 37°C for 10 min. The cDNA from reverse transcription was used for quantitative RT-PCR analysis. </w:t>
      </w:r>
      <w:r w:rsidRPr="002E763E">
        <w:t>The gene-specif</w:t>
      </w:r>
      <w:r w:rsidR="001E6579">
        <w:t xml:space="preserve">ic primers used for the qRT-PCR </w:t>
      </w:r>
      <w:r w:rsidRPr="002E763E">
        <w:t xml:space="preserve">were: </w:t>
      </w:r>
      <w:r w:rsidRPr="002E763E">
        <w:rPr>
          <w:color w:val="000000"/>
        </w:rPr>
        <w:t xml:space="preserve">ACGTCGTCCGGTGCCAGATG (forward) </w:t>
      </w:r>
      <w:proofErr w:type="gramStart"/>
      <w:r w:rsidRPr="002E763E">
        <w:rPr>
          <w:color w:val="000000"/>
        </w:rPr>
        <w:t>and  GTACGCCTTGTTGAACGGGAT</w:t>
      </w:r>
      <w:proofErr w:type="gramEnd"/>
      <w:r w:rsidRPr="002E763E">
        <w:rPr>
          <w:color w:val="000000"/>
        </w:rPr>
        <w:t xml:space="preserve"> (reverse). SYBR Green (Applied Biosystems, Foster City, CA) was used as the reporter dye. The cycle thresholds were determined using the </w:t>
      </w:r>
      <w:r w:rsidRPr="002E763E">
        <w:rPr>
          <w:color w:val="000000"/>
        </w:rPr>
        <w:lastRenderedPageBreak/>
        <w:t xml:space="preserve">ABI PRISM 7900 HT sequence detection system (Applied Biosystems, </w:t>
      </w:r>
      <w:smartTag w:uri="urn:schemas-microsoft-com:office:smarttags" w:element="place">
        <w:smartTag w:uri="urn:schemas-microsoft-com:office:smarttags" w:element="City">
          <w:r w:rsidRPr="002E763E">
            <w:rPr>
              <w:color w:val="000000"/>
            </w:rPr>
            <w:t>Foster City</w:t>
          </w:r>
        </w:smartTag>
        <w:r w:rsidRPr="002E763E">
          <w:rPr>
            <w:color w:val="000000"/>
          </w:rPr>
          <w:t xml:space="preserve">, </w:t>
        </w:r>
        <w:smartTag w:uri="urn:schemas-microsoft-com:office:smarttags" w:element="State">
          <w:r w:rsidRPr="002E763E">
            <w:rPr>
              <w:color w:val="000000"/>
            </w:rPr>
            <w:t>CA</w:t>
          </w:r>
        </w:smartTag>
      </w:smartTag>
      <w:r w:rsidRPr="002E763E">
        <w:rPr>
          <w:color w:val="000000"/>
        </w:rPr>
        <w:t>). The</w:t>
      </w:r>
      <w:r w:rsidR="0000467A">
        <w:rPr>
          <w:color w:val="000000"/>
        </w:rPr>
        <w:t xml:space="preserve"> qRT-PCR</w:t>
      </w:r>
      <w:r w:rsidRPr="002E763E">
        <w:rPr>
          <w:color w:val="000000"/>
        </w:rPr>
        <w:t xml:space="preserve"> data were normalized using the levels of </w:t>
      </w:r>
      <w:r w:rsidRPr="002E763E">
        <w:rPr>
          <w:i/>
          <w:color w:val="000000"/>
        </w:rPr>
        <w:t>ELF1A</w:t>
      </w:r>
      <w:r w:rsidRPr="002E763E">
        <w:rPr>
          <w:color w:val="000000"/>
        </w:rPr>
        <w:t xml:space="preserve"> transcripts. </w:t>
      </w:r>
    </w:p>
    <w:p w:rsidR="00085EBF" w:rsidRPr="002E763E" w:rsidRDefault="00085EBF" w:rsidP="00085EBF">
      <w:pPr>
        <w:spacing w:line="480" w:lineRule="auto"/>
        <w:rPr>
          <w:color w:val="000000"/>
        </w:rPr>
      </w:pPr>
    </w:p>
    <w:p w:rsidR="00D65D6B" w:rsidRPr="000D3F86" w:rsidRDefault="007E628E" w:rsidP="00085EBF">
      <w:pPr>
        <w:pStyle w:val="Heading3"/>
        <w:spacing w:line="480" w:lineRule="auto"/>
        <w:rPr>
          <w:rFonts w:cs="Times New Roman"/>
          <w:szCs w:val="24"/>
        </w:rPr>
      </w:pPr>
      <w:r>
        <w:rPr>
          <w:rFonts w:cs="Times New Roman"/>
          <w:szCs w:val="24"/>
        </w:rPr>
        <w:t>Green and senesced s</w:t>
      </w:r>
      <w:r w:rsidR="00D65D6B" w:rsidRPr="000D3F86">
        <w:rPr>
          <w:rFonts w:cs="Times New Roman"/>
          <w:szCs w:val="24"/>
        </w:rPr>
        <w:t>a</w:t>
      </w:r>
      <w:r w:rsidR="001B7C2F">
        <w:rPr>
          <w:rFonts w:cs="Times New Roman"/>
          <w:szCs w:val="24"/>
        </w:rPr>
        <w:t>m</w:t>
      </w:r>
      <w:r w:rsidR="00D65D6B" w:rsidRPr="000D3F86">
        <w:rPr>
          <w:rFonts w:cs="Times New Roman"/>
          <w:szCs w:val="24"/>
        </w:rPr>
        <w:t>ple collection and preparation</w:t>
      </w:r>
    </w:p>
    <w:p w:rsidR="007E628E" w:rsidRPr="007E628E" w:rsidRDefault="007E628E" w:rsidP="00085EBF">
      <w:pPr>
        <w:spacing w:after="200" w:line="480" w:lineRule="auto"/>
        <w:rPr>
          <w:rFonts w:eastAsia="Calibri"/>
        </w:rPr>
      </w:pPr>
      <w:r w:rsidRPr="007E628E">
        <w:rPr>
          <w:rFonts w:eastAsia="Calibri"/>
          <w:i/>
        </w:rPr>
        <w:t>Green tissue samples</w:t>
      </w:r>
      <w:r w:rsidRPr="007E628E">
        <w:rPr>
          <w:rFonts w:eastAsia="Calibri"/>
        </w:rPr>
        <w:t xml:space="preserve">. Samples were collected mid-growing season from green plants at the same developmental stage. The tallest tiller from each plant was selected and the whole tiller (including stem and leaves) was cut from 10-15 cm above the soil surface. For first year analyses, green tissue samples were collected in October of 2011 from plants at the E6 growth stage.  For second year analyses, green tissue samples were collected in August of 2012 from plants at the R0 growth stage. </w:t>
      </w:r>
    </w:p>
    <w:p w:rsidR="007E628E" w:rsidRPr="007E628E" w:rsidRDefault="007E628E" w:rsidP="00097A19">
      <w:pPr>
        <w:spacing w:after="200" w:line="480" w:lineRule="auto"/>
        <w:rPr>
          <w:rFonts w:eastAsia="Calibri"/>
        </w:rPr>
      </w:pPr>
      <w:r w:rsidRPr="007E628E">
        <w:rPr>
          <w:rFonts w:eastAsia="Calibri"/>
          <w:i/>
        </w:rPr>
        <w:t>Senesced tissue samples</w:t>
      </w:r>
      <w:r w:rsidRPr="007E628E">
        <w:rPr>
          <w:rFonts w:eastAsia="Calibri"/>
        </w:rPr>
        <w:t xml:space="preserve">. Whole aboveground senesced biomass was harvested after the killing frost in December of each year. After determination of dry weight yield, sub-samples were taken from each replicate to be used for the senesced tissue analyses. </w:t>
      </w:r>
    </w:p>
    <w:p w:rsidR="007E628E" w:rsidRDefault="007E628E" w:rsidP="00097A19">
      <w:pPr>
        <w:spacing w:after="200" w:line="480" w:lineRule="auto"/>
        <w:rPr>
          <w:rFonts w:eastAsia="Calibri"/>
        </w:rPr>
      </w:pPr>
      <w:r w:rsidRPr="007E628E">
        <w:rPr>
          <w:rFonts w:eastAsia="Calibri"/>
        </w:rPr>
        <w:t xml:space="preserve">All green and senesced tissue samples were oven-dried at 43°C for 96 h. The dried samples were allowed to equilibrate at ambient conditions prior to size reduction.  The switchgrass samples were milled with a Wiley mill (Thomas Scientific, Model 4, </w:t>
      </w:r>
      <w:proofErr w:type="gramStart"/>
      <w:r w:rsidRPr="007E628E">
        <w:rPr>
          <w:rFonts w:eastAsia="Calibri"/>
        </w:rPr>
        <w:t>Swedesboro</w:t>
      </w:r>
      <w:proofErr w:type="gramEnd"/>
      <w:r w:rsidRPr="007E628E">
        <w:rPr>
          <w:rFonts w:eastAsia="Calibri"/>
        </w:rPr>
        <w:t xml:space="preserve">, NJ) through either a 20-mesh (1.0 mm) or 40-mesh (0.425 mm) screen.  The milling process was monitored closely for generation of heat and subsequent damage to the biomass.  For the senesced tissue samples, the milled material was </w:t>
      </w:r>
      <w:r w:rsidR="002F2C92">
        <w:rPr>
          <w:rFonts w:eastAsia="Calibri"/>
        </w:rPr>
        <w:t>divided</w:t>
      </w:r>
      <w:r w:rsidRPr="007E628E">
        <w:rPr>
          <w:rFonts w:eastAsia="Calibri"/>
        </w:rPr>
        <w:t xml:space="preserve"> into smaller 100 g bags with a PT100  sample divider (Retsch, Hann, Germany) to ensure the </w:t>
      </w:r>
      <w:r w:rsidRPr="007E628E">
        <w:rPr>
          <w:rFonts w:eastAsia="Calibri"/>
        </w:rPr>
        <w:lastRenderedPageBreak/>
        <w:t xml:space="preserve">composition of each fraction analyzed in this study was representative of that of the original material and without loss of material.  </w:t>
      </w:r>
    </w:p>
    <w:p w:rsidR="00387A63" w:rsidRPr="007E628E" w:rsidRDefault="00387A63" w:rsidP="00097A19">
      <w:pPr>
        <w:spacing w:after="200" w:line="480" w:lineRule="auto"/>
        <w:rPr>
          <w:rFonts w:eastAsia="Calibri"/>
        </w:rPr>
      </w:pPr>
    </w:p>
    <w:p w:rsidR="00D65D6B" w:rsidRPr="007E628E" w:rsidRDefault="007E628E" w:rsidP="00097A19">
      <w:pPr>
        <w:pStyle w:val="Heading3"/>
        <w:spacing w:line="480" w:lineRule="auto"/>
        <w:rPr>
          <w:rFonts w:cs="Times New Roman"/>
          <w:szCs w:val="24"/>
        </w:rPr>
      </w:pPr>
      <w:r>
        <w:rPr>
          <w:rFonts w:cs="Times New Roman"/>
          <w:szCs w:val="24"/>
        </w:rPr>
        <w:t>Determination of lignin content and composition by py-MBMS</w:t>
      </w:r>
    </w:p>
    <w:p w:rsidR="007E628E" w:rsidRPr="007E628E" w:rsidRDefault="007E628E" w:rsidP="00097A19">
      <w:pPr>
        <w:spacing w:after="200" w:line="480" w:lineRule="auto"/>
        <w:rPr>
          <w:rFonts w:eastAsia="Calibri"/>
        </w:rPr>
      </w:pPr>
      <w:r w:rsidRPr="007E628E">
        <w:rPr>
          <w:rFonts w:eastAsia="Calibri"/>
        </w:rPr>
        <w:t xml:space="preserve">For determination of lignin content and composition by py-MBMS, all 10 replicates for each transgenic event and all 5 replicates for each corresponding control were assessed. Green and senesced biomass samples were dried, ground to a 20-mesh (1.0 mm) particle size, and shipped to the National Renewable Energy Laboratory (NREL) for determination of lignin content and composition (S/G monomer ratio) by pyrolysis molecular beam mass spectrometry, following the protocol described by  Sykes </w:t>
      </w:r>
      <w:r w:rsidRPr="007E628E">
        <w:rPr>
          <w:rFonts w:eastAsia="Calibri"/>
          <w:i/>
        </w:rPr>
        <w:t>et al.</w:t>
      </w:r>
      <w:r w:rsidRPr="007E628E">
        <w:rPr>
          <w:rFonts w:eastAsia="Calibri"/>
        </w:rPr>
        <w:t xml:space="preserve"> [</w:t>
      </w:r>
      <w:r w:rsidR="00631FB3">
        <w:rPr>
          <w:rFonts w:eastAsia="Calibri"/>
        </w:rPr>
        <w:t>40</w:t>
      </w:r>
      <w:r w:rsidRPr="007E628E">
        <w:rPr>
          <w:rFonts w:eastAsia="Calibri"/>
        </w:rPr>
        <w:t xml:space="preserve">]. Briefly, cell wall residues of the biomass were prepared by </w:t>
      </w:r>
      <w:r w:rsidR="009B22C3">
        <w:rPr>
          <w:rFonts w:eastAsia="Calibri"/>
        </w:rPr>
        <w:t xml:space="preserve">subjecting samples to </w:t>
      </w:r>
      <w:r w:rsidR="002F2C92">
        <w:rPr>
          <w:rFonts w:eastAsia="Calibri"/>
        </w:rPr>
        <w:t xml:space="preserve">a hot water and ethanol extraction to </w:t>
      </w:r>
      <w:r w:rsidRPr="007E628E">
        <w:rPr>
          <w:rFonts w:eastAsia="Calibri"/>
        </w:rPr>
        <w:t>re</w:t>
      </w:r>
      <w:r w:rsidR="002F2C92">
        <w:rPr>
          <w:rFonts w:eastAsia="Calibri"/>
        </w:rPr>
        <w:t>move</w:t>
      </w:r>
      <w:r w:rsidRPr="007E628E">
        <w:rPr>
          <w:rFonts w:eastAsia="Calibri"/>
        </w:rPr>
        <w:t xml:space="preserve"> soluble extractives and starch. Approximately 4 mg of biomass per sample were loaded in </w:t>
      </w:r>
      <w:r w:rsidR="003C63BA" w:rsidRPr="008869A5">
        <w:t>80</w:t>
      </w:r>
      <w:r w:rsidR="002F2C92">
        <w:t xml:space="preserve"> </w:t>
      </w:r>
      <w:r w:rsidR="003C63BA" w:rsidRPr="008869A5">
        <w:t>ul</w:t>
      </w:r>
      <w:r w:rsidR="003C63BA" w:rsidRPr="007E628E">
        <w:rPr>
          <w:rFonts w:eastAsia="Calibri"/>
        </w:rPr>
        <w:t xml:space="preserve"> </w:t>
      </w:r>
      <w:r w:rsidRPr="007E628E">
        <w:rPr>
          <w:rFonts w:eastAsia="Calibri"/>
        </w:rPr>
        <w:t xml:space="preserve">stainless steel cups and pyrolyzed at 500˚C in a quartz reactor using a Frontier py2020 autosampler. The resulting pyrolysis vapors were analyzed using a custom Extrel single quadrapole molecular beam mass spectrometer. The relative intensities of the peaks identified as lignin precursors were summed to estimate total lignin content. S/G lignin monomer ratio was determined by summing the intensity of the syringyl peaks and dividing by the sum of the intensity of the guaiacyl peaks. </w:t>
      </w:r>
    </w:p>
    <w:p w:rsidR="00E41C75" w:rsidRPr="000D3F86" w:rsidRDefault="00E41C75" w:rsidP="00097A19">
      <w:pPr>
        <w:spacing w:line="480" w:lineRule="auto"/>
      </w:pPr>
    </w:p>
    <w:p w:rsidR="00911F3E" w:rsidRPr="00980477" w:rsidRDefault="00911F3E" w:rsidP="00097A19">
      <w:pPr>
        <w:pStyle w:val="Heading3"/>
        <w:spacing w:line="480" w:lineRule="auto"/>
        <w:rPr>
          <w:rFonts w:cs="Times New Roman"/>
          <w:szCs w:val="24"/>
        </w:rPr>
      </w:pPr>
      <w:r w:rsidRPr="00980477">
        <w:rPr>
          <w:rFonts w:cs="Times New Roman"/>
          <w:szCs w:val="24"/>
        </w:rPr>
        <w:lastRenderedPageBreak/>
        <w:t>Cell wall composition by wet chemistry</w:t>
      </w:r>
    </w:p>
    <w:p w:rsidR="00AD750F" w:rsidRPr="000D3F86" w:rsidRDefault="00AD750F" w:rsidP="00632A6A">
      <w:pPr>
        <w:spacing w:line="480" w:lineRule="auto"/>
      </w:pPr>
      <w:r w:rsidRPr="000D3F86">
        <w:t>For cell wall compositional analyses, all 10 replicates for each transgenic event and all 5 replicates for each corresponding control were assessed. Senesced samples were dried and ground to a</w:t>
      </w:r>
      <w:r w:rsidR="00632A6A">
        <w:t xml:space="preserve"> 40-mesh (0.425) particle size. </w:t>
      </w:r>
      <w:r w:rsidRPr="000D3F86">
        <w:t>Sample fractions to be analyzed for chemical composition were first extracted in a Dionex (Sunnyvale, CA) Accelerated Solvent Extractor (ASE) 350, following the method described in National Renewable Energy Laboratory (NREL) Laboratory Analytical Procedure (LAP) “Determination of Extractives in Biomass” to rem</w:t>
      </w:r>
      <w:r w:rsidR="00632A6A">
        <w:t>ove non-structural extractives.</w:t>
      </w:r>
      <w:r w:rsidRPr="000D3F86">
        <w:t xml:space="preserve"> In this process, 5 g of raw biomass containing &lt;10% moisture were added to a 33mL extraction cell and sequentially extracted by pressurized water then ethanol under 1500 psi, 100°C, 5 min heating time, 7 min static</w:t>
      </w:r>
      <w:r w:rsidR="00632A6A">
        <w:t xml:space="preserve"> time, at three static cycles. </w:t>
      </w:r>
      <w:r w:rsidRPr="000D3F86">
        <w:t xml:space="preserve">The material was then allowed to air dry to less than 10% moisture content by weight and a change in weight &lt;1% in 24 h, using a sub-sample that was dried in a 105°C convection oven for a minimum of 4h to </w:t>
      </w:r>
      <w:r w:rsidR="00632A6A">
        <w:t xml:space="preserve">determine the % of total solid. </w:t>
      </w:r>
      <w:r w:rsidRPr="000D3F86">
        <w:t>The extractives-free material was stored in polyethylene bags at ambient temperatures until further analyses were performed.</w:t>
      </w:r>
    </w:p>
    <w:p w:rsidR="00AD750F" w:rsidRPr="000D3F86" w:rsidRDefault="00AD750F" w:rsidP="00097A19">
      <w:pPr>
        <w:spacing w:line="480" w:lineRule="auto"/>
      </w:pPr>
    </w:p>
    <w:p w:rsidR="00CF6531" w:rsidRDefault="00AD750F" w:rsidP="00097A1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sidRPr="000D3F86">
        <w:t>The quantification of cellulo</w:t>
      </w:r>
      <w:r w:rsidR="002F2C92">
        <w:t>se, hemicellulose, lignin, and structural a</w:t>
      </w:r>
      <w:r w:rsidRPr="000D3F86">
        <w:t>sh in the switchgrass was performed using the protocols developed by NREL, “Determination of Structural Carbohydrates and Lignin”, “Determination of Total Solids in Biomass”, and “Determination of Sugars, Byproducts, and Degradation Products in Liquid Fraction Process Sa</w:t>
      </w:r>
      <w:r w:rsidR="00632A6A">
        <w:t>mples”, using three replicates.</w:t>
      </w:r>
      <w:r w:rsidRPr="000D3F86">
        <w:t xml:space="preserve"> The procedure is suitable for samples th</w:t>
      </w:r>
      <w:r w:rsidR="00632A6A">
        <w:t xml:space="preserve">at do not contain extractives. </w:t>
      </w:r>
      <w:r w:rsidRPr="000D3F86">
        <w:t xml:space="preserve">A two stage acid-catalyzed hydrolysis was performed to </w:t>
      </w:r>
      <w:r w:rsidRPr="000D3F86">
        <w:lastRenderedPageBreak/>
        <w:t>fractionate the sample into soluble and insoluble matter, and the two fractions were separated through vacuum filtration and ceramic fine</w:t>
      </w:r>
      <w:r w:rsidR="00632A6A">
        <w:t xml:space="preserve"> porosity filtering crucibles. </w:t>
      </w:r>
      <w:r w:rsidRPr="000D3F86">
        <w:t xml:space="preserve">The insoluble solids fraction consisted of acid-insoluble lignin and ash.  The acid-insoluble lignin was quantified gravimetrically after combustion of the residue at 575°C for 24 </w:t>
      </w:r>
      <w:r w:rsidR="00632A6A">
        <w:t xml:space="preserve">h. </w:t>
      </w:r>
      <w:r w:rsidRPr="000D3F86">
        <w:t xml:space="preserve">The monomeric units of polysaccharides within the soluble liquid fraction were quantified via a Flexar high pressure liquid chromatography (HPLC) (Perkin Elmer, Shelton, CT) with a </w:t>
      </w:r>
      <w:r w:rsidR="00632A6A">
        <w:t>refractive index (RI) detector.</w:t>
      </w:r>
      <w:r w:rsidRPr="000D3F86">
        <w:t xml:space="preserve"> The system was equipped with an Aminex HPX-87P carbohydrate column (300 x 7.8 mmID, 9 µm particle size) and deashing guard column (125-0118) from Bio-Rad (Hercules, CA), using deionized</w:t>
      </w:r>
      <w:r w:rsidR="00632A6A">
        <w:t xml:space="preserve"> water at 0.25 mL/min at 85°C. </w:t>
      </w:r>
      <w:r w:rsidRPr="000D3F86">
        <w:t>Acetyl quantification was performed using a Bio-Rad Aminex HPX-87H organic acid column (300 x 7.8 mm ID, 9 µm particle size) at 55°C, using 0.1</w:t>
      </w:r>
      <w:r w:rsidR="00632A6A">
        <w:t xml:space="preserve">N sulfuric acid at 0.6 mL/min. </w:t>
      </w:r>
      <w:r w:rsidRPr="000D3F86">
        <w:t>The acid-soluble lignin content of the soluble liquid fraction was measured using a two-beam Lambda 650 series spectrometer (Perkin Elmer), and this value combined with the gravimetric value for acid-insoluble lignin prov</w:t>
      </w:r>
      <w:r w:rsidR="00632A6A">
        <w:t xml:space="preserve">ided the total lignin content. </w:t>
      </w:r>
      <w:r w:rsidRPr="000D3F86">
        <w:t>The structural ash content of the extracted sample was determined gravimetrically after combustion of the non-ash materials at 575°C for 24h in a muffle furnace.</w:t>
      </w:r>
      <w:r w:rsidR="00632A6A">
        <w:t xml:space="preserve"> </w:t>
      </w:r>
      <w:r w:rsidRPr="000D3F86">
        <w:t>A total of eight primary components were measured: glucan, xylan, galactan, arabinan, mannan, acety</w:t>
      </w:r>
      <w:r w:rsidR="00E64EF7">
        <w:t>l, structural ash, and lignin.</w:t>
      </w:r>
    </w:p>
    <w:p w:rsidR="00387A63" w:rsidRPr="000D3F86" w:rsidRDefault="00387A63" w:rsidP="00097A1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rsidR="00AD750F" w:rsidRPr="000D3F86" w:rsidRDefault="00AD750F" w:rsidP="00097A19">
      <w:pPr>
        <w:pStyle w:val="Heading3"/>
        <w:spacing w:line="480" w:lineRule="auto"/>
        <w:rPr>
          <w:rFonts w:cs="Times New Roman"/>
          <w:szCs w:val="24"/>
        </w:rPr>
      </w:pPr>
      <w:r w:rsidRPr="000D3F86">
        <w:rPr>
          <w:rFonts w:cs="Times New Roman"/>
          <w:szCs w:val="24"/>
        </w:rPr>
        <w:t>Fourier transform infrared spectroscopy</w:t>
      </w:r>
    </w:p>
    <w:p w:rsidR="00AD750F" w:rsidRDefault="00AD750F" w:rsidP="00097A19">
      <w:pPr>
        <w:spacing w:line="480" w:lineRule="auto"/>
      </w:pPr>
      <w:r w:rsidRPr="000D3F86">
        <w:t xml:space="preserve">FTIR analyses were performed on all 10 replicates for each transgenic event and all 5 replicates for each corresponding control. Senesced samples were dried and ground to a </w:t>
      </w:r>
      <w:r w:rsidRPr="000D3F86">
        <w:lastRenderedPageBreak/>
        <w:t>40-mesh (0.425) particle size. FTIR was utilized to collect spectral data on the raw biomass via a Spectrum One FTI</w:t>
      </w:r>
      <w:r w:rsidR="00632A6A">
        <w:t xml:space="preserve">R spectrometer (Perkin Elmer). </w:t>
      </w:r>
      <w:r w:rsidRPr="000D3F86">
        <w:t>Spectra from 4000 to 600 cm</w:t>
      </w:r>
      <w:r w:rsidRPr="000D3F86">
        <w:rPr>
          <w:vertAlign w:val="superscript"/>
        </w:rPr>
        <w:t>-1</w:t>
      </w:r>
      <w:r w:rsidRPr="000D3F86">
        <w:t xml:space="preserve"> were collected in absorbance mode with 8 scans per spectrum at 1 cm</w:t>
      </w:r>
      <w:r w:rsidRPr="000D3F86">
        <w:rPr>
          <w:vertAlign w:val="superscript"/>
        </w:rPr>
        <w:t>-1</w:t>
      </w:r>
      <w:r w:rsidRPr="000D3F86">
        <w:t xml:space="preserve"> resol</w:t>
      </w:r>
      <w:r w:rsidR="00632A6A">
        <w:t xml:space="preserve">ution using an ATR attachment. </w:t>
      </w:r>
      <w:r w:rsidRPr="000D3F86">
        <w:t>Ten spectra w</w:t>
      </w:r>
      <w:r w:rsidR="00632A6A">
        <w:t xml:space="preserve">ere collected for each sample. </w:t>
      </w:r>
      <w:r w:rsidRPr="000D3F86">
        <w:t>An ATR correction was employed to account for less than optimal sample/crystal contact, and normalization was perfo</w:t>
      </w:r>
      <w:r w:rsidR="00632A6A">
        <w:t xml:space="preserve">rmed in the Spectrum software. </w:t>
      </w:r>
      <w:r w:rsidRPr="000D3F86">
        <w:t>The index of crystallinity of each sample was calculated by the intensity ratio between the bands of 1422 and 899 cm</w:t>
      </w:r>
      <w:r w:rsidRPr="000D3F86">
        <w:rPr>
          <w:vertAlign w:val="superscript"/>
        </w:rPr>
        <w:t>-1</w:t>
      </w:r>
      <w:r w:rsidRPr="000D3F86">
        <w:t>, assigned to CH</w:t>
      </w:r>
      <w:r w:rsidRPr="000D3F86">
        <w:rPr>
          <w:vertAlign w:val="subscript"/>
        </w:rPr>
        <w:t>2</w:t>
      </w:r>
      <w:r w:rsidRPr="000D3F86">
        <w:t xml:space="preserve"> bending mode and deformation of anomeric CH, respectively [</w:t>
      </w:r>
      <w:r w:rsidR="00631FB3">
        <w:t>41</w:t>
      </w:r>
      <w:r w:rsidRPr="000D3F86">
        <w:t>].</w:t>
      </w:r>
    </w:p>
    <w:p w:rsidR="00387A63" w:rsidRPr="000D3F86" w:rsidRDefault="00387A63" w:rsidP="00097A19">
      <w:pPr>
        <w:spacing w:line="480" w:lineRule="auto"/>
      </w:pPr>
    </w:p>
    <w:p w:rsidR="00AD750F" w:rsidRPr="000D3F86" w:rsidRDefault="007E628E" w:rsidP="00097A19">
      <w:pPr>
        <w:pStyle w:val="Heading3"/>
        <w:spacing w:line="480" w:lineRule="auto"/>
        <w:rPr>
          <w:rFonts w:cs="Times New Roman"/>
          <w:szCs w:val="24"/>
        </w:rPr>
      </w:pPr>
      <w:r>
        <w:rPr>
          <w:rFonts w:cs="Times New Roman"/>
          <w:szCs w:val="24"/>
        </w:rPr>
        <w:t>Sugar release</w:t>
      </w:r>
    </w:p>
    <w:p w:rsidR="00AD750F" w:rsidRDefault="00AD750F" w:rsidP="00097A19">
      <w:pPr>
        <w:pStyle w:val="Caption"/>
        <w:spacing w:line="480" w:lineRule="auto"/>
        <w:rPr>
          <w:b w:val="0"/>
          <w:sz w:val="24"/>
          <w:szCs w:val="24"/>
        </w:rPr>
      </w:pPr>
      <w:r w:rsidRPr="000D3F86">
        <w:rPr>
          <w:b w:val="0"/>
          <w:sz w:val="24"/>
          <w:szCs w:val="24"/>
        </w:rPr>
        <w:t xml:space="preserve">For the sugar release assays, all 10 replicates for each transgenic event and all 5 replicates for each corresponding control were assessed. Green and senesced biomass samples were dried, ground to a 20-mesh (1.0 mm) particle size, and shipped to NREL for determination of sugar release efficiency following the high throughput pretreatment and enzymatic hydrolysis protocol described by Studer </w:t>
      </w:r>
      <w:r w:rsidRPr="000D3F86">
        <w:rPr>
          <w:b w:val="0"/>
          <w:i/>
          <w:sz w:val="24"/>
          <w:szCs w:val="24"/>
        </w:rPr>
        <w:t>et al</w:t>
      </w:r>
      <w:r w:rsidRPr="000D3F86">
        <w:rPr>
          <w:b w:val="0"/>
          <w:sz w:val="24"/>
          <w:szCs w:val="24"/>
        </w:rPr>
        <w:t>.  [</w:t>
      </w:r>
      <w:r w:rsidR="00631FB3" w:rsidRPr="00631FB3">
        <w:rPr>
          <w:b w:val="0"/>
          <w:sz w:val="24"/>
          <w:szCs w:val="24"/>
        </w:rPr>
        <w:t>42</w:t>
      </w:r>
      <w:r w:rsidRPr="000D3F86">
        <w:rPr>
          <w:b w:val="0"/>
          <w:sz w:val="24"/>
          <w:szCs w:val="24"/>
        </w:rPr>
        <w:t xml:space="preserve">]. </w:t>
      </w:r>
      <w:proofErr w:type="gramStart"/>
      <w:r w:rsidRPr="000D3F86">
        <w:rPr>
          <w:b w:val="0"/>
          <w:sz w:val="24"/>
          <w:szCs w:val="24"/>
        </w:rPr>
        <w:t>Briefly</w:t>
      </w:r>
      <w:proofErr w:type="gramEnd"/>
      <w:r w:rsidRPr="000D3F86">
        <w:rPr>
          <w:b w:val="0"/>
          <w:sz w:val="24"/>
          <w:szCs w:val="24"/>
        </w:rPr>
        <w:t>, cell wall residues were prepared by removing soluble extractives and starch. Samples were then loaded in triplicate into a custom-made 96 well metal plate. A hot water pretreatment at 0.5-1%w/w solids loading was conducted at 180°C for 17.5</w:t>
      </w:r>
      <w:r w:rsidR="002F2C92">
        <w:rPr>
          <w:b w:val="0"/>
          <w:sz w:val="24"/>
          <w:szCs w:val="24"/>
        </w:rPr>
        <w:t xml:space="preserve"> min</w:t>
      </w:r>
      <w:r w:rsidRPr="000D3F86">
        <w:rPr>
          <w:b w:val="0"/>
          <w:sz w:val="24"/>
          <w:szCs w:val="24"/>
        </w:rPr>
        <w:t xml:space="preserve">, using condensing steam for heating. After pretreatment, enzymatic hydrolysis was performed in the well plate on the pretreated slurry by incubation with Ctec2 enzyme cocktail (70 mg protein/g biomass) at 40°C for 72 h. Following a 72-hour hydrolysis, the amount of glucose and xylose </w:t>
      </w:r>
      <w:r w:rsidRPr="000D3F86">
        <w:rPr>
          <w:b w:val="0"/>
          <w:sz w:val="24"/>
          <w:szCs w:val="24"/>
        </w:rPr>
        <w:lastRenderedPageBreak/>
        <w:t>released to liquid was measured by HPLC. Sugar release data were reported in grams of s</w:t>
      </w:r>
      <w:r w:rsidR="002F2C92">
        <w:rPr>
          <w:b w:val="0"/>
          <w:sz w:val="24"/>
          <w:szCs w:val="24"/>
        </w:rPr>
        <w:t>ugars released per gram of cell wall residues</w:t>
      </w:r>
      <w:r w:rsidRPr="000D3F86">
        <w:rPr>
          <w:b w:val="0"/>
          <w:sz w:val="24"/>
          <w:szCs w:val="24"/>
        </w:rPr>
        <w:t>.</w:t>
      </w:r>
    </w:p>
    <w:p w:rsidR="00387A63" w:rsidRPr="00387A63" w:rsidRDefault="00387A63" w:rsidP="00097A19">
      <w:pPr>
        <w:spacing w:line="480" w:lineRule="auto"/>
      </w:pPr>
    </w:p>
    <w:p w:rsidR="00911F3E" w:rsidRPr="000D3F86" w:rsidRDefault="00CF6531" w:rsidP="00097A19">
      <w:pPr>
        <w:pStyle w:val="Heading3"/>
        <w:spacing w:line="480" w:lineRule="auto"/>
        <w:rPr>
          <w:rFonts w:cs="Times New Roman"/>
          <w:szCs w:val="24"/>
        </w:rPr>
      </w:pPr>
      <w:r w:rsidRPr="000D3F86">
        <w:rPr>
          <w:rFonts w:cs="Times New Roman"/>
          <w:szCs w:val="24"/>
        </w:rPr>
        <w:t>Quantitative saccharification, pretreatment, and fermentation</w:t>
      </w:r>
    </w:p>
    <w:p w:rsidR="00387A63" w:rsidRDefault="00870B1C" w:rsidP="00097A19">
      <w:pPr>
        <w:spacing w:after="200" w:line="480" w:lineRule="auto"/>
        <w:rPr>
          <w:rFonts w:eastAsia="Calibri"/>
        </w:rPr>
      </w:pPr>
      <w:r>
        <w:rPr>
          <w:rFonts w:eastAsia="Calibri"/>
        </w:rPr>
        <w:t>E</w:t>
      </w:r>
      <w:r w:rsidR="00387A63" w:rsidRPr="00387A63">
        <w:rPr>
          <w:rFonts w:eastAsia="Calibri"/>
        </w:rPr>
        <w:t>thanol analyses were performed on senesced samples. Five randomly selected replicates for each transgenic event and all five replicates for each corresponding control were dried and milled to a 20-mesh (1.0 mm) particle size. Prior to fermentation, all samples were pretreated at 180°C for 7.5 min in 0.5% H</w:t>
      </w:r>
      <w:r w:rsidR="00387A63" w:rsidRPr="00387A63">
        <w:rPr>
          <w:rFonts w:eastAsia="Calibri"/>
          <w:vertAlign w:val="subscript"/>
        </w:rPr>
        <w:t>2</w:t>
      </w:r>
      <w:r w:rsidR="00387A63" w:rsidRPr="00387A63">
        <w:rPr>
          <w:rFonts w:eastAsia="Calibri"/>
        </w:rPr>
        <w:t>SO</w:t>
      </w:r>
      <w:r w:rsidR="00387A63" w:rsidRPr="00387A63">
        <w:rPr>
          <w:rFonts w:eastAsia="Calibri"/>
          <w:vertAlign w:val="subscript"/>
        </w:rPr>
        <w:t xml:space="preserve">4 </w:t>
      </w:r>
      <w:r w:rsidR="00387A63" w:rsidRPr="00387A63">
        <w:rPr>
          <w:rFonts w:eastAsia="Calibri"/>
        </w:rPr>
        <w:t xml:space="preserve">following the procedure described by Fu </w:t>
      </w:r>
      <w:r w:rsidR="00387A63" w:rsidRPr="00387A63">
        <w:rPr>
          <w:rFonts w:eastAsia="Calibri"/>
          <w:i/>
        </w:rPr>
        <w:t>et al</w:t>
      </w:r>
      <w:r w:rsidR="00387A63" w:rsidRPr="00387A63">
        <w:rPr>
          <w:rFonts w:eastAsia="Calibri"/>
        </w:rPr>
        <w:t>. [</w:t>
      </w:r>
      <w:r w:rsidR="00631FB3" w:rsidRPr="00631FB3">
        <w:rPr>
          <w:rFonts w:eastAsia="Calibri"/>
        </w:rPr>
        <w:t>18</w:t>
      </w:r>
      <w:r w:rsidR="00387A63" w:rsidRPr="00387A63">
        <w:rPr>
          <w:rFonts w:eastAsia="Calibri"/>
        </w:rPr>
        <w:t>]. Briefly, dry milled biomass was soaked in a nine-fold excess of 0.5% H</w:t>
      </w:r>
      <w:r w:rsidR="00387A63" w:rsidRPr="00387A63">
        <w:rPr>
          <w:rFonts w:eastAsia="Calibri"/>
          <w:vertAlign w:val="subscript"/>
        </w:rPr>
        <w:t>2</w:t>
      </w:r>
      <w:r w:rsidR="00387A63" w:rsidRPr="00387A63">
        <w:rPr>
          <w:rFonts w:eastAsia="Calibri"/>
        </w:rPr>
        <w:t>SO</w:t>
      </w:r>
      <w:r w:rsidR="00387A63" w:rsidRPr="00387A63">
        <w:rPr>
          <w:rFonts w:eastAsia="Calibri"/>
          <w:vertAlign w:val="subscript"/>
        </w:rPr>
        <w:t>4</w:t>
      </w:r>
      <w:r w:rsidR="00387A63" w:rsidRPr="00387A63">
        <w:rPr>
          <w:rFonts w:eastAsia="Calibri"/>
        </w:rPr>
        <w:t xml:space="preserve"> for 18 h and centrifuged at 8000 rpm, 30 min, and 4°C in a Sorvall RC-5B (DuPont instruments) centrifuge. After removing the supernatant, the biomass was loaded at approximately 2.5 g dry biomass per cylinder into 10 cm x 1 cm hastelloy steel tubular pretreatment reactors (Industrial Alloys Plus, Inc.). Cylinders were placed in boiling water for 2 min before heating to 180°C in a sand bath</w:t>
      </w:r>
      <w:r w:rsidR="00387A63" w:rsidRPr="00387A63">
        <w:rPr>
          <w:rFonts w:ascii="Calibri" w:eastAsia="Calibri" w:hAnsi="Calibri"/>
        </w:rPr>
        <w:t xml:space="preserve"> </w:t>
      </w:r>
      <w:r w:rsidR="00387A63" w:rsidRPr="00387A63">
        <w:rPr>
          <w:rFonts w:eastAsia="Calibri"/>
        </w:rPr>
        <w:t xml:space="preserve">(Omega FSB1: Techne Co.) for 7.5 min. Directly after removing from the sand bath, biomass was cooled by placing cylinders in an ice bath for 2 min. Pretreated biomass was washed with 100 mL Milli-Q water per gram dry biomass and stored in -20°C until fermentation. Following the protocol described in ASTM E 1758–01 (ASTM 2003) and HPLC method (NREL/TP 51–42623), quantitative saccharification was performed on the pretreated biomass in triplicate to obtain the cellulose contents. Simultaneous saccharification and fermentation was conducted in triplicate for each replicate following the procedure described by Fu </w:t>
      </w:r>
      <w:r w:rsidR="00387A63" w:rsidRPr="00387A63">
        <w:rPr>
          <w:rFonts w:eastAsia="Calibri"/>
          <w:i/>
        </w:rPr>
        <w:t>et al</w:t>
      </w:r>
      <w:r w:rsidR="00387A63" w:rsidRPr="00387A63">
        <w:rPr>
          <w:rFonts w:eastAsia="Calibri"/>
        </w:rPr>
        <w:t>. [</w:t>
      </w:r>
      <w:r w:rsidR="00631FB3" w:rsidRPr="00631FB3">
        <w:rPr>
          <w:rFonts w:eastAsia="Calibri"/>
        </w:rPr>
        <w:t>18</w:t>
      </w:r>
      <w:r w:rsidR="00387A63" w:rsidRPr="00387A63">
        <w:rPr>
          <w:rFonts w:eastAsia="Calibri"/>
        </w:rPr>
        <w:t xml:space="preserve">], using </w:t>
      </w:r>
      <w:r w:rsidR="00387A63" w:rsidRPr="00387A63">
        <w:rPr>
          <w:rFonts w:eastAsia="Calibri"/>
          <w:i/>
        </w:rPr>
        <w:t>Saccharomyces cerevisiae</w:t>
      </w:r>
      <w:r w:rsidR="00387A63" w:rsidRPr="00387A63">
        <w:rPr>
          <w:rFonts w:eastAsia="Calibri"/>
        </w:rPr>
        <w:t xml:space="preserve"> D5A (ATCC200062) and enzymes Spezyme CP </w:t>
      </w:r>
      <w:r w:rsidR="00387A63" w:rsidRPr="00387A63">
        <w:rPr>
          <w:rFonts w:eastAsia="Calibri"/>
        </w:rPr>
        <w:lastRenderedPageBreak/>
        <w:t xml:space="preserve">and Accellerase BG provided by Genencor International. The procedures used to monitor weight loss, and a description of the bottles used for the fermentation, have been previously described by Mielenz </w:t>
      </w:r>
      <w:r w:rsidR="00387A63" w:rsidRPr="00387A63">
        <w:rPr>
          <w:rFonts w:eastAsia="Calibri"/>
          <w:i/>
        </w:rPr>
        <w:t>et al</w:t>
      </w:r>
      <w:r w:rsidR="00387A63" w:rsidRPr="00387A63">
        <w:rPr>
          <w:rFonts w:eastAsia="Calibri"/>
        </w:rPr>
        <w:t>. [</w:t>
      </w:r>
      <w:r w:rsidR="00631FB3" w:rsidRPr="00631FB3">
        <w:rPr>
          <w:rFonts w:eastAsia="Calibri"/>
        </w:rPr>
        <w:t>43</w:t>
      </w:r>
      <w:r w:rsidR="00387A63" w:rsidRPr="00387A63">
        <w:rPr>
          <w:rFonts w:eastAsia="Calibri"/>
        </w:rPr>
        <w:t xml:space="preserve">]. </w:t>
      </w:r>
    </w:p>
    <w:p w:rsidR="00387A63" w:rsidRPr="00387A63" w:rsidRDefault="00387A63" w:rsidP="00097A19">
      <w:pPr>
        <w:spacing w:after="200" w:line="480" w:lineRule="auto"/>
        <w:rPr>
          <w:rFonts w:eastAsia="Calibri"/>
        </w:rPr>
      </w:pPr>
    </w:p>
    <w:p w:rsidR="00911F3E" w:rsidRPr="000D3F86" w:rsidRDefault="00CF6531" w:rsidP="00097A19">
      <w:pPr>
        <w:pStyle w:val="Heading3"/>
        <w:spacing w:line="480" w:lineRule="auto"/>
        <w:rPr>
          <w:rFonts w:cs="Times New Roman"/>
          <w:szCs w:val="24"/>
        </w:rPr>
      </w:pPr>
      <w:r w:rsidRPr="000D3F86">
        <w:rPr>
          <w:rFonts w:cs="Times New Roman"/>
          <w:szCs w:val="24"/>
        </w:rPr>
        <w:t>Agronomic performance</w:t>
      </w:r>
    </w:p>
    <w:p w:rsidR="00387A63" w:rsidRDefault="00387A63" w:rsidP="00097A19">
      <w:pPr>
        <w:spacing w:line="480" w:lineRule="auto"/>
      </w:pPr>
      <w:r>
        <w:t xml:space="preserve">Since plants were at varying growth stages after being transplanted to the field in May 2011, all above-ground biomass was cut back in August to synchronize growth and allow for uniform comparisons. After a sufficient period of re-growth, tiller height and plant width were measured in October of 2011. Tiller height was measured by selecting the tallest tiller (approximately E6 growth stage) from each individual plant and measuring from the base of the soil to the tip of the top leaf. Plant diameter was determined by measuring around the mid-section of each whole plant. In the second year, new shoots began to emerge in March of 2012. Tiller height and plant width were measured in August of 2012, following the same criteria described above for first year measurements, on plants at the R0 growth stage. </w:t>
      </w:r>
    </w:p>
    <w:p w:rsidR="009A1EF5" w:rsidRDefault="009A1EF5" w:rsidP="00097A19">
      <w:pPr>
        <w:spacing w:line="480" w:lineRule="auto"/>
      </w:pPr>
    </w:p>
    <w:p w:rsidR="00387A63" w:rsidRDefault="00387A63" w:rsidP="00097A19">
      <w:pPr>
        <w:spacing w:line="480" w:lineRule="auto"/>
      </w:pPr>
      <w:r>
        <w:t>For both growing season, plants remained green until mid-to-late November, after which they began to senesce. The first frost occurred on November 1</w:t>
      </w:r>
      <w:r w:rsidRPr="007875AC">
        <w:rPr>
          <w:vertAlign w:val="superscript"/>
        </w:rPr>
        <w:t>st</w:t>
      </w:r>
      <w:r>
        <w:t xml:space="preserve"> for both 2011 and 2012. Tiller number and dry weight biomass yield were determined after plants had completely senesced in December. All aboveground senesced biomass was harvested </w:t>
      </w:r>
      <w:r>
        <w:rPr>
          <w:noProof/>
        </w:rPr>
        <w:t xml:space="preserve">and transported back to the laboratory following USDA-APHIS transportation guidelines. The biomass </w:t>
      </w:r>
      <w:r>
        <w:lastRenderedPageBreak/>
        <w:t xml:space="preserve">was oven-dried at 43°C for 96 h. After equilibration at ambient temperature, aboveground dry biomass was weighed to determine total dry weight biomass yield. </w:t>
      </w:r>
    </w:p>
    <w:p w:rsidR="00911F3E" w:rsidRPr="000D3F86" w:rsidRDefault="00911F3E" w:rsidP="00097A1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rsidR="00CF6531" w:rsidRPr="000D3F86" w:rsidRDefault="00CF6531" w:rsidP="00097A19">
      <w:pPr>
        <w:pStyle w:val="Heading3"/>
        <w:spacing w:line="480" w:lineRule="auto"/>
        <w:rPr>
          <w:rFonts w:cs="Times New Roman"/>
          <w:szCs w:val="24"/>
        </w:rPr>
      </w:pPr>
      <w:r w:rsidRPr="000D3F86">
        <w:rPr>
          <w:rFonts w:cs="Times New Roman"/>
          <w:szCs w:val="24"/>
        </w:rPr>
        <w:t>Rust evaluation</w:t>
      </w:r>
    </w:p>
    <w:p w:rsidR="00CF6531" w:rsidRDefault="00CF6531" w:rsidP="00097A1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sidRPr="000D3F86">
        <w:t xml:space="preserve">Plants were evaluated for rust susceptibility once per week during the second growing season, from June 22, 2012 through September 20, 2012. Three plants within each replicate were selected at random, and a single tiller from each plant was rated for disease each week. All live leaves on the selected tillers were rated using a numerical system to </w:t>
      </w:r>
      <w:r w:rsidR="002F2C92">
        <w:t xml:space="preserve">visually </w:t>
      </w:r>
      <w:r w:rsidRPr="000D3F86">
        <w:t xml:space="preserve">estimate the percentage of the top of the leaf surface covered by rust uredia, where 0=0%, 1≤5%, 2≤10%, 3≤25%, 4≤50%, 5&gt;50%.  To evaluate rust susceptibility differences at each individual time point, a </w:t>
      </w:r>
      <w:r w:rsidRPr="00387A63">
        <w:rPr>
          <w:i/>
        </w:rPr>
        <w:t>t</w:t>
      </w:r>
      <w:r w:rsidRPr="000D3F86">
        <w:t xml:space="preserve">-test was used to compare each transgenic event to its corresponding control. </w:t>
      </w:r>
    </w:p>
    <w:p w:rsidR="00387A63" w:rsidRPr="000D3F86" w:rsidRDefault="00387A63" w:rsidP="00097A1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rsidR="00CF6531" w:rsidRDefault="00CF6531" w:rsidP="00097A19">
      <w:pPr>
        <w:pStyle w:val="Heading3"/>
        <w:spacing w:line="480" w:lineRule="auto"/>
      </w:pPr>
      <w:r w:rsidRPr="000D3F86">
        <w:t>Statistical analyses</w:t>
      </w:r>
    </w:p>
    <w:p w:rsidR="00BA3093" w:rsidRDefault="00387A63" w:rsidP="00097A19">
      <w:pPr>
        <w:spacing w:after="200" w:line="480" w:lineRule="auto"/>
        <w:rPr>
          <w:rFonts w:eastAsia="Calibri"/>
        </w:rPr>
      </w:pPr>
      <w:r w:rsidRPr="00387A63">
        <w:rPr>
          <w:rFonts w:eastAsia="Calibri"/>
        </w:rPr>
        <w:t xml:space="preserve">For each independent event, the transgenic group was compared to its corresponding control group using the PROC TTEST procedure in SAS version 9.3 (SAS Institute Inc., Cary, NC). The data for each analysis fit the assumptions of a normal distribution (Shapiro-Wilk test &gt;0.05), and variances were equal (Levene test &gt;0.05). Differences were considered significant where p-values (based on a two-sided </w:t>
      </w:r>
      <w:r w:rsidRPr="00387A63">
        <w:rPr>
          <w:rFonts w:eastAsia="Calibri"/>
          <w:i/>
        </w:rPr>
        <w:t>t</w:t>
      </w:r>
      <w:r w:rsidRPr="00387A63">
        <w:rPr>
          <w:rFonts w:eastAsia="Calibri"/>
        </w:rPr>
        <w:t xml:space="preserve">-test) </w:t>
      </w:r>
      <w:r>
        <w:rPr>
          <w:rFonts w:eastAsia="Calibri"/>
        </w:rPr>
        <w:t>were less than 0.05.</w:t>
      </w:r>
    </w:p>
    <w:p w:rsidR="00236E6D" w:rsidRDefault="00BA3093" w:rsidP="00097A19">
      <w:pPr>
        <w:pStyle w:val="Heading2"/>
        <w:spacing w:line="480" w:lineRule="auto"/>
      </w:pPr>
      <w:r>
        <w:rPr>
          <w:rFonts w:eastAsia="Calibri"/>
        </w:rPr>
        <w:br w:type="page"/>
      </w:r>
      <w:r w:rsidR="000F6FE1" w:rsidRPr="00830E7E">
        <w:lastRenderedPageBreak/>
        <w:t>Results</w:t>
      </w:r>
    </w:p>
    <w:p w:rsidR="00D65D6B" w:rsidRPr="000D3F86" w:rsidRDefault="00D65D6B" w:rsidP="00097A19">
      <w:pPr>
        <w:pStyle w:val="Heading3"/>
        <w:spacing w:line="480" w:lineRule="auto"/>
        <w:rPr>
          <w:rFonts w:cs="Times New Roman"/>
          <w:szCs w:val="24"/>
        </w:rPr>
      </w:pPr>
      <w:r w:rsidRPr="000D3F86">
        <w:rPr>
          <w:rFonts w:cs="Times New Roman"/>
          <w:szCs w:val="24"/>
        </w:rPr>
        <w:t>Analysis of COMT transcript levels</w:t>
      </w:r>
    </w:p>
    <w:p w:rsidR="00D3035A" w:rsidRDefault="00D3035A" w:rsidP="00097A19">
      <w:pPr>
        <w:tabs>
          <w:tab w:val="left" w:pos="3932"/>
        </w:tabs>
        <w:spacing w:line="480" w:lineRule="auto"/>
        <w:jc w:val="both"/>
        <w:rPr>
          <w:color w:val="000000"/>
        </w:rPr>
      </w:pPr>
      <w:r w:rsidRPr="000D3F86">
        <w:rPr>
          <w:color w:val="000000"/>
        </w:rPr>
        <w:t xml:space="preserve">COMT transcript abundance for transgenic T1-generation field-grown events, COMT2 and COMT3, were analyzed by qRT-PCR. COMT transcript levels were </w:t>
      </w:r>
      <w:r w:rsidR="00B64324" w:rsidRPr="000D3F86">
        <w:rPr>
          <w:color w:val="000000"/>
        </w:rPr>
        <w:t>reduced</w:t>
      </w:r>
      <w:r w:rsidR="00D65D6B" w:rsidRPr="000D3F86">
        <w:rPr>
          <w:color w:val="000000"/>
        </w:rPr>
        <w:t xml:space="preserve"> by up to 97%</w:t>
      </w:r>
      <w:r w:rsidR="00B64324" w:rsidRPr="000D3F86">
        <w:rPr>
          <w:color w:val="000000"/>
        </w:rPr>
        <w:t xml:space="preserve"> </w:t>
      </w:r>
      <w:r w:rsidRPr="000D3F86">
        <w:rPr>
          <w:color w:val="000000"/>
        </w:rPr>
        <w:t xml:space="preserve">in both </w:t>
      </w:r>
      <w:r w:rsidR="00B64324" w:rsidRPr="000D3F86">
        <w:rPr>
          <w:color w:val="000000"/>
        </w:rPr>
        <w:t>transgenic events for 2011 and 2012</w:t>
      </w:r>
      <w:r w:rsidR="001A2F1E">
        <w:rPr>
          <w:color w:val="000000"/>
        </w:rPr>
        <w:t xml:space="preserve"> (Figure B.3</w:t>
      </w:r>
      <w:r w:rsidR="00F928BE" w:rsidRPr="000D3F86">
        <w:rPr>
          <w:color w:val="000000"/>
        </w:rPr>
        <w:t>)</w:t>
      </w:r>
      <w:r w:rsidR="00B64324" w:rsidRPr="000D3F86">
        <w:rPr>
          <w:color w:val="000000"/>
        </w:rPr>
        <w:t>.</w:t>
      </w:r>
    </w:p>
    <w:p w:rsidR="00387A63" w:rsidRPr="000D3F86" w:rsidRDefault="00387A63" w:rsidP="00097A19">
      <w:pPr>
        <w:tabs>
          <w:tab w:val="left" w:pos="3932"/>
        </w:tabs>
        <w:spacing w:line="480" w:lineRule="auto"/>
        <w:jc w:val="both"/>
        <w:rPr>
          <w:color w:val="000000"/>
        </w:rPr>
      </w:pPr>
    </w:p>
    <w:p w:rsidR="00D65D6B" w:rsidRPr="000D3F86" w:rsidRDefault="00D65D6B" w:rsidP="00512790">
      <w:pPr>
        <w:pStyle w:val="Heading3"/>
        <w:spacing w:line="480" w:lineRule="auto"/>
        <w:rPr>
          <w:rFonts w:cs="Times New Roman"/>
          <w:szCs w:val="24"/>
        </w:rPr>
      </w:pPr>
      <w:r w:rsidRPr="000D3F86">
        <w:rPr>
          <w:rFonts w:cs="Times New Roman"/>
          <w:szCs w:val="24"/>
        </w:rPr>
        <w:t>Lignin content and composition</w:t>
      </w:r>
    </w:p>
    <w:p w:rsidR="00B64324" w:rsidRPr="000D3F86" w:rsidRDefault="00536C46" w:rsidP="00512790">
      <w:pPr>
        <w:tabs>
          <w:tab w:val="left" w:pos="3932"/>
        </w:tabs>
        <w:spacing w:line="480" w:lineRule="auto"/>
        <w:rPr>
          <w:color w:val="000000"/>
        </w:rPr>
      </w:pPr>
      <w:r>
        <w:rPr>
          <w:color w:val="000000"/>
        </w:rPr>
        <w:t>Pyrolysis</w:t>
      </w:r>
      <w:r w:rsidR="00512790" w:rsidRPr="000D3F86">
        <w:rPr>
          <w:color w:val="000000"/>
        </w:rPr>
        <w:t xml:space="preserve"> molecular beam mass spectrometry (py-MBMS) of cell wall residues were used to estimate the total lignin content and the S/G lignin monomer ratio for whole tillers at the same developmental stage harvested mid-growing season (green tissue), and whole above-ground biomass harvested at </w:t>
      </w:r>
      <w:r w:rsidR="00512790" w:rsidRPr="00512790">
        <w:t>the end of the growing season (senesced tissue) each year. COMT-downregulation resulted in 10.1-14.5% less lignin in biomass harvested at the green-tissue stage for both years</w:t>
      </w:r>
      <w:r w:rsidR="00B64324" w:rsidRPr="00512790">
        <w:t xml:space="preserve"> (Figure </w:t>
      </w:r>
      <w:r w:rsidR="001A2F1E" w:rsidRPr="00512790">
        <w:t>B.4</w:t>
      </w:r>
      <w:r w:rsidR="00B64324" w:rsidRPr="00512790">
        <w:t>a</w:t>
      </w:r>
      <w:r w:rsidR="00512790" w:rsidRPr="00512790">
        <w:t>, c</w:t>
      </w:r>
      <w:r w:rsidR="00B64324" w:rsidRPr="00512790">
        <w:t xml:space="preserve">). </w:t>
      </w:r>
      <w:r w:rsidR="00512790" w:rsidRPr="00512790">
        <w:t xml:space="preserve">The green-tissue S/G ratio was 22-27% less than that of controls in year one, and 33-36% less in year two (Figure B.4b, d). For biomass harvested after senescence, an 8.4-10.6% decrease in lignin content was observed in transgenic </w:t>
      </w:r>
      <w:r w:rsidR="006C5035">
        <w:t>events</w:t>
      </w:r>
      <w:r w:rsidR="00512790" w:rsidRPr="00512790">
        <w:t xml:space="preserve"> relative to their controls in year one (Figure B.5a), accompanied by an 19-20% reduction in the S/G ratio (Figure B.5b). In year two, senesced tissue from transgenic </w:t>
      </w:r>
      <w:r w:rsidR="006C5035">
        <w:t>event</w:t>
      </w:r>
      <w:r w:rsidR="00512790" w:rsidRPr="00512790">
        <w:t xml:space="preserve">s had an 11.6-12.0% decrease in lignin content and a 35-39% reduction in the S/G ratio compared to the controls </w:t>
      </w:r>
      <w:r w:rsidR="00B64324" w:rsidRPr="00512790">
        <w:t xml:space="preserve">(Figure </w:t>
      </w:r>
      <w:r w:rsidR="001A2F1E" w:rsidRPr="00512790">
        <w:t>B.</w:t>
      </w:r>
      <w:r w:rsidR="00EA03CD" w:rsidRPr="00512790">
        <w:t>5</w:t>
      </w:r>
      <w:r w:rsidR="00B64324" w:rsidRPr="00512790">
        <w:t xml:space="preserve">c, </w:t>
      </w:r>
      <w:r w:rsidR="00B64324" w:rsidRPr="000D3F86">
        <w:rPr>
          <w:color w:val="000000"/>
        </w:rPr>
        <w:t>d).</w:t>
      </w:r>
    </w:p>
    <w:p w:rsidR="00B64324" w:rsidRPr="000D3F86" w:rsidRDefault="00B64324" w:rsidP="00097A19">
      <w:pPr>
        <w:tabs>
          <w:tab w:val="left" w:pos="3932"/>
        </w:tabs>
        <w:spacing w:line="480" w:lineRule="auto"/>
        <w:jc w:val="both"/>
        <w:rPr>
          <w:color w:val="000000"/>
        </w:rPr>
      </w:pPr>
    </w:p>
    <w:p w:rsidR="00D65D6B" w:rsidRPr="000D3F86" w:rsidRDefault="00D65D6B" w:rsidP="00097A19">
      <w:pPr>
        <w:pStyle w:val="Heading3"/>
        <w:spacing w:line="480" w:lineRule="auto"/>
        <w:rPr>
          <w:rFonts w:cs="Times New Roman"/>
          <w:szCs w:val="24"/>
        </w:rPr>
      </w:pPr>
      <w:r w:rsidRPr="000D3F86">
        <w:rPr>
          <w:rFonts w:cs="Times New Roman"/>
          <w:szCs w:val="24"/>
        </w:rPr>
        <w:lastRenderedPageBreak/>
        <w:t xml:space="preserve">Cell wall composition and index of </w:t>
      </w:r>
      <w:r w:rsidR="00EA4CCF">
        <w:rPr>
          <w:rFonts w:cs="Times New Roman"/>
          <w:szCs w:val="24"/>
        </w:rPr>
        <w:t xml:space="preserve">cellulose </w:t>
      </w:r>
      <w:r w:rsidRPr="000D3F86">
        <w:rPr>
          <w:rFonts w:cs="Times New Roman"/>
          <w:szCs w:val="24"/>
        </w:rPr>
        <w:t>crystallinity</w:t>
      </w:r>
    </w:p>
    <w:p w:rsidR="0057388D" w:rsidRDefault="00B5077B" w:rsidP="00B5077B">
      <w:pPr>
        <w:tabs>
          <w:tab w:val="left" w:pos="3932"/>
        </w:tabs>
        <w:spacing w:line="480" w:lineRule="auto"/>
        <w:rPr>
          <w:color w:val="000000"/>
        </w:rPr>
      </w:pPr>
      <w:r w:rsidRPr="00B5077B">
        <w:rPr>
          <w:color w:val="000000"/>
        </w:rPr>
        <w:t>To investigate potential changes in the content and/or structure of other cell wall constituents, the chemical composition of the cell wall and the index of cellulose crystallinity were determined for field-grown samples harvested after senescence</w:t>
      </w:r>
      <w:r w:rsidR="0097104A">
        <w:rPr>
          <w:color w:val="000000"/>
        </w:rPr>
        <w:t xml:space="preserve"> each year</w:t>
      </w:r>
      <w:r w:rsidRPr="00B5077B">
        <w:rPr>
          <w:color w:val="000000"/>
        </w:rPr>
        <w:t xml:space="preserve">. </w:t>
      </w:r>
      <w:r w:rsidR="008240E4">
        <w:rPr>
          <w:color w:val="000000"/>
        </w:rPr>
        <w:t xml:space="preserve">Sugar profiles were similar between transgenic and control plants harvested in the first year. </w:t>
      </w:r>
      <w:r w:rsidRPr="00B5077B">
        <w:rPr>
          <w:color w:val="000000"/>
        </w:rPr>
        <w:t xml:space="preserve">Cellulose and hemicellulose comprised approximately 39% and 28-30% </w:t>
      </w:r>
      <w:r w:rsidR="008240E4">
        <w:rPr>
          <w:color w:val="000000"/>
        </w:rPr>
        <w:t>of the cell wall, respectively. A</w:t>
      </w:r>
      <w:r w:rsidR="00295DFD">
        <w:rPr>
          <w:color w:val="000000"/>
        </w:rPr>
        <w:t xml:space="preserve"> 16.4% increase in structural ash was observed in </w:t>
      </w:r>
      <w:r w:rsidR="006C5035">
        <w:rPr>
          <w:color w:val="000000"/>
        </w:rPr>
        <w:t>event</w:t>
      </w:r>
      <w:r w:rsidR="00295DFD">
        <w:rPr>
          <w:color w:val="000000"/>
        </w:rPr>
        <w:t xml:space="preserve"> COMT3 compared with its control</w:t>
      </w:r>
      <w:r w:rsidR="0057388D">
        <w:rPr>
          <w:color w:val="000000"/>
        </w:rPr>
        <w:t xml:space="preserve"> (Table B.1)</w:t>
      </w:r>
      <w:r w:rsidR="00295DFD">
        <w:rPr>
          <w:color w:val="000000"/>
        </w:rPr>
        <w:t>. No differences</w:t>
      </w:r>
      <w:r w:rsidRPr="00B5077B">
        <w:rPr>
          <w:color w:val="000000"/>
        </w:rPr>
        <w:t xml:space="preserve"> in cellulose </w:t>
      </w:r>
      <w:r w:rsidR="00295DFD">
        <w:rPr>
          <w:color w:val="000000"/>
        </w:rPr>
        <w:t>structure,</w:t>
      </w:r>
      <w:r w:rsidRPr="00B5077B">
        <w:rPr>
          <w:color w:val="000000"/>
        </w:rPr>
        <w:t xml:space="preserve"> as estimated by the index of </w:t>
      </w:r>
      <w:r w:rsidR="00295DFD">
        <w:rPr>
          <w:color w:val="000000"/>
        </w:rPr>
        <w:t xml:space="preserve">cellulose </w:t>
      </w:r>
      <w:r w:rsidRPr="00B5077B">
        <w:rPr>
          <w:color w:val="000000"/>
        </w:rPr>
        <w:t>crystallinity</w:t>
      </w:r>
      <w:r w:rsidR="00295DFD">
        <w:rPr>
          <w:color w:val="000000"/>
        </w:rPr>
        <w:t>, were observed between transgenic and control plants</w:t>
      </w:r>
      <w:r w:rsidR="0057388D">
        <w:rPr>
          <w:color w:val="000000"/>
        </w:rPr>
        <w:t xml:space="preserve"> (Figure B.6)</w:t>
      </w:r>
      <w:r w:rsidRPr="00B5077B">
        <w:rPr>
          <w:color w:val="000000"/>
        </w:rPr>
        <w:t xml:space="preserve">. </w:t>
      </w:r>
    </w:p>
    <w:p w:rsidR="0057388D" w:rsidRDefault="0057388D" w:rsidP="00B5077B">
      <w:pPr>
        <w:tabs>
          <w:tab w:val="left" w:pos="3932"/>
        </w:tabs>
        <w:spacing w:line="480" w:lineRule="auto"/>
        <w:rPr>
          <w:color w:val="000000"/>
        </w:rPr>
      </w:pPr>
    </w:p>
    <w:p w:rsidR="00B5077B" w:rsidRDefault="00B5077B" w:rsidP="00B5077B">
      <w:pPr>
        <w:tabs>
          <w:tab w:val="left" w:pos="3932"/>
        </w:tabs>
        <w:spacing w:line="480" w:lineRule="auto"/>
      </w:pPr>
      <w:r w:rsidRPr="00B5077B">
        <w:rPr>
          <w:color w:val="000000"/>
        </w:rPr>
        <w:t xml:space="preserve">In </w:t>
      </w:r>
      <w:r w:rsidR="008240E4">
        <w:rPr>
          <w:color w:val="000000"/>
        </w:rPr>
        <w:t>second-year harvested samples</w:t>
      </w:r>
      <w:r w:rsidRPr="00B5077B">
        <w:rPr>
          <w:color w:val="000000"/>
        </w:rPr>
        <w:t xml:space="preserve">, cellulose and hemicellulose accounted for 38-39% and 30-32% of the cell wall. Similar to the first year results, no differences in cellulose content were detected; however, </w:t>
      </w:r>
      <w:r w:rsidRPr="00B5077B">
        <w:t xml:space="preserve">transgenic </w:t>
      </w:r>
      <w:r w:rsidR="006C5035">
        <w:t>event</w:t>
      </w:r>
      <w:r w:rsidRPr="00B5077B">
        <w:t>s had slightly higher</w:t>
      </w:r>
      <w:r w:rsidR="0057388D">
        <w:t xml:space="preserve"> hemicellulose levels (6.4-7.4%), primarily due to an increase in xylose.</w:t>
      </w:r>
      <w:r w:rsidRPr="00B5077B">
        <w:t xml:space="preserve"> </w:t>
      </w:r>
      <w:r w:rsidR="0057388D">
        <w:t xml:space="preserve">Additionally, an 11.6% increase in acetyl content was observed in </w:t>
      </w:r>
      <w:r w:rsidR="006C5035">
        <w:t>event</w:t>
      </w:r>
      <w:r w:rsidR="0057388D">
        <w:t xml:space="preserve"> COMT3 (Table B.1). The index of cellulose crystallinity was reduced by 18.6% in </w:t>
      </w:r>
      <w:r w:rsidR="006C5035">
        <w:t>event</w:t>
      </w:r>
      <w:r w:rsidR="0057388D">
        <w:t xml:space="preserve"> COMT2, and 16.0% in </w:t>
      </w:r>
      <w:r w:rsidR="006C5035">
        <w:t>event</w:t>
      </w:r>
      <w:r w:rsidR="0057388D">
        <w:t xml:space="preserve"> COMT3, compared with controls </w:t>
      </w:r>
      <w:r w:rsidRPr="00B5077B">
        <w:t>(</w:t>
      </w:r>
      <w:r>
        <w:t>Figure B.6</w:t>
      </w:r>
      <w:r w:rsidRPr="00B5077B">
        <w:t xml:space="preserve">).  </w:t>
      </w:r>
    </w:p>
    <w:p w:rsidR="00B5077B" w:rsidRPr="00B5077B" w:rsidRDefault="00B5077B" w:rsidP="00B5077B">
      <w:pPr>
        <w:tabs>
          <w:tab w:val="left" w:pos="3932"/>
        </w:tabs>
        <w:spacing w:line="480" w:lineRule="auto"/>
        <w:rPr>
          <w:color w:val="000000"/>
        </w:rPr>
      </w:pPr>
    </w:p>
    <w:p w:rsidR="00B64324" w:rsidRDefault="00D65D6B" w:rsidP="00097A19">
      <w:pPr>
        <w:pStyle w:val="Heading3"/>
        <w:spacing w:line="480" w:lineRule="auto"/>
        <w:rPr>
          <w:rFonts w:cs="Times New Roman"/>
          <w:color w:val="000000"/>
          <w:szCs w:val="24"/>
        </w:rPr>
      </w:pPr>
      <w:r w:rsidRPr="000D3F86">
        <w:rPr>
          <w:rFonts w:cs="Times New Roman"/>
          <w:szCs w:val="24"/>
        </w:rPr>
        <w:t>Sug</w:t>
      </w:r>
      <w:r w:rsidR="00B64324" w:rsidRPr="000D3F86">
        <w:rPr>
          <w:rFonts w:cs="Times New Roman"/>
          <w:color w:val="000000"/>
          <w:szCs w:val="24"/>
        </w:rPr>
        <w:t>ar release efficiency</w:t>
      </w:r>
    </w:p>
    <w:p w:rsidR="00B5077B" w:rsidRPr="00B5077B" w:rsidRDefault="00C21FBD" w:rsidP="007C38A8">
      <w:pPr>
        <w:tabs>
          <w:tab w:val="left" w:pos="3932"/>
        </w:tabs>
        <w:spacing w:line="480" w:lineRule="auto"/>
        <w:rPr>
          <w:color w:val="000000"/>
        </w:rPr>
      </w:pPr>
      <w:r w:rsidRPr="00C21FBD">
        <w:rPr>
          <w:color w:val="000000"/>
        </w:rPr>
        <w:t xml:space="preserve">To evaluate the impact of COMT-downregulation on cell wall saccharification, sugar release by enzymatic hydrolysis was determined for whole tillers at the same </w:t>
      </w:r>
      <w:r w:rsidRPr="00C21FBD">
        <w:rPr>
          <w:color w:val="000000"/>
        </w:rPr>
        <w:lastRenderedPageBreak/>
        <w:t>developmental stage harvested mid-growing season (green tissue), and whole above-ground biomass harvested at the end of the growing season (senesced tissue) each year. Sugar release assays were performed by subjecting cell wall residues to a hot water pretreatment, followed by a 72 hr incubation with hydrolyzing enzymes.</w:t>
      </w:r>
      <w:r w:rsidR="00B5077B">
        <w:rPr>
          <w:color w:val="000000"/>
        </w:rPr>
        <w:t xml:space="preserve">  </w:t>
      </w:r>
      <w:r w:rsidR="00B5077B" w:rsidRPr="00B5077B">
        <w:t xml:space="preserve">The amounts of glucose, xylose, and total sugars (glucose and xylose combined) released per gram of dry biomass were determined for </w:t>
      </w:r>
      <w:r w:rsidR="00B5077B" w:rsidRPr="00B5077B">
        <w:rPr>
          <w:color w:val="000000"/>
        </w:rPr>
        <w:t>each sample. In year one, transgenic plants harvested at the</w:t>
      </w:r>
      <w:r w:rsidR="0097104A">
        <w:rPr>
          <w:color w:val="000000"/>
        </w:rPr>
        <w:t xml:space="preserve"> green-tissue stage exhibited a</w:t>
      </w:r>
      <w:r w:rsidR="00B5077B" w:rsidRPr="00B5077B">
        <w:rPr>
          <w:color w:val="000000"/>
        </w:rPr>
        <w:t xml:space="preserve"> </w:t>
      </w:r>
      <w:r w:rsidR="0097104A">
        <w:rPr>
          <w:color w:val="000000"/>
        </w:rPr>
        <w:t>9.0 to 11.7</w:t>
      </w:r>
      <w:r w:rsidR="00B5077B" w:rsidRPr="00B5077B">
        <w:rPr>
          <w:color w:val="000000"/>
        </w:rPr>
        <w:t xml:space="preserve">% increase in total sugar release. Similarly, the total sugar release for green-tissue transgenic plants harvested in the second growing season was improved by 14.7-18.7% relative to the controls. Sugar release improvements in transgenic plants harvested after senescence were only observed in </w:t>
      </w:r>
      <w:r w:rsidR="006C5035">
        <w:rPr>
          <w:color w:val="000000"/>
        </w:rPr>
        <w:t>event</w:t>
      </w:r>
      <w:r w:rsidR="00B5077B" w:rsidRPr="00B5077B">
        <w:rPr>
          <w:color w:val="000000"/>
        </w:rPr>
        <w:t xml:space="preserve"> COMT2 in year one</w:t>
      </w:r>
      <w:r w:rsidR="00B5077B">
        <w:rPr>
          <w:color w:val="000000"/>
        </w:rPr>
        <w:t>. I</w:t>
      </w:r>
      <w:r w:rsidR="00B5077B" w:rsidRPr="00B5077B">
        <w:rPr>
          <w:color w:val="000000"/>
        </w:rPr>
        <w:t xml:space="preserve">n year two, sugar release </w:t>
      </w:r>
      <w:r w:rsidR="00B5077B">
        <w:rPr>
          <w:color w:val="000000"/>
        </w:rPr>
        <w:t>of senesced tissue</w:t>
      </w:r>
      <w:r w:rsidR="009A1EF5">
        <w:rPr>
          <w:color w:val="000000"/>
        </w:rPr>
        <w:t>s</w:t>
      </w:r>
      <w:r w:rsidR="00B5077B">
        <w:rPr>
          <w:color w:val="000000"/>
        </w:rPr>
        <w:t xml:space="preserve"> </w:t>
      </w:r>
      <w:r w:rsidR="009A1EF5">
        <w:rPr>
          <w:color w:val="000000"/>
        </w:rPr>
        <w:t>were</w:t>
      </w:r>
      <w:r w:rsidR="00B5077B" w:rsidRPr="00B5077B">
        <w:rPr>
          <w:color w:val="000000"/>
        </w:rPr>
        <w:t xml:space="preserve"> improved by 32.0% and 34.2% in </w:t>
      </w:r>
      <w:r w:rsidR="006C5035">
        <w:rPr>
          <w:color w:val="000000"/>
        </w:rPr>
        <w:t>event</w:t>
      </w:r>
      <w:r w:rsidR="00B5077B" w:rsidRPr="00B5077B">
        <w:rPr>
          <w:color w:val="000000"/>
        </w:rPr>
        <w:t>s COMT2 and COMT3, respectively (Table B</w:t>
      </w:r>
      <w:r w:rsidR="00B5077B">
        <w:rPr>
          <w:color w:val="000000"/>
        </w:rPr>
        <w:t>.</w:t>
      </w:r>
      <w:r w:rsidR="00B5077B" w:rsidRPr="00B5077B">
        <w:rPr>
          <w:color w:val="000000"/>
        </w:rPr>
        <w:t xml:space="preserve">2). </w:t>
      </w:r>
    </w:p>
    <w:p w:rsidR="00B5077B" w:rsidRPr="00B5077B" w:rsidRDefault="00B5077B" w:rsidP="007C38A8"/>
    <w:p w:rsidR="00D65D6B" w:rsidRPr="000D3F86" w:rsidRDefault="00D65D6B" w:rsidP="007C38A8">
      <w:pPr>
        <w:pStyle w:val="Heading3"/>
        <w:spacing w:line="480" w:lineRule="auto"/>
        <w:rPr>
          <w:rFonts w:cs="Times New Roman"/>
          <w:szCs w:val="24"/>
        </w:rPr>
      </w:pPr>
      <w:r w:rsidRPr="000D3F86">
        <w:rPr>
          <w:rFonts w:cs="Times New Roman"/>
          <w:szCs w:val="24"/>
        </w:rPr>
        <w:t>Ethanol yield</w:t>
      </w:r>
    </w:p>
    <w:p w:rsidR="00B64324" w:rsidRPr="000D3F86" w:rsidRDefault="00B64324" w:rsidP="007C38A8">
      <w:pPr>
        <w:tabs>
          <w:tab w:val="left" w:pos="3932"/>
        </w:tabs>
        <w:spacing w:line="480" w:lineRule="auto"/>
        <w:rPr>
          <w:color w:val="000000"/>
        </w:rPr>
      </w:pPr>
      <w:r w:rsidRPr="000D3F86">
        <w:rPr>
          <w:color w:val="000000"/>
        </w:rPr>
        <w:t xml:space="preserve">The bioconversion efficiency of field-grown senesced biomass was tested by performing a pretreatment followed by yeast-based simultaneous saccharification and fermentation (SSF). SSF integrates enzymatic hydrolysis and microbial fermentation within the same vessel, allowing the hydrolyzed glucose molecules to be quickly converted into ethanol by the fermentation microorganism. Following the same methods </w:t>
      </w:r>
      <w:r w:rsidR="00AD750F" w:rsidRPr="000D3F86">
        <w:rPr>
          <w:color w:val="000000"/>
        </w:rPr>
        <w:t>used in the greenhouse study [</w:t>
      </w:r>
      <w:r w:rsidR="00631FB3" w:rsidRPr="00631FB3">
        <w:rPr>
          <w:color w:val="000000"/>
        </w:rPr>
        <w:t>18</w:t>
      </w:r>
      <w:r w:rsidRPr="000D3F86">
        <w:rPr>
          <w:color w:val="000000"/>
        </w:rPr>
        <w:t xml:space="preserve">], samples were pretreated under moderate dilute acid conditions, followed by SSF with glucose-fermenting </w:t>
      </w:r>
      <w:r w:rsidRPr="005D4915">
        <w:rPr>
          <w:i/>
          <w:color w:val="000000"/>
        </w:rPr>
        <w:t>Saccharomyces cerevisiae</w:t>
      </w:r>
      <w:r w:rsidRPr="000D3F86">
        <w:rPr>
          <w:color w:val="000000"/>
        </w:rPr>
        <w:t xml:space="preserve">. </w:t>
      </w:r>
      <w:r w:rsidR="00C21FBD" w:rsidRPr="00550642">
        <w:t>Weight loss from the bottles due to CO</w:t>
      </w:r>
      <w:r w:rsidR="00C21FBD" w:rsidRPr="00550642">
        <w:rPr>
          <w:vertAlign w:val="subscript"/>
        </w:rPr>
        <w:t>2</w:t>
      </w:r>
      <w:r w:rsidR="00C21FBD" w:rsidRPr="00550642">
        <w:t xml:space="preserve"> release was used to monitor the progression of the fermentation</w:t>
      </w:r>
      <w:r w:rsidR="00C21FBD">
        <w:t xml:space="preserve"> over time</w:t>
      </w:r>
      <w:r w:rsidR="00C21FBD" w:rsidRPr="00550642">
        <w:t xml:space="preserve">. In </w:t>
      </w:r>
      <w:r w:rsidR="00C21FBD" w:rsidRPr="00550642">
        <w:lastRenderedPageBreak/>
        <w:t xml:space="preserve">year one, </w:t>
      </w:r>
      <w:r w:rsidR="007C38A8">
        <w:t>event</w:t>
      </w:r>
      <w:r w:rsidR="00C21FBD" w:rsidRPr="00550642">
        <w:t xml:space="preserve"> COMT3 </w:t>
      </w:r>
      <w:r w:rsidR="00C21FBD">
        <w:t>exhibited a faster fermentation rate</w:t>
      </w:r>
      <w:r w:rsidR="007C38A8">
        <w:t xml:space="preserve"> based on weight loss curves,</w:t>
      </w:r>
      <w:r w:rsidR="00C21FBD">
        <w:t xml:space="preserve"> and </w:t>
      </w:r>
      <w:r w:rsidR="009B22C3">
        <w:t>had a</w:t>
      </w:r>
      <w:r w:rsidR="00C21FBD" w:rsidRPr="00550642">
        <w:t xml:space="preserve"> 21.2% </w:t>
      </w:r>
      <w:r w:rsidR="009B22C3">
        <w:t>higher endpoint ethanol yield</w:t>
      </w:r>
      <w:r w:rsidR="00C21FBD" w:rsidRPr="00550642">
        <w:t xml:space="preserve"> per gram of biomass than its corresponding</w:t>
      </w:r>
      <w:r w:rsidR="007C38A8">
        <w:t xml:space="preserve"> control. </w:t>
      </w:r>
      <w:r w:rsidR="009B22C3">
        <w:t>The endpoint ethanol yield for event</w:t>
      </w:r>
      <w:r w:rsidR="00C21FBD" w:rsidRPr="00550642">
        <w:t xml:space="preserve"> COMT</w:t>
      </w:r>
      <w:r w:rsidR="007C38A8">
        <w:t>2</w:t>
      </w:r>
      <w:r w:rsidR="00C21FBD" w:rsidRPr="00550642">
        <w:t xml:space="preserve"> </w:t>
      </w:r>
      <w:r w:rsidR="009B22C3">
        <w:t>was not different from</w:t>
      </w:r>
      <w:r w:rsidR="00C21FBD">
        <w:t xml:space="preserve"> its control (Figure B.7</w:t>
      </w:r>
      <w:r w:rsidR="00C21FBD" w:rsidRPr="00550642">
        <w:t xml:space="preserve">). </w:t>
      </w:r>
      <w:r w:rsidR="00C21FBD">
        <w:t xml:space="preserve">In year two, both transgenic </w:t>
      </w:r>
      <w:r w:rsidR="006C5035">
        <w:t>event</w:t>
      </w:r>
      <w:r w:rsidR="00C21FBD">
        <w:t>s fermented more quickly than their controls and exhibited ethanol yield improvements of 28.2% (COMT2) and 21.4% (COMT3)</w:t>
      </w:r>
      <w:r w:rsidR="00C21FBD" w:rsidRPr="000D3F86">
        <w:rPr>
          <w:color w:val="000000"/>
        </w:rPr>
        <w:t xml:space="preserve"> (Figure </w:t>
      </w:r>
      <w:r w:rsidR="00C21FBD">
        <w:rPr>
          <w:color w:val="000000"/>
        </w:rPr>
        <w:t>B.8</w:t>
      </w:r>
      <w:r w:rsidR="00C21FBD" w:rsidRPr="000D3F86">
        <w:rPr>
          <w:color w:val="000000"/>
        </w:rPr>
        <w:t>).</w:t>
      </w:r>
    </w:p>
    <w:p w:rsidR="00D65D6B" w:rsidRPr="000D3F86" w:rsidRDefault="00C21FBD" w:rsidP="00097A19">
      <w:pPr>
        <w:pStyle w:val="Heading3"/>
        <w:spacing w:line="480" w:lineRule="auto"/>
        <w:rPr>
          <w:rFonts w:cs="Times New Roman"/>
          <w:szCs w:val="24"/>
        </w:rPr>
      </w:pPr>
      <w:r>
        <w:rPr>
          <w:rFonts w:cs="Times New Roman"/>
          <w:szCs w:val="24"/>
        </w:rPr>
        <w:t>A</w:t>
      </w:r>
      <w:r w:rsidR="00D65D6B" w:rsidRPr="000D3F86">
        <w:rPr>
          <w:rFonts w:cs="Times New Roman"/>
          <w:szCs w:val="24"/>
        </w:rPr>
        <w:t>gronomic performance</w:t>
      </w:r>
    </w:p>
    <w:p w:rsidR="00B64324" w:rsidRDefault="00B5077B" w:rsidP="0097104A">
      <w:pPr>
        <w:tabs>
          <w:tab w:val="left" w:pos="3932"/>
        </w:tabs>
        <w:spacing w:line="480" w:lineRule="auto"/>
        <w:rPr>
          <w:color w:val="000000"/>
        </w:rPr>
      </w:pPr>
      <w:r w:rsidRPr="008629E2">
        <w:t xml:space="preserve">In order to assess the growth and productivity of COMT-downregulated switchgrass under field conditions, morphological traits </w:t>
      </w:r>
      <w:r>
        <w:t>including</w:t>
      </w:r>
      <w:r w:rsidRPr="008629E2">
        <w:t xml:space="preserve"> tiller height and plant diameter were measured mid-growing season of each year, and tiller number and above-ground dry weight biomass yield were determined at the end of the season. In the first year, </w:t>
      </w:r>
      <w:r w:rsidR="006C5035">
        <w:t>event</w:t>
      </w:r>
      <w:r w:rsidRPr="008629E2">
        <w:t xml:space="preserve"> COMT2 was not significantly different than its corresponding control in tiller height, plant diameter, tiller number, or dry weight biomass yield. However, </w:t>
      </w:r>
      <w:r w:rsidR="006C5035">
        <w:t>event</w:t>
      </w:r>
      <w:r w:rsidRPr="008629E2">
        <w:t xml:space="preserve"> COMT3 exhibited a decrease in tiller height</w:t>
      </w:r>
      <w:r w:rsidR="007C38A8">
        <w:t xml:space="preserve"> (15.3%)</w:t>
      </w:r>
      <w:r w:rsidRPr="008629E2">
        <w:t>, plant diameter</w:t>
      </w:r>
      <w:r w:rsidR="007C38A8">
        <w:t xml:space="preserve"> (8.1%)</w:t>
      </w:r>
      <w:r w:rsidRPr="008629E2">
        <w:t>, and dry weight yield</w:t>
      </w:r>
      <w:r w:rsidR="007C38A8">
        <w:t xml:space="preserve"> (50.5%)</w:t>
      </w:r>
      <w:r w:rsidRPr="008629E2">
        <w:t xml:space="preserve"> relative to </w:t>
      </w:r>
      <w:r w:rsidR="007C38A8">
        <w:t>its control</w:t>
      </w:r>
      <w:r w:rsidRPr="008629E2">
        <w:t xml:space="preserve">. In the second year, </w:t>
      </w:r>
      <w:r w:rsidR="006C5035">
        <w:t>event</w:t>
      </w:r>
      <w:r w:rsidRPr="008629E2">
        <w:t xml:space="preserve"> COMT2 had an increase in tiller height and plant diameter, and a corresponding 18.2% increase in dry weight biomass yield relative to its control, whereas </w:t>
      </w:r>
      <w:r w:rsidR="006C5035">
        <w:t>event</w:t>
      </w:r>
      <w:r w:rsidRPr="008629E2">
        <w:t xml:space="preserve"> COMT3 was not different from its control in </w:t>
      </w:r>
      <w:r w:rsidR="0097104A">
        <w:t>morphology</w:t>
      </w:r>
      <w:r w:rsidRPr="008629E2">
        <w:t xml:space="preserve"> or dry weight biomass yield</w:t>
      </w:r>
      <w:r w:rsidR="00B64324" w:rsidRPr="000D3F86">
        <w:rPr>
          <w:color w:val="000000"/>
        </w:rPr>
        <w:t xml:space="preserve"> (Table </w:t>
      </w:r>
      <w:r w:rsidR="00EA03CD">
        <w:rPr>
          <w:color w:val="000000"/>
        </w:rPr>
        <w:t>B.</w:t>
      </w:r>
      <w:r w:rsidR="00B64324" w:rsidRPr="000D3F86">
        <w:rPr>
          <w:color w:val="000000"/>
        </w:rPr>
        <w:t>3).</w:t>
      </w:r>
    </w:p>
    <w:p w:rsidR="00387A63" w:rsidRPr="000D3F86" w:rsidRDefault="00387A63" w:rsidP="00097A19">
      <w:pPr>
        <w:tabs>
          <w:tab w:val="left" w:pos="3932"/>
        </w:tabs>
        <w:spacing w:line="480" w:lineRule="auto"/>
        <w:jc w:val="both"/>
        <w:rPr>
          <w:color w:val="000000"/>
        </w:rPr>
      </w:pPr>
    </w:p>
    <w:p w:rsidR="00D65D6B" w:rsidRPr="000D3F86" w:rsidRDefault="00D65D6B" w:rsidP="00097A19">
      <w:pPr>
        <w:pStyle w:val="Heading3"/>
        <w:spacing w:line="480" w:lineRule="auto"/>
        <w:rPr>
          <w:rFonts w:cs="Times New Roman"/>
          <w:szCs w:val="24"/>
        </w:rPr>
      </w:pPr>
      <w:r w:rsidRPr="000D3F86">
        <w:rPr>
          <w:rFonts w:cs="Times New Roman"/>
          <w:szCs w:val="24"/>
        </w:rPr>
        <w:lastRenderedPageBreak/>
        <w:t>Disease susceptibility</w:t>
      </w:r>
    </w:p>
    <w:p w:rsidR="00387A63" w:rsidRDefault="00B64324" w:rsidP="0097104A">
      <w:pPr>
        <w:tabs>
          <w:tab w:val="left" w:pos="3932"/>
        </w:tabs>
        <w:spacing w:line="480" w:lineRule="auto"/>
        <w:rPr>
          <w:color w:val="000000"/>
        </w:rPr>
      </w:pPr>
      <w:r w:rsidRPr="000D3F86">
        <w:rPr>
          <w:color w:val="000000"/>
        </w:rPr>
        <w:t xml:space="preserve">All plants were continually monitored throughout both growing seasons for any deleterious effects caused by pathogens or insect pests. </w:t>
      </w:r>
      <w:r w:rsidR="00152D54">
        <w:rPr>
          <w:color w:val="000000"/>
        </w:rPr>
        <w:t>L</w:t>
      </w:r>
      <w:r w:rsidRPr="000D3F86">
        <w:rPr>
          <w:color w:val="000000"/>
        </w:rPr>
        <w:t>adybugs, grasshoppers, and spiders</w:t>
      </w:r>
      <w:r w:rsidR="00152D54">
        <w:rPr>
          <w:color w:val="000000"/>
        </w:rPr>
        <w:t xml:space="preserve"> were observed on all plants</w:t>
      </w:r>
      <w:r w:rsidRPr="000D3F86">
        <w:rPr>
          <w:color w:val="000000"/>
        </w:rPr>
        <w:t>. Insect damage to the leaves of transgenic and no</w:t>
      </w:r>
      <w:r w:rsidR="0097104A">
        <w:rPr>
          <w:color w:val="000000"/>
        </w:rPr>
        <w:t xml:space="preserve">ntransgenic plants was minimal. </w:t>
      </w:r>
      <w:r w:rsidRPr="000D3F86">
        <w:rPr>
          <w:color w:val="000000"/>
        </w:rPr>
        <w:t xml:space="preserve">The most prevalent diseases observed were switchgrass rust caused by </w:t>
      </w:r>
      <w:r w:rsidRPr="00152D54">
        <w:rPr>
          <w:i/>
          <w:color w:val="000000"/>
        </w:rPr>
        <w:t>Puccinia emaculata</w:t>
      </w:r>
      <w:r w:rsidRPr="000D3F86">
        <w:rPr>
          <w:color w:val="000000"/>
        </w:rPr>
        <w:t xml:space="preserve">, and leaf spot caused by a </w:t>
      </w:r>
      <w:r w:rsidRPr="00152D54">
        <w:rPr>
          <w:i/>
          <w:color w:val="000000"/>
        </w:rPr>
        <w:t>Bipolaris</w:t>
      </w:r>
      <w:r w:rsidR="0097104A">
        <w:rPr>
          <w:color w:val="000000"/>
        </w:rPr>
        <w:t xml:space="preserve"> species. </w:t>
      </w:r>
      <w:r w:rsidRPr="000D3F86">
        <w:rPr>
          <w:color w:val="000000"/>
        </w:rPr>
        <w:t>For both growing seasons, rust was observed from mid-to-late June until the plants began to senesce toward the end of November. Disease severity of rust infection was rated weekly during the second growing season. Rust severity, as the percentage of the leaf covered in rust uredia, ranged from 3-5% in mid-to-late June</w:t>
      </w:r>
      <w:r w:rsidR="0097104A">
        <w:rPr>
          <w:color w:val="000000"/>
        </w:rPr>
        <w:t xml:space="preserve">, to 25-30% in late September. </w:t>
      </w:r>
      <w:r w:rsidRPr="000D3F86">
        <w:rPr>
          <w:color w:val="000000"/>
        </w:rPr>
        <w:t xml:space="preserve">COMT-downregulation did not affect rust susceptibility in either transgenic event relative to its control at any of the time points assessed (Figure </w:t>
      </w:r>
      <w:r w:rsidR="001A2F1E">
        <w:rPr>
          <w:color w:val="000000"/>
        </w:rPr>
        <w:t>B.</w:t>
      </w:r>
      <w:r w:rsidR="00EA03CD">
        <w:rPr>
          <w:color w:val="000000"/>
        </w:rPr>
        <w:t>9</w:t>
      </w:r>
      <w:r w:rsidRPr="000D3F86">
        <w:rPr>
          <w:color w:val="000000"/>
        </w:rPr>
        <w:t xml:space="preserve">). The occurrence of </w:t>
      </w:r>
      <w:r w:rsidR="00A2186A">
        <w:rPr>
          <w:i/>
          <w:color w:val="000000"/>
        </w:rPr>
        <w:t>Bipolaris</w:t>
      </w:r>
      <w:r w:rsidRPr="000D3F86">
        <w:rPr>
          <w:color w:val="000000"/>
        </w:rPr>
        <w:t xml:space="preserve"> was not quantified since the symptoms were relatively minor, but the severity of infection between transgenic and control plants did not appear to differ based on visual observation.</w:t>
      </w:r>
    </w:p>
    <w:p w:rsidR="00D65D6B" w:rsidRPr="00C050E8" w:rsidRDefault="00387A63" w:rsidP="00097A19">
      <w:pPr>
        <w:pStyle w:val="Heading2"/>
        <w:spacing w:line="480" w:lineRule="auto"/>
      </w:pPr>
      <w:r>
        <w:rPr>
          <w:color w:val="000000"/>
        </w:rPr>
        <w:br w:type="page"/>
      </w:r>
      <w:r w:rsidR="00D65D6B" w:rsidRPr="00C050E8">
        <w:lastRenderedPageBreak/>
        <w:t>Discussion</w:t>
      </w:r>
    </w:p>
    <w:p w:rsidR="00C00F50" w:rsidRDefault="009A1EF5" w:rsidP="00097A19">
      <w:pPr>
        <w:tabs>
          <w:tab w:val="left" w:pos="3060"/>
        </w:tabs>
        <w:spacing w:line="480" w:lineRule="auto"/>
      </w:pPr>
      <w:r>
        <w:t xml:space="preserve">The current study evaluated the field performance of switchgrass with reduced recalcitrance over the course of two years: the first year (2011), in which the plants were newly transplanted, and the second year (2012), in which the plants were well-established and had reached a more steady-state growth pattern. </w:t>
      </w:r>
      <w:r w:rsidR="002B2E70">
        <w:t xml:space="preserve">Experiments with established transgenic plants harvested in the second growing season demonstrate that improved saccharification and ethanol yields can be achieved under field conditions with no adverse effects on biomass yield or disease susceptibility. </w:t>
      </w:r>
      <w:r>
        <w:t>To our knowledge, this is the first reported field study evaluating the potential of transgenic switchgrass with reduced lignin content for use as a bioenergy crop.</w:t>
      </w:r>
    </w:p>
    <w:p w:rsidR="009A1EF5" w:rsidRDefault="009A1EF5" w:rsidP="00097A19">
      <w:pPr>
        <w:tabs>
          <w:tab w:val="left" w:pos="3060"/>
        </w:tabs>
        <w:spacing w:line="480" w:lineRule="auto"/>
      </w:pPr>
    </w:p>
    <w:p w:rsidR="00D5150B" w:rsidRDefault="00085EBF" w:rsidP="00097A19">
      <w:pPr>
        <w:spacing w:line="480" w:lineRule="auto"/>
      </w:pPr>
      <w:r w:rsidRPr="00D243CB">
        <w:t>Brown midrib (bmr) mutant and transgenic grasses with reduced COMT enzyme activity are characterized by significant reductions in S-lignin, resulting in a lower S/G monomer ratio, as well as a decrease in the overall lignin content [</w:t>
      </w:r>
      <w:r w:rsidR="00631FB3">
        <w:t>18</w:t>
      </w:r>
      <w:r>
        <w:t xml:space="preserve">, </w:t>
      </w:r>
      <w:r w:rsidR="00631FB3">
        <w:t>21</w:t>
      </w:r>
      <w:r>
        <w:t xml:space="preserve">, </w:t>
      </w:r>
      <w:r w:rsidR="00631FB3">
        <w:t>23</w:t>
      </w:r>
      <w:r>
        <w:t xml:space="preserve">, </w:t>
      </w:r>
      <w:r w:rsidR="00631FB3">
        <w:t>24</w:t>
      </w:r>
      <w:r>
        <w:t xml:space="preserve">, </w:t>
      </w:r>
      <w:r w:rsidR="00631FB3">
        <w:t>38</w:t>
      </w:r>
      <w:r>
        <w:t xml:space="preserve">, </w:t>
      </w:r>
      <w:r w:rsidR="00631FB3">
        <w:t>44</w:t>
      </w:r>
      <w:r>
        <w:t xml:space="preserve">, </w:t>
      </w:r>
      <w:r w:rsidR="00631FB3">
        <w:t>24</w:t>
      </w:r>
      <w:r w:rsidRPr="00D243CB">
        <w:t xml:space="preserve">]. In agreement with these studies, COMT downregulation in field-grown switchgrass </w:t>
      </w:r>
      <w:r>
        <w:t xml:space="preserve">was associated with a reduction in the S/G ratio and lower lignin levels. </w:t>
      </w:r>
      <w:r w:rsidR="00AD750F" w:rsidRPr="000D3F86">
        <w:t xml:space="preserve">RNAi-mediated gene silencing of COMT gene expression was maintained in the transgenic events for the duration of the field experiment, showing a reduction of 82-97% compared to the control plants. </w:t>
      </w:r>
      <w:r w:rsidR="00536C46">
        <w:t>COMT-downregulation</w:t>
      </w:r>
      <w:r w:rsidR="0064340A">
        <w:t xml:space="preserve"> resulted in an 8-15% decrease in lignin content in green- and senesced-harvested biomass from transgenic </w:t>
      </w:r>
      <w:r w:rsidR="006C5035">
        <w:t>event</w:t>
      </w:r>
      <w:r w:rsidR="0064340A">
        <w:t xml:space="preserve">s in years one and two. While differences in lignin levels between transgenic and control plants were relatively </w:t>
      </w:r>
      <w:r w:rsidR="005E14BF">
        <w:t>consistent</w:t>
      </w:r>
      <w:r w:rsidR="0064340A">
        <w:t xml:space="preserve"> across both years, the reduction in the S/G ratio was significantly more </w:t>
      </w:r>
      <w:r w:rsidR="0064340A">
        <w:lastRenderedPageBreak/>
        <w:t xml:space="preserve">pronounced in the </w:t>
      </w:r>
      <w:r w:rsidR="0097104A">
        <w:t xml:space="preserve">second growing season, where </w:t>
      </w:r>
      <w:r w:rsidR="0064340A">
        <w:t xml:space="preserve">a 35-39% reduction was observed in both green and senesced tissues from transgenic </w:t>
      </w:r>
      <w:r w:rsidR="006C5035">
        <w:t>event</w:t>
      </w:r>
      <w:r w:rsidR="0064340A">
        <w:t>s relative to their controls</w:t>
      </w:r>
      <w:r w:rsidR="002F2B58">
        <w:t>. Similar to the greenhouse study [</w:t>
      </w:r>
      <w:r w:rsidR="00631FB3">
        <w:t>18</w:t>
      </w:r>
      <w:r w:rsidR="002F2B58">
        <w:t xml:space="preserve">], field-grown COMT-downregulated plants exhibited a brownish coloration at the basal internode of the stems, a phenotype </w:t>
      </w:r>
      <w:r w:rsidR="005E14BF">
        <w:t>that is attributed to the</w:t>
      </w:r>
      <w:r w:rsidR="002F2B58">
        <w:t xml:space="preserve"> reduced lignin content and</w:t>
      </w:r>
      <w:r w:rsidR="005E14BF">
        <w:t>/or</w:t>
      </w:r>
      <w:r w:rsidR="002F2B58">
        <w:t xml:space="preserve"> altered lignin composition [</w:t>
      </w:r>
      <w:r w:rsidR="00631FB3">
        <w:t>45, 46</w:t>
      </w:r>
      <w:r w:rsidR="002F2B58">
        <w:t>].</w:t>
      </w:r>
    </w:p>
    <w:p w:rsidR="00C00F50" w:rsidRPr="000D3F86" w:rsidRDefault="00C00F50" w:rsidP="00097A19">
      <w:pPr>
        <w:spacing w:line="480" w:lineRule="auto"/>
      </w:pPr>
    </w:p>
    <w:p w:rsidR="0064340A" w:rsidRDefault="00AD750F" w:rsidP="0064340A">
      <w:pPr>
        <w:spacing w:line="480" w:lineRule="auto"/>
      </w:pPr>
      <w:r w:rsidRPr="000D3F86">
        <w:t>Understanding the broader effects of lignin downregulation on the synthesis of other cell wall components is important, as any unintended changes in composition could ultimately affect the quality of the feedstock for bioconversion. Although the mechanisms are not yet well understood, previous studies have demonstrated that downregulating lignin genes can affect other metabolic processes</w:t>
      </w:r>
      <w:r w:rsidR="00CD1254">
        <w:t>,</w:t>
      </w:r>
      <w:r w:rsidRPr="000D3F86">
        <w:t xml:space="preserve"> including primary metabolism and the synthesis of cell wall carbohydrates [</w:t>
      </w:r>
      <w:r w:rsidR="00631FB3">
        <w:t>47</w:t>
      </w:r>
      <w:r w:rsidR="00870B1C">
        <w:t xml:space="preserve">, </w:t>
      </w:r>
      <w:r w:rsidR="00631FB3">
        <w:t>48</w:t>
      </w:r>
      <w:r w:rsidRPr="000D3F86">
        <w:t xml:space="preserve">, </w:t>
      </w:r>
      <w:proofErr w:type="gramStart"/>
      <w:r w:rsidR="00631FB3">
        <w:t>49</w:t>
      </w:r>
      <w:proofErr w:type="gramEnd"/>
      <w:r w:rsidR="00AC6AD2" w:rsidRPr="00632A6A">
        <w:t>]</w:t>
      </w:r>
      <w:r w:rsidRPr="00632A6A">
        <w:t xml:space="preserve">. </w:t>
      </w:r>
      <w:r w:rsidR="00CD1254" w:rsidRPr="00632A6A">
        <w:t xml:space="preserve">Some studies suggest that plants compensate for a reduction in lignin content by shifting carbon into the synthesis of cell wall carbohydrates to maintain structural integrity. </w:t>
      </w:r>
      <w:r w:rsidR="00BC2D26" w:rsidRPr="00BC2D26">
        <w:t xml:space="preserve">For example, </w:t>
      </w:r>
      <w:r w:rsidR="00BC2D26">
        <w:t xml:space="preserve">it </w:t>
      </w:r>
      <w:r w:rsidR="00BC2D26" w:rsidRPr="00BC2D26">
        <w:t>has been hypothesized that</w:t>
      </w:r>
      <w:r w:rsidR="00BC2D26">
        <w:t xml:space="preserve"> observed increases in cellulose content [</w:t>
      </w:r>
      <w:r w:rsidR="00631FB3">
        <w:t>48</w:t>
      </w:r>
      <w:r w:rsidR="00BC2D26">
        <w:t xml:space="preserve">, </w:t>
      </w:r>
      <w:r w:rsidR="00631FB3">
        <w:t>50</w:t>
      </w:r>
      <w:r w:rsidR="00BC2D26">
        <w:t>]</w:t>
      </w:r>
      <w:r w:rsidR="002F2B58">
        <w:t xml:space="preserve"> or</w:t>
      </w:r>
      <w:r w:rsidR="00BC2D26">
        <w:t xml:space="preserve"> cellulose crystallinity [</w:t>
      </w:r>
      <w:r w:rsidR="00631FB3">
        <w:t>51</w:t>
      </w:r>
      <w:r w:rsidR="00BC2D26">
        <w:t xml:space="preserve">] in lignin-deficient plants may be compensatory mechanisms for maintaining mechanical strength. </w:t>
      </w:r>
      <w:r w:rsidR="0064340A" w:rsidRPr="00632A6A">
        <w:t>In the present study, cellulose content remained unchanged between field-grown transgenic and control plants</w:t>
      </w:r>
      <w:r w:rsidR="0064340A" w:rsidRPr="0064340A">
        <w:t xml:space="preserve"> for both years. This is consistent with the greenhouse study, which reported minor or negligible impact of lignin reduction on cellulose content in these two </w:t>
      </w:r>
      <w:r w:rsidR="006C5035">
        <w:t>event</w:t>
      </w:r>
      <w:r w:rsidR="0064340A" w:rsidRPr="0064340A">
        <w:t xml:space="preserve">s </w:t>
      </w:r>
      <w:r w:rsidR="0064340A" w:rsidRPr="000D3F86">
        <w:t>[</w:t>
      </w:r>
      <w:r w:rsidR="00631FB3">
        <w:t>18</w:t>
      </w:r>
      <w:r w:rsidR="0064340A">
        <w:t>].</w:t>
      </w:r>
      <w:r w:rsidR="0064340A" w:rsidRPr="0064340A">
        <w:t xml:space="preserve"> However, hemicellulose content was increased by 6.4-7.4% in the field-grown transgenic </w:t>
      </w:r>
      <w:r w:rsidR="006C5035">
        <w:t>event</w:t>
      </w:r>
      <w:r w:rsidR="0064340A" w:rsidRPr="0064340A">
        <w:t>s in the second year, primarily due to an increase in xylose, the major monosaccharide component</w:t>
      </w:r>
      <w:r w:rsidR="0064340A">
        <w:t xml:space="preserve"> of hemicellulose in grasses. A</w:t>
      </w:r>
      <w:r w:rsidR="0064340A" w:rsidRPr="0064340A">
        <w:t xml:space="preserve"> slight increase in </w:t>
      </w:r>
      <w:r w:rsidR="0064340A" w:rsidRPr="0064340A">
        <w:lastRenderedPageBreak/>
        <w:t xml:space="preserve">xylose content </w:t>
      </w:r>
      <w:r w:rsidR="002F2B58">
        <w:t>was also observed in these plants when grown under greenhouse conditions</w:t>
      </w:r>
      <w:r w:rsidR="0064340A">
        <w:t xml:space="preserve"> </w:t>
      </w:r>
      <w:r w:rsidR="0064340A" w:rsidRPr="000D3F86">
        <w:t>[</w:t>
      </w:r>
      <w:r w:rsidR="00631FB3">
        <w:t>18</w:t>
      </w:r>
      <w:r w:rsidR="0064340A" w:rsidRPr="000D3F86">
        <w:t xml:space="preserve">]. </w:t>
      </w:r>
      <w:r w:rsidR="00AC6AD2">
        <w:t xml:space="preserve">Similarly, a field trial with COMT-downregulated switchgrass reported an increase in xylose content for the transgenic </w:t>
      </w:r>
      <w:r w:rsidR="006C5035">
        <w:t>event</w:t>
      </w:r>
      <w:r w:rsidR="00AC6AD2">
        <w:t xml:space="preserve"> that displayed the strongest reduction in lignin content [</w:t>
      </w:r>
      <w:r w:rsidR="00631FB3">
        <w:t>21</w:t>
      </w:r>
      <w:r w:rsidR="00AC6AD2">
        <w:t xml:space="preserve">]. </w:t>
      </w:r>
      <w:r w:rsidR="0064340A" w:rsidRPr="0064340A">
        <w:t>In addition to altered hemicellulose levels, the transge</w:t>
      </w:r>
      <w:r w:rsidR="00AC6AD2">
        <w:t xml:space="preserve">nic </w:t>
      </w:r>
      <w:r w:rsidR="006C5035">
        <w:t>event</w:t>
      </w:r>
      <w:r w:rsidR="00AC6AD2">
        <w:t>s in this experiment e</w:t>
      </w:r>
      <w:r w:rsidR="00536C46">
        <w:t>xhibited a 16.0-18.6</w:t>
      </w:r>
      <w:r w:rsidR="0064340A" w:rsidRPr="0064340A">
        <w:t xml:space="preserve">% decrease in the index of cellulose crystallinity relative to their controls, suggesting that COMT-downregulation </w:t>
      </w:r>
      <w:r w:rsidR="00AC6AD2">
        <w:t xml:space="preserve">in field-grown switchgrass </w:t>
      </w:r>
      <w:r w:rsidR="0064340A" w:rsidRPr="0064340A">
        <w:t xml:space="preserve">might also have an indirect influence on structural characteristics of cellulose. A lower ratio of crystalline to amorphous cellulose is considered to be a desirable trait in bioenergy feedstocks since it can enhance enzymatic digestion of the cell wall </w:t>
      </w:r>
      <w:r w:rsidR="0064340A" w:rsidRPr="000D3F86">
        <w:t>[</w:t>
      </w:r>
      <w:r w:rsidR="00631FB3">
        <w:t>5</w:t>
      </w:r>
      <w:r w:rsidR="0064340A" w:rsidRPr="000D3F86">
        <w:t xml:space="preserve">]. </w:t>
      </w:r>
    </w:p>
    <w:p w:rsidR="00C00F50" w:rsidRDefault="00C00F50" w:rsidP="0064340A">
      <w:pPr>
        <w:spacing w:line="480" w:lineRule="auto"/>
      </w:pPr>
    </w:p>
    <w:p w:rsidR="0064340A" w:rsidRDefault="0057231A" w:rsidP="0064340A">
      <w:pPr>
        <w:spacing w:line="480" w:lineRule="auto"/>
      </w:pPr>
      <w:r w:rsidRPr="00157ABF">
        <w:t xml:space="preserve">Greenhouse </w:t>
      </w:r>
      <w:r w:rsidR="00870B1C">
        <w:t>experiments</w:t>
      </w:r>
      <w:r w:rsidRPr="00157ABF">
        <w:t xml:space="preserve"> </w:t>
      </w:r>
      <w:r>
        <w:t xml:space="preserve">with </w:t>
      </w:r>
      <w:r w:rsidR="0054294F">
        <w:t xml:space="preserve">transgenic </w:t>
      </w:r>
      <w:r>
        <w:t xml:space="preserve">switchgrass </w:t>
      </w:r>
      <w:r w:rsidRPr="00157ABF">
        <w:t xml:space="preserve">have demonstrated the advantages of lignin downregulation for improving sugar release and ethanol yield in </w:t>
      </w:r>
      <w:r>
        <w:t xml:space="preserve">live, </w:t>
      </w:r>
      <w:r w:rsidRPr="00157ABF">
        <w:t>green plants</w:t>
      </w:r>
      <w:r>
        <w:t xml:space="preserve"> [</w:t>
      </w:r>
      <w:r w:rsidR="00631FB3">
        <w:t>18</w:t>
      </w:r>
      <w:r>
        <w:t xml:space="preserve">, </w:t>
      </w:r>
      <w:r w:rsidR="00631FB3">
        <w:t>19</w:t>
      </w:r>
      <w:r>
        <w:t xml:space="preserve">, </w:t>
      </w:r>
      <w:proofErr w:type="gramStart"/>
      <w:r w:rsidR="00631FB3">
        <w:t>20</w:t>
      </w:r>
      <w:proofErr w:type="gramEnd"/>
      <w:r>
        <w:t xml:space="preserve">]. </w:t>
      </w:r>
      <w:r w:rsidR="004D37C1">
        <w:t xml:space="preserve">However, </w:t>
      </w:r>
      <w:r w:rsidR="0054294F">
        <w:t>the improved traits observed in young green plants grown in low-stress environments may or may not be retained in mature field-grown plants due to environmental and age-related effects. Additionally, the use of senesced biomass harvested after the killing frost at the end of the growing season is preferable for most commercial biofuel conversion technologies due to its reduced mineral and moisture content [</w:t>
      </w:r>
      <w:r w:rsidR="00631FB3">
        <w:t>27</w:t>
      </w:r>
      <w:r w:rsidR="0054294F">
        <w:t xml:space="preserve">]. For these reasons, greenhouse studies need to be validated in a realistic growth environment using biomass harvested after senescence in order to truly assess the economic potential of lignin-modified switchgrass as a bioenergy feedstock. In the first year analyses, the release of glucose and total sugars (glucose and xylose combined) from </w:t>
      </w:r>
      <w:r w:rsidR="0054294F">
        <w:lastRenderedPageBreak/>
        <w:t xml:space="preserve">field-grown biomass were significantly higher in both transgenic </w:t>
      </w:r>
      <w:r w:rsidR="00B55776">
        <w:t>events</w:t>
      </w:r>
      <w:r w:rsidR="0054294F">
        <w:t xml:space="preserve"> relative to their corresponding controls, but only in plants that were harvested while green. For plants harvested after senescence, only event COMT2 exhibited a higher release of sugars relative to its control. </w:t>
      </w:r>
      <w:r w:rsidR="00C20360">
        <w:t>More consistent results for sugar release were observed in the established plants harvested in the second year;</w:t>
      </w:r>
      <w:r w:rsidR="0054294F">
        <w:t xml:space="preserve"> both transgenic events exhibited a higher release of glucose, xylose, and total sugars relative to their controls in both green- and senesced- harvested biomass. </w:t>
      </w:r>
      <w:r w:rsidR="0054294F" w:rsidRPr="00DF643E">
        <w:t xml:space="preserve">Most important, at the end of year two, senesced-tissues of COMT2 and COMT3 </w:t>
      </w:r>
      <w:r w:rsidR="0054294F">
        <w:t>event</w:t>
      </w:r>
      <w:r w:rsidR="0054294F" w:rsidRPr="00DF643E">
        <w:t>s had 32% and 34% higher sugar release, respectively, compared with t</w:t>
      </w:r>
      <w:r w:rsidR="0054294F">
        <w:t xml:space="preserve">heir controls. </w:t>
      </w:r>
      <w:r w:rsidR="0054294F" w:rsidRPr="00DF643E">
        <w:t xml:space="preserve">The altered lignin and improved </w:t>
      </w:r>
      <w:r w:rsidR="0054294F">
        <w:t>sugar release in the transgenic events harvested in year two</w:t>
      </w:r>
      <w:r w:rsidR="0054294F" w:rsidRPr="00DF643E">
        <w:t xml:space="preserve"> translated to a faster rate of fermentation and ethanol yield improvements of 28.0% (COMT2) and 21.4% (COMT</w:t>
      </w:r>
      <w:r w:rsidR="0054294F">
        <w:t>3) in senesced plants relative to their controls</w:t>
      </w:r>
      <w:r w:rsidR="0054294F" w:rsidRPr="00DF643E">
        <w:t>.</w:t>
      </w:r>
      <w:r w:rsidR="004D37C1" w:rsidRPr="00DF643E">
        <w:t xml:space="preserve"> </w:t>
      </w:r>
    </w:p>
    <w:p w:rsidR="00C00F50" w:rsidRPr="000D3F86" w:rsidRDefault="00C00F50" w:rsidP="0064340A">
      <w:pPr>
        <w:spacing w:line="480" w:lineRule="auto"/>
      </w:pPr>
    </w:p>
    <w:p w:rsidR="00AD750F" w:rsidRPr="000D3F86" w:rsidRDefault="00AD750F" w:rsidP="00097A19">
      <w:pPr>
        <w:spacing w:line="480" w:lineRule="auto"/>
      </w:pPr>
      <w:r w:rsidRPr="000D3F86">
        <w:t>While modifications to lignin biosynthesis can significantly improve the accessibility of fermentable sugars, some can be associated</w:t>
      </w:r>
      <w:r w:rsidR="00831D05">
        <w:t xml:space="preserve"> with</w:t>
      </w:r>
      <w:r w:rsidRPr="000D3F86">
        <w:t xml:space="preserve"> developmental abnormalities and </w:t>
      </w:r>
      <w:bookmarkStart w:id="175" w:name="OLE_LINK2"/>
      <w:bookmarkStart w:id="176" w:name="OLE_LINK3"/>
      <w:r w:rsidRPr="000D3F86">
        <w:t>yield reductions which could potentially offset the positive gains in saccharification and ethanol yield</w:t>
      </w:r>
      <w:bookmarkEnd w:id="175"/>
      <w:bookmarkEnd w:id="176"/>
      <w:r w:rsidRPr="000D3F86">
        <w:t xml:space="preserve"> [</w:t>
      </w:r>
      <w:r w:rsidR="00631FB3">
        <w:t>52</w:t>
      </w:r>
      <w:r w:rsidRPr="000D3F86">
        <w:t xml:space="preserve">]. In particular, the downregulation of genes that occur early in the lignin biosynthetic pathway frequently result in dwarfing phenotypes and biomass yield reductions. This dwarfing could be a direct consequence of the lignin deficiency, as lignin plays an essential role in developmental and growth-related processes in plants. Growth abnormalities could also be triggered indirectly, possibly through disruptions to phenylpropanoid metabolism or through the accumulation of lignin pathway </w:t>
      </w:r>
      <w:r w:rsidRPr="000D3F86">
        <w:lastRenderedPageBreak/>
        <w:t>intermediates that could be inhibitory to growth [</w:t>
      </w:r>
      <w:r w:rsidR="00631FB3">
        <w:t>52</w:t>
      </w:r>
      <w:r w:rsidRPr="000D3F86">
        <w:t xml:space="preserve">]. One advantage of silencing genes that occur later in the pathway is that it tends to have less impact on plant growth and productivity. </w:t>
      </w:r>
      <w:r w:rsidR="00870B1C">
        <w:t>In this respect, COMT downregulation in grass species has been shown to have minimal effects on growth and development, including greenhouse-grown switchgrass and maize, and field-grown perennial ryegrass [</w:t>
      </w:r>
      <w:r w:rsidR="00631FB3">
        <w:t>18</w:t>
      </w:r>
      <w:r w:rsidR="00870B1C">
        <w:t xml:space="preserve">, </w:t>
      </w:r>
      <w:r w:rsidR="00631FB3">
        <w:t>21</w:t>
      </w:r>
      <w:r w:rsidR="00870B1C">
        <w:t xml:space="preserve">, </w:t>
      </w:r>
      <w:proofErr w:type="gramStart"/>
      <w:r w:rsidR="00631FB3">
        <w:t>38</w:t>
      </w:r>
      <w:proofErr w:type="gramEnd"/>
      <w:r w:rsidR="00870B1C">
        <w:t>]</w:t>
      </w:r>
      <w:r w:rsidRPr="000D3F86">
        <w:t>. In sugarcane (</w:t>
      </w:r>
      <w:r w:rsidRPr="000D3F86">
        <w:rPr>
          <w:i/>
        </w:rPr>
        <w:t>Saccharum</w:t>
      </w:r>
      <w:r w:rsidRPr="000D3F86">
        <w:t xml:space="preserve"> spp. hybrids), COMT downregulation was shown to negatively impact biomass yield in the transgenic </w:t>
      </w:r>
      <w:r w:rsidR="006C5035">
        <w:t>event</w:t>
      </w:r>
      <w:r w:rsidRPr="000D3F86">
        <w:t xml:space="preserve"> that showed the greatest reduction in lignin content, whereas all other transgenic </w:t>
      </w:r>
      <w:r w:rsidR="006C5035">
        <w:t>event</w:t>
      </w:r>
      <w:r w:rsidRPr="000D3F86">
        <w:t>s in the study had no growth abnormalities or yield penalties. These observations were consistent under both greenhouse and field conditions [</w:t>
      </w:r>
      <w:r w:rsidR="00631FB3">
        <w:t>44</w:t>
      </w:r>
      <w:r w:rsidRPr="000D3F86">
        <w:t xml:space="preserve">, </w:t>
      </w:r>
      <w:r w:rsidR="00631FB3">
        <w:t>17</w:t>
      </w:r>
      <w:r w:rsidRPr="000D3F86">
        <w:t xml:space="preserve">]. </w:t>
      </w:r>
      <w:r w:rsidR="004D37C1">
        <w:t xml:space="preserve">In this study, </w:t>
      </w:r>
      <w:r w:rsidR="006C5035">
        <w:t>event</w:t>
      </w:r>
      <w:r w:rsidR="004D37C1">
        <w:t xml:space="preserve"> COMT2 was phenotypically similar to its control and had no difference in dry weight biomass yield in the first growing season. In the second growing season, </w:t>
      </w:r>
      <w:r w:rsidR="006C5035">
        <w:t>event</w:t>
      </w:r>
      <w:r w:rsidR="004D37C1">
        <w:t xml:space="preserve"> COMT2 exhibited an increase in tiller height and plant width, as well as an 18% increase in dry weight biomass yield relative to its control. In contrast, </w:t>
      </w:r>
      <w:r w:rsidR="006C5035">
        <w:t>event</w:t>
      </w:r>
      <w:r w:rsidR="004D37C1">
        <w:t xml:space="preserve"> COMT3 yielded less biomass than its control during the first growing season, but was not significantly different than its corresponding control in the second growing </w:t>
      </w:r>
      <w:r w:rsidR="004D37C1" w:rsidRPr="00B000F2">
        <w:t>season.</w:t>
      </w:r>
      <w:r w:rsidR="004D37C1">
        <w:t xml:space="preserve"> </w:t>
      </w:r>
      <w:r w:rsidRPr="000D3F86">
        <w:t>Because this event showed normal growth and development under greenhouse conditions [</w:t>
      </w:r>
      <w:r w:rsidR="00631FB3">
        <w:t>18</w:t>
      </w:r>
      <w:r w:rsidRPr="000D3F86">
        <w:t>] and under field conditions once adequately established, it is likely that the apparent yield reduction observed in the first growing season was an effect of establishment year.  Examples from literature suggest that switchgrass can be slow to establish and can require multiple years to reach their full yield potential [</w:t>
      </w:r>
      <w:r w:rsidR="00631FB3">
        <w:t>53</w:t>
      </w:r>
      <w:r w:rsidRPr="000D3F86">
        <w:t xml:space="preserve">, </w:t>
      </w:r>
      <w:r w:rsidR="00631FB3">
        <w:t>54</w:t>
      </w:r>
      <w:r w:rsidRPr="000D3F86">
        <w:t>]; consequently, switchgrass stands that exhibit poor growth during the establishment year often produce significantly higher yields in the following growing seasons [</w:t>
      </w:r>
      <w:r w:rsidR="00631FB3">
        <w:t>54</w:t>
      </w:r>
      <w:r w:rsidRPr="000D3F86">
        <w:t xml:space="preserve">]. </w:t>
      </w:r>
      <w:r w:rsidR="004D37C1" w:rsidRPr="000D3F86">
        <w:t xml:space="preserve">From this, it can be </w:t>
      </w:r>
      <w:r w:rsidR="004D37C1" w:rsidRPr="000D3F86">
        <w:lastRenderedPageBreak/>
        <w:t>inferred that measures of biomass yield obtained from plants harvested in the</w:t>
      </w:r>
      <w:r w:rsidR="004D37C1">
        <w:t xml:space="preserve"> subsequent</w:t>
      </w:r>
      <w:r w:rsidR="004D37C1" w:rsidRPr="000D3F86">
        <w:t xml:space="preserve"> </w:t>
      </w:r>
      <w:r w:rsidR="004D37C1">
        <w:t>years following establishment may b</w:t>
      </w:r>
      <w:r w:rsidR="004D37C1" w:rsidRPr="000D3F86">
        <w:t xml:space="preserve">e </w:t>
      </w:r>
      <w:r w:rsidR="004D37C1">
        <w:t>more realistic and reliable than</w:t>
      </w:r>
      <w:r w:rsidR="004D37C1" w:rsidRPr="000D3F86">
        <w:t xml:space="preserve"> those obtained in </w:t>
      </w:r>
      <w:r w:rsidR="004D37C1">
        <w:t>the initial year of planting</w:t>
      </w:r>
      <w:r w:rsidR="004D37C1" w:rsidRPr="000D3F86">
        <w:t xml:space="preserve">. </w:t>
      </w:r>
    </w:p>
    <w:p w:rsidR="00D5150B" w:rsidRPr="000D3F86" w:rsidRDefault="00D5150B" w:rsidP="00097A19">
      <w:pPr>
        <w:spacing w:line="480" w:lineRule="auto"/>
      </w:pPr>
    </w:p>
    <w:p w:rsidR="0035485D" w:rsidRDefault="00AD750F" w:rsidP="00097A19">
      <w:pPr>
        <w:spacing w:line="480" w:lineRule="auto"/>
      </w:pPr>
      <w:r w:rsidRPr="000D3F86">
        <w:t>In addition to potential effects on biomass yield, another concern when evaluating the sustainability of plants with reduced lignin content is the effect of altered cell wall integrity on susceptibility of the plant to biotic stresses. Lignin and its precursors play a central role in defense against pathogens, both as a physical barrier against pathogen entry and as an induced response to infection [</w:t>
      </w:r>
      <w:r w:rsidR="00631FB3">
        <w:t>28</w:t>
      </w:r>
      <w:r w:rsidRPr="000D3F86">
        <w:t xml:space="preserve">, </w:t>
      </w:r>
      <w:r w:rsidR="00631FB3">
        <w:t>29</w:t>
      </w:r>
      <w:r w:rsidRPr="000D3F86">
        <w:t>]. Given the potential threat posed by fungal pathogens and insect pests to the successful establishment and sustainability of bioenergy feedstocks [</w:t>
      </w:r>
      <w:r w:rsidR="00631FB3">
        <w:t>55</w:t>
      </w:r>
      <w:r w:rsidRPr="000D3F86">
        <w:t xml:space="preserve">], the possible consequences of reduced lignin on plant susceptibility to such stresses must be thoroughly evaluated in a field setting. </w:t>
      </w:r>
      <w:r w:rsidR="004E73E9">
        <w:t xml:space="preserve">Rust disease, caused by </w:t>
      </w:r>
      <w:r w:rsidR="004E73E9" w:rsidRPr="004E73E9">
        <w:rPr>
          <w:i/>
        </w:rPr>
        <w:t>Puccinia emaculata</w:t>
      </w:r>
      <w:r w:rsidR="004E73E9">
        <w:t>, has been identified as being potentially damaging to the quality and yield of switchgrass grown for biofuel production [</w:t>
      </w:r>
      <w:r w:rsidR="00631FB3">
        <w:t>56</w:t>
      </w:r>
      <w:r w:rsidR="004E73E9">
        <w:t>].</w:t>
      </w:r>
      <w:r w:rsidR="0035485D">
        <w:t>The downregulation of COMT has been shown to have varying effects on the susceptibility of field-grown transgenic crops to different rust sp</w:t>
      </w:r>
      <w:r w:rsidR="004E73E9">
        <w:t>ecies;</w:t>
      </w:r>
      <w:r w:rsidR="0035485D">
        <w:t xml:space="preserve"> COMT downregulation in perennial ryegrass increased the susceptibility of field-grown transgenic plants to rust </w:t>
      </w:r>
      <w:r w:rsidR="0035485D" w:rsidRPr="000D3F86">
        <w:t>[</w:t>
      </w:r>
      <w:r w:rsidR="00631FB3">
        <w:t>38</w:t>
      </w:r>
      <w:r w:rsidR="0035485D">
        <w:t xml:space="preserve">], but had no effect on rust susceptibility in COMT-downregulated sugarcane or poplar grown in the field </w:t>
      </w:r>
      <w:r w:rsidR="0035485D" w:rsidRPr="000D3F86">
        <w:t>[</w:t>
      </w:r>
      <w:r w:rsidR="00631FB3">
        <w:t>44</w:t>
      </w:r>
      <w:r w:rsidR="0035485D" w:rsidRPr="000D3F86">
        <w:t>,</w:t>
      </w:r>
      <w:r w:rsidR="004E73E9">
        <w:t xml:space="preserve"> </w:t>
      </w:r>
      <w:r w:rsidR="00631FB3">
        <w:t>57</w:t>
      </w:r>
      <w:r w:rsidR="0035485D" w:rsidRPr="000D3F86">
        <w:t xml:space="preserve">]. </w:t>
      </w:r>
      <w:r w:rsidR="0035485D">
        <w:t xml:space="preserve">In this study, the most common pathogens </w:t>
      </w:r>
      <w:r w:rsidR="00E53B3A">
        <w:t xml:space="preserve">observed in the field were </w:t>
      </w:r>
      <w:r w:rsidR="0035485D" w:rsidRPr="005F179E">
        <w:rPr>
          <w:i/>
        </w:rPr>
        <w:t>Puccinia emaculata</w:t>
      </w:r>
      <w:r w:rsidR="0035485D">
        <w:t xml:space="preserve"> and a </w:t>
      </w:r>
      <w:r w:rsidR="0035485D" w:rsidRPr="00F26DE5">
        <w:rPr>
          <w:i/>
        </w:rPr>
        <w:t>Bipolaris</w:t>
      </w:r>
      <w:r w:rsidR="0035485D">
        <w:t xml:space="preserve"> species. The severity of </w:t>
      </w:r>
      <w:r w:rsidR="0035485D" w:rsidRPr="00CD10F4">
        <w:rPr>
          <w:i/>
        </w:rPr>
        <w:t>Bipolaris</w:t>
      </w:r>
      <w:r w:rsidR="0035485D">
        <w:t xml:space="preserve"> was minimal and rust susceptibility did not differ in COMT-downregulated switchgrass plants </w:t>
      </w:r>
      <w:r w:rsidR="0035485D">
        <w:lastRenderedPageBreak/>
        <w:t>relative to their non-transgenic controls.  Additionally, no major insect damage to the leaves of control or transgenic plants was observed.</w:t>
      </w:r>
    </w:p>
    <w:p w:rsidR="0035485D" w:rsidRDefault="0035485D" w:rsidP="00097A19">
      <w:pPr>
        <w:spacing w:line="480" w:lineRule="auto"/>
      </w:pPr>
    </w:p>
    <w:p w:rsidR="00C3177F" w:rsidRDefault="00711244" w:rsidP="00085EBF">
      <w:pPr>
        <w:spacing w:line="480" w:lineRule="auto"/>
      </w:pPr>
      <w:r w:rsidRPr="000D3F86">
        <w:t>The results obtained from second year analyses were generally in agreement with the findings of the greenhouse study. In summary, lignin content remained relatively constant for both years of the field study, while the reduction in the S/G ratio in the transgenic events relative to their controls was much greater in second-year harvested plants. Similarly, sugar release and ethanol yield results were better in second-year harvested transgenic events, and no negative impacts on biomass yield or disease susceptibility were observ</w:t>
      </w:r>
      <w:r w:rsidR="00870B1C">
        <w:t xml:space="preserve">ed </w:t>
      </w:r>
      <w:r w:rsidRPr="000D3F86">
        <w:t>(</w:t>
      </w:r>
      <w:r w:rsidR="00152D54">
        <w:t xml:space="preserve">results summarized in </w:t>
      </w:r>
      <w:r w:rsidRPr="000D3F86">
        <w:t xml:space="preserve">Table </w:t>
      </w:r>
      <w:r w:rsidR="00EA03CD">
        <w:t>B.</w:t>
      </w:r>
      <w:r w:rsidRPr="000D3F86">
        <w:t xml:space="preserve">4). Inconsistent and variable results obtained in the first year may be attributable to the newly-transplanted plants acclimating to the stressful transition from greenhouse to field. This underlines the need for field trials of at least two years in order to fully evaluate the biofuel feedstock potential of transgenic switchgrass with altered lignin biosynthesis. Considering the important developmental and stress-related roles of lignin, plants deficient in lignin biosynthesis could initially be more susceptible to this critical transition period than </w:t>
      </w:r>
      <w:r w:rsidR="00CA6A3C">
        <w:t>the</w:t>
      </w:r>
      <w:r w:rsidRPr="000D3F86">
        <w:t xml:space="preserve"> non-transgenic </w:t>
      </w:r>
      <w:r w:rsidR="00CA6A3C">
        <w:t>controls</w:t>
      </w:r>
      <w:r w:rsidRPr="000D3F86">
        <w:t xml:space="preserve">. If so, this could have perhaps be avoided by transplanting earlier in the growing season to allow the plants more time to acclimate before end-of-season harvest.  </w:t>
      </w:r>
    </w:p>
    <w:p w:rsidR="00C3177F" w:rsidRDefault="00C3177F" w:rsidP="00085EBF">
      <w:pPr>
        <w:spacing w:line="480" w:lineRule="auto"/>
      </w:pPr>
    </w:p>
    <w:p w:rsidR="00B64324" w:rsidRPr="000D3F86" w:rsidRDefault="00711244" w:rsidP="00085EBF">
      <w:pPr>
        <w:spacing w:line="480" w:lineRule="auto"/>
        <w:rPr>
          <w:b/>
          <w:i/>
          <w:color w:val="000000"/>
        </w:rPr>
      </w:pPr>
      <w:r w:rsidRPr="000D3F86">
        <w:t xml:space="preserve">Taken together, observations from this study suggest that improvements in saccharification and ethanol yield can be maintained in transgenic switchgrass plants grown under agronomic field conditions once plants are fully established. </w:t>
      </w:r>
      <w:r w:rsidR="0035485D" w:rsidRPr="00E066BD">
        <w:t>This first two-</w:t>
      </w:r>
      <w:r w:rsidR="0035485D" w:rsidRPr="00E066BD">
        <w:lastRenderedPageBreak/>
        <w:t xml:space="preserve">year field trial of a transgenic herbaceous cellulosic feedstock shows that genetic engineering of an appropriate lignin target, in this case decreasing the expression of caffeic acid </w:t>
      </w:r>
      <w:r w:rsidR="0035485D" w:rsidRPr="00E066BD">
        <w:rPr>
          <w:i/>
        </w:rPr>
        <w:t>O</w:t>
      </w:r>
      <w:r w:rsidR="0035485D" w:rsidRPr="00E066BD">
        <w:t xml:space="preserve">-methyltransferase, can confer significant real-world improvements in biofuel yield </w:t>
      </w:r>
      <w:r w:rsidR="00870B1C">
        <w:t>without negatively impacting biomass yield or disease susceptibility</w:t>
      </w:r>
      <w:r w:rsidR="0035485D" w:rsidRPr="00E066BD">
        <w:t>.</w:t>
      </w:r>
    </w:p>
    <w:p w:rsidR="00B64324" w:rsidRPr="000D3F86" w:rsidRDefault="00B64324" w:rsidP="00097A19">
      <w:pPr>
        <w:tabs>
          <w:tab w:val="left" w:pos="3932"/>
        </w:tabs>
        <w:spacing w:line="480" w:lineRule="auto"/>
        <w:jc w:val="both"/>
        <w:rPr>
          <w:b/>
          <w:i/>
          <w:color w:val="000000"/>
        </w:rPr>
      </w:pPr>
    </w:p>
    <w:p w:rsidR="00236E6D" w:rsidRDefault="00236E6D" w:rsidP="00CD2C0E">
      <w:pPr>
        <w:pStyle w:val="Heading2"/>
        <w:jc w:val="left"/>
      </w:pPr>
      <w:r w:rsidRPr="000D3F86">
        <w:rPr>
          <w:sz w:val="24"/>
        </w:rPr>
        <w:br w:type="page"/>
      </w:r>
      <w:r w:rsidR="00C050E8">
        <w:lastRenderedPageBreak/>
        <w:t>References</w:t>
      </w:r>
    </w:p>
    <w:p w:rsidR="00C050E8" w:rsidRPr="00C050E8" w:rsidRDefault="00C050E8" w:rsidP="00097A19"/>
    <w:p w:rsidR="00FA6B90" w:rsidRPr="000D3F86" w:rsidRDefault="00FA6B90" w:rsidP="00097A19">
      <w:pPr>
        <w:pStyle w:val="ListParagraph"/>
        <w:numPr>
          <w:ilvl w:val="0"/>
          <w:numId w:val="43"/>
        </w:numPr>
        <w:spacing w:line="240" w:lineRule="auto"/>
        <w:rPr>
          <w:rFonts w:ascii="Times New Roman" w:hAnsi="Times New Roman"/>
          <w:sz w:val="24"/>
          <w:szCs w:val="24"/>
        </w:rPr>
      </w:pPr>
      <w:bookmarkStart w:id="177" w:name="_Ref357698375"/>
      <w:r w:rsidRPr="000D3F86">
        <w:rPr>
          <w:rFonts w:ascii="Times New Roman" w:hAnsi="Times New Roman"/>
          <w:sz w:val="24"/>
          <w:szCs w:val="24"/>
        </w:rPr>
        <w:t>McLaughlin, S.B. &amp; Kszos, L.A. Development of switchgrass (</w:t>
      </w:r>
      <w:r w:rsidRPr="000D3F86">
        <w:rPr>
          <w:rFonts w:ascii="Times New Roman" w:hAnsi="Times New Roman"/>
          <w:i/>
          <w:sz w:val="24"/>
          <w:szCs w:val="24"/>
        </w:rPr>
        <w:t>Panicum virgatum</w:t>
      </w:r>
      <w:r w:rsidRPr="000D3F86">
        <w:rPr>
          <w:rFonts w:ascii="Times New Roman" w:hAnsi="Times New Roman"/>
          <w:sz w:val="24"/>
          <w:szCs w:val="24"/>
        </w:rPr>
        <w:t xml:space="preserve">) as a bioenergy feedstock in the United States. </w:t>
      </w:r>
      <w:r w:rsidRPr="000D3F86">
        <w:rPr>
          <w:rFonts w:ascii="Times New Roman" w:hAnsi="Times New Roman"/>
          <w:i/>
          <w:sz w:val="24"/>
          <w:szCs w:val="24"/>
        </w:rPr>
        <w:t>Biomass and Bioenergy</w:t>
      </w:r>
      <w:r w:rsidRPr="000D3F86">
        <w:rPr>
          <w:rFonts w:ascii="Times New Roman" w:hAnsi="Times New Roman"/>
          <w:sz w:val="24"/>
          <w:szCs w:val="24"/>
        </w:rPr>
        <w:t xml:space="preserve"> </w:t>
      </w:r>
      <w:r w:rsidRPr="000D3F86">
        <w:rPr>
          <w:rFonts w:ascii="Times New Roman" w:hAnsi="Times New Roman"/>
          <w:b/>
          <w:sz w:val="24"/>
          <w:szCs w:val="24"/>
        </w:rPr>
        <w:t>28</w:t>
      </w:r>
      <w:r w:rsidRPr="000D3F86">
        <w:rPr>
          <w:rFonts w:ascii="Times New Roman" w:hAnsi="Times New Roman"/>
          <w:sz w:val="24"/>
          <w:szCs w:val="24"/>
        </w:rPr>
        <w:t>, 515-535</w:t>
      </w:r>
      <w:bookmarkEnd w:id="177"/>
      <w:r w:rsidRPr="000D3F86">
        <w:rPr>
          <w:rFonts w:ascii="Times New Roman" w:hAnsi="Times New Roman"/>
          <w:sz w:val="24"/>
          <w:szCs w:val="24"/>
        </w:rPr>
        <w:t xml:space="preserve"> (2005).</w:t>
      </w:r>
    </w:p>
    <w:p w:rsidR="00FA6B90" w:rsidRPr="000D3F86" w:rsidRDefault="00FA6B90" w:rsidP="00097A19">
      <w:pPr>
        <w:pStyle w:val="ListParagraph"/>
        <w:numPr>
          <w:ilvl w:val="0"/>
          <w:numId w:val="43"/>
        </w:numPr>
        <w:spacing w:line="240" w:lineRule="auto"/>
        <w:rPr>
          <w:rFonts w:ascii="Times New Roman" w:hAnsi="Times New Roman"/>
          <w:sz w:val="24"/>
          <w:szCs w:val="24"/>
        </w:rPr>
      </w:pPr>
      <w:bookmarkStart w:id="178" w:name="_Ref363734246"/>
      <w:r w:rsidRPr="000D3F86">
        <w:rPr>
          <w:rFonts w:ascii="Times New Roman" w:hAnsi="Times New Roman"/>
          <w:sz w:val="24"/>
          <w:szCs w:val="24"/>
        </w:rPr>
        <w:t>Parrish, D.J. &amp; Fike, J.H. The biology and agronomy of switchgrass for biofuels. </w:t>
      </w:r>
      <w:r w:rsidRPr="000D3F86">
        <w:rPr>
          <w:rFonts w:ascii="Times New Roman" w:hAnsi="Times New Roman"/>
          <w:i/>
          <w:iCs/>
          <w:sz w:val="24"/>
          <w:szCs w:val="24"/>
        </w:rPr>
        <w:t>BPTS</w:t>
      </w:r>
      <w:r w:rsidRPr="000D3F86">
        <w:rPr>
          <w:rFonts w:ascii="Times New Roman" w:hAnsi="Times New Roman"/>
          <w:sz w:val="24"/>
          <w:szCs w:val="24"/>
        </w:rPr>
        <w:t>, </w:t>
      </w:r>
      <w:r w:rsidRPr="000D3F86">
        <w:rPr>
          <w:rFonts w:ascii="Times New Roman" w:hAnsi="Times New Roman"/>
          <w:b/>
          <w:iCs/>
          <w:sz w:val="24"/>
          <w:szCs w:val="24"/>
        </w:rPr>
        <w:t xml:space="preserve">24 </w:t>
      </w:r>
      <w:r w:rsidRPr="000D3F86">
        <w:rPr>
          <w:rFonts w:ascii="Times New Roman" w:hAnsi="Times New Roman"/>
          <w:sz w:val="24"/>
          <w:szCs w:val="24"/>
        </w:rPr>
        <w:t>(5-6), 423-459</w:t>
      </w:r>
      <w:bookmarkEnd w:id="178"/>
      <w:r w:rsidRPr="000D3F86">
        <w:rPr>
          <w:rFonts w:ascii="Times New Roman" w:hAnsi="Times New Roman"/>
          <w:sz w:val="24"/>
          <w:szCs w:val="24"/>
        </w:rPr>
        <w:t xml:space="preserve"> (2005).</w:t>
      </w:r>
    </w:p>
    <w:p w:rsidR="00FA6B90" w:rsidRPr="000D3F86" w:rsidRDefault="00FA6B90" w:rsidP="00097A19">
      <w:pPr>
        <w:pStyle w:val="ListParagraph"/>
        <w:numPr>
          <w:ilvl w:val="0"/>
          <w:numId w:val="43"/>
        </w:numPr>
        <w:shd w:val="clear" w:color="auto" w:fill="FFFFFF"/>
        <w:spacing w:after="0" w:line="240" w:lineRule="auto"/>
        <w:textAlignment w:val="baseline"/>
        <w:rPr>
          <w:rFonts w:ascii="Times New Roman" w:eastAsia="Arial Unicode MS" w:hAnsi="Times New Roman"/>
          <w:sz w:val="24"/>
          <w:szCs w:val="24"/>
        </w:rPr>
      </w:pPr>
      <w:bookmarkStart w:id="179" w:name="_Ref357698487"/>
      <w:r w:rsidRPr="000D3F86">
        <w:rPr>
          <w:rFonts w:ascii="Times New Roman" w:eastAsia="Arial Unicode MS" w:hAnsi="Times New Roman"/>
          <w:sz w:val="24"/>
          <w:szCs w:val="24"/>
        </w:rPr>
        <w:t xml:space="preserve">McLaughlin, S.B. &amp; Walsh, M.E. </w:t>
      </w:r>
      <w:proofErr w:type="gramStart"/>
      <w:r w:rsidRPr="000D3F86">
        <w:rPr>
          <w:rFonts w:ascii="Times New Roman" w:eastAsia="Arial Unicode MS" w:hAnsi="Times New Roman"/>
          <w:bCs/>
          <w:sz w:val="24"/>
          <w:szCs w:val="24"/>
        </w:rPr>
        <w:t>Evaluating</w:t>
      </w:r>
      <w:proofErr w:type="gramEnd"/>
      <w:r w:rsidRPr="000D3F86">
        <w:rPr>
          <w:rFonts w:ascii="Times New Roman" w:eastAsia="Arial Unicode MS" w:hAnsi="Times New Roman"/>
          <w:bCs/>
          <w:sz w:val="24"/>
          <w:szCs w:val="24"/>
        </w:rPr>
        <w:t xml:space="preserve"> environmental consequences of producing herbaceous crops for bioenergy. </w:t>
      </w:r>
      <w:r w:rsidRPr="000D3F86">
        <w:rPr>
          <w:rFonts w:ascii="Times New Roman" w:eastAsia="Arial Unicode MS" w:hAnsi="Times New Roman"/>
          <w:i/>
          <w:sz w:val="24"/>
          <w:szCs w:val="24"/>
        </w:rPr>
        <w:t>Biomass and Bioenergy</w:t>
      </w:r>
      <w:r w:rsidRPr="000D3F86">
        <w:rPr>
          <w:rFonts w:ascii="Times New Roman" w:eastAsia="Arial Unicode MS" w:hAnsi="Times New Roman"/>
          <w:sz w:val="24"/>
          <w:szCs w:val="24"/>
        </w:rPr>
        <w:t xml:space="preserve"> </w:t>
      </w:r>
      <w:r w:rsidRPr="000D3F86">
        <w:rPr>
          <w:rFonts w:ascii="Times New Roman" w:eastAsia="Arial Unicode MS" w:hAnsi="Times New Roman"/>
          <w:b/>
          <w:sz w:val="24"/>
          <w:szCs w:val="24"/>
        </w:rPr>
        <w:t>14</w:t>
      </w:r>
      <w:r w:rsidRPr="000D3F86">
        <w:rPr>
          <w:rFonts w:ascii="Times New Roman" w:eastAsia="Arial Unicode MS" w:hAnsi="Times New Roman"/>
          <w:sz w:val="24"/>
          <w:szCs w:val="24"/>
        </w:rPr>
        <w:t>, 317-324</w:t>
      </w:r>
      <w:bookmarkEnd w:id="179"/>
      <w:r w:rsidRPr="000D3F86">
        <w:rPr>
          <w:rFonts w:ascii="Times New Roman" w:eastAsia="Arial Unicode MS" w:hAnsi="Times New Roman"/>
          <w:sz w:val="24"/>
          <w:szCs w:val="24"/>
        </w:rPr>
        <w:t xml:space="preserve"> (1998).</w:t>
      </w:r>
    </w:p>
    <w:p w:rsidR="00FA6B90" w:rsidRPr="000D3F86" w:rsidRDefault="00FA6B90" w:rsidP="00097A19">
      <w:pPr>
        <w:pStyle w:val="ListParagraph"/>
        <w:numPr>
          <w:ilvl w:val="0"/>
          <w:numId w:val="43"/>
        </w:numPr>
        <w:spacing w:line="240" w:lineRule="auto"/>
        <w:rPr>
          <w:rFonts w:ascii="Times New Roman" w:hAnsi="Times New Roman"/>
          <w:sz w:val="24"/>
          <w:szCs w:val="24"/>
        </w:rPr>
      </w:pPr>
      <w:bookmarkStart w:id="180" w:name="_Ref357698499"/>
      <w:r w:rsidRPr="000D3F86">
        <w:rPr>
          <w:rFonts w:ascii="Times New Roman" w:hAnsi="Times New Roman"/>
          <w:sz w:val="24"/>
          <w:szCs w:val="24"/>
        </w:rPr>
        <w:t xml:space="preserve">Schmer, M.R., Vogel, K.P., Mitchell, R.B., &amp; Perrin, R.K. Net energy of cellulosic ethanol from switchgrass. </w:t>
      </w:r>
      <w:r w:rsidRPr="000D3F86">
        <w:rPr>
          <w:rFonts w:ascii="Times New Roman" w:hAnsi="Times New Roman"/>
          <w:i/>
          <w:sz w:val="24"/>
          <w:szCs w:val="24"/>
        </w:rPr>
        <w:t>Proc. Natl. Acad. Sci. USA</w:t>
      </w:r>
      <w:r w:rsidRPr="000D3F86">
        <w:rPr>
          <w:rFonts w:ascii="Times New Roman" w:hAnsi="Times New Roman"/>
          <w:i/>
          <w:iCs/>
          <w:sz w:val="24"/>
          <w:szCs w:val="24"/>
        </w:rPr>
        <w:t xml:space="preserve"> </w:t>
      </w:r>
      <w:r w:rsidRPr="000D3F86">
        <w:rPr>
          <w:rFonts w:ascii="Times New Roman" w:hAnsi="Times New Roman"/>
          <w:b/>
          <w:sz w:val="24"/>
          <w:szCs w:val="24"/>
        </w:rPr>
        <w:t>105</w:t>
      </w:r>
      <w:r w:rsidRPr="000D3F86">
        <w:rPr>
          <w:rFonts w:ascii="Times New Roman" w:hAnsi="Times New Roman"/>
          <w:sz w:val="24"/>
          <w:szCs w:val="24"/>
        </w:rPr>
        <w:t>, 464-469</w:t>
      </w:r>
      <w:bookmarkEnd w:id="180"/>
      <w:r w:rsidRPr="000D3F86">
        <w:rPr>
          <w:rFonts w:ascii="Times New Roman" w:hAnsi="Times New Roman"/>
          <w:sz w:val="24"/>
          <w:szCs w:val="24"/>
        </w:rPr>
        <w:t xml:space="preserve"> (2008).</w:t>
      </w:r>
    </w:p>
    <w:p w:rsidR="00FA6B90" w:rsidRPr="000D3F86" w:rsidRDefault="00FA6B90" w:rsidP="00097A19">
      <w:pPr>
        <w:pStyle w:val="ListParagraph"/>
        <w:numPr>
          <w:ilvl w:val="0"/>
          <w:numId w:val="43"/>
        </w:numPr>
        <w:spacing w:line="240" w:lineRule="auto"/>
        <w:rPr>
          <w:rFonts w:ascii="Times New Roman" w:hAnsi="Times New Roman"/>
          <w:sz w:val="24"/>
          <w:szCs w:val="24"/>
        </w:rPr>
      </w:pPr>
      <w:bookmarkStart w:id="181" w:name="_Ref357849582"/>
      <w:bookmarkStart w:id="182" w:name="_Ref357764163"/>
      <w:r w:rsidRPr="000D3F86">
        <w:rPr>
          <w:rFonts w:ascii="Times New Roman" w:hAnsi="Times New Roman"/>
          <w:sz w:val="24"/>
          <w:szCs w:val="24"/>
        </w:rPr>
        <w:t>Himmel, M.E</w:t>
      </w:r>
      <w:r w:rsidRPr="000D3F86">
        <w:rPr>
          <w:rFonts w:ascii="Times New Roman" w:hAnsi="Times New Roman"/>
          <w:i/>
          <w:sz w:val="24"/>
          <w:szCs w:val="24"/>
        </w:rPr>
        <w:t>. et al</w:t>
      </w:r>
      <w:r w:rsidRPr="000D3F86">
        <w:rPr>
          <w:rFonts w:ascii="Times New Roman" w:hAnsi="Times New Roman"/>
          <w:sz w:val="24"/>
          <w:szCs w:val="24"/>
        </w:rPr>
        <w:t>. Biomass recalcitrance: engineering plants and enzymes for biofuels</w:t>
      </w:r>
      <w:bookmarkEnd w:id="181"/>
      <w:r w:rsidRPr="000D3F86">
        <w:rPr>
          <w:rFonts w:ascii="Times New Roman" w:hAnsi="Times New Roman"/>
          <w:sz w:val="24"/>
          <w:szCs w:val="24"/>
        </w:rPr>
        <w:t xml:space="preserve"> </w:t>
      </w:r>
    </w:p>
    <w:p w:rsidR="00FA6B90" w:rsidRPr="000D3F86" w:rsidRDefault="00FA6B90" w:rsidP="00097A19">
      <w:pPr>
        <w:pStyle w:val="ListParagraph"/>
        <w:spacing w:line="240" w:lineRule="auto"/>
        <w:rPr>
          <w:rFonts w:ascii="Times New Roman" w:hAnsi="Times New Roman"/>
          <w:sz w:val="24"/>
          <w:szCs w:val="24"/>
        </w:rPr>
      </w:pPr>
      <w:proofErr w:type="gramStart"/>
      <w:r w:rsidRPr="000D3F86">
        <w:rPr>
          <w:rFonts w:ascii="Times New Roman" w:hAnsi="Times New Roman"/>
          <w:sz w:val="24"/>
          <w:szCs w:val="24"/>
        </w:rPr>
        <w:t>production</w:t>
      </w:r>
      <w:proofErr w:type="gramEnd"/>
      <w:r w:rsidRPr="000D3F86">
        <w:rPr>
          <w:rFonts w:ascii="Times New Roman" w:hAnsi="Times New Roman"/>
          <w:sz w:val="24"/>
          <w:szCs w:val="24"/>
        </w:rPr>
        <w:t xml:space="preserve">. </w:t>
      </w:r>
      <w:r w:rsidRPr="000D3F86">
        <w:rPr>
          <w:rFonts w:ascii="Times New Roman" w:hAnsi="Times New Roman"/>
          <w:i/>
          <w:sz w:val="24"/>
          <w:szCs w:val="24"/>
        </w:rPr>
        <w:t>Science</w:t>
      </w:r>
      <w:r w:rsidRPr="000D3F86">
        <w:rPr>
          <w:rFonts w:ascii="Times New Roman" w:hAnsi="Times New Roman"/>
          <w:sz w:val="24"/>
          <w:szCs w:val="24"/>
        </w:rPr>
        <w:t xml:space="preserve"> </w:t>
      </w:r>
      <w:r w:rsidRPr="000D3F86">
        <w:rPr>
          <w:rFonts w:ascii="Times New Roman" w:hAnsi="Times New Roman"/>
          <w:b/>
          <w:sz w:val="24"/>
          <w:szCs w:val="24"/>
        </w:rPr>
        <w:t>315</w:t>
      </w:r>
      <w:r w:rsidRPr="000D3F86">
        <w:rPr>
          <w:rFonts w:ascii="Times New Roman" w:hAnsi="Times New Roman"/>
          <w:sz w:val="24"/>
          <w:szCs w:val="24"/>
        </w:rPr>
        <w:t>, 804-807 (2007).</w:t>
      </w:r>
    </w:p>
    <w:p w:rsidR="00FA6B90" w:rsidRPr="000D3F86" w:rsidRDefault="00FA6B90" w:rsidP="00097A19">
      <w:pPr>
        <w:pStyle w:val="ListParagraph"/>
        <w:numPr>
          <w:ilvl w:val="0"/>
          <w:numId w:val="43"/>
        </w:numPr>
        <w:spacing w:line="240" w:lineRule="auto"/>
        <w:rPr>
          <w:rFonts w:ascii="Times New Roman" w:hAnsi="Times New Roman"/>
          <w:sz w:val="24"/>
          <w:szCs w:val="24"/>
        </w:rPr>
      </w:pPr>
      <w:bookmarkStart w:id="183" w:name="_Ref357849619"/>
      <w:r w:rsidRPr="000D3F86">
        <w:rPr>
          <w:rFonts w:ascii="Times New Roman" w:hAnsi="Times New Roman"/>
          <w:sz w:val="24"/>
          <w:szCs w:val="24"/>
        </w:rPr>
        <w:t>David, K. &amp; Ragauskas, A. Switchgrass as an energy crop for biofuel production: a review of its ligno-cellulosic chemical properties. </w:t>
      </w:r>
      <w:r w:rsidRPr="000D3F86">
        <w:rPr>
          <w:rFonts w:ascii="Times New Roman" w:hAnsi="Times New Roman"/>
          <w:i/>
          <w:iCs/>
          <w:sz w:val="24"/>
          <w:szCs w:val="24"/>
        </w:rPr>
        <w:t>Energy Environ. Sci.</w:t>
      </w:r>
      <w:r w:rsidRPr="000D3F86">
        <w:rPr>
          <w:rFonts w:ascii="Times New Roman" w:hAnsi="Times New Roman"/>
          <w:sz w:val="24"/>
          <w:szCs w:val="24"/>
        </w:rPr>
        <w:t xml:space="preserve"> </w:t>
      </w:r>
      <w:r w:rsidRPr="000D3F86">
        <w:rPr>
          <w:rFonts w:ascii="Times New Roman" w:hAnsi="Times New Roman"/>
          <w:b/>
          <w:sz w:val="24"/>
          <w:szCs w:val="24"/>
        </w:rPr>
        <w:t>3</w:t>
      </w:r>
      <w:r w:rsidRPr="000D3F86">
        <w:rPr>
          <w:rFonts w:ascii="Times New Roman" w:hAnsi="Times New Roman"/>
          <w:sz w:val="24"/>
          <w:szCs w:val="24"/>
        </w:rPr>
        <w:t>, 1182-1190</w:t>
      </w:r>
      <w:bookmarkEnd w:id="182"/>
      <w:bookmarkEnd w:id="183"/>
      <w:r w:rsidRPr="000D3F86">
        <w:rPr>
          <w:rFonts w:ascii="Times New Roman" w:hAnsi="Times New Roman"/>
          <w:sz w:val="24"/>
          <w:szCs w:val="24"/>
        </w:rPr>
        <w:t xml:space="preserve"> (</w:t>
      </w:r>
      <w:r w:rsidRPr="000D3F86">
        <w:rPr>
          <w:rFonts w:ascii="Times New Roman" w:hAnsi="Times New Roman"/>
          <w:bCs/>
          <w:sz w:val="24"/>
          <w:szCs w:val="24"/>
        </w:rPr>
        <w:t>2010).</w:t>
      </w:r>
    </w:p>
    <w:p w:rsidR="00FA6B90" w:rsidRPr="000D3F86" w:rsidRDefault="00FA6B90" w:rsidP="00097A19">
      <w:pPr>
        <w:pStyle w:val="ListParagraph"/>
        <w:numPr>
          <w:ilvl w:val="0"/>
          <w:numId w:val="43"/>
        </w:numPr>
        <w:spacing w:line="240" w:lineRule="auto"/>
        <w:rPr>
          <w:rFonts w:ascii="Times New Roman" w:hAnsi="Times New Roman"/>
          <w:sz w:val="24"/>
          <w:szCs w:val="24"/>
        </w:rPr>
      </w:pPr>
      <w:bookmarkStart w:id="184" w:name="_Ref357850197"/>
      <w:r w:rsidRPr="000D3F86">
        <w:rPr>
          <w:rFonts w:ascii="Times New Roman" w:hAnsi="Times New Roman"/>
          <w:sz w:val="24"/>
          <w:szCs w:val="24"/>
        </w:rPr>
        <w:t xml:space="preserve">Iiyama, K., Lam, T.B.T., &amp; Stone, B.A. </w:t>
      </w:r>
      <w:r w:rsidRPr="000D3F86">
        <w:rPr>
          <w:rFonts w:ascii="Times New Roman" w:hAnsi="Times New Roman"/>
          <w:i/>
          <w:sz w:val="24"/>
          <w:szCs w:val="24"/>
        </w:rPr>
        <w:t>Plant Physiol</w:t>
      </w:r>
      <w:r w:rsidRPr="000D3F86">
        <w:rPr>
          <w:rFonts w:ascii="Times New Roman" w:hAnsi="Times New Roman"/>
          <w:sz w:val="24"/>
          <w:szCs w:val="24"/>
        </w:rPr>
        <w:t xml:space="preserve">. </w:t>
      </w:r>
      <w:r w:rsidRPr="000D3F86">
        <w:rPr>
          <w:rFonts w:ascii="Times New Roman" w:hAnsi="Times New Roman"/>
          <w:b/>
          <w:sz w:val="24"/>
          <w:szCs w:val="24"/>
        </w:rPr>
        <w:t>104</w:t>
      </w:r>
      <w:r w:rsidRPr="000D3F86">
        <w:rPr>
          <w:rFonts w:ascii="Times New Roman" w:hAnsi="Times New Roman"/>
          <w:sz w:val="24"/>
          <w:szCs w:val="24"/>
        </w:rPr>
        <w:t>, 315 (1994).</w:t>
      </w:r>
      <w:bookmarkEnd w:id="184"/>
    </w:p>
    <w:p w:rsidR="00FA6B90" w:rsidRPr="000D3F86" w:rsidRDefault="00FA6B90" w:rsidP="00097A19">
      <w:pPr>
        <w:pStyle w:val="ListParagraph"/>
        <w:numPr>
          <w:ilvl w:val="0"/>
          <w:numId w:val="43"/>
        </w:numPr>
        <w:spacing w:line="240" w:lineRule="auto"/>
        <w:rPr>
          <w:rFonts w:ascii="Times New Roman" w:hAnsi="Times New Roman"/>
          <w:sz w:val="24"/>
          <w:szCs w:val="24"/>
        </w:rPr>
      </w:pPr>
      <w:bookmarkStart w:id="185" w:name="_Ref357850567"/>
      <w:bookmarkStart w:id="186" w:name="_Ref381280674"/>
      <w:r w:rsidRPr="000D3F86">
        <w:rPr>
          <w:rFonts w:ascii="Times New Roman" w:hAnsi="Times New Roman"/>
          <w:sz w:val="24"/>
          <w:szCs w:val="24"/>
        </w:rPr>
        <w:t>Boerjan, W., Ralph, J., &amp; Baucher, M. Lignin biosynthesis. </w:t>
      </w:r>
      <w:r w:rsidRPr="000D3F86">
        <w:rPr>
          <w:rFonts w:ascii="Times New Roman" w:hAnsi="Times New Roman"/>
          <w:i/>
          <w:iCs/>
          <w:sz w:val="24"/>
          <w:szCs w:val="24"/>
        </w:rPr>
        <w:t xml:space="preserve">Annu. Rev. Plant Biol. </w:t>
      </w:r>
      <w:r w:rsidRPr="000D3F86">
        <w:rPr>
          <w:rFonts w:ascii="Times New Roman" w:hAnsi="Times New Roman"/>
          <w:b/>
          <w:sz w:val="24"/>
          <w:szCs w:val="24"/>
        </w:rPr>
        <w:t>54</w:t>
      </w:r>
      <w:r w:rsidRPr="000D3F86">
        <w:rPr>
          <w:rFonts w:ascii="Times New Roman" w:hAnsi="Times New Roman"/>
          <w:sz w:val="24"/>
          <w:szCs w:val="24"/>
        </w:rPr>
        <w:t>, 519-546</w:t>
      </w:r>
      <w:bookmarkEnd w:id="185"/>
      <w:r w:rsidRPr="000D3F86">
        <w:rPr>
          <w:rFonts w:ascii="Times New Roman" w:hAnsi="Times New Roman"/>
          <w:sz w:val="24"/>
          <w:szCs w:val="24"/>
        </w:rPr>
        <w:t xml:space="preserve"> (2003).</w:t>
      </w:r>
      <w:bookmarkEnd w:id="186"/>
    </w:p>
    <w:p w:rsidR="00FA6B90" w:rsidRPr="000D3F86" w:rsidRDefault="00FA6B90" w:rsidP="00097A19">
      <w:pPr>
        <w:pStyle w:val="ListParagraph"/>
        <w:numPr>
          <w:ilvl w:val="0"/>
          <w:numId w:val="43"/>
        </w:numPr>
        <w:spacing w:line="240" w:lineRule="auto"/>
        <w:rPr>
          <w:rFonts w:ascii="Times New Roman" w:hAnsi="Times New Roman"/>
          <w:sz w:val="24"/>
          <w:szCs w:val="24"/>
        </w:rPr>
      </w:pPr>
      <w:bookmarkStart w:id="187" w:name="_Ref357851108"/>
      <w:bookmarkStart w:id="188" w:name="_Ref366251146"/>
      <w:r w:rsidRPr="000D3F86">
        <w:rPr>
          <w:rFonts w:ascii="Times New Roman" w:hAnsi="Times New Roman"/>
          <w:sz w:val="24"/>
          <w:szCs w:val="24"/>
        </w:rPr>
        <w:t xml:space="preserve">Chen, F., &amp; Dixon, R.A. Lignin modification improves fermentable sugar yields for biofuel production. </w:t>
      </w:r>
      <w:r w:rsidRPr="000D3F86">
        <w:rPr>
          <w:rFonts w:ascii="Times New Roman" w:hAnsi="Times New Roman"/>
          <w:i/>
          <w:sz w:val="24"/>
          <w:szCs w:val="24"/>
        </w:rPr>
        <w:t>Nature Biotechnol.</w:t>
      </w:r>
      <w:r w:rsidRPr="000D3F86">
        <w:rPr>
          <w:rFonts w:ascii="Times New Roman" w:hAnsi="Times New Roman"/>
          <w:sz w:val="24"/>
          <w:szCs w:val="24"/>
        </w:rPr>
        <w:t xml:space="preserve"> </w:t>
      </w:r>
      <w:r w:rsidRPr="000D3F86">
        <w:rPr>
          <w:rFonts w:ascii="Times New Roman" w:hAnsi="Times New Roman"/>
          <w:b/>
          <w:sz w:val="24"/>
          <w:szCs w:val="24"/>
        </w:rPr>
        <w:t>25</w:t>
      </w:r>
      <w:r w:rsidRPr="000D3F86">
        <w:rPr>
          <w:rFonts w:ascii="Times New Roman" w:hAnsi="Times New Roman"/>
          <w:sz w:val="24"/>
          <w:szCs w:val="24"/>
        </w:rPr>
        <w:t>, 759-761</w:t>
      </w:r>
      <w:bookmarkEnd w:id="187"/>
      <w:r w:rsidRPr="000D3F86">
        <w:rPr>
          <w:rFonts w:ascii="Times New Roman" w:hAnsi="Times New Roman"/>
          <w:sz w:val="24"/>
          <w:szCs w:val="24"/>
        </w:rPr>
        <w:t xml:space="preserve"> (2007).</w:t>
      </w:r>
      <w:bookmarkEnd w:id="188"/>
    </w:p>
    <w:p w:rsidR="009A1EF5" w:rsidRPr="000D3F86" w:rsidRDefault="009A1EF5" w:rsidP="009A1EF5">
      <w:pPr>
        <w:pStyle w:val="ListParagraph"/>
        <w:numPr>
          <w:ilvl w:val="0"/>
          <w:numId w:val="43"/>
        </w:numPr>
        <w:spacing w:line="240" w:lineRule="auto"/>
        <w:rPr>
          <w:rFonts w:ascii="Times New Roman" w:hAnsi="Times New Roman"/>
          <w:sz w:val="24"/>
          <w:szCs w:val="24"/>
        </w:rPr>
      </w:pPr>
      <w:bookmarkStart w:id="189" w:name="_Ref357853143"/>
      <w:bookmarkStart w:id="190" w:name="_Ref380494171"/>
      <w:bookmarkStart w:id="191" w:name="_Ref357851174"/>
      <w:r w:rsidRPr="008119C5">
        <w:rPr>
          <w:rFonts w:ascii="Times New Roman" w:hAnsi="Times New Roman"/>
          <w:sz w:val="24"/>
          <w:szCs w:val="24"/>
          <w:lang w:val="es-ES"/>
        </w:rPr>
        <w:t xml:space="preserve">Corredor, D.Y. </w:t>
      </w:r>
      <w:r w:rsidRPr="008119C5">
        <w:rPr>
          <w:rFonts w:ascii="Times New Roman" w:hAnsi="Times New Roman"/>
          <w:i/>
          <w:sz w:val="24"/>
          <w:szCs w:val="24"/>
          <w:lang w:val="es-ES"/>
        </w:rPr>
        <w:t>et al</w:t>
      </w:r>
      <w:r w:rsidRPr="008119C5">
        <w:rPr>
          <w:rFonts w:ascii="Times New Roman" w:hAnsi="Times New Roman"/>
          <w:sz w:val="24"/>
          <w:szCs w:val="24"/>
          <w:lang w:val="es-ES"/>
        </w:rPr>
        <w:t xml:space="preserve">. </w:t>
      </w:r>
      <w:r w:rsidRPr="000D3F86">
        <w:rPr>
          <w:rFonts w:ascii="Times New Roman" w:hAnsi="Times New Roman"/>
          <w:sz w:val="24"/>
          <w:szCs w:val="24"/>
        </w:rPr>
        <w:t xml:space="preserve">Evaluation and characterization of forage sorghum as feedstock for fermentable sugar production. </w:t>
      </w:r>
      <w:r w:rsidRPr="000D3F86">
        <w:rPr>
          <w:rFonts w:ascii="Times New Roman" w:hAnsi="Times New Roman"/>
          <w:i/>
          <w:sz w:val="24"/>
          <w:szCs w:val="24"/>
        </w:rPr>
        <w:t>Appl. Biochem. Biotechnol</w:t>
      </w:r>
      <w:r w:rsidRPr="000D3F86">
        <w:rPr>
          <w:rFonts w:ascii="Times New Roman" w:hAnsi="Times New Roman"/>
          <w:sz w:val="24"/>
          <w:szCs w:val="24"/>
        </w:rPr>
        <w:t xml:space="preserve">. </w:t>
      </w:r>
      <w:r w:rsidRPr="000D3F86">
        <w:rPr>
          <w:rFonts w:ascii="Times New Roman" w:hAnsi="Times New Roman"/>
          <w:b/>
          <w:sz w:val="24"/>
          <w:szCs w:val="24"/>
        </w:rPr>
        <w:t>158</w:t>
      </w:r>
      <w:r w:rsidRPr="000D3F86">
        <w:rPr>
          <w:rFonts w:ascii="Times New Roman" w:hAnsi="Times New Roman"/>
          <w:sz w:val="24"/>
          <w:szCs w:val="24"/>
        </w:rPr>
        <w:t>(1), 164-179</w:t>
      </w:r>
      <w:bookmarkEnd w:id="189"/>
      <w:r w:rsidRPr="000D3F86">
        <w:rPr>
          <w:rFonts w:ascii="Times New Roman" w:hAnsi="Times New Roman"/>
          <w:sz w:val="24"/>
          <w:szCs w:val="24"/>
        </w:rPr>
        <w:t xml:space="preserve"> (2009).</w:t>
      </w:r>
      <w:bookmarkEnd w:id="190"/>
    </w:p>
    <w:p w:rsidR="009A1EF5" w:rsidRPr="000D3F86" w:rsidRDefault="009A1EF5" w:rsidP="009A1EF5">
      <w:pPr>
        <w:pStyle w:val="ListParagraph"/>
        <w:numPr>
          <w:ilvl w:val="0"/>
          <w:numId w:val="43"/>
        </w:numPr>
        <w:spacing w:line="240" w:lineRule="auto"/>
        <w:rPr>
          <w:rFonts w:ascii="Times New Roman" w:hAnsi="Times New Roman"/>
          <w:color w:val="000000"/>
          <w:sz w:val="24"/>
          <w:szCs w:val="24"/>
          <w:bdr w:val="none" w:sz="0" w:space="0" w:color="auto" w:frame="1"/>
          <w:shd w:val="clear" w:color="auto" w:fill="FFFFFF"/>
        </w:rPr>
      </w:pPr>
      <w:bookmarkStart w:id="192" w:name="_Ref357853145"/>
      <w:bookmarkStart w:id="193" w:name="_Ref380494177"/>
      <w:r w:rsidRPr="000D3F86">
        <w:rPr>
          <w:rFonts w:ascii="Times New Roman" w:hAnsi="Times New Roman"/>
          <w:color w:val="000000"/>
          <w:sz w:val="24"/>
          <w:szCs w:val="24"/>
          <w:bdr w:val="none" w:sz="0" w:space="0" w:color="auto" w:frame="1"/>
          <w:shd w:val="clear" w:color="auto" w:fill="FFFFFF"/>
        </w:rPr>
        <w:t xml:space="preserve">Li X., </w:t>
      </w:r>
      <w:r w:rsidRPr="000D3F86">
        <w:rPr>
          <w:rFonts w:ascii="Times New Roman" w:hAnsi="Times New Roman"/>
          <w:i/>
          <w:color w:val="000000"/>
          <w:sz w:val="24"/>
          <w:szCs w:val="24"/>
          <w:bdr w:val="none" w:sz="0" w:space="0" w:color="auto" w:frame="1"/>
          <w:shd w:val="clear" w:color="auto" w:fill="FFFFFF"/>
        </w:rPr>
        <w:t>et al.</w:t>
      </w:r>
      <w:r w:rsidRPr="000D3F86">
        <w:rPr>
          <w:rFonts w:ascii="Times New Roman" w:hAnsi="Times New Roman"/>
          <w:color w:val="000000"/>
          <w:sz w:val="24"/>
          <w:szCs w:val="24"/>
          <w:bdr w:val="none" w:sz="0" w:space="0" w:color="auto" w:frame="1"/>
          <w:shd w:val="clear" w:color="auto" w:fill="FFFFFF"/>
        </w:rPr>
        <w:t xml:space="preserve"> Lignin monomer composition affects </w:t>
      </w:r>
      <w:r w:rsidRPr="000D3F86">
        <w:rPr>
          <w:rFonts w:ascii="Times New Roman" w:hAnsi="Times New Roman"/>
          <w:i/>
          <w:color w:val="000000"/>
          <w:sz w:val="24"/>
          <w:szCs w:val="24"/>
          <w:bdr w:val="none" w:sz="0" w:space="0" w:color="auto" w:frame="1"/>
          <w:shd w:val="clear" w:color="auto" w:fill="FFFFFF"/>
        </w:rPr>
        <w:t>Arabidopsis</w:t>
      </w:r>
      <w:r w:rsidRPr="000D3F86">
        <w:rPr>
          <w:rFonts w:ascii="Times New Roman" w:hAnsi="Times New Roman"/>
          <w:color w:val="000000"/>
          <w:sz w:val="24"/>
          <w:szCs w:val="24"/>
          <w:bdr w:val="none" w:sz="0" w:space="0" w:color="auto" w:frame="1"/>
          <w:shd w:val="clear" w:color="auto" w:fill="FFFFFF"/>
        </w:rPr>
        <w:t xml:space="preserve"> cell-wall degradability after liquid hot water pretreatment. </w:t>
      </w:r>
      <w:r w:rsidRPr="000D3F86">
        <w:rPr>
          <w:rFonts w:ascii="Times New Roman" w:hAnsi="Times New Roman"/>
          <w:i/>
          <w:color w:val="000000"/>
          <w:sz w:val="24"/>
          <w:szCs w:val="24"/>
          <w:bdr w:val="none" w:sz="0" w:space="0" w:color="auto" w:frame="1"/>
          <w:shd w:val="clear" w:color="auto" w:fill="FFFFFF"/>
        </w:rPr>
        <w:t>Biotechnol. Biofuels</w:t>
      </w:r>
      <w:r w:rsidRPr="000D3F86">
        <w:rPr>
          <w:rFonts w:ascii="Times New Roman" w:hAnsi="Times New Roman"/>
          <w:color w:val="000000"/>
          <w:sz w:val="24"/>
          <w:szCs w:val="24"/>
          <w:bdr w:val="none" w:sz="0" w:space="0" w:color="auto" w:frame="1"/>
          <w:shd w:val="clear" w:color="auto" w:fill="FFFFFF"/>
        </w:rPr>
        <w:t> </w:t>
      </w:r>
      <w:r w:rsidRPr="000D3F86">
        <w:rPr>
          <w:rFonts w:ascii="Times New Roman" w:hAnsi="Times New Roman"/>
          <w:b/>
          <w:color w:val="000000"/>
          <w:sz w:val="24"/>
          <w:szCs w:val="24"/>
          <w:bdr w:val="none" w:sz="0" w:space="0" w:color="auto" w:frame="1"/>
          <w:shd w:val="clear" w:color="auto" w:fill="FFFFFF"/>
        </w:rPr>
        <w:t>3,</w:t>
      </w:r>
      <w:r w:rsidRPr="000D3F86">
        <w:rPr>
          <w:rFonts w:ascii="Times New Roman" w:hAnsi="Times New Roman"/>
          <w:color w:val="000000"/>
          <w:sz w:val="24"/>
          <w:szCs w:val="24"/>
          <w:bdr w:val="none" w:sz="0" w:space="0" w:color="auto" w:frame="1"/>
          <w:shd w:val="clear" w:color="auto" w:fill="FFFFFF"/>
        </w:rPr>
        <w:t xml:space="preserve"> 27</w:t>
      </w:r>
      <w:bookmarkEnd w:id="192"/>
      <w:r w:rsidRPr="000D3F86">
        <w:rPr>
          <w:rFonts w:ascii="Times New Roman" w:hAnsi="Times New Roman"/>
          <w:color w:val="000000"/>
          <w:sz w:val="24"/>
          <w:szCs w:val="24"/>
          <w:bdr w:val="none" w:sz="0" w:space="0" w:color="auto" w:frame="1"/>
          <w:shd w:val="clear" w:color="auto" w:fill="FFFFFF"/>
        </w:rPr>
        <w:t xml:space="preserve"> (2010).</w:t>
      </w:r>
      <w:bookmarkEnd w:id="193"/>
    </w:p>
    <w:p w:rsidR="00FA6B90" w:rsidRPr="000D3F86" w:rsidRDefault="009A1EF5" w:rsidP="009A1EF5">
      <w:pPr>
        <w:pStyle w:val="ListParagraph"/>
        <w:numPr>
          <w:ilvl w:val="0"/>
          <w:numId w:val="43"/>
        </w:numPr>
        <w:spacing w:line="240" w:lineRule="auto"/>
        <w:rPr>
          <w:rFonts w:ascii="Times New Roman" w:hAnsi="Times New Roman"/>
          <w:sz w:val="24"/>
          <w:szCs w:val="24"/>
        </w:rPr>
      </w:pPr>
      <w:bookmarkStart w:id="194" w:name="_Ref362965812"/>
      <w:bookmarkStart w:id="195" w:name="_Ref380494179"/>
      <w:r w:rsidRPr="000D3F86">
        <w:rPr>
          <w:rFonts w:ascii="Times New Roman" w:hAnsi="Times New Roman"/>
          <w:color w:val="000000"/>
          <w:sz w:val="24"/>
          <w:szCs w:val="24"/>
          <w:bdr w:val="none" w:sz="0" w:space="0" w:color="auto" w:frame="1"/>
          <w:shd w:val="clear" w:color="auto" w:fill="FFFFFF"/>
        </w:rPr>
        <w:t xml:space="preserve">Studer, M.H. </w:t>
      </w:r>
      <w:r w:rsidRPr="000D3F86">
        <w:rPr>
          <w:rFonts w:ascii="Times New Roman" w:hAnsi="Times New Roman"/>
          <w:i/>
          <w:color w:val="000000"/>
          <w:sz w:val="24"/>
          <w:szCs w:val="24"/>
          <w:bdr w:val="none" w:sz="0" w:space="0" w:color="auto" w:frame="1"/>
          <w:shd w:val="clear" w:color="auto" w:fill="FFFFFF"/>
        </w:rPr>
        <w:t>et al</w:t>
      </w:r>
      <w:r w:rsidRPr="000D3F86">
        <w:rPr>
          <w:rFonts w:ascii="Times New Roman" w:hAnsi="Times New Roman"/>
          <w:color w:val="000000"/>
          <w:sz w:val="24"/>
          <w:szCs w:val="24"/>
          <w:bdr w:val="none" w:sz="0" w:space="0" w:color="auto" w:frame="1"/>
          <w:shd w:val="clear" w:color="auto" w:fill="FFFFFF"/>
        </w:rPr>
        <w:t>. Lignin content in natural Populus variants affects sugar release. </w:t>
      </w:r>
      <w:r w:rsidRPr="000D3F86">
        <w:rPr>
          <w:rFonts w:ascii="Times New Roman" w:hAnsi="Times New Roman"/>
          <w:i/>
          <w:iCs/>
          <w:color w:val="000000"/>
          <w:sz w:val="24"/>
          <w:szCs w:val="24"/>
          <w:bdr w:val="none" w:sz="0" w:space="0" w:color="auto" w:frame="1"/>
          <w:shd w:val="clear" w:color="auto" w:fill="FFFFFF"/>
        </w:rPr>
        <w:t>Proc. Natl. Acad. Sci. USA</w:t>
      </w:r>
      <w:r w:rsidRPr="000D3F86">
        <w:rPr>
          <w:rFonts w:ascii="Times New Roman" w:hAnsi="Times New Roman"/>
          <w:color w:val="000000"/>
          <w:sz w:val="24"/>
          <w:szCs w:val="24"/>
          <w:bdr w:val="none" w:sz="0" w:space="0" w:color="auto" w:frame="1"/>
          <w:shd w:val="clear" w:color="auto" w:fill="FFFFFF"/>
        </w:rPr>
        <w:t xml:space="preserve"> </w:t>
      </w:r>
      <w:r w:rsidRPr="000D3F86">
        <w:rPr>
          <w:rFonts w:ascii="Times New Roman" w:hAnsi="Times New Roman"/>
          <w:b/>
          <w:iCs/>
          <w:color w:val="000000"/>
          <w:sz w:val="24"/>
          <w:szCs w:val="24"/>
          <w:bdr w:val="none" w:sz="0" w:space="0" w:color="auto" w:frame="1"/>
          <w:shd w:val="clear" w:color="auto" w:fill="FFFFFF"/>
        </w:rPr>
        <w:t>108</w:t>
      </w:r>
      <w:r w:rsidRPr="000D3F86">
        <w:rPr>
          <w:rFonts w:ascii="Times New Roman" w:hAnsi="Times New Roman"/>
          <w:color w:val="000000"/>
          <w:sz w:val="24"/>
          <w:szCs w:val="24"/>
          <w:bdr w:val="none" w:sz="0" w:space="0" w:color="auto" w:frame="1"/>
          <w:shd w:val="clear" w:color="auto" w:fill="FFFFFF"/>
        </w:rPr>
        <w:t>(15), 6300-6305</w:t>
      </w:r>
      <w:bookmarkEnd w:id="194"/>
      <w:r w:rsidRPr="000D3F86">
        <w:rPr>
          <w:rFonts w:ascii="Times New Roman" w:hAnsi="Times New Roman"/>
          <w:color w:val="000000"/>
          <w:sz w:val="24"/>
          <w:szCs w:val="24"/>
          <w:bdr w:val="none" w:sz="0" w:space="0" w:color="auto" w:frame="1"/>
          <w:shd w:val="clear" w:color="auto" w:fill="FFFFFF"/>
        </w:rPr>
        <w:t xml:space="preserve"> (2011).</w:t>
      </w:r>
      <w:r w:rsidR="00FA6B90" w:rsidRPr="000D3F86">
        <w:rPr>
          <w:rFonts w:ascii="Times New Roman" w:hAnsi="Times New Roman"/>
          <w:sz w:val="24"/>
          <w:szCs w:val="24"/>
        </w:rPr>
        <w:t xml:space="preserve">Mosier, N. </w:t>
      </w:r>
      <w:r w:rsidR="00FA6B90" w:rsidRPr="000D3F86">
        <w:rPr>
          <w:rFonts w:ascii="Times New Roman" w:hAnsi="Times New Roman"/>
          <w:i/>
          <w:sz w:val="24"/>
          <w:szCs w:val="24"/>
        </w:rPr>
        <w:t>et al</w:t>
      </w:r>
      <w:r w:rsidR="00FA6B90" w:rsidRPr="000D3F86">
        <w:rPr>
          <w:rFonts w:ascii="Times New Roman" w:hAnsi="Times New Roman"/>
          <w:sz w:val="24"/>
          <w:szCs w:val="24"/>
        </w:rPr>
        <w:t xml:space="preserve">. </w:t>
      </w:r>
      <w:r w:rsidR="00FA6B90" w:rsidRPr="000D3F86">
        <w:rPr>
          <w:rFonts w:ascii="Times New Roman" w:hAnsi="Times New Roman"/>
          <w:bCs/>
          <w:sz w:val="24"/>
          <w:szCs w:val="24"/>
        </w:rPr>
        <w:t xml:space="preserve">Features of promising technologies for pretreatment of lignocellulosic biomass. </w:t>
      </w:r>
      <w:r w:rsidR="00FA6B90" w:rsidRPr="000D3F86">
        <w:rPr>
          <w:rFonts w:ascii="Times New Roman" w:hAnsi="Times New Roman"/>
          <w:i/>
          <w:sz w:val="24"/>
          <w:szCs w:val="24"/>
        </w:rPr>
        <w:t>Bioresour. Technol.</w:t>
      </w:r>
      <w:r w:rsidR="00FA6B90" w:rsidRPr="000D3F86">
        <w:rPr>
          <w:rFonts w:ascii="Times New Roman" w:hAnsi="Times New Roman"/>
          <w:sz w:val="24"/>
          <w:szCs w:val="24"/>
        </w:rPr>
        <w:t xml:space="preserve"> </w:t>
      </w:r>
      <w:r w:rsidR="00FA6B90" w:rsidRPr="000D3F86">
        <w:rPr>
          <w:rFonts w:ascii="Times New Roman" w:hAnsi="Times New Roman"/>
          <w:b/>
          <w:sz w:val="24"/>
          <w:szCs w:val="24"/>
        </w:rPr>
        <w:t>96</w:t>
      </w:r>
      <w:r w:rsidR="00FA6B90" w:rsidRPr="000D3F86">
        <w:rPr>
          <w:rFonts w:ascii="Times New Roman" w:hAnsi="Times New Roman"/>
          <w:sz w:val="24"/>
          <w:szCs w:val="24"/>
        </w:rPr>
        <w:t>, 673-686</w:t>
      </w:r>
      <w:bookmarkEnd w:id="191"/>
      <w:r w:rsidR="00FA6B90" w:rsidRPr="000D3F86">
        <w:rPr>
          <w:rFonts w:ascii="Times New Roman" w:hAnsi="Times New Roman"/>
          <w:sz w:val="24"/>
          <w:szCs w:val="24"/>
        </w:rPr>
        <w:t xml:space="preserve"> (2005).</w:t>
      </w:r>
      <w:bookmarkEnd w:id="195"/>
    </w:p>
    <w:p w:rsidR="009A1EF5" w:rsidRPr="009A1EF5" w:rsidRDefault="009A1EF5" w:rsidP="009A1EF5">
      <w:pPr>
        <w:pStyle w:val="ListParagraph"/>
        <w:numPr>
          <w:ilvl w:val="0"/>
          <w:numId w:val="43"/>
        </w:numPr>
        <w:rPr>
          <w:rFonts w:ascii="Times New Roman" w:hAnsi="Times New Roman"/>
          <w:sz w:val="24"/>
          <w:szCs w:val="24"/>
        </w:rPr>
      </w:pPr>
      <w:bookmarkStart w:id="196" w:name="_Ref380494414"/>
      <w:bookmarkStart w:id="197" w:name="_Ref362548627"/>
      <w:bookmarkStart w:id="198" w:name="_Ref380494206"/>
      <w:r w:rsidRPr="009A1EF5">
        <w:rPr>
          <w:rFonts w:ascii="Times New Roman" w:hAnsi="Times New Roman"/>
          <w:sz w:val="24"/>
          <w:szCs w:val="24"/>
        </w:rPr>
        <w:t xml:space="preserve">Mosier, N. et al. Features of promising technologies for pretreatment of lignocellulosic biomass. </w:t>
      </w:r>
      <w:r w:rsidRPr="009A1EF5">
        <w:rPr>
          <w:rFonts w:ascii="Times New Roman" w:hAnsi="Times New Roman"/>
          <w:i/>
          <w:sz w:val="24"/>
          <w:szCs w:val="24"/>
        </w:rPr>
        <w:t>Bioresour. Technol.</w:t>
      </w:r>
      <w:r w:rsidRPr="009A1EF5">
        <w:rPr>
          <w:rFonts w:ascii="Times New Roman" w:hAnsi="Times New Roman"/>
          <w:sz w:val="24"/>
          <w:szCs w:val="24"/>
        </w:rPr>
        <w:t xml:space="preserve"> </w:t>
      </w:r>
      <w:r w:rsidRPr="009A1EF5">
        <w:rPr>
          <w:rFonts w:ascii="Times New Roman" w:hAnsi="Times New Roman"/>
          <w:b/>
          <w:sz w:val="24"/>
          <w:szCs w:val="24"/>
        </w:rPr>
        <w:t>96</w:t>
      </w:r>
      <w:r w:rsidRPr="009A1EF5">
        <w:rPr>
          <w:rFonts w:ascii="Times New Roman" w:hAnsi="Times New Roman"/>
          <w:sz w:val="24"/>
          <w:szCs w:val="24"/>
        </w:rPr>
        <w:t>, 673-686 (2005).</w:t>
      </w:r>
      <w:bookmarkEnd w:id="196"/>
    </w:p>
    <w:p w:rsidR="00FA6B90" w:rsidRPr="000D3F86" w:rsidRDefault="00FA6B90" w:rsidP="00097A19">
      <w:pPr>
        <w:pStyle w:val="ListParagraph"/>
        <w:numPr>
          <w:ilvl w:val="0"/>
          <w:numId w:val="43"/>
        </w:numPr>
        <w:spacing w:line="240" w:lineRule="auto"/>
        <w:rPr>
          <w:rFonts w:ascii="Times New Roman" w:hAnsi="Times New Roman"/>
          <w:sz w:val="24"/>
          <w:szCs w:val="24"/>
        </w:rPr>
      </w:pPr>
      <w:bookmarkStart w:id="199" w:name="_Ref380494423"/>
      <w:r w:rsidRPr="000D3F86">
        <w:rPr>
          <w:rFonts w:ascii="Times New Roman" w:hAnsi="Times New Roman"/>
          <w:sz w:val="24"/>
          <w:szCs w:val="24"/>
        </w:rPr>
        <w:t>Klinke, H.B, Thomsen, A.B., &amp; Ahring, B.K. Inhibition of ethanol-producing yeast and bacteria by degradation products produced during pre-treatment of biomass. </w:t>
      </w:r>
      <w:r w:rsidRPr="000D3F86">
        <w:rPr>
          <w:rFonts w:ascii="Times New Roman" w:hAnsi="Times New Roman"/>
          <w:i/>
          <w:iCs/>
          <w:sz w:val="24"/>
          <w:szCs w:val="24"/>
        </w:rPr>
        <w:t>Appl. Microbiol. Biotechnol.</w:t>
      </w:r>
      <w:r w:rsidRPr="000D3F86">
        <w:rPr>
          <w:rFonts w:ascii="Times New Roman" w:hAnsi="Times New Roman"/>
          <w:sz w:val="24"/>
          <w:szCs w:val="24"/>
        </w:rPr>
        <w:t> </w:t>
      </w:r>
      <w:r w:rsidRPr="000D3F86">
        <w:rPr>
          <w:rFonts w:ascii="Times New Roman" w:hAnsi="Times New Roman"/>
          <w:b/>
          <w:sz w:val="24"/>
          <w:szCs w:val="24"/>
        </w:rPr>
        <w:t>66,</w:t>
      </w:r>
      <w:r w:rsidRPr="000D3F86">
        <w:rPr>
          <w:rFonts w:ascii="Times New Roman" w:hAnsi="Times New Roman"/>
          <w:sz w:val="24"/>
          <w:szCs w:val="24"/>
        </w:rPr>
        <w:t xml:space="preserve"> 10-26 (2004)</w:t>
      </w:r>
      <w:bookmarkEnd w:id="197"/>
      <w:r w:rsidRPr="000D3F86">
        <w:rPr>
          <w:rFonts w:ascii="Times New Roman" w:hAnsi="Times New Roman"/>
          <w:sz w:val="24"/>
          <w:szCs w:val="24"/>
        </w:rPr>
        <w:t>.</w:t>
      </w:r>
      <w:bookmarkEnd w:id="198"/>
      <w:bookmarkEnd w:id="199"/>
    </w:p>
    <w:p w:rsidR="00FA6B90" w:rsidRDefault="00FA6B90" w:rsidP="00097A19">
      <w:pPr>
        <w:pStyle w:val="ListParagraph"/>
        <w:numPr>
          <w:ilvl w:val="0"/>
          <w:numId w:val="43"/>
        </w:numPr>
        <w:autoSpaceDE w:val="0"/>
        <w:autoSpaceDN w:val="0"/>
        <w:adjustRightInd w:val="0"/>
        <w:spacing w:after="0" w:line="240" w:lineRule="auto"/>
        <w:rPr>
          <w:rFonts w:ascii="Times New Roman" w:hAnsi="Times New Roman"/>
          <w:sz w:val="24"/>
          <w:szCs w:val="24"/>
        </w:rPr>
      </w:pPr>
      <w:bookmarkStart w:id="200" w:name="_Ref357262434"/>
      <w:bookmarkStart w:id="201" w:name="_Ref357851770"/>
      <w:r w:rsidRPr="000D3F86">
        <w:rPr>
          <w:rFonts w:ascii="Times New Roman" w:hAnsi="Times New Roman"/>
          <w:sz w:val="24"/>
          <w:szCs w:val="24"/>
        </w:rPr>
        <w:t xml:space="preserve">Hisano, H., Nandakumar, R.J., &amp; Wang, Z.Y. Genetic modification of lignin biosynthesis for improved biofuel production. </w:t>
      </w:r>
      <w:r w:rsidRPr="000D3F86">
        <w:rPr>
          <w:rFonts w:ascii="Times New Roman" w:hAnsi="Times New Roman"/>
          <w:bCs/>
          <w:i/>
          <w:sz w:val="24"/>
          <w:szCs w:val="24"/>
        </w:rPr>
        <w:t>In Vitro Cell.</w:t>
      </w:r>
      <w:r w:rsidRPr="000D3F86">
        <w:rPr>
          <w:rFonts w:ascii="Times New Roman" w:hAnsi="Times New Roman"/>
          <w:i/>
          <w:sz w:val="24"/>
          <w:szCs w:val="24"/>
        </w:rPr>
        <w:t xml:space="preserve"> Dev. Biol. </w:t>
      </w:r>
      <w:r w:rsidRPr="000D3F86">
        <w:rPr>
          <w:rFonts w:ascii="Times New Roman" w:hAnsi="Times New Roman"/>
          <w:bCs/>
          <w:i/>
          <w:sz w:val="24"/>
          <w:szCs w:val="24"/>
        </w:rPr>
        <w:t>Plant</w:t>
      </w:r>
      <w:r w:rsidRPr="000D3F86">
        <w:rPr>
          <w:rFonts w:ascii="Times New Roman" w:hAnsi="Times New Roman"/>
          <w:sz w:val="24"/>
          <w:szCs w:val="24"/>
        </w:rPr>
        <w:t xml:space="preserve"> </w:t>
      </w:r>
      <w:r w:rsidRPr="000D3F86">
        <w:rPr>
          <w:rFonts w:ascii="Times New Roman" w:hAnsi="Times New Roman"/>
          <w:b/>
          <w:sz w:val="24"/>
          <w:szCs w:val="24"/>
        </w:rPr>
        <w:t>45</w:t>
      </w:r>
      <w:r w:rsidRPr="000D3F86">
        <w:rPr>
          <w:rFonts w:ascii="Times New Roman" w:hAnsi="Times New Roman"/>
          <w:sz w:val="24"/>
          <w:szCs w:val="24"/>
        </w:rPr>
        <w:t>, 306-313</w:t>
      </w:r>
      <w:bookmarkEnd w:id="200"/>
      <w:r w:rsidRPr="000D3F86">
        <w:rPr>
          <w:rFonts w:ascii="Times New Roman" w:hAnsi="Times New Roman"/>
          <w:sz w:val="24"/>
          <w:szCs w:val="24"/>
        </w:rPr>
        <w:t xml:space="preserve"> (2009).</w:t>
      </w:r>
      <w:bookmarkEnd w:id="201"/>
    </w:p>
    <w:p w:rsidR="00870B1C" w:rsidRDefault="00870B1C" w:rsidP="00870B1C">
      <w:pPr>
        <w:pStyle w:val="ListParagraph"/>
        <w:numPr>
          <w:ilvl w:val="0"/>
          <w:numId w:val="43"/>
        </w:numPr>
        <w:autoSpaceDE w:val="0"/>
        <w:autoSpaceDN w:val="0"/>
        <w:adjustRightInd w:val="0"/>
        <w:spacing w:after="0" w:line="240" w:lineRule="auto"/>
        <w:rPr>
          <w:rFonts w:ascii="Times New Roman" w:hAnsi="Times New Roman"/>
          <w:sz w:val="24"/>
          <w:szCs w:val="24"/>
        </w:rPr>
      </w:pPr>
      <w:bookmarkStart w:id="202" w:name="_Ref381281238"/>
      <w:r w:rsidRPr="00870B1C">
        <w:rPr>
          <w:rFonts w:ascii="Times New Roman" w:hAnsi="Times New Roman"/>
          <w:sz w:val="24"/>
          <w:szCs w:val="24"/>
        </w:rPr>
        <w:lastRenderedPageBreak/>
        <w:t>Bouvier d'Yvoire</w:t>
      </w:r>
      <w:r>
        <w:rPr>
          <w:rFonts w:ascii="Times New Roman" w:hAnsi="Times New Roman"/>
          <w:sz w:val="24"/>
          <w:szCs w:val="24"/>
        </w:rPr>
        <w:t xml:space="preserve"> </w:t>
      </w:r>
      <w:r w:rsidRPr="00870B1C">
        <w:rPr>
          <w:rFonts w:ascii="Times New Roman" w:hAnsi="Times New Roman"/>
          <w:i/>
          <w:sz w:val="24"/>
          <w:szCs w:val="24"/>
        </w:rPr>
        <w:t>et al</w:t>
      </w:r>
      <w:r>
        <w:rPr>
          <w:rFonts w:ascii="Times New Roman" w:hAnsi="Times New Roman"/>
          <w:sz w:val="24"/>
          <w:szCs w:val="24"/>
        </w:rPr>
        <w:t xml:space="preserve">. </w:t>
      </w:r>
      <w:proofErr w:type="gramStart"/>
      <w:r w:rsidRPr="00870B1C">
        <w:rPr>
          <w:rFonts w:ascii="Times New Roman" w:hAnsi="Times New Roman"/>
          <w:sz w:val="24"/>
          <w:szCs w:val="24"/>
        </w:rPr>
        <w:t>Disrupting</w:t>
      </w:r>
      <w:proofErr w:type="gramEnd"/>
      <w:r w:rsidRPr="00870B1C">
        <w:rPr>
          <w:rFonts w:ascii="Times New Roman" w:hAnsi="Times New Roman"/>
          <w:sz w:val="24"/>
          <w:szCs w:val="24"/>
        </w:rPr>
        <w:t xml:space="preserve"> the cinnamyl alcohol dehydrogenase 1 gene (BdCAD1) leads to altered lignification and improved saccharification in Brachypodium distachyon. </w:t>
      </w:r>
      <w:r w:rsidRPr="00870B1C">
        <w:rPr>
          <w:rFonts w:ascii="Times New Roman" w:hAnsi="Times New Roman"/>
          <w:i/>
          <w:sz w:val="24"/>
          <w:szCs w:val="24"/>
        </w:rPr>
        <w:t>Plant J</w:t>
      </w:r>
      <w:r w:rsidRPr="00870B1C">
        <w:rPr>
          <w:rFonts w:ascii="Times New Roman" w:hAnsi="Times New Roman"/>
          <w:sz w:val="24"/>
          <w:szCs w:val="24"/>
        </w:rPr>
        <w:t xml:space="preserve">. </w:t>
      </w:r>
      <w:r w:rsidRPr="00870B1C">
        <w:rPr>
          <w:rFonts w:ascii="Times New Roman" w:hAnsi="Times New Roman"/>
          <w:b/>
          <w:sz w:val="24"/>
          <w:szCs w:val="24"/>
        </w:rPr>
        <w:t>73</w:t>
      </w:r>
      <w:r>
        <w:rPr>
          <w:rFonts w:ascii="Times New Roman" w:hAnsi="Times New Roman"/>
          <w:sz w:val="24"/>
          <w:szCs w:val="24"/>
        </w:rPr>
        <w:t>, 496-508</w:t>
      </w:r>
      <w:r w:rsidRPr="00870B1C">
        <w:rPr>
          <w:rFonts w:ascii="Times New Roman" w:hAnsi="Times New Roman"/>
          <w:sz w:val="24"/>
          <w:szCs w:val="24"/>
        </w:rPr>
        <w:t xml:space="preserve"> (2013)</w:t>
      </w:r>
      <w:r>
        <w:rPr>
          <w:rFonts w:ascii="Times New Roman" w:hAnsi="Times New Roman"/>
          <w:sz w:val="24"/>
          <w:szCs w:val="24"/>
        </w:rPr>
        <w:t>.</w:t>
      </w:r>
      <w:bookmarkEnd w:id="202"/>
    </w:p>
    <w:p w:rsidR="00870B1C" w:rsidRPr="000D3F86" w:rsidRDefault="00870B1C" w:rsidP="00870B1C">
      <w:pPr>
        <w:pStyle w:val="ListParagraph"/>
        <w:numPr>
          <w:ilvl w:val="0"/>
          <w:numId w:val="43"/>
        </w:numPr>
        <w:shd w:val="clear" w:color="auto" w:fill="FFFFFF"/>
        <w:spacing w:after="166" w:line="240" w:lineRule="auto"/>
        <w:textAlignment w:val="baseline"/>
        <w:rPr>
          <w:rFonts w:ascii="Times New Roman" w:eastAsia="Times New Roman" w:hAnsi="Times New Roman"/>
          <w:sz w:val="24"/>
          <w:szCs w:val="24"/>
        </w:rPr>
      </w:pPr>
      <w:bookmarkStart w:id="203" w:name="_Ref364155486"/>
      <w:bookmarkStart w:id="204" w:name="_Ref381281245"/>
      <w:r w:rsidRPr="000D3F86">
        <w:rPr>
          <w:rFonts w:ascii="Times New Roman" w:eastAsia="Times New Roman" w:hAnsi="Times New Roman"/>
          <w:sz w:val="24"/>
          <w:szCs w:val="24"/>
        </w:rPr>
        <w:t>Jung, J.H., Fouad, W.M., Vermerris, W., Gallo, M., &amp; Altpeter, F. RNAi suppression of lignin biosynthesis in sugarcane reduces recalcitrance for biofuel production from lignocellulosic biomass. </w:t>
      </w:r>
      <w:r w:rsidRPr="000D3F86">
        <w:rPr>
          <w:rFonts w:ascii="Times New Roman" w:eastAsia="Times New Roman" w:hAnsi="Times New Roman"/>
          <w:i/>
          <w:iCs/>
          <w:sz w:val="24"/>
          <w:szCs w:val="24"/>
        </w:rPr>
        <w:t xml:space="preserve">Plant Biotechol. J. </w:t>
      </w:r>
      <w:r w:rsidRPr="000D3F86">
        <w:rPr>
          <w:rFonts w:ascii="Times New Roman" w:eastAsia="Times New Roman" w:hAnsi="Times New Roman"/>
          <w:b/>
          <w:iCs/>
          <w:sz w:val="24"/>
          <w:szCs w:val="24"/>
        </w:rPr>
        <w:t>10</w:t>
      </w:r>
      <w:r w:rsidRPr="000D3F86">
        <w:rPr>
          <w:rFonts w:ascii="Times New Roman" w:eastAsia="Times New Roman" w:hAnsi="Times New Roman"/>
          <w:sz w:val="24"/>
          <w:szCs w:val="24"/>
        </w:rPr>
        <w:t>(9), 1067-1076</w:t>
      </w:r>
      <w:bookmarkEnd w:id="203"/>
      <w:r w:rsidRPr="000D3F86">
        <w:rPr>
          <w:rFonts w:ascii="Times New Roman" w:eastAsia="Times New Roman" w:hAnsi="Times New Roman"/>
          <w:sz w:val="24"/>
          <w:szCs w:val="24"/>
        </w:rPr>
        <w:t xml:space="preserve"> (2012).</w:t>
      </w:r>
      <w:bookmarkEnd w:id="204"/>
    </w:p>
    <w:p w:rsidR="00FA6B90" w:rsidRPr="000D3F86" w:rsidRDefault="00FA6B90" w:rsidP="00097A19">
      <w:pPr>
        <w:pStyle w:val="ListParagraph"/>
        <w:numPr>
          <w:ilvl w:val="0"/>
          <w:numId w:val="43"/>
        </w:numPr>
        <w:spacing w:line="240" w:lineRule="auto"/>
        <w:rPr>
          <w:rFonts w:ascii="Times New Roman" w:hAnsi="Times New Roman"/>
          <w:sz w:val="24"/>
          <w:szCs w:val="24"/>
        </w:rPr>
      </w:pPr>
      <w:bookmarkStart w:id="205" w:name="_Ref357852115"/>
      <w:bookmarkStart w:id="206" w:name="_Ref368574321"/>
      <w:r w:rsidRPr="000D3F86">
        <w:rPr>
          <w:rFonts w:ascii="Times New Roman" w:hAnsi="Times New Roman"/>
          <w:sz w:val="24"/>
          <w:szCs w:val="24"/>
        </w:rPr>
        <w:t xml:space="preserve">Fu, C. </w:t>
      </w:r>
      <w:r w:rsidRPr="000D3F86">
        <w:rPr>
          <w:rFonts w:ascii="Times New Roman" w:hAnsi="Times New Roman"/>
          <w:i/>
          <w:sz w:val="24"/>
          <w:szCs w:val="24"/>
        </w:rPr>
        <w:t>et al</w:t>
      </w:r>
      <w:r w:rsidRPr="000D3F86">
        <w:rPr>
          <w:rFonts w:ascii="Times New Roman" w:hAnsi="Times New Roman"/>
          <w:sz w:val="24"/>
          <w:szCs w:val="24"/>
        </w:rPr>
        <w:t>.</w:t>
      </w:r>
      <w:r w:rsidRPr="000D3F86">
        <w:rPr>
          <w:rFonts w:ascii="Times New Roman" w:hAnsi="Times New Roman"/>
          <w:iCs/>
          <w:sz w:val="24"/>
          <w:szCs w:val="24"/>
        </w:rPr>
        <w:t xml:space="preserve"> </w:t>
      </w:r>
      <w:r w:rsidRPr="000D3F86">
        <w:rPr>
          <w:rFonts w:ascii="Times New Roman" w:hAnsi="Times New Roman"/>
          <w:sz w:val="24"/>
          <w:szCs w:val="24"/>
        </w:rPr>
        <w:t>Genetic manipulation of lignin reduces recalcitrance and improves ethanol production from switchgrass. </w:t>
      </w:r>
      <w:r w:rsidRPr="000D3F86">
        <w:rPr>
          <w:rFonts w:ascii="Times New Roman" w:hAnsi="Times New Roman"/>
          <w:i/>
          <w:sz w:val="24"/>
          <w:szCs w:val="24"/>
        </w:rPr>
        <w:t>Proc. Natl. Acad. Sci. USA</w:t>
      </w:r>
      <w:r w:rsidRPr="000D3F86">
        <w:rPr>
          <w:rFonts w:ascii="Times New Roman" w:hAnsi="Times New Roman"/>
          <w:i/>
          <w:iCs/>
          <w:sz w:val="24"/>
          <w:szCs w:val="24"/>
        </w:rPr>
        <w:t xml:space="preserve"> </w:t>
      </w:r>
      <w:r w:rsidRPr="000D3F86">
        <w:rPr>
          <w:rFonts w:ascii="Times New Roman" w:hAnsi="Times New Roman"/>
          <w:b/>
          <w:sz w:val="24"/>
          <w:szCs w:val="24"/>
        </w:rPr>
        <w:t>108</w:t>
      </w:r>
      <w:r w:rsidRPr="000D3F86">
        <w:rPr>
          <w:rFonts w:ascii="Times New Roman" w:hAnsi="Times New Roman"/>
          <w:sz w:val="24"/>
          <w:szCs w:val="24"/>
        </w:rPr>
        <w:t>, 3803-3808</w:t>
      </w:r>
      <w:bookmarkEnd w:id="205"/>
      <w:r w:rsidRPr="000D3F86">
        <w:rPr>
          <w:rFonts w:ascii="Times New Roman" w:hAnsi="Times New Roman"/>
          <w:iCs/>
          <w:sz w:val="24"/>
          <w:szCs w:val="24"/>
        </w:rPr>
        <w:t xml:space="preserve"> (</w:t>
      </w:r>
      <w:r w:rsidRPr="000D3F86">
        <w:rPr>
          <w:rFonts w:ascii="Times New Roman" w:hAnsi="Times New Roman"/>
          <w:sz w:val="24"/>
          <w:szCs w:val="24"/>
        </w:rPr>
        <w:t>2011).</w:t>
      </w:r>
      <w:bookmarkEnd w:id="206"/>
      <w:r w:rsidRPr="000D3F86">
        <w:rPr>
          <w:rFonts w:ascii="Times New Roman" w:hAnsi="Times New Roman"/>
          <w:sz w:val="24"/>
          <w:szCs w:val="24"/>
        </w:rPr>
        <w:t> </w:t>
      </w:r>
    </w:p>
    <w:p w:rsidR="00FA6B90" w:rsidRPr="000D3F86" w:rsidRDefault="00FA6B90" w:rsidP="003C63BA">
      <w:pPr>
        <w:pStyle w:val="ListParagraph"/>
        <w:numPr>
          <w:ilvl w:val="0"/>
          <w:numId w:val="43"/>
        </w:numPr>
        <w:spacing w:line="240" w:lineRule="auto"/>
        <w:rPr>
          <w:rFonts w:ascii="Times New Roman" w:hAnsi="Times New Roman"/>
          <w:color w:val="000000"/>
          <w:sz w:val="24"/>
          <w:szCs w:val="24"/>
          <w:bdr w:val="none" w:sz="0" w:space="0" w:color="auto" w:frame="1"/>
          <w:shd w:val="clear" w:color="auto" w:fill="FFFFFF"/>
        </w:rPr>
      </w:pPr>
      <w:bookmarkStart w:id="207" w:name="_Ref357852118"/>
      <w:bookmarkStart w:id="208" w:name="_Ref381265354"/>
      <w:r w:rsidRPr="000D3F86">
        <w:rPr>
          <w:rFonts w:ascii="Times New Roman" w:hAnsi="Times New Roman"/>
          <w:color w:val="000000"/>
          <w:sz w:val="24"/>
          <w:szCs w:val="24"/>
          <w:bdr w:val="none" w:sz="0" w:space="0" w:color="auto" w:frame="1"/>
          <w:shd w:val="clear" w:color="auto" w:fill="FFFFFF"/>
        </w:rPr>
        <w:t xml:space="preserve">Fu, C. </w:t>
      </w:r>
      <w:r w:rsidRPr="000D3F86">
        <w:rPr>
          <w:rFonts w:ascii="Times New Roman" w:hAnsi="Times New Roman"/>
          <w:i/>
          <w:color w:val="000000"/>
          <w:sz w:val="24"/>
          <w:szCs w:val="24"/>
          <w:bdr w:val="none" w:sz="0" w:space="0" w:color="auto" w:frame="1"/>
          <w:shd w:val="clear" w:color="auto" w:fill="FFFFFF"/>
        </w:rPr>
        <w:t>et al</w:t>
      </w:r>
      <w:r w:rsidRPr="000D3F86">
        <w:rPr>
          <w:rFonts w:ascii="Times New Roman" w:hAnsi="Times New Roman"/>
          <w:color w:val="000000"/>
          <w:sz w:val="24"/>
          <w:szCs w:val="24"/>
          <w:bdr w:val="none" w:sz="0" w:space="0" w:color="auto" w:frame="1"/>
          <w:shd w:val="clear" w:color="auto" w:fill="FFFFFF"/>
        </w:rPr>
        <w:t xml:space="preserve">. Downregulation of cinnamyl alcohol dehydrogenase (CAD) leads to improved saccharification efficiency in switchgrass. </w:t>
      </w:r>
      <w:r w:rsidRPr="000D3F86">
        <w:rPr>
          <w:rFonts w:ascii="Times New Roman" w:hAnsi="Times New Roman"/>
          <w:i/>
          <w:color w:val="000000"/>
          <w:sz w:val="24"/>
          <w:szCs w:val="24"/>
          <w:bdr w:val="none" w:sz="0" w:space="0" w:color="auto" w:frame="1"/>
          <w:shd w:val="clear" w:color="auto" w:fill="FFFFFF"/>
        </w:rPr>
        <w:t>BioEnergy Research</w:t>
      </w:r>
      <w:r w:rsidRPr="000D3F86">
        <w:rPr>
          <w:rFonts w:ascii="Times New Roman" w:hAnsi="Times New Roman"/>
          <w:color w:val="000000"/>
          <w:sz w:val="24"/>
          <w:szCs w:val="24"/>
          <w:bdr w:val="none" w:sz="0" w:space="0" w:color="auto" w:frame="1"/>
          <w:shd w:val="clear" w:color="auto" w:fill="FFFFFF"/>
        </w:rPr>
        <w:t xml:space="preserve"> </w:t>
      </w:r>
      <w:r w:rsidRPr="000D3F86">
        <w:rPr>
          <w:rFonts w:ascii="Times New Roman" w:hAnsi="Times New Roman"/>
          <w:b/>
          <w:color w:val="000000"/>
          <w:sz w:val="24"/>
          <w:szCs w:val="24"/>
          <w:bdr w:val="none" w:sz="0" w:space="0" w:color="auto" w:frame="1"/>
          <w:shd w:val="clear" w:color="auto" w:fill="FFFFFF"/>
        </w:rPr>
        <w:t>4</w:t>
      </w:r>
      <w:r w:rsidRPr="000D3F86">
        <w:rPr>
          <w:rFonts w:ascii="Times New Roman" w:hAnsi="Times New Roman"/>
          <w:color w:val="000000"/>
          <w:sz w:val="24"/>
          <w:szCs w:val="24"/>
          <w:bdr w:val="none" w:sz="0" w:space="0" w:color="auto" w:frame="1"/>
          <w:shd w:val="clear" w:color="auto" w:fill="FFFFFF"/>
        </w:rPr>
        <w:t>, 153-164</w:t>
      </w:r>
      <w:bookmarkEnd w:id="207"/>
      <w:r w:rsidRPr="000D3F86">
        <w:rPr>
          <w:rFonts w:ascii="Times New Roman" w:hAnsi="Times New Roman"/>
          <w:color w:val="000000"/>
          <w:sz w:val="24"/>
          <w:szCs w:val="24"/>
          <w:bdr w:val="none" w:sz="0" w:space="0" w:color="auto" w:frame="1"/>
          <w:shd w:val="clear" w:color="auto" w:fill="FFFFFF"/>
        </w:rPr>
        <w:t xml:space="preserve"> (2011).</w:t>
      </w:r>
      <w:bookmarkEnd w:id="208"/>
    </w:p>
    <w:p w:rsidR="00FA6B90" w:rsidRPr="000D3F86" w:rsidRDefault="00FA6B90" w:rsidP="003C63BA">
      <w:pPr>
        <w:pStyle w:val="ListParagraph"/>
        <w:numPr>
          <w:ilvl w:val="0"/>
          <w:numId w:val="43"/>
        </w:numPr>
        <w:spacing w:line="240" w:lineRule="auto"/>
        <w:rPr>
          <w:rFonts w:ascii="Times New Roman" w:hAnsi="Times New Roman"/>
          <w:color w:val="000000"/>
          <w:sz w:val="24"/>
          <w:szCs w:val="24"/>
          <w:bdr w:val="none" w:sz="0" w:space="0" w:color="auto" w:frame="1"/>
          <w:shd w:val="clear" w:color="auto" w:fill="FFFFFF"/>
        </w:rPr>
      </w:pPr>
      <w:bookmarkStart w:id="209" w:name="_Ref357852122"/>
      <w:r w:rsidRPr="000D3F86">
        <w:rPr>
          <w:rFonts w:ascii="Times New Roman" w:hAnsi="Times New Roman"/>
          <w:color w:val="000000"/>
          <w:sz w:val="24"/>
          <w:szCs w:val="24"/>
          <w:bdr w:val="none" w:sz="0" w:space="0" w:color="auto" w:frame="1"/>
          <w:shd w:val="clear" w:color="auto" w:fill="FFFFFF"/>
        </w:rPr>
        <w:t xml:space="preserve">Saathoff, A.J., Sarath, G., Chow, </w:t>
      </w:r>
      <w:proofErr w:type="gramStart"/>
      <w:r w:rsidRPr="000D3F86">
        <w:rPr>
          <w:rFonts w:ascii="Times New Roman" w:hAnsi="Times New Roman"/>
          <w:color w:val="000000"/>
          <w:sz w:val="24"/>
          <w:szCs w:val="24"/>
          <w:bdr w:val="none" w:sz="0" w:space="0" w:color="auto" w:frame="1"/>
          <w:shd w:val="clear" w:color="auto" w:fill="FFFFFF"/>
        </w:rPr>
        <w:t>EK.,</w:t>
      </w:r>
      <w:proofErr w:type="gramEnd"/>
      <w:r w:rsidRPr="000D3F86">
        <w:rPr>
          <w:rFonts w:ascii="Times New Roman" w:hAnsi="Times New Roman"/>
          <w:color w:val="000000"/>
          <w:sz w:val="24"/>
          <w:szCs w:val="24"/>
          <w:bdr w:val="none" w:sz="0" w:space="0" w:color="auto" w:frame="1"/>
          <w:shd w:val="clear" w:color="auto" w:fill="FFFFFF"/>
        </w:rPr>
        <w:t xml:space="preserve"> Dien, B.S, &amp; Tobias, C.M. Downregulation of cinnamyl-alcohol dehydrogenase in switchgrass by RNA silencing Results in enhanced glucose release after cellulase treatment. </w:t>
      </w:r>
      <w:r w:rsidRPr="000D3F86">
        <w:rPr>
          <w:rFonts w:ascii="Times New Roman" w:hAnsi="Times New Roman"/>
          <w:i/>
          <w:iCs/>
          <w:color w:val="000000"/>
          <w:sz w:val="24"/>
          <w:szCs w:val="24"/>
          <w:bdr w:val="none" w:sz="0" w:space="0" w:color="auto" w:frame="1"/>
          <w:shd w:val="clear" w:color="auto" w:fill="FFFFFF"/>
        </w:rPr>
        <w:t xml:space="preserve">PLoS ONE </w:t>
      </w:r>
      <w:r w:rsidRPr="000D3F86">
        <w:rPr>
          <w:rFonts w:ascii="Times New Roman" w:hAnsi="Times New Roman"/>
          <w:b/>
          <w:bCs/>
          <w:color w:val="000000"/>
          <w:sz w:val="24"/>
          <w:szCs w:val="24"/>
          <w:bdr w:val="none" w:sz="0" w:space="0" w:color="auto" w:frame="1"/>
          <w:shd w:val="clear" w:color="auto" w:fill="FFFFFF"/>
        </w:rPr>
        <w:t>6</w:t>
      </w:r>
      <w:r w:rsidRPr="000D3F86">
        <w:rPr>
          <w:rFonts w:ascii="Times New Roman" w:hAnsi="Times New Roman"/>
          <w:color w:val="000000"/>
          <w:sz w:val="24"/>
          <w:szCs w:val="24"/>
          <w:bdr w:val="none" w:sz="0" w:space="0" w:color="auto" w:frame="1"/>
          <w:shd w:val="clear" w:color="auto" w:fill="FFFFFF"/>
        </w:rPr>
        <w:t>, e16416 (2011).</w:t>
      </w:r>
      <w:bookmarkEnd w:id="209"/>
    </w:p>
    <w:p w:rsidR="00FA6B90" w:rsidRPr="000D3F86" w:rsidRDefault="00FA6B90" w:rsidP="003C63BA">
      <w:pPr>
        <w:pStyle w:val="ListParagraph"/>
        <w:numPr>
          <w:ilvl w:val="0"/>
          <w:numId w:val="43"/>
        </w:numPr>
        <w:spacing w:line="240" w:lineRule="auto"/>
        <w:rPr>
          <w:rFonts w:ascii="Times New Roman" w:hAnsi="Times New Roman"/>
          <w:color w:val="000000"/>
          <w:sz w:val="24"/>
          <w:szCs w:val="24"/>
          <w:bdr w:val="none" w:sz="0" w:space="0" w:color="auto" w:frame="1"/>
          <w:shd w:val="clear" w:color="auto" w:fill="FFFFFF"/>
        </w:rPr>
      </w:pPr>
      <w:bookmarkStart w:id="210" w:name="_Ref357861553"/>
      <w:bookmarkStart w:id="211" w:name="_Ref380572963"/>
      <w:r w:rsidRPr="000D3F86">
        <w:rPr>
          <w:rFonts w:ascii="Times New Roman" w:hAnsi="Times New Roman"/>
          <w:color w:val="000000"/>
          <w:sz w:val="24"/>
          <w:szCs w:val="24"/>
          <w:bdr w:val="none" w:sz="0" w:space="0" w:color="auto" w:frame="1"/>
          <w:shd w:val="clear" w:color="auto" w:fill="FFFFFF"/>
        </w:rPr>
        <w:t xml:space="preserve">Piquemal, J. </w:t>
      </w:r>
      <w:r w:rsidRPr="000D3F86">
        <w:rPr>
          <w:rFonts w:ascii="Times New Roman" w:hAnsi="Times New Roman"/>
          <w:i/>
          <w:color w:val="000000"/>
          <w:sz w:val="24"/>
          <w:szCs w:val="24"/>
          <w:bdr w:val="none" w:sz="0" w:space="0" w:color="auto" w:frame="1"/>
          <w:shd w:val="clear" w:color="auto" w:fill="FFFFFF"/>
        </w:rPr>
        <w:t>et al.</w:t>
      </w:r>
      <w:r w:rsidRPr="000D3F86">
        <w:rPr>
          <w:rFonts w:ascii="Times New Roman" w:hAnsi="Times New Roman"/>
          <w:color w:val="000000"/>
          <w:sz w:val="24"/>
          <w:szCs w:val="24"/>
          <w:bdr w:val="none" w:sz="0" w:space="0" w:color="auto" w:frame="1"/>
          <w:shd w:val="clear" w:color="auto" w:fill="FFFFFF"/>
        </w:rPr>
        <w:t xml:space="preserve"> Down-regulation of caffeic acid O-methyltransferase in maize revisited using a transgenic approach. </w:t>
      </w:r>
      <w:r w:rsidRPr="000D3F86">
        <w:rPr>
          <w:rFonts w:ascii="Times New Roman" w:hAnsi="Times New Roman"/>
          <w:i/>
          <w:color w:val="000000"/>
          <w:sz w:val="24"/>
          <w:szCs w:val="24"/>
          <w:bdr w:val="none" w:sz="0" w:space="0" w:color="auto" w:frame="1"/>
          <w:shd w:val="clear" w:color="auto" w:fill="FFFFFF"/>
        </w:rPr>
        <w:t>Plant Physiol</w:t>
      </w:r>
      <w:r w:rsidRPr="000D3F86">
        <w:rPr>
          <w:rFonts w:ascii="Times New Roman" w:hAnsi="Times New Roman"/>
          <w:color w:val="000000"/>
          <w:sz w:val="24"/>
          <w:szCs w:val="24"/>
          <w:bdr w:val="none" w:sz="0" w:space="0" w:color="auto" w:frame="1"/>
          <w:shd w:val="clear" w:color="auto" w:fill="FFFFFF"/>
        </w:rPr>
        <w:t xml:space="preserve">. </w:t>
      </w:r>
      <w:r w:rsidRPr="000D3F86">
        <w:rPr>
          <w:rFonts w:ascii="Times New Roman" w:hAnsi="Times New Roman"/>
          <w:b/>
          <w:color w:val="000000"/>
          <w:sz w:val="24"/>
          <w:szCs w:val="24"/>
          <w:bdr w:val="none" w:sz="0" w:space="0" w:color="auto" w:frame="1"/>
          <w:shd w:val="clear" w:color="auto" w:fill="FFFFFF"/>
        </w:rPr>
        <w:t>130</w:t>
      </w:r>
      <w:r w:rsidRPr="000D3F86">
        <w:rPr>
          <w:rFonts w:ascii="Times New Roman" w:hAnsi="Times New Roman"/>
          <w:color w:val="000000"/>
          <w:sz w:val="24"/>
          <w:szCs w:val="24"/>
          <w:bdr w:val="none" w:sz="0" w:space="0" w:color="auto" w:frame="1"/>
          <w:shd w:val="clear" w:color="auto" w:fill="FFFFFF"/>
        </w:rPr>
        <w:t>, 1675-1685</w:t>
      </w:r>
      <w:bookmarkEnd w:id="210"/>
      <w:r w:rsidRPr="000D3F86">
        <w:rPr>
          <w:rFonts w:ascii="Times New Roman" w:hAnsi="Times New Roman"/>
          <w:color w:val="000000"/>
          <w:sz w:val="24"/>
          <w:szCs w:val="24"/>
          <w:bdr w:val="none" w:sz="0" w:space="0" w:color="auto" w:frame="1"/>
          <w:shd w:val="clear" w:color="auto" w:fill="FFFFFF"/>
        </w:rPr>
        <w:t xml:space="preserve"> (2002).</w:t>
      </w:r>
      <w:bookmarkEnd w:id="211"/>
    </w:p>
    <w:p w:rsidR="00FA6B90" w:rsidRPr="000D3F86" w:rsidRDefault="00FA6B90" w:rsidP="003C63BA">
      <w:pPr>
        <w:pStyle w:val="NormalWeb"/>
        <w:numPr>
          <w:ilvl w:val="0"/>
          <w:numId w:val="43"/>
        </w:numPr>
        <w:shd w:val="clear" w:color="auto" w:fill="FFFFFF"/>
        <w:autoSpaceDE w:val="0"/>
        <w:autoSpaceDN w:val="0"/>
        <w:adjustRightInd w:val="0"/>
        <w:spacing w:before="0" w:beforeAutospacing="0" w:after="0" w:afterAutospacing="0"/>
        <w:textAlignment w:val="baseline"/>
      </w:pPr>
      <w:bookmarkStart w:id="212" w:name="_Ref357861667"/>
      <w:r w:rsidRPr="000D3F86">
        <w:t xml:space="preserve">Louie, G.V. </w:t>
      </w:r>
      <w:r w:rsidRPr="000D3F86">
        <w:rPr>
          <w:i/>
        </w:rPr>
        <w:t>et al.</w:t>
      </w:r>
      <w:r w:rsidRPr="000D3F86">
        <w:t xml:space="preserve"> Structure-function analyses of a caffeic acid </w:t>
      </w:r>
      <w:r w:rsidRPr="000D3F86">
        <w:rPr>
          <w:i/>
          <w:iCs/>
        </w:rPr>
        <w:t>O</w:t>
      </w:r>
      <w:r w:rsidRPr="000D3F86">
        <w:t>-methyltransferase from perennial ryegrass reveal the molecular basis for substrate preference. </w:t>
      </w:r>
      <w:r w:rsidRPr="000D3F86">
        <w:rPr>
          <w:i/>
        </w:rPr>
        <w:t>Plant Cell</w:t>
      </w:r>
      <w:r w:rsidRPr="000D3F86">
        <w:t xml:space="preserve"> </w:t>
      </w:r>
      <w:r w:rsidRPr="000D3F86">
        <w:rPr>
          <w:b/>
        </w:rPr>
        <w:t>22</w:t>
      </w:r>
      <w:r w:rsidRPr="000D3F86">
        <w:t>, 4114-4127 (2010).</w:t>
      </w:r>
      <w:bookmarkEnd w:id="212"/>
    </w:p>
    <w:p w:rsidR="00FA6B90" w:rsidRPr="000D3F86" w:rsidRDefault="00FA6B90" w:rsidP="003C63BA">
      <w:pPr>
        <w:pStyle w:val="NormalWeb"/>
        <w:numPr>
          <w:ilvl w:val="0"/>
          <w:numId w:val="43"/>
        </w:numPr>
        <w:shd w:val="clear" w:color="auto" w:fill="FFFFFF"/>
        <w:autoSpaceDE w:val="0"/>
        <w:autoSpaceDN w:val="0"/>
        <w:adjustRightInd w:val="0"/>
        <w:spacing w:before="0" w:beforeAutospacing="0" w:after="0" w:afterAutospacing="0"/>
        <w:textAlignment w:val="baseline"/>
      </w:pPr>
      <w:bookmarkStart w:id="213" w:name="_Ref357872879"/>
      <w:bookmarkStart w:id="214" w:name="_Ref380572965"/>
      <w:r w:rsidRPr="000D3F86">
        <w:t xml:space="preserve">Guo, D., Chen, F., Inoue, K., Blount, J.W., &amp; Dixon, R.A. Downregulation of caffeic acid 3-O- methyltransferase and caffeoyl CoA 3-O-methyltransferase in transgenic alfalfa: impacts on lignin structure and implications for the biosynthesis of G and S lignin. </w:t>
      </w:r>
      <w:r w:rsidRPr="000D3F86">
        <w:rPr>
          <w:i/>
        </w:rPr>
        <w:t xml:space="preserve">Plant Cell </w:t>
      </w:r>
      <w:r w:rsidRPr="000D3F86">
        <w:rPr>
          <w:b/>
        </w:rPr>
        <w:t>13</w:t>
      </w:r>
      <w:r w:rsidRPr="000D3F86">
        <w:t>, 73-88</w:t>
      </w:r>
      <w:bookmarkEnd w:id="213"/>
      <w:r w:rsidRPr="000D3F86">
        <w:t xml:space="preserve"> (2001).</w:t>
      </w:r>
      <w:bookmarkEnd w:id="214"/>
    </w:p>
    <w:p w:rsidR="003C63BA" w:rsidRPr="003C63BA" w:rsidRDefault="003C63BA" w:rsidP="003C63BA">
      <w:pPr>
        <w:pStyle w:val="ListParagraph"/>
        <w:numPr>
          <w:ilvl w:val="0"/>
          <w:numId w:val="43"/>
        </w:numPr>
        <w:shd w:val="clear" w:color="auto" w:fill="FFFFFF"/>
        <w:spacing w:after="166" w:line="240" w:lineRule="auto"/>
        <w:textAlignment w:val="baseline"/>
        <w:rPr>
          <w:rFonts w:ascii="Times New Roman" w:eastAsia="Times New Roman" w:hAnsi="Times New Roman"/>
          <w:sz w:val="24"/>
          <w:szCs w:val="24"/>
        </w:rPr>
      </w:pPr>
      <w:bookmarkStart w:id="215" w:name="_Ref380479185"/>
      <w:bookmarkStart w:id="216" w:name="_Ref380573611"/>
      <w:bookmarkStart w:id="217" w:name="_Ref357872880"/>
      <w:bookmarkStart w:id="218" w:name="_Ref380572970"/>
      <w:r w:rsidRPr="00085EBF">
        <w:rPr>
          <w:rFonts w:ascii="Times New Roman" w:hAnsi="Times New Roman"/>
          <w:sz w:val="24"/>
          <w:szCs w:val="24"/>
        </w:rPr>
        <w:t xml:space="preserve">Palmer, N. A. et al. Genetic background impacts soluble and cell wall-bound aromatics in brown midrib mutants of sorghum. </w:t>
      </w:r>
      <w:r w:rsidRPr="00085EBF">
        <w:rPr>
          <w:rFonts w:ascii="Times New Roman" w:hAnsi="Times New Roman"/>
          <w:i/>
          <w:sz w:val="24"/>
          <w:szCs w:val="24"/>
        </w:rPr>
        <w:t>Planta</w:t>
      </w:r>
      <w:r w:rsidRPr="00085EBF">
        <w:rPr>
          <w:rFonts w:ascii="Times New Roman" w:hAnsi="Times New Roman"/>
          <w:sz w:val="24"/>
          <w:szCs w:val="24"/>
        </w:rPr>
        <w:t xml:space="preserve"> </w:t>
      </w:r>
      <w:r w:rsidRPr="00085EBF">
        <w:rPr>
          <w:rFonts w:ascii="Times New Roman" w:hAnsi="Times New Roman"/>
          <w:b/>
          <w:sz w:val="24"/>
          <w:szCs w:val="24"/>
        </w:rPr>
        <w:t>229</w:t>
      </w:r>
      <w:r w:rsidRPr="00085EBF">
        <w:rPr>
          <w:rFonts w:ascii="Times New Roman" w:hAnsi="Times New Roman"/>
          <w:sz w:val="24"/>
          <w:szCs w:val="24"/>
        </w:rPr>
        <w:t>, 115-127 (2008)</w:t>
      </w:r>
      <w:bookmarkEnd w:id="215"/>
      <w:r>
        <w:rPr>
          <w:rFonts w:ascii="Times New Roman" w:hAnsi="Times New Roman"/>
          <w:sz w:val="24"/>
          <w:szCs w:val="24"/>
        </w:rPr>
        <w:t>.</w:t>
      </w:r>
      <w:bookmarkEnd w:id="216"/>
    </w:p>
    <w:p w:rsidR="003C63BA" w:rsidRPr="00085EBF" w:rsidRDefault="003C63BA" w:rsidP="003C63BA">
      <w:pPr>
        <w:pStyle w:val="ListParagraph"/>
        <w:numPr>
          <w:ilvl w:val="0"/>
          <w:numId w:val="43"/>
        </w:numPr>
        <w:shd w:val="clear" w:color="auto" w:fill="FFFFFF"/>
        <w:spacing w:after="166" w:line="240" w:lineRule="auto"/>
        <w:textAlignment w:val="baseline"/>
        <w:rPr>
          <w:rFonts w:ascii="Times New Roman" w:eastAsia="Times New Roman" w:hAnsi="Times New Roman"/>
          <w:sz w:val="24"/>
          <w:szCs w:val="24"/>
        </w:rPr>
      </w:pPr>
      <w:bookmarkStart w:id="219" w:name="_Ref381713685"/>
      <w:r w:rsidRPr="003C63BA">
        <w:rPr>
          <w:rFonts w:ascii="Times New Roman" w:eastAsia="Times New Roman" w:hAnsi="Times New Roman"/>
          <w:sz w:val="24"/>
          <w:szCs w:val="24"/>
        </w:rPr>
        <w:t xml:space="preserve">Vignols, F., Rigau, J., Torres, M.A., Capellades, M., &amp; Puigdomènech, P. (1995) </w:t>
      </w:r>
      <w:proofErr w:type="gramStart"/>
      <w:r w:rsidRPr="003C63BA">
        <w:rPr>
          <w:rFonts w:ascii="Times New Roman" w:eastAsia="Times New Roman" w:hAnsi="Times New Roman"/>
          <w:sz w:val="24"/>
          <w:szCs w:val="24"/>
        </w:rPr>
        <w:t>The</w:t>
      </w:r>
      <w:proofErr w:type="gramEnd"/>
      <w:r w:rsidRPr="003C63BA">
        <w:rPr>
          <w:rFonts w:ascii="Times New Roman" w:eastAsia="Times New Roman" w:hAnsi="Times New Roman"/>
          <w:sz w:val="24"/>
          <w:szCs w:val="24"/>
        </w:rPr>
        <w:t xml:space="preserve"> brown midrib3 (bm3) mutation in maize occurs in the gene encoding caffeic acid O-methyltransferase. Plant Cell 7, 407-416.</w:t>
      </w:r>
      <w:bookmarkEnd w:id="219"/>
    </w:p>
    <w:p w:rsidR="00FA6B90" w:rsidRPr="000D3F86" w:rsidRDefault="00FA6B90" w:rsidP="00097A19">
      <w:pPr>
        <w:pStyle w:val="ListParagraph"/>
        <w:numPr>
          <w:ilvl w:val="0"/>
          <w:numId w:val="43"/>
        </w:numPr>
        <w:autoSpaceDE w:val="0"/>
        <w:autoSpaceDN w:val="0"/>
        <w:adjustRightInd w:val="0"/>
        <w:spacing w:after="0" w:line="240" w:lineRule="auto"/>
        <w:rPr>
          <w:rFonts w:ascii="Times New Roman" w:hAnsi="Times New Roman"/>
          <w:sz w:val="24"/>
          <w:szCs w:val="24"/>
        </w:rPr>
      </w:pPr>
      <w:bookmarkStart w:id="220" w:name="_Ref357876279"/>
      <w:bookmarkEnd w:id="217"/>
      <w:bookmarkEnd w:id="218"/>
      <w:r w:rsidRPr="008119C5">
        <w:rPr>
          <w:rFonts w:ascii="Times New Roman" w:hAnsi="Times New Roman"/>
          <w:sz w:val="24"/>
          <w:szCs w:val="24"/>
          <w:lang w:val="es-ES"/>
        </w:rPr>
        <w:t xml:space="preserve">Moura, J.C.M.S. </w:t>
      </w:r>
      <w:r w:rsidRPr="008119C5">
        <w:rPr>
          <w:rFonts w:ascii="Times New Roman" w:hAnsi="Times New Roman"/>
          <w:i/>
          <w:sz w:val="24"/>
          <w:szCs w:val="24"/>
          <w:lang w:val="es-ES"/>
        </w:rPr>
        <w:t>et al</w:t>
      </w:r>
      <w:r w:rsidRPr="008119C5">
        <w:rPr>
          <w:rFonts w:ascii="Times New Roman" w:hAnsi="Times New Roman"/>
          <w:sz w:val="24"/>
          <w:szCs w:val="24"/>
          <w:lang w:val="es-ES"/>
        </w:rPr>
        <w:t xml:space="preserve">. </w:t>
      </w:r>
      <w:r w:rsidRPr="000D3F86">
        <w:rPr>
          <w:rFonts w:ascii="Times New Roman" w:hAnsi="Times New Roman"/>
          <w:sz w:val="24"/>
          <w:szCs w:val="24"/>
        </w:rPr>
        <w:t xml:space="preserve">Abiotic and biotic stresses and changes in the lignin content and composition in plants. </w:t>
      </w:r>
      <w:r w:rsidRPr="000D3F86">
        <w:rPr>
          <w:rFonts w:ascii="Times New Roman" w:hAnsi="Times New Roman"/>
          <w:i/>
          <w:sz w:val="24"/>
          <w:szCs w:val="24"/>
        </w:rPr>
        <w:t>J. Integr. Plant Biol.</w:t>
      </w:r>
      <w:r w:rsidRPr="000D3F86">
        <w:rPr>
          <w:rFonts w:ascii="Times New Roman" w:hAnsi="Times New Roman"/>
          <w:sz w:val="24"/>
          <w:szCs w:val="24"/>
        </w:rPr>
        <w:t xml:space="preserve"> </w:t>
      </w:r>
      <w:r w:rsidRPr="000D3F86">
        <w:rPr>
          <w:rFonts w:ascii="Times New Roman" w:hAnsi="Times New Roman"/>
          <w:b/>
          <w:sz w:val="24"/>
          <w:szCs w:val="24"/>
        </w:rPr>
        <w:t>52</w:t>
      </w:r>
      <w:r w:rsidRPr="000D3F86">
        <w:rPr>
          <w:rFonts w:ascii="Times New Roman" w:hAnsi="Times New Roman"/>
          <w:sz w:val="24"/>
          <w:szCs w:val="24"/>
        </w:rPr>
        <w:t>, 360-376</w:t>
      </w:r>
      <w:bookmarkEnd w:id="220"/>
      <w:r w:rsidRPr="000D3F86">
        <w:rPr>
          <w:rFonts w:ascii="Times New Roman" w:hAnsi="Times New Roman"/>
          <w:sz w:val="24"/>
          <w:szCs w:val="24"/>
        </w:rPr>
        <w:t xml:space="preserve"> (2010).</w:t>
      </w:r>
    </w:p>
    <w:p w:rsidR="00FA6B90" w:rsidRPr="000D3F86" w:rsidRDefault="00FA6B90" w:rsidP="00097A19">
      <w:pPr>
        <w:pStyle w:val="ListParagraph"/>
        <w:numPr>
          <w:ilvl w:val="0"/>
          <w:numId w:val="43"/>
        </w:numPr>
        <w:shd w:val="clear" w:color="auto" w:fill="FFFFFF"/>
        <w:spacing w:after="166" w:line="240" w:lineRule="auto"/>
        <w:textAlignment w:val="baseline"/>
        <w:rPr>
          <w:rFonts w:ascii="Times New Roman" w:eastAsia="Times New Roman" w:hAnsi="Times New Roman"/>
          <w:sz w:val="24"/>
          <w:szCs w:val="24"/>
        </w:rPr>
      </w:pPr>
      <w:bookmarkStart w:id="221" w:name="_Ref364533684"/>
      <w:bookmarkStart w:id="222" w:name="_Ref382215008"/>
      <w:r w:rsidRPr="000D3F86">
        <w:rPr>
          <w:rFonts w:ascii="Times New Roman" w:eastAsia="Times New Roman" w:hAnsi="Times New Roman"/>
          <w:sz w:val="24"/>
          <w:szCs w:val="24"/>
        </w:rPr>
        <w:t>Heaton, E.A., Dohleman, F.G., &amp; Long, S.P. Seasonal nitrogen dynamics of Miscanthus× giganteus and Panicum virgatum. </w:t>
      </w:r>
      <w:r w:rsidRPr="000D3F86">
        <w:rPr>
          <w:rFonts w:ascii="Times New Roman" w:eastAsia="Times New Roman" w:hAnsi="Times New Roman"/>
          <w:i/>
          <w:iCs/>
          <w:sz w:val="24"/>
          <w:szCs w:val="24"/>
        </w:rPr>
        <w:t>GCB Bioenergy</w:t>
      </w:r>
      <w:r w:rsidRPr="000D3F86">
        <w:rPr>
          <w:rFonts w:ascii="Times New Roman" w:eastAsia="Times New Roman" w:hAnsi="Times New Roman"/>
          <w:sz w:val="24"/>
          <w:szCs w:val="24"/>
        </w:rPr>
        <w:t xml:space="preserve">, </w:t>
      </w:r>
      <w:r w:rsidRPr="000D3F86">
        <w:rPr>
          <w:rFonts w:ascii="Times New Roman" w:eastAsia="Times New Roman" w:hAnsi="Times New Roman"/>
          <w:b/>
          <w:iCs/>
          <w:sz w:val="24"/>
          <w:szCs w:val="24"/>
        </w:rPr>
        <w:t>1</w:t>
      </w:r>
      <w:r w:rsidRPr="000D3F86">
        <w:rPr>
          <w:rFonts w:ascii="Times New Roman" w:eastAsia="Times New Roman" w:hAnsi="Times New Roman"/>
          <w:sz w:val="24"/>
          <w:szCs w:val="24"/>
        </w:rPr>
        <w:t>(4), 297-307</w:t>
      </w:r>
      <w:bookmarkEnd w:id="221"/>
      <w:r w:rsidRPr="000D3F86">
        <w:rPr>
          <w:rFonts w:ascii="Times New Roman" w:eastAsia="Times New Roman" w:hAnsi="Times New Roman"/>
          <w:sz w:val="24"/>
          <w:szCs w:val="24"/>
        </w:rPr>
        <w:t xml:space="preserve"> (2009).</w:t>
      </w:r>
      <w:bookmarkEnd w:id="222"/>
    </w:p>
    <w:p w:rsidR="00FA6B90" w:rsidRPr="000D3F86" w:rsidRDefault="00FA6B90" w:rsidP="00097A19">
      <w:pPr>
        <w:pStyle w:val="ListParagraph"/>
        <w:numPr>
          <w:ilvl w:val="0"/>
          <w:numId w:val="43"/>
        </w:numPr>
        <w:shd w:val="clear" w:color="auto" w:fill="FFFFFF"/>
        <w:spacing w:after="166" w:line="240" w:lineRule="auto"/>
        <w:textAlignment w:val="baseline"/>
        <w:rPr>
          <w:rFonts w:ascii="Times New Roman" w:eastAsia="Times New Roman" w:hAnsi="Times New Roman"/>
          <w:sz w:val="24"/>
          <w:szCs w:val="24"/>
        </w:rPr>
      </w:pPr>
      <w:bookmarkStart w:id="223" w:name="_Ref357937769"/>
      <w:r w:rsidRPr="000D3F86">
        <w:rPr>
          <w:rFonts w:ascii="Times New Roman" w:eastAsia="Times New Roman" w:hAnsi="Times New Roman"/>
          <w:sz w:val="24"/>
          <w:szCs w:val="24"/>
        </w:rPr>
        <w:t xml:space="preserve">Vance, C.P., Kirk, T.K., &amp; Sherwood, R.T. Lignification as a mechanism of disease resistance. </w:t>
      </w:r>
      <w:r w:rsidRPr="000D3F86">
        <w:rPr>
          <w:rFonts w:ascii="Times New Roman" w:eastAsia="Times New Roman" w:hAnsi="Times New Roman"/>
          <w:i/>
          <w:sz w:val="24"/>
          <w:szCs w:val="24"/>
        </w:rPr>
        <w:t xml:space="preserve">Annu. Rev. Phytopathol. </w:t>
      </w:r>
      <w:r w:rsidRPr="000D3F86">
        <w:rPr>
          <w:rFonts w:ascii="Times New Roman" w:eastAsia="Times New Roman" w:hAnsi="Times New Roman"/>
          <w:b/>
          <w:sz w:val="24"/>
          <w:szCs w:val="24"/>
        </w:rPr>
        <w:t>18</w:t>
      </w:r>
      <w:r w:rsidRPr="000D3F86">
        <w:rPr>
          <w:rFonts w:ascii="Times New Roman" w:eastAsia="Times New Roman" w:hAnsi="Times New Roman"/>
          <w:sz w:val="24"/>
          <w:szCs w:val="24"/>
        </w:rPr>
        <w:t>, 259-288</w:t>
      </w:r>
      <w:bookmarkEnd w:id="223"/>
      <w:r w:rsidRPr="000D3F86">
        <w:rPr>
          <w:rFonts w:ascii="Times New Roman" w:eastAsia="Times New Roman" w:hAnsi="Times New Roman"/>
          <w:sz w:val="24"/>
          <w:szCs w:val="24"/>
        </w:rPr>
        <w:t xml:space="preserve"> (1980).</w:t>
      </w:r>
    </w:p>
    <w:p w:rsidR="00FA6B90" w:rsidRPr="000D3F86" w:rsidRDefault="00FA6B90" w:rsidP="00097A19">
      <w:pPr>
        <w:pStyle w:val="ListParagraph"/>
        <w:numPr>
          <w:ilvl w:val="0"/>
          <w:numId w:val="43"/>
        </w:numPr>
        <w:shd w:val="clear" w:color="auto" w:fill="FFFFFF"/>
        <w:spacing w:after="166" w:line="240" w:lineRule="auto"/>
        <w:textAlignment w:val="baseline"/>
        <w:rPr>
          <w:rFonts w:ascii="Times New Roman" w:eastAsia="Times New Roman" w:hAnsi="Times New Roman"/>
          <w:sz w:val="24"/>
          <w:szCs w:val="24"/>
        </w:rPr>
      </w:pPr>
      <w:bookmarkStart w:id="224" w:name="_Ref357937771"/>
      <w:r w:rsidRPr="000D3F86">
        <w:rPr>
          <w:rFonts w:ascii="Times New Roman" w:eastAsia="Times New Roman" w:hAnsi="Times New Roman"/>
          <w:sz w:val="24"/>
          <w:szCs w:val="24"/>
        </w:rPr>
        <w:t>Nicholson, R.L., &amp; Hammerschmidt, R. Phenolic compounds and their role in disease resistance. </w:t>
      </w:r>
      <w:r w:rsidRPr="000D3F86">
        <w:rPr>
          <w:rFonts w:ascii="Times New Roman" w:eastAsia="Times New Roman" w:hAnsi="Times New Roman"/>
          <w:i/>
          <w:sz w:val="24"/>
          <w:szCs w:val="24"/>
        </w:rPr>
        <w:t xml:space="preserve">Annu. Rev. Phytopathol. </w:t>
      </w:r>
      <w:r w:rsidRPr="000D3F86">
        <w:rPr>
          <w:rFonts w:ascii="Times New Roman" w:eastAsia="Times New Roman" w:hAnsi="Times New Roman"/>
          <w:b/>
          <w:sz w:val="24"/>
          <w:szCs w:val="24"/>
        </w:rPr>
        <w:t>30</w:t>
      </w:r>
      <w:r w:rsidRPr="000D3F86">
        <w:rPr>
          <w:rFonts w:ascii="Times New Roman" w:eastAsia="Times New Roman" w:hAnsi="Times New Roman"/>
          <w:sz w:val="24"/>
          <w:szCs w:val="24"/>
        </w:rPr>
        <w:t>, 369-389</w:t>
      </w:r>
      <w:bookmarkEnd w:id="224"/>
      <w:r w:rsidRPr="000D3F86">
        <w:rPr>
          <w:rFonts w:ascii="Times New Roman" w:eastAsia="Times New Roman" w:hAnsi="Times New Roman"/>
          <w:sz w:val="24"/>
          <w:szCs w:val="24"/>
        </w:rPr>
        <w:t xml:space="preserve"> (1992).</w:t>
      </w:r>
    </w:p>
    <w:p w:rsidR="00FA6B90" w:rsidRPr="000D3F86" w:rsidRDefault="00FA6B90" w:rsidP="00097A19">
      <w:pPr>
        <w:pStyle w:val="ListParagraph"/>
        <w:numPr>
          <w:ilvl w:val="0"/>
          <w:numId w:val="43"/>
        </w:numPr>
        <w:shd w:val="clear" w:color="auto" w:fill="FFFFFF"/>
        <w:spacing w:after="166" w:line="240" w:lineRule="auto"/>
        <w:textAlignment w:val="baseline"/>
        <w:rPr>
          <w:rFonts w:ascii="Times New Roman" w:eastAsia="Times New Roman" w:hAnsi="Times New Roman"/>
          <w:sz w:val="24"/>
          <w:szCs w:val="24"/>
        </w:rPr>
      </w:pPr>
      <w:bookmarkStart w:id="225" w:name="_Ref357942292"/>
      <w:r w:rsidRPr="000D3F86">
        <w:rPr>
          <w:rFonts w:ascii="Times New Roman" w:eastAsia="Times New Roman" w:hAnsi="Times New Roman"/>
          <w:sz w:val="24"/>
          <w:szCs w:val="24"/>
        </w:rPr>
        <w:t xml:space="preserve">Maher, E.A. </w:t>
      </w:r>
      <w:r w:rsidRPr="000D3F86">
        <w:rPr>
          <w:rFonts w:ascii="Times New Roman" w:eastAsia="Times New Roman" w:hAnsi="Times New Roman"/>
          <w:i/>
          <w:sz w:val="24"/>
          <w:szCs w:val="24"/>
        </w:rPr>
        <w:t>et al</w:t>
      </w:r>
      <w:r w:rsidRPr="000D3F86">
        <w:rPr>
          <w:rFonts w:ascii="Times New Roman" w:eastAsia="Times New Roman" w:hAnsi="Times New Roman"/>
          <w:sz w:val="24"/>
          <w:szCs w:val="24"/>
        </w:rPr>
        <w:t xml:space="preserve">. lncreased disease susceptibility of transgenic tobacco plants with suppressed levels of preformed phenylpropanoid products. </w:t>
      </w:r>
      <w:r w:rsidRPr="000D3F86">
        <w:rPr>
          <w:rFonts w:ascii="Times New Roman" w:hAnsi="Times New Roman"/>
          <w:i/>
          <w:sz w:val="24"/>
          <w:szCs w:val="24"/>
        </w:rPr>
        <w:t>Proc. Natl. Acad. Sci.</w:t>
      </w:r>
      <w:r w:rsidRPr="000D3F86">
        <w:rPr>
          <w:rFonts w:ascii="Times New Roman" w:hAnsi="Times New Roman"/>
          <w:sz w:val="24"/>
          <w:szCs w:val="24"/>
        </w:rPr>
        <w:t xml:space="preserve"> </w:t>
      </w:r>
      <w:r w:rsidRPr="000D3F86">
        <w:rPr>
          <w:rFonts w:ascii="Times New Roman" w:hAnsi="Times New Roman"/>
          <w:i/>
          <w:sz w:val="24"/>
          <w:szCs w:val="24"/>
        </w:rPr>
        <w:t>USA</w:t>
      </w:r>
      <w:r w:rsidRPr="000D3F86">
        <w:rPr>
          <w:rFonts w:ascii="Times New Roman" w:eastAsia="Times New Roman" w:hAnsi="Times New Roman"/>
          <w:sz w:val="24"/>
          <w:szCs w:val="24"/>
        </w:rPr>
        <w:t xml:space="preserve"> </w:t>
      </w:r>
      <w:r w:rsidRPr="000D3F86">
        <w:rPr>
          <w:rFonts w:ascii="Times New Roman" w:eastAsia="Times New Roman" w:hAnsi="Times New Roman"/>
          <w:b/>
          <w:sz w:val="24"/>
          <w:szCs w:val="24"/>
        </w:rPr>
        <w:t>91</w:t>
      </w:r>
      <w:r w:rsidRPr="000D3F86">
        <w:rPr>
          <w:rFonts w:ascii="Times New Roman" w:eastAsia="Times New Roman" w:hAnsi="Times New Roman"/>
          <w:sz w:val="24"/>
          <w:szCs w:val="24"/>
        </w:rPr>
        <w:t>, 7802-7806</w:t>
      </w:r>
      <w:bookmarkEnd w:id="225"/>
      <w:r w:rsidRPr="000D3F86">
        <w:rPr>
          <w:rFonts w:ascii="Times New Roman" w:eastAsia="Times New Roman" w:hAnsi="Times New Roman"/>
          <w:sz w:val="24"/>
          <w:szCs w:val="24"/>
        </w:rPr>
        <w:t xml:space="preserve"> (1994).</w:t>
      </w:r>
    </w:p>
    <w:p w:rsidR="00FA6B90" w:rsidRPr="000D3F86" w:rsidRDefault="00FA6B90" w:rsidP="00097A19">
      <w:pPr>
        <w:pStyle w:val="ListParagraph"/>
        <w:numPr>
          <w:ilvl w:val="0"/>
          <w:numId w:val="43"/>
        </w:numPr>
        <w:spacing w:line="240" w:lineRule="auto"/>
        <w:rPr>
          <w:rFonts w:ascii="Times New Roman" w:hAnsi="Times New Roman"/>
          <w:sz w:val="24"/>
          <w:szCs w:val="24"/>
        </w:rPr>
      </w:pPr>
      <w:bookmarkStart w:id="226" w:name="_Ref357942293"/>
      <w:r w:rsidRPr="000D3F86">
        <w:rPr>
          <w:rFonts w:ascii="Times New Roman" w:hAnsi="Times New Roman"/>
          <w:sz w:val="24"/>
          <w:szCs w:val="24"/>
        </w:rPr>
        <w:lastRenderedPageBreak/>
        <w:t>Tronchet, M., Balagué, C., Kroj, T., Jouanin, L., &amp; Roby, D. Cinnamyl alcohol dehydrogenases C and D, key enzymes in lignin biosynthesis, play an essential role in disease resistance in Arabidopsis. </w:t>
      </w:r>
      <w:r w:rsidRPr="000D3F86">
        <w:rPr>
          <w:rFonts w:ascii="Times New Roman" w:hAnsi="Times New Roman"/>
          <w:i/>
          <w:sz w:val="24"/>
          <w:szCs w:val="24"/>
        </w:rPr>
        <w:t>Mol. Plant. Pathol.</w:t>
      </w:r>
      <w:r w:rsidRPr="000D3F86">
        <w:rPr>
          <w:rFonts w:ascii="Times New Roman" w:hAnsi="Times New Roman"/>
          <w:bCs/>
          <w:sz w:val="24"/>
          <w:szCs w:val="24"/>
        </w:rPr>
        <w:t xml:space="preserve"> </w:t>
      </w:r>
      <w:r w:rsidRPr="000D3F86">
        <w:rPr>
          <w:rFonts w:ascii="Times New Roman" w:hAnsi="Times New Roman"/>
          <w:b/>
          <w:bCs/>
          <w:sz w:val="24"/>
          <w:szCs w:val="24"/>
        </w:rPr>
        <w:t>11</w:t>
      </w:r>
      <w:r w:rsidRPr="000D3F86">
        <w:rPr>
          <w:rFonts w:ascii="Times New Roman" w:hAnsi="Times New Roman"/>
          <w:sz w:val="24"/>
          <w:szCs w:val="24"/>
        </w:rPr>
        <w:t>, 83-92</w:t>
      </w:r>
      <w:bookmarkEnd w:id="226"/>
      <w:r w:rsidRPr="000D3F86">
        <w:rPr>
          <w:rFonts w:ascii="Times New Roman" w:hAnsi="Times New Roman"/>
          <w:sz w:val="24"/>
          <w:szCs w:val="24"/>
        </w:rPr>
        <w:t xml:space="preserve"> (2010). </w:t>
      </w:r>
    </w:p>
    <w:p w:rsidR="00FA6B90" w:rsidRPr="000D3F86" w:rsidRDefault="00FA6B90" w:rsidP="00097A19">
      <w:pPr>
        <w:pStyle w:val="ListParagraph"/>
        <w:numPr>
          <w:ilvl w:val="0"/>
          <w:numId w:val="43"/>
        </w:numPr>
        <w:spacing w:line="240" w:lineRule="auto"/>
        <w:rPr>
          <w:rFonts w:ascii="Times New Roman" w:hAnsi="Times New Roman"/>
          <w:sz w:val="24"/>
          <w:szCs w:val="24"/>
        </w:rPr>
      </w:pPr>
      <w:bookmarkStart w:id="227" w:name="_Ref357942481"/>
      <w:r w:rsidRPr="000D3F86">
        <w:rPr>
          <w:rFonts w:ascii="Times New Roman" w:hAnsi="Times New Roman"/>
          <w:sz w:val="24"/>
          <w:szCs w:val="24"/>
        </w:rPr>
        <w:t xml:space="preserve">Zale, J. </w:t>
      </w:r>
      <w:r w:rsidRPr="000D3F86">
        <w:rPr>
          <w:rFonts w:ascii="Times New Roman" w:hAnsi="Times New Roman"/>
          <w:i/>
          <w:sz w:val="24"/>
          <w:szCs w:val="24"/>
        </w:rPr>
        <w:t>et al</w:t>
      </w:r>
      <w:r w:rsidRPr="000D3F86">
        <w:rPr>
          <w:rFonts w:ascii="Times New Roman" w:hAnsi="Times New Roman"/>
          <w:sz w:val="24"/>
          <w:szCs w:val="24"/>
        </w:rPr>
        <w:t>. First report of rust on switchgrass (</w:t>
      </w:r>
      <w:r w:rsidRPr="000D3F86">
        <w:rPr>
          <w:rFonts w:ascii="Times New Roman" w:hAnsi="Times New Roman"/>
          <w:i/>
          <w:sz w:val="24"/>
          <w:szCs w:val="24"/>
        </w:rPr>
        <w:t>Panicum virgatum</w:t>
      </w:r>
      <w:r w:rsidRPr="000D3F86">
        <w:rPr>
          <w:rFonts w:ascii="Times New Roman" w:hAnsi="Times New Roman"/>
          <w:sz w:val="24"/>
          <w:szCs w:val="24"/>
        </w:rPr>
        <w:t xml:space="preserve">) caused by </w:t>
      </w:r>
      <w:r w:rsidRPr="000D3F86">
        <w:rPr>
          <w:rFonts w:ascii="Times New Roman" w:hAnsi="Times New Roman"/>
          <w:i/>
          <w:sz w:val="24"/>
          <w:szCs w:val="24"/>
        </w:rPr>
        <w:t>Puccinia emaculata</w:t>
      </w:r>
      <w:r w:rsidRPr="000D3F86">
        <w:rPr>
          <w:rFonts w:ascii="Times New Roman" w:hAnsi="Times New Roman"/>
          <w:sz w:val="24"/>
          <w:szCs w:val="24"/>
        </w:rPr>
        <w:t xml:space="preserve"> in Tennessee. </w:t>
      </w:r>
      <w:r w:rsidRPr="000D3F86">
        <w:rPr>
          <w:rFonts w:ascii="Times New Roman" w:hAnsi="Times New Roman"/>
          <w:i/>
          <w:sz w:val="24"/>
          <w:szCs w:val="24"/>
        </w:rPr>
        <w:t>Plant Disease</w:t>
      </w:r>
      <w:r w:rsidRPr="000D3F86">
        <w:rPr>
          <w:rFonts w:ascii="Times New Roman" w:hAnsi="Times New Roman"/>
          <w:sz w:val="24"/>
          <w:szCs w:val="24"/>
        </w:rPr>
        <w:t xml:space="preserve"> </w:t>
      </w:r>
      <w:r w:rsidRPr="000D3F86">
        <w:rPr>
          <w:rFonts w:ascii="Times New Roman" w:hAnsi="Times New Roman"/>
          <w:b/>
          <w:sz w:val="24"/>
          <w:szCs w:val="24"/>
        </w:rPr>
        <w:t>92</w:t>
      </w:r>
      <w:r w:rsidRPr="000D3F86">
        <w:rPr>
          <w:rFonts w:ascii="Times New Roman" w:hAnsi="Times New Roman"/>
          <w:sz w:val="24"/>
          <w:szCs w:val="24"/>
        </w:rPr>
        <w:t>, 1710</w:t>
      </w:r>
      <w:bookmarkEnd w:id="227"/>
      <w:r w:rsidRPr="000D3F86">
        <w:rPr>
          <w:rFonts w:ascii="Times New Roman" w:hAnsi="Times New Roman"/>
          <w:sz w:val="24"/>
          <w:szCs w:val="24"/>
        </w:rPr>
        <w:t xml:space="preserve"> (2008).</w:t>
      </w:r>
    </w:p>
    <w:p w:rsidR="00FA6B90" w:rsidRPr="000D3F86" w:rsidRDefault="00FA6B90" w:rsidP="00097A19">
      <w:pPr>
        <w:pStyle w:val="ListParagraph"/>
        <w:numPr>
          <w:ilvl w:val="0"/>
          <w:numId w:val="43"/>
        </w:numPr>
        <w:spacing w:line="240" w:lineRule="auto"/>
        <w:rPr>
          <w:rFonts w:ascii="Times New Roman" w:hAnsi="Times New Roman"/>
          <w:color w:val="000000"/>
          <w:sz w:val="24"/>
          <w:szCs w:val="24"/>
          <w:bdr w:val="none" w:sz="0" w:space="0" w:color="auto" w:frame="1"/>
          <w:shd w:val="clear" w:color="auto" w:fill="FFFFFF"/>
        </w:rPr>
      </w:pPr>
      <w:bookmarkStart w:id="228" w:name="_Ref357942501"/>
      <w:r w:rsidRPr="000D3F86">
        <w:rPr>
          <w:rFonts w:ascii="Times New Roman" w:hAnsi="Times New Roman"/>
          <w:color w:val="000000"/>
          <w:sz w:val="24"/>
          <w:szCs w:val="24"/>
          <w:bdr w:val="none" w:sz="0" w:space="0" w:color="auto" w:frame="1"/>
          <w:shd w:val="clear" w:color="auto" w:fill="FFFFFF"/>
        </w:rPr>
        <w:t xml:space="preserve">Hirsch, R.L., TeBeest, D.O., Bluhm, B.H., &amp; West, C.P. First report of rust caused by </w:t>
      </w:r>
      <w:r w:rsidRPr="000D3F86">
        <w:rPr>
          <w:rFonts w:ascii="Times New Roman" w:hAnsi="Times New Roman"/>
          <w:i/>
          <w:color w:val="000000"/>
          <w:sz w:val="24"/>
          <w:szCs w:val="24"/>
          <w:bdr w:val="none" w:sz="0" w:space="0" w:color="auto" w:frame="1"/>
          <w:shd w:val="clear" w:color="auto" w:fill="FFFFFF"/>
        </w:rPr>
        <w:t>Puccinia emaculata</w:t>
      </w:r>
      <w:r w:rsidRPr="000D3F86">
        <w:rPr>
          <w:rFonts w:ascii="Times New Roman" w:hAnsi="Times New Roman"/>
          <w:color w:val="000000"/>
          <w:sz w:val="24"/>
          <w:szCs w:val="24"/>
          <w:bdr w:val="none" w:sz="0" w:space="0" w:color="auto" w:frame="1"/>
          <w:shd w:val="clear" w:color="auto" w:fill="FFFFFF"/>
        </w:rPr>
        <w:t xml:space="preserve"> on switchgrass in Arkansas. </w:t>
      </w:r>
      <w:r w:rsidRPr="000D3F86">
        <w:rPr>
          <w:rFonts w:ascii="Times New Roman" w:hAnsi="Times New Roman"/>
          <w:i/>
          <w:color w:val="000000"/>
          <w:sz w:val="24"/>
          <w:szCs w:val="24"/>
          <w:bdr w:val="none" w:sz="0" w:space="0" w:color="auto" w:frame="1"/>
          <w:shd w:val="clear" w:color="auto" w:fill="FFFFFF"/>
        </w:rPr>
        <w:t>Plant Disease</w:t>
      </w:r>
      <w:r w:rsidRPr="000D3F86">
        <w:rPr>
          <w:rFonts w:ascii="Times New Roman" w:hAnsi="Times New Roman"/>
          <w:color w:val="000000"/>
          <w:sz w:val="24"/>
          <w:szCs w:val="24"/>
          <w:bdr w:val="none" w:sz="0" w:space="0" w:color="auto" w:frame="1"/>
          <w:shd w:val="clear" w:color="auto" w:fill="FFFFFF"/>
        </w:rPr>
        <w:t xml:space="preserve"> </w:t>
      </w:r>
      <w:r w:rsidRPr="000D3F86">
        <w:rPr>
          <w:rFonts w:ascii="Times New Roman" w:hAnsi="Times New Roman"/>
          <w:b/>
          <w:color w:val="000000"/>
          <w:sz w:val="24"/>
          <w:szCs w:val="24"/>
          <w:bdr w:val="none" w:sz="0" w:space="0" w:color="auto" w:frame="1"/>
          <w:shd w:val="clear" w:color="auto" w:fill="FFFFFF"/>
        </w:rPr>
        <w:t>94</w:t>
      </w:r>
      <w:r w:rsidRPr="000D3F86">
        <w:rPr>
          <w:rFonts w:ascii="Times New Roman" w:hAnsi="Times New Roman"/>
          <w:color w:val="000000"/>
          <w:sz w:val="24"/>
          <w:szCs w:val="24"/>
          <w:bdr w:val="none" w:sz="0" w:space="0" w:color="auto" w:frame="1"/>
          <w:shd w:val="clear" w:color="auto" w:fill="FFFFFF"/>
        </w:rPr>
        <w:t>, 381</w:t>
      </w:r>
      <w:bookmarkEnd w:id="228"/>
      <w:r w:rsidRPr="000D3F86">
        <w:rPr>
          <w:rFonts w:ascii="Times New Roman" w:hAnsi="Times New Roman"/>
          <w:color w:val="000000"/>
          <w:sz w:val="24"/>
          <w:szCs w:val="24"/>
          <w:bdr w:val="none" w:sz="0" w:space="0" w:color="auto" w:frame="1"/>
          <w:shd w:val="clear" w:color="auto" w:fill="FFFFFF"/>
        </w:rPr>
        <w:t xml:space="preserve"> (2010).</w:t>
      </w:r>
    </w:p>
    <w:p w:rsidR="00FA6B90" w:rsidRPr="000D3F86" w:rsidRDefault="00FA6B90" w:rsidP="00097A19">
      <w:pPr>
        <w:pStyle w:val="ListParagraph"/>
        <w:numPr>
          <w:ilvl w:val="0"/>
          <w:numId w:val="43"/>
        </w:numPr>
        <w:spacing w:line="240" w:lineRule="auto"/>
        <w:rPr>
          <w:rFonts w:ascii="Times New Roman" w:hAnsi="Times New Roman"/>
          <w:sz w:val="24"/>
          <w:szCs w:val="24"/>
        </w:rPr>
      </w:pPr>
      <w:bookmarkStart w:id="229" w:name="_Ref357942533"/>
      <w:r w:rsidRPr="000D3F86">
        <w:rPr>
          <w:rFonts w:ascii="Times New Roman" w:hAnsi="Times New Roman"/>
          <w:sz w:val="24"/>
          <w:szCs w:val="24"/>
        </w:rPr>
        <w:t>Black, J., Windham, A., &amp; Windham, M. Switchgrass rust epidemics (</w:t>
      </w:r>
      <w:r w:rsidRPr="000D3F86">
        <w:rPr>
          <w:rFonts w:ascii="Times New Roman" w:hAnsi="Times New Roman"/>
          <w:i/>
          <w:sz w:val="24"/>
          <w:szCs w:val="24"/>
        </w:rPr>
        <w:t>Puccinia emaculata</w:t>
      </w:r>
      <w:r w:rsidRPr="000D3F86">
        <w:rPr>
          <w:rFonts w:ascii="Times New Roman" w:hAnsi="Times New Roman"/>
          <w:sz w:val="24"/>
          <w:szCs w:val="24"/>
        </w:rPr>
        <w:t xml:space="preserve">) in agronomic fields in Tennessee. </w:t>
      </w:r>
      <w:r w:rsidRPr="000D3F86">
        <w:rPr>
          <w:rFonts w:ascii="Times New Roman" w:hAnsi="Times New Roman"/>
          <w:i/>
          <w:sz w:val="24"/>
          <w:szCs w:val="24"/>
        </w:rPr>
        <w:t>Phytopathology</w:t>
      </w:r>
      <w:r w:rsidRPr="000D3F86">
        <w:rPr>
          <w:rFonts w:ascii="Times New Roman" w:hAnsi="Times New Roman"/>
          <w:sz w:val="24"/>
          <w:szCs w:val="24"/>
        </w:rPr>
        <w:t xml:space="preserve"> </w:t>
      </w:r>
      <w:r w:rsidRPr="000D3F86">
        <w:rPr>
          <w:rFonts w:ascii="Times New Roman" w:hAnsi="Times New Roman"/>
          <w:b/>
          <w:sz w:val="24"/>
          <w:szCs w:val="24"/>
        </w:rPr>
        <w:t>101</w:t>
      </w:r>
      <w:r w:rsidRPr="000D3F86">
        <w:rPr>
          <w:rFonts w:ascii="Times New Roman" w:hAnsi="Times New Roman"/>
          <w:sz w:val="24"/>
          <w:szCs w:val="24"/>
        </w:rPr>
        <w:t>, S16</w:t>
      </w:r>
      <w:bookmarkEnd w:id="229"/>
      <w:r w:rsidRPr="000D3F86">
        <w:rPr>
          <w:rFonts w:ascii="Times New Roman" w:hAnsi="Times New Roman"/>
          <w:sz w:val="24"/>
          <w:szCs w:val="24"/>
        </w:rPr>
        <w:t xml:space="preserve"> (2011).</w:t>
      </w:r>
    </w:p>
    <w:p w:rsidR="00FA6B90" w:rsidRPr="000D3F86" w:rsidRDefault="00FA6B90" w:rsidP="00097A19">
      <w:pPr>
        <w:pStyle w:val="ListParagraph"/>
        <w:numPr>
          <w:ilvl w:val="0"/>
          <w:numId w:val="43"/>
        </w:numPr>
        <w:spacing w:line="240" w:lineRule="auto"/>
        <w:rPr>
          <w:rFonts w:ascii="Times New Roman" w:hAnsi="Times New Roman"/>
          <w:sz w:val="24"/>
          <w:szCs w:val="24"/>
        </w:rPr>
      </w:pPr>
      <w:bookmarkStart w:id="230" w:name="_Ref357942625"/>
      <w:r w:rsidRPr="000D3F86">
        <w:rPr>
          <w:rFonts w:ascii="Times New Roman" w:hAnsi="Times New Roman"/>
          <w:sz w:val="24"/>
          <w:szCs w:val="24"/>
        </w:rPr>
        <w:t xml:space="preserve">Li, Y. </w:t>
      </w:r>
      <w:r w:rsidRPr="000D3F86">
        <w:rPr>
          <w:rFonts w:ascii="Times New Roman" w:hAnsi="Times New Roman"/>
          <w:i/>
          <w:sz w:val="24"/>
          <w:szCs w:val="24"/>
        </w:rPr>
        <w:t>et al.</w:t>
      </w:r>
      <w:r w:rsidRPr="000D3F86">
        <w:rPr>
          <w:rFonts w:ascii="Times New Roman" w:hAnsi="Times New Roman"/>
          <w:sz w:val="24"/>
          <w:szCs w:val="24"/>
        </w:rPr>
        <w:t xml:space="preserve"> Cultivar-specific interaction between switchgrass and </w:t>
      </w:r>
      <w:r w:rsidRPr="000D3F86">
        <w:rPr>
          <w:rFonts w:ascii="Times New Roman" w:hAnsi="Times New Roman"/>
          <w:i/>
          <w:sz w:val="24"/>
          <w:szCs w:val="24"/>
        </w:rPr>
        <w:t>Puccinia emaculata</w:t>
      </w:r>
      <w:r w:rsidRPr="000D3F86">
        <w:rPr>
          <w:rFonts w:ascii="Times New Roman" w:hAnsi="Times New Roman"/>
          <w:sz w:val="24"/>
          <w:szCs w:val="24"/>
        </w:rPr>
        <w:t xml:space="preserve">. </w:t>
      </w:r>
      <w:r w:rsidRPr="000D3F86">
        <w:rPr>
          <w:rFonts w:ascii="Times New Roman" w:hAnsi="Times New Roman"/>
          <w:i/>
          <w:sz w:val="24"/>
          <w:szCs w:val="24"/>
        </w:rPr>
        <w:t>Phytopathology</w:t>
      </w:r>
      <w:r w:rsidRPr="000D3F86">
        <w:rPr>
          <w:rFonts w:ascii="Times New Roman" w:hAnsi="Times New Roman"/>
          <w:sz w:val="24"/>
          <w:szCs w:val="24"/>
        </w:rPr>
        <w:t xml:space="preserve"> </w:t>
      </w:r>
      <w:r w:rsidRPr="000D3F86">
        <w:rPr>
          <w:rFonts w:ascii="Times New Roman" w:hAnsi="Times New Roman"/>
          <w:b/>
          <w:sz w:val="24"/>
          <w:szCs w:val="24"/>
        </w:rPr>
        <w:t>99</w:t>
      </w:r>
      <w:r w:rsidRPr="000D3F86">
        <w:rPr>
          <w:rFonts w:ascii="Times New Roman" w:hAnsi="Times New Roman"/>
          <w:sz w:val="24"/>
          <w:szCs w:val="24"/>
        </w:rPr>
        <w:t>, S72</w:t>
      </w:r>
      <w:bookmarkEnd w:id="230"/>
      <w:r w:rsidRPr="000D3F86">
        <w:rPr>
          <w:rFonts w:ascii="Times New Roman" w:hAnsi="Times New Roman"/>
          <w:sz w:val="24"/>
          <w:szCs w:val="24"/>
        </w:rPr>
        <w:t xml:space="preserve"> (2009).</w:t>
      </w:r>
    </w:p>
    <w:p w:rsidR="00FA6B90" w:rsidRPr="000D3F86" w:rsidRDefault="00FA6B90" w:rsidP="00097A19">
      <w:pPr>
        <w:pStyle w:val="ListParagraph"/>
        <w:numPr>
          <w:ilvl w:val="0"/>
          <w:numId w:val="43"/>
        </w:numPr>
        <w:spacing w:line="240" w:lineRule="auto"/>
        <w:rPr>
          <w:rFonts w:ascii="Times New Roman" w:hAnsi="Times New Roman"/>
          <w:color w:val="000000"/>
          <w:sz w:val="24"/>
          <w:szCs w:val="24"/>
          <w:bdr w:val="none" w:sz="0" w:space="0" w:color="auto" w:frame="1"/>
          <w:shd w:val="clear" w:color="auto" w:fill="FFFFFF"/>
        </w:rPr>
      </w:pPr>
      <w:bookmarkStart w:id="231" w:name="_Ref357942717"/>
      <w:r w:rsidRPr="000D3F86">
        <w:rPr>
          <w:rFonts w:ascii="Times New Roman" w:hAnsi="Times New Roman"/>
          <w:color w:val="000000"/>
          <w:sz w:val="24"/>
          <w:szCs w:val="24"/>
          <w:bdr w:val="none" w:sz="0" w:space="0" w:color="auto" w:frame="1"/>
          <w:shd w:val="clear" w:color="auto" w:fill="FFFFFF"/>
        </w:rPr>
        <w:t xml:space="preserve">Hammond-Kusack, K.E. &amp; Jones, J.D.G. Resistance gene dependent plant defense responses. </w:t>
      </w:r>
      <w:r w:rsidRPr="000D3F86">
        <w:rPr>
          <w:rFonts w:ascii="Times New Roman" w:hAnsi="Times New Roman"/>
          <w:i/>
          <w:iCs/>
          <w:color w:val="000000"/>
          <w:sz w:val="24"/>
          <w:szCs w:val="24"/>
          <w:bdr w:val="none" w:sz="0" w:space="0" w:color="auto" w:frame="1"/>
          <w:shd w:val="clear" w:color="auto" w:fill="FFFFFF"/>
        </w:rPr>
        <w:t xml:space="preserve">Plant Cell </w:t>
      </w:r>
      <w:r w:rsidRPr="000D3F86">
        <w:rPr>
          <w:rFonts w:ascii="Times New Roman" w:hAnsi="Times New Roman"/>
          <w:b/>
          <w:bCs/>
          <w:color w:val="000000"/>
          <w:sz w:val="24"/>
          <w:szCs w:val="24"/>
          <w:bdr w:val="none" w:sz="0" w:space="0" w:color="auto" w:frame="1"/>
          <w:shd w:val="clear" w:color="auto" w:fill="FFFFFF"/>
        </w:rPr>
        <w:t>8</w:t>
      </w:r>
      <w:r w:rsidRPr="000D3F86">
        <w:rPr>
          <w:rFonts w:ascii="Times New Roman" w:hAnsi="Times New Roman"/>
          <w:color w:val="000000"/>
          <w:sz w:val="24"/>
          <w:szCs w:val="24"/>
          <w:bdr w:val="none" w:sz="0" w:space="0" w:color="auto" w:frame="1"/>
          <w:shd w:val="clear" w:color="auto" w:fill="FFFFFF"/>
        </w:rPr>
        <w:t>, 1773-1791</w:t>
      </w:r>
      <w:bookmarkEnd w:id="231"/>
      <w:r w:rsidRPr="000D3F86">
        <w:rPr>
          <w:rFonts w:ascii="Times New Roman" w:hAnsi="Times New Roman"/>
          <w:color w:val="000000"/>
          <w:sz w:val="24"/>
          <w:szCs w:val="24"/>
          <w:bdr w:val="none" w:sz="0" w:space="0" w:color="auto" w:frame="1"/>
          <w:shd w:val="clear" w:color="auto" w:fill="FFFFFF"/>
        </w:rPr>
        <w:t xml:space="preserve"> (1996).</w:t>
      </w:r>
    </w:p>
    <w:p w:rsidR="00FA6B90" w:rsidRPr="000D3F86" w:rsidRDefault="00FA6B90" w:rsidP="00097A19">
      <w:pPr>
        <w:pStyle w:val="ListParagraph"/>
        <w:numPr>
          <w:ilvl w:val="0"/>
          <w:numId w:val="43"/>
        </w:numPr>
        <w:shd w:val="clear" w:color="auto" w:fill="FFFFFF"/>
        <w:spacing w:after="166" w:line="240" w:lineRule="auto"/>
        <w:textAlignment w:val="baseline"/>
        <w:rPr>
          <w:rFonts w:ascii="Times New Roman" w:eastAsia="Times New Roman" w:hAnsi="Times New Roman"/>
          <w:sz w:val="24"/>
          <w:szCs w:val="24"/>
        </w:rPr>
      </w:pPr>
      <w:bookmarkStart w:id="232" w:name="_Ref357942779"/>
      <w:r w:rsidRPr="000D3F86">
        <w:rPr>
          <w:rFonts w:ascii="Times New Roman" w:eastAsia="Times New Roman" w:hAnsi="Times New Roman"/>
          <w:sz w:val="24"/>
          <w:szCs w:val="24"/>
        </w:rPr>
        <w:t xml:space="preserve">Moerschbacher, B.M., Noll, U., Gorrichon, L., &amp; Reisener, H-J. Specific inhibition of lignification breaks hypersensitive resistance of wheat to stem rust. </w:t>
      </w:r>
      <w:r w:rsidRPr="000D3F86">
        <w:rPr>
          <w:rFonts w:ascii="Times New Roman" w:eastAsia="Times New Roman" w:hAnsi="Times New Roman"/>
          <w:i/>
          <w:sz w:val="24"/>
          <w:szCs w:val="24"/>
        </w:rPr>
        <w:t>Plant Physiol.</w:t>
      </w:r>
      <w:r w:rsidRPr="000D3F86">
        <w:rPr>
          <w:rFonts w:ascii="Times New Roman" w:eastAsia="Times New Roman" w:hAnsi="Times New Roman"/>
          <w:sz w:val="24"/>
          <w:szCs w:val="24"/>
        </w:rPr>
        <w:t xml:space="preserve"> </w:t>
      </w:r>
      <w:r w:rsidRPr="000D3F86">
        <w:rPr>
          <w:rFonts w:ascii="Times New Roman" w:eastAsia="Times New Roman" w:hAnsi="Times New Roman"/>
          <w:b/>
          <w:sz w:val="24"/>
          <w:szCs w:val="24"/>
        </w:rPr>
        <w:t>93</w:t>
      </w:r>
      <w:r w:rsidRPr="000D3F86">
        <w:rPr>
          <w:rFonts w:ascii="Times New Roman" w:eastAsia="Times New Roman" w:hAnsi="Times New Roman"/>
          <w:sz w:val="24"/>
          <w:szCs w:val="24"/>
        </w:rPr>
        <w:t>, 465-470</w:t>
      </w:r>
      <w:bookmarkEnd w:id="232"/>
      <w:r w:rsidRPr="000D3F86">
        <w:rPr>
          <w:rFonts w:ascii="Times New Roman" w:eastAsia="Times New Roman" w:hAnsi="Times New Roman"/>
          <w:sz w:val="24"/>
          <w:szCs w:val="24"/>
        </w:rPr>
        <w:t xml:space="preserve"> (1990).</w:t>
      </w:r>
    </w:p>
    <w:p w:rsidR="00085EBF" w:rsidRPr="000D3F86" w:rsidRDefault="00085EBF" w:rsidP="00085EBF">
      <w:pPr>
        <w:pStyle w:val="ListParagraph"/>
        <w:numPr>
          <w:ilvl w:val="0"/>
          <w:numId w:val="43"/>
        </w:numPr>
        <w:shd w:val="clear" w:color="auto" w:fill="FFFFFF"/>
        <w:spacing w:after="166" w:line="240" w:lineRule="auto"/>
        <w:textAlignment w:val="baseline"/>
        <w:rPr>
          <w:rFonts w:ascii="Times New Roman" w:eastAsia="Times New Roman" w:hAnsi="Times New Roman"/>
          <w:sz w:val="24"/>
          <w:szCs w:val="24"/>
        </w:rPr>
      </w:pPr>
      <w:bookmarkStart w:id="233" w:name="_Ref364248020"/>
      <w:bookmarkStart w:id="234" w:name="_Ref380572994"/>
      <w:bookmarkStart w:id="235" w:name="_Ref364614185"/>
      <w:bookmarkStart w:id="236" w:name="_Ref366081313"/>
      <w:bookmarkStart w:id="237" w:name="_Ref371944390"/>
      <w:r w:rsidRPr="000D3F86">
        <w:rPr>
          <w:rFonts w:ascii="Times New Roman" w:eastAsia="Times New Roman" w:hAnsi="Times New Roman"/>
          <w:sz w:val="24"/>
          <w:szCs w:val="24"/>
        </w:rPr>
        <w:t xml:space="preserve">Tu, Y. </w:t>
      </w:r>
      <w:r w:rsidRPr="000D3F86">
        <w:rPr>
          <w:rFonts w:ascii="Times New Roman" w:eastAsia="Times New Roman" w:hAnsi="Times New Roman"/>
          <w:i/>
          <w:sz w:val="24"/>
          <w:szCs w:val="24"/>
        </w:rPr>
        <w:t>et al</w:t>
      </w:r>
      <w:r w:rsidRPr="000D3F86">
        <w:rPr>
          <w:rFonts w:ascii="Times New Roman" w:eastAsia="Times New Roman" w:hAnsi="Times New Roman"/>
          <w:sz w:val="24"/>
          <w:szCs w:val="24"/>
        </w:rPr>
        <w:t>. Functional analyses of caffeic acid O-methyltransferase and cinnamoyl-CoA-reductase genes from perennial ryegrass (</w:t>
      </w:r>
      <w:r w:rsidRPr="000D3F86">
        <w:rPr>
          <w:rFonts w:ascii="Times New Roman" w:eastAsia="Times New Roman" w:hAnsi="Times New Roman"/>
          <w:i/>
          <w:sz w:val="24"/>
          <w:szCs w:val="24"/>
        </w:rPr>
        <w:t>Lolium perenne</w:t>
      </w:r>
      <w:r w:rsidRPr="000D3F86">
        <w:rPr>
          <w:rFonts w:ascii="Times New Roman" w:eastAsia="Times New Roman" w:hAnsi="Times New Roman"/>
          <w:sz w:val="24"/>
          <w:szCs w:val="24"/>
        </w:rPr>
        <w:t>). </w:t>
      </w:r>
      <w:r w:rsidRPr="000D3F86">
        <w:rPr>
          <w:rFonts w:ascii="Times New Roman" w:eastAsia="Times New Roman" w:hAnsi="Times New Roman"/>
          <w:i/>
          <w:iCs/>
          <w:sz w:val="24"/>
          <w:szCs w:val="24"/>
        </w:rPr>
        <w:t>The Plant Cell Online</w:t>
      </w:r>
      <w:r w:rsidRPr="000D3F86">
        <w:rPr>
          <w:rFonts w:ascii="Times New Roman" w:eastAsia="Times New Roman" w:hAnsi="Times New Roman"/>
          <w:sz w:val="24"/>
          <w:szCs w:val="24"/>
        </w:rPr>
        <w:t> </w:t>
      </w:r>
      <w:r w:rsidRPr="000D3F86">
        <w:rPr>
          <w:rFonts w:ascii="Times New Roman" w:eastAsia="Times New Roman" w:hAnsi="Times New Roman"/>
          <w:b/>
          <w:iCs/>
          <w:sz w:val="24"/>
          <w:szCs w:val="24"/>
        </w:rPr>
        <w:t>22</w:t>
      </w:r>
      <w:r w:rsidRPr="000D3F86">
        <w:rPr>
          <w:rFonts w:ascii="Times New Roman" w:eastAsia="Times New Roman" w:hAnsi="Times New Roman"/>
          <w:sz w:val="24"/>
          <w:szCs w:val="24"/>
        </w:rPr>
        <w:t>(10), 3357-3373</w:t>
      </w:r>
      <w:bookmarkEnd w:id="233"/>
      <w:r w:rsidRPr="000D3F86">
        <w:rPr>
          <w:rFonts w:ascii="Times New Roman" w:eastAsia="Times New Roman" w:hAnsi="Times New Roman"/>
          <w:sz w:val="24"/>
          <w:szCs w:val="24"/>
        </w:rPr>
        <w:t xml:space="preserve"> (2010).</w:t>
      </w:r>
      <w:bookmarkEnd w:id="234"/>
    </w:p>
    <w:p w:rsidR="00FA6B90" w:rsidRPr="000D3F86" w:rsidRDefault="00FA6B90" w:rsidP="00097A19">
      <w:pPr>
        <w:pStyle w:val="ListParagraph"/>
        <w:numPr>
          <w:ilvl w:val="0"/>
          <w:numId w:val="43"/>
        </w:numPr>
        <w:spacing w:line="240" w:lineRule="auto"/>
        <w:rPr>
          <w:rFonts w:ascii="Times New Roman" w:hAnsi="Times New Roman"/>
          <w:sz w:val="24"/>
          <w:szCs w:val="24"/>
        </w:rPr>
      </w:pPr>
      <w:r w:rsidRPr="000D3F86">
        <w:rPr>
          <w:rFonts w:ascii="Times New Roman" w:hAnsi="Times New Roman"/>
          <w:sz w:val="24"/>
          <w:szCs w:val="24"/>
        </w:rPr>
        <w:t xml:space="preserve">Moore, K.J., </w:t>
      </w:r>
      <w:r w:rsidRPr="000D3F86">
        <w:rPr>
          <w:rFonts w:ascii="Times New Roman" w:hAnsi="Times New Roman"/>
          <w:i/>
          <w:sz w:val="24"/>
          <w:szCs w:val="24"/>
        </w:rPr>
        <w:t>et al.</w:t>
      </w:r>
      <w:r w:rsidRPr="000D3F86">
        <w:rPr>
          <w:rFonts w:ascii="Times New Roman" w:hAnsi="Times New Roman"/>
          <w:sz w:val="24"/>
          <w:szCs w:val="24"/>
        </w:rPr>
        <w:t xml:space="preserve"> Describing and quantifying growth stages of perennial forage grasses. Agron J </w:t>
      </w:r>
      <w:r w:rsidRPr="000D3F86">
        <w:rPr>
          <w:rFonts w:ascii="Times New Roman" w:hAnsi="Times New Roman"/>
          <w:b/>
          <w:sz w:val="24"/>
          <w:szCs w:val="24"/>
        </w:rPr>
        <w:t>83</w:t>
      </w:r>
      <w:proofErr w:type="gramStart"/>
      <w:r w:rsidRPr="000D3F86">
        <w:rPr>
          <w:rFonts w:ascii="Times New Roman" w:hAnsi="Times New Roman"/>
          <w:sz w:val="24"/>
          <w:szCs w:val="24"/>
        </w:rPr>
        <w:t>,1073</w:t>
      </w:r>
      <w:proofErr w:type="gramEnd"/>
      <w:r w:rsidRPr="000D3F86">
        <w:rPr>
          <w:rFonts w:ascii="Times New Roman" w:hAnsi="Times New Roman"/>
          <w:sz w:val="24"/>
          <w:szCs w:val="24"/>
        </w:rPr>
        <w:t>–1077</w:t>
      </w:r>
      <w:bookmarkEnd w:id="235"/>
      <w:bookmarkEnd w:id="236"/>
      <w:r w:rsidRPr="000D3F86">
        <w:rPr>
          <w:rFonts w:ascii="Times New Roman" w:hAnsi="Times New Roman"/>
          <w:sz w:val="24"/>
          <w:szCs w:val="24"/>
        </w:rPr>
        <w:t xml:space="preserve"> (1991).</w:t>
      </w:r>
      <w:bookmarkEnd w:id="237"/>
    </w:p>
    <w:p w:rsidR="00FA6B90" w:rsidRPr="000D3F86" w:rsidRDefault="00FA6B90" w:rsidP="00097A19">
      <w:pPr>
        <w:pStyle w:val="ListParagraph"/>
        <w:numPr>
          <w:ilvl w:val="0"/>
          <w:numId w:val="43"/>
        </w:numPr>
        <w:spacing w:line="240" w:lineRule="auto"/>
        <w:rPr>
          <w:rFonts w:ascii="Times New Roman" w:hAnsi="Times New Roman"/>
          <w:sz w:val="24"/>
          <w:szCs w:val="24"/>
        </w:rPr>
      </w:pPr>
      <w:bookmarkStart w:id="238" w:name="_Ref371941690"/>
      <w:r w:rsidRPr="000D3F86">
        <w:rPr>
          <w:rFonts w:ascii="Times New Roman" w:hAnsi="Times New Roman"/>
          <w:sz w:val="24"/>
          <w:szCs w:val="24"/>
        </w:rPr>
        <w:t xml:space="preserve">Sykes, R. </w:t>
      </w:r>
      <w:r w:rsidRPr="000D3F86">
        <w:rPr>
          <w:rFonts w:ascii="Times New Roman" w:hAnsi="Times New Roman"/>
          <w:i/>
          <w:sz w:val="24"/>
          <w:szCs w:val="24"/>
        </w:rPr>
        <w:t>et al</w:t>
      </w:r>
      <w:r w:rsidRPr="000D3F86">
        <w:rPr>
          <w:rFonts w:ascii="Times New Roman" w:hAnsi="Times New Roman"/>
          <w:sz w:val="24"/>
          <w:szCs w:val="24"/>
        </w:rPr>
        <w:t xml:space="preserve">. High-throughput screening of plant cell-wall composition using pyrolysis molecular beam mass spectroscopy. </w:t>
      </w:r>
      <w:r w:rsidRPr="000D3F86">
        <w:rPr>
          <w:rFonts w:ascii="Times New Roman" w:hAnsi="Times New Roman"/>
          <w:i/>
          <w:iCs/>
          <w:sz w:val="24"/>
          <w:szCs w:val="24"/>
        </w:rPr>
        <w:t>Biofuels</w:t>
      </w:r>
      <w:r w:rsidRPr="000D3F86">
        <w:rPr>
          <w:rFonts w:ascii="Times New Roman" w:hAnsi="Times New Roman"/>
          <w:sz w:val="24"/>
          <w:szCs w:val="24"/>
        </w:rPr>
        <w:t>. Humana Press, 169-183 (2009).</w:t>
      </w:r>
      <w:bookmarkEnd w:id="238"/>
    </w:p>
    <w:p w:rsidR="00FA6B90" w:rsidRPr="000D3F86" w:rsidRDefault="00FA6B90" w:rsidP="00097A19">
      <w:pPr>
        <w:pStyle w:val="ListParagraph"/>
        <w:numPr>
          <w:ilvl w:val="0"/>
          <w:numId w:val="43"/>
        </w:numPr>
        <w:spacing w:line="240" w:lineRule="auto"/>
        <w:rPr>
          <w:rFonts w:ascii="Times New Roman" w:hAnsi="Times New Roman"/>
          <w:sz w:val="24"/>
          <w:szCs w:val="24"/>
        </w:rPr>
      </w:pPr>
      <w:bookmarkStart w:id="239" w:name="_Ref365719243"/>
      <w:bookmarkStart w:id="240" w:name="_Ref364709705"/>
      <w:r w:rsidRPr="000D3F86">
        <w:rPr>
          <w:rFonts w:ascii="Times New Roman" w:hAnsi="Times New Roman"/>
          <w:sz w:val="24"/>
          <w:szCs w:val="24"/>
        </w:rPr>
        <w:t>Kataoka</w:t>
      </w:r>
      <w:proofErr w:type="gramStart"/>
      <w:r w:rsidRPr="000D3F86">
        <w:rPr>
          <w:rFonts w:ascii="Times New Roman" w:hAnsi="Times New Roman"/>
          <w:sz w:val="24"/>
          <w:szCs w:val="24"/>
        </w:rPr>
        <w:t>,Y</w:t>
      </w:r>
      <w:proofErr w:type="gramEnd"/>
      <w:r w:rsidRPr="000D3F86">
        <w:rPr>
          <w:rFonts w:ascii="Times New Roman" w:hAnsi="Times New Roman"/>
          <w:sz w:val="24"/>
          <w:szCs w:val="24"/>
        </w:rPr>
        <w:t xml:space="preserve">., &amp; Kondo, T. FT-IR microscopic analysis of changing cellulose crystalline structure during wood cell wall formation.  </w:t>
      </w:r>
      <w:r w:rsidRPr="000D3F86">
        <w:rPr>
          <w:rFonts w:ascii="Times New Roman" w:hAnsi="Times New Roman"/>
          <w:i/>
          <w:sz w:val="24"/>
          <w:szCs w:val="24"/>
        </w:rPr>
        <w:t xml:space="preserve">Macromolecules </w:t>
      </w:r>
      <w:r w:rsidRPr="000D3F86">
        <w:rPr>
          <w:rFonts w:ascii="Times New Roman" w:hAnsi="Times New Roman"/>
          <w:b/>
          <w:sz w:val="24"/>
          <w:szCs w:val="24"/>
        </w:rPr>
        <w:t>31</w:t>
      </w:r>
      <w:r w:rsidRPr="000D3F86">
        <w:rPr>
          <w:rFonts w:ascii="Times New Roman" w:hAnsi="Times New Roman"/>
          <w:sz w:val="24"/>
          <w:szCs w:val="24"/>
        </w:rPr>
        <w:t>,760-764</w:t>
      </w:r>
      <w:bookmarkEnd w:id="239"/>
      <w:r w:rsidRPr="000D3F86">
        <w:rPr>
          <w:rFonts w:ascii="Times New Roman" w:hAnsi="Times New Roman"/>
          <w:sz w:val="24"/>
          <w:szCs w:val="24"/>
        </w:rPr>
        <w:t xml:space="preserve"> (1998).</w:t>
      </w:r>
    </w:p>
    <w:p w:rsidR="00FA6B90" w:rsidRPr="000D3F86" w:rsidRDefault="00FA6B90" w:rsidP="00097A19">
      <w:pPr>
        <w:pStyle w:val="ListParagraph"/>
        <w:numPr>
          <w:ilvl w:val="0"/>
          <w:numId w:val="43"/>
        </w:numPr>
        <w:shd w:val="clear" w:color="auto" w:fill="FFFFFF"/>
        <w:spacing w:after="166" w:line="240" w:lineRule="auto"/>
        <w:textAlignment w:val="baseline"/>
        <w:rPr>
          <w:rFonts w:ascii="Times New Roman" w:eastAsia="Times New Roman" w:hAnsi="Times New Roman"/>
          <w:sz w:val="24"/>
          <w:szCs w:val="24"/>
        </w:rPr>
      </w:pPr>
      <w:bookmarkStart w:id="241" w:name="_Ref366084753"/>
      <w:bookmarkStart w:id="242" w:name="_Ref364709515"/>
      <w:bookmarkEnd w:id="240"/>
      <w:r w:rsidRPr="000D3F86">
        <w:rPr>
          <w:rFonts w:ascii="Times New Roman" w:eastAsia="Times New Roman" w:hAnsi="Times New Roman"/>
          <w:sz w:val="24"/>
          <w:szCs w:val="24"/>
        </w:rPr>
        <w:t xml:space="preserve">Studer, M.H., DeMartini, J.D., Brethauer, S., McKenzie, H.L., &amp; Wyman, C.E. Engineering of a high-throughput screening system to identify cellulosic biomass, pretreatments, and enzyme formulations that enhance sugar release. </w:t>
      </w:r>
      <w:r w:rsidRPr="000D3F86">
        <w:rPr>
          <w:rFonts w:ascii="Times New Roman" w:eastAsia="Times New Roman" w:hAnsi="Times New Roman"/>
          <w:i/>
          <w:sz w:val="24"/>
          <w:szCs w:val="24"/>
        </w:rPr>
        <w:t>Biotechnol Bioeng</w:t>
      </w:r>
      <w:r w:rsidRPr="000D3F86">
        <w:rPr>
          <w:rFonts w:ascii="Times New Roman" w:eastAsia="Times New Roman" w:hAnsi="Times New Roman"/>
          <w:sz w:val="24"/>
          <w:szCs w:val="24"/>
        </w:rPr>
        <w:t xml:space="preserve"> </w:t>
      </w:r>
      <w:r w:rsidRPr="000D3F86">
        <w:rPr>
          <w:rFonts w:ascii="Times New Roman" w:eastAsia="Times New Roman" w:hAnsi="Times New Roman"/>
          <w:b/>
          <w:sz w:val="24"/>
          <w:szCs w:val="24"/>
        </w:rPr>
        <w:t>105</w:t>
      </w:r>
      <w:r w:rsidRPr="000D3F86">
        <w:rPr>
          <w:rFonts w:ascii="Times New Roman" w:eastAsia="Times New Roman" w:hAnsi="Times New Roman"/>
          <w:sz w:val="24"/>
          <w:szCs w:val="24"/>
        </w:rPr>
        <w:t>, 231–238</w:t>
      </w:r>
      <w:bookmarkEnd w:id="241"/>
      <w:r w:rsidRPr="000D3F86">
        <w:rPr>
          <w:rFonts w:ascii="Times New Roman" w:eastAsia="Times New Roman" w:hAnsi="Times New Roman"/>
          <w:sz w:val="24"/>
          <w:szCs w:val="24"/>
        </w:rPr>
        <w:t xml:space="preserve"> (2009).</w:t>
      </w:r>
    </w:p>
    <w:p w:rsidR="00A25215" w:rsidRDefault="00FA6B90" w:rsidP="00097A19">
      <w:pPr>
        <w:pStyle w:val="ListParagraph"/>
        <w:numPr>
          <w:ilvl w:val="0"/>
          <w:numId w:val="43"/>
        </w:numPr>
        <w:shd w:val="clear" w:color="auto" w:fill="FFFFFF"/>
        <w:spacing w:after="166" w:line="240" w:lineRule="auto"/>
        <w:textAlignment w:val="baseline"/>
        <w:rPr>
          <w:rFonts w:ascii="Times New Roman" w:eastAsia="Times New Roman" w:hAnsi="Times New Roman"/>
          <w:sz w:val="24"/>
          <w:szCs w:val="24"/>
        </w:rPr>
      </w:pPr>
      <w:bookmarkStart w:id="243" w:name="_Ref366084782"/>
      <w:r w:rsidRPr="000D3F86">
        <w:rPr>
          <w:rFonts w:ascii="Times New Roman" w:eastAsia="Times New Roman" w:hAnsi="Times New Roman"/>
          <w:sz w:val="24"/>
          <w:szCs w:val="24"/>
        </w:rPr>
        <w:t xml:space="preserve">Mielenz, J.R., Bardsley, J.S., &amp; Wyman, C.E. Fermentation of soybean hulls to ethanol while preserving protein value. </w:t>
      </w:r>
      <w:r w:rsidRPr="000D3F86">
        <w:rPr>
          <w:rFonts w:ascii="Times New Roman" w:eastAsia="Times New Roman" w:hAnsi="Times New Roman"/>
          <w:i/>
          <w:sz w:val="24"/>
          <w:szCs w:val="24"/>
        </w:rPr>
        <w:t>Bioresour. Technol.</w:t>
      </w:r>
      <w:r w:rsidRPr="000D3F86">
        <w:rPr>
          <w:rFonts w:ascii="Times New Roman" w:eastAsia="Times New Roman" w:hAnsi="Times New Roman"/>
          <w:sz w:val="24"/>
          <w:szCs w:val="24"/>
        </w:rPr>
        <w:t xml:space="preserve"> </w:t>
      </w:r>
      <w:r w:rsidRPr="000D3F86">
        <w:rPr>
          <w:rFonts w:ascii="Times New Roman" w:eastAsia="Times New Roman" w:hAnsi="Times New Roman"/>
          <w:b/>
          <w:sz w:val="24"/>
          <w:szCs w:val="24"/>
        </w:rPr>
        <w:t>100</w:t>
      </w:r>
      <w:r w:rsidRPr="000D3F86">
        <w:rPr>
          <w:rFonts w:ascii="Times New Roman" w:eastAsia="Times New Roman" w:hAnsi="Times New Roman"/>
          <w:sz w:val="24"/>
          <w:szCs w:val="24"/>
        </w:rPr>
        <w:t>, 3532-3539</w:t>
      </w:r>
      <w:bookmarkEnd w:id="242"/>
      <w:bookmarkEnd w:id="243"/>
      <w:r w:rsidRPr="000D3F86">
        <w:rPr>
          <w:rFonts w:ascii="Times New Roman" w:eastAsia="Times New Roman" w:hAnsi="Times New Roman"/>
          <w:sz w:val="24"/>
          <w:szCs w:val="24"/>
        </w:rPr>
        <w:t xml:space="preserve"> (2009).</w:t>
      </w:r>
    </w:p>
    <w:p w:rsidR="00085EBF" w:rsidRDefault="00085EBF" w:rsidP="00085EBF">
      <w:pPr>
        <w:pStyle w:val="ListParagraph"/>
        <w:numPr>
          <w:ilvl w:val="0"/>
          <w:numId w:val="43"/>
        </w:numPr>
        <w:shd w:val="clear" w:color="auto" w:fill="FFFFFF"/>
        <w:spacing w:after="166" w:line="240" w:lineRule="auto"/>
        <w:textAlignment w:val="baseline"/>
        <w:rPr>
          <w:rFonts w:ascii="Times New Roman" w:eastAsia="Times New Roman" w:hAnsi="Times New Roman"/>
          <w:sz w:val="24"/>
          <w:szCs w:val="24"/>
        </w:rPr>
      </w:pPr>
      <w:bookmarkStart w:id="244" w:name="_Ref364155488"/>
      <w:bookmarkStart w:id="245" w:name="_Ref380573482"/>
      <w:bookmarkStart w:id="246" w:name="_Ref364775920"/>
      <w:bookmarkStart w:id="247" w:name="_Ref364155580"/>
      <w:bookmarkStart w:id="248" w:name="_Ref363393605"/>
      <w:r w:rsidRPr="00085EBF">
        <w:rPr>
          <w:rFonts w:ascii="Times New Roman" w:eastAsia="Times New Roman" w:hAnsi="Times New Roman"/>
          <w:sz w:val="24"/>
          <w:szCs w:val="24"/>
        </w:rPr>
        <w:t xml:space="preserve">Jung, J.H. </w:t>
      </w:r>
      <w:r w:rsidRPr="00085EBF">
        <w:rPr>
          <w:rFonts w:ascii="Times New Roman" w:eastAsia="Times New Roman" w:hAnsi="Times New Roman"/>
          <w:i/>
          <w:sz w:val="24"/>
          <w:szCs w:val="24"/>
        </w:rPr>
        <w:t>et al</w:t>
      </w:r>
      <w:r w:rsidRPr="00085EBF">
        <w:rPr>
          <w:rFonts w:ascii="Times New Roman" w:eastAsia="Times New Roman" w:hAnsi="Times New Roman"/>
          <w:sz w:val="24"/>
          <w:szCs w:val="24"/>
        </w:rPr>
        <w:t>. RNA interference suppression of lignin biosynthesis increases fermentable sugar yields for biofuel production from field</w:t>
      </w:r>
      <w:r w:rsidRPr="00085EBF">
        <w:rPr>
          <w:rFonts w:ascii="Cambria Math" w:eastAsia="Times New Roman" w:hAnsi="Cambria Math" w:cs="Cambria Math"/>
          <w:sz w:val="24"/>
          <w:szCs w:val="24"/>
        </w:rPr>
        <w:t>‐</w:t>
      </w:r>
      <w:r w:rsidRPr="00085EBF">
        <w:rPr>
          <w:rFonts w:ascii="Times New Roman" w:eastAsia="Times New Roman" w:hAnsi="Times New Roman"/>
          <w:sz w:val="24"/>
          <w:szCs w:val="24"/>
        </w:rPr>
        <w:t>grown sugarcane. </w:t>
      </w:r>
      <w:r w:rsidRPr="00085EBF">
        <w:rPr>
          <w:rFonts w:ascii="Times New Roman" w:eastAsia="Times New Roman" w:hAnsi="Times New Roman"/>
          <w:i/>
          <w:iCs/>
          <w:sz w:val="24"/>
          <w:szCs w:val="24"/>
        </w:rPr>
        <w:t>Plant Biotechnol. J</w:t>
      </w:r>
      <w:r w:rsidRPr="00085EBF">
        <w:rPr>
          <w:rFonts w:ascii="Times New Roman" w:eastAsia="Times New Roman" w:hAnsi="Times New Roman"/>
          <w:sz w:val="24"/>
          <w:szCs w:val="24"/>
        </w:rPr>
        <w:t>.</w:t>
      </w:r>
      <w:bookmarkEnd w:id="244"/>
      <w:r w:rsidRPr="00085EBF">
        <w:rPr>
          <w:rFonts w:ascii="Times New Roman" w:eastAsia="Times New Roman" w:hAnsi="Times New Roman"/>
          <w:sz w:val="24"/>
          <w:szCs w:val="24"/>
        </w:rPr>
        <w:t xml:space="preserve"> (2013).</w:t>
      </w:r>
      <w:bookmarkEnd w:id="245"/>
    </w:p>
    <w:p w:rsidR="002F2B58" w:rsidRDefault="002F2B58" w:rsidP="002F2B58">
      <w:pPr>
        <w:pStyle w:val="ListParagraph"/>
        <w:numPr>
          <w:ilvl w:val="0"/>
          <w:numId w:val="43"/>
        </w:numPr>
        <w:shd w:val="clear" w:color="auto" w:fill="FFFFFF"/>
        <w:spacing w:after="166" w:line="240" w:lineRule="auto"/>
        <w:textAlignment w:val="baseline"/>
        <w:rPr>
          <w:rFonts w:ascii="Times New Roman" w:eastAsia="Times New Roman" w:hAnsi="Times New Roman"/>
          <w:sz w:val="24"/>
          <w:szCs w:val="24"/>
        </w:rPr>
      </w:pPr>
      <w:bookmarkStart w:id="249" w:name="_Ref383005328"/>
      <w:r>
        <w:rPr>
          <w:rFonts w:ascii="Times New Roman" w:eastAsia="Times New Roman" w:hAnsi="Times New Roman"/>
          <w:sz w:val="24"/>
          <w:szCs w:val="24"/>
        </w:rPr>
        <w:t xml:space="preserve">Kuc, J., and Nelson, O.E. </w:t>
      </w:r>
      <w:r w:rsidRPr="002F2B58">
        <w:rPr>
          <w:rFonts w:ascii="Times New Roman" w:eastAsia="Times New Roman" w:hAnsi="Times New Roman"/>
          <w:sz w:val="24"/>
          <w:szCs w:val="24"/>
        </w:rPr>
        <w:t>The abnor</w:t>
      </w:r>
      <w:r>
        <w:rPr>
          <w:rFonts w:ascii="Times New Roman" w:eastAsia="Times New Roman" w:hAnsi="Times New Roman"/>
          <w:sz w:val="24"/>
          <w:szCs w:val="24"/>
        </w:rPr>
        <w:t xml:space="preserve">mal lignins produced by the brown-midrib </w:t>
      </w:r>
      <w:r w:rsidRPr="002F2B58">
        <w:rPr>
          <w:rFonts w:ascii="Times New Roman" w:eastAsia="Times New Roman" w:hAnsi="Times New Roman"/>
          <w:sz w:val="24"/>
          <w:szCs w:val="24"/>
        </w:rPr>
        <w:t xml:space="preserve">mutants of maize: I. The brown-midrib-1 mutant. </w:t>
      </w:r>
      <w:r w:rsidRPr="002F2B58">
        <w:rPr>
          <w:rFonts w:ascii="Times New Roman" w:eastAsia="Times New Roman" w:hAnsi="Times New Roman"/>
          <w:i/>
          <w:sz w:val="24"/>
          <w:szCs w:val="24"/>
        </w:rPr>
        <w:t>Archives of biochemistry and biophysics</w:t>
      </w:r>
      <w:r>
        <w:rPr>
          <w:rFonts w:ascii="Times New Roman" w:eastAsia="Times New Roman" w:hAnsi="Times New Roman"/>
          <w:sz w:val="24"/>
          <w:szCs w:val="24"/>
        </w:rPr>
        <w:t xml:space="preserve"> </w:t>
      </w:r>
      <w:r w:rsidRPr="002F2B58">
        <w:rPr>
          <w:rFonts w:ascii="Times New Roman" w:eastAsia="Times New Roman" w:hAnsi="Times New Roman"/>
          <w:b/>
          <w:sz w:val="24"/>
          <w:szCs w:val="24"/>
        </w:rPr>
        <w:t>105</w:t>
      </w:r>
      <w:r>
        <w:rPr>
          <w:rFonts w:ascii="Times New Roman" w:eastAsia="Times New Roman" w:hAnsi="Times New Roman"/>
          <w:sz w:val="24"/>
          <w:szCs w:val="24"/>
        </w:rPr>
        <w:t>, 103-113</w:t>
      </w:r>
      <w:r w:rsidRPr="002F2B58">
        <w:rPr>
          <w:rFonts w:ascii="Times New Roman" w:eastAsia="Times New Roman" w:hAnsi="Times New Roman"/>
          <w:sz w:val="24"/>
          <w:szCs w:val="24"/>
        </w:rPr>
        <w:t xml:space="preserve"> </w:t>
      </w:r>
      <w:r>
        <w:rPr>
          <w:rFonts w:ascii="Times New Roman" w:eastAsia="Times New Roman" w:hAnsi="Times New Roman"/>
          <w:sz w:val="24"/>
          <w:szCs w:val="24"/>
        </w:rPr>
        <w:t>(1964).</w:t>
      </w:r>
      <w:bookmarkEnd w:id="249"/>
    </w:p>
    <w:p w:rsidR="00631FB3" w:rsidRPr="00085EBF" w:rsidRDefault="00631FB3" w:rsidP="00631FB3">
      <w:pPr>
        <w:pStyle w:val="ListParagraph"/>
        <w:numPr>
          <w:ilvl w:val="0"/>
          <w:numId w:val="43"/>
        </w:numPr>
        <w:shd w:val="clear" w:color="auto" w:fill="FFFFFF"/>
        <w:spacing w:after="166" w:line="240" w:lineRule="auto"/>
        <w:textAlignment w:val="baseline"/>
        <w:rPr>
          <w:rFonts w:ascii="Times New Roman" w:eastAsia="Times New Roman" w:hAnsi="Times New Roman"/>
          <w:sz w:val="24"/>
          <w:szCs w:val="24"/>
        </w:rPr>
      </w:pPr>
      <w:bookmarkStart w:id="250" w:name="_Ref383006093"/>
      <w:r>
        <w:rPr>
          <w:rFonts w:ascii="Times New Roman" w:eastAsia="Times New Roman" w:hAnsi="Times New Roman"/>
          <w:sz w:val="24"/>
          <w:szCs w:val="24"/>
        </w:rPr>
        <w:t>Kuc, J., Nelson, O.E., and</w:t>
      </w:r>
      <w:r w:rsidRPr="00631FB3">
        <w:rPr>
          <w:rFonts w:ascii="Times New Roman" w:eastAsia="Times New Roman" w:hAnsi="Times New Roman"/>
          <w:sz w:val="24"/>
          <w:szCs w:val="24"/>
        </w:rPr>
        <w:t xml:space="preserve"> Flanagan, P. Degradation of abnormal lignins in the brown-midrib mutants and double mutants of maize. </w:t>
      </w:r>
      <w:r>
        <w:rPr>
          <w:rFonts w:ascii="Times New Roman" w:eastAsia="Times New Roman" w:hAnsi="Times New Roman"/>
          <w:i/>
          <w:sz w:val="24"/>
          <w:szCs w:val="24"/>
        </w:rPr>
        <w:t>Phytochem.</w:t>
      </w:r>
      <w:r>
        <w:rPr>
          <w:rFonts w:ascii="Times New Roman" w:eastAsia="Times New Roman" w:hAnsi="Times New Roman"/>
          <w:sz w:val="24"/>
          <w:szCs w:val="24"/>
        </w:rPr>
        <w:t xml:space="preserve"> </w:t>
      </w:r>
      <w:r w:rsidRPr="00631FB3">
        <w:rPr>
          <w:rFonts w:ascii="Times New Roman" w:eastAsia="Times New Roman" w:hAnsi="Times New Roman"/>
          <w:b/>
          <w:sz w:val="24"/>
          <w:szCs w:val="24"/>
        </w:rPr>
        <w:t>7</w:t>
      </w:r>
      <w:r w:rsidRPr="00631FB3">
        <w:rPr>
          <w:rFonts w:ascii="Times New Roman" w:eastAsia="Times New Roman" w:hAnsi="Times New Roman"/>
          <w:sz w:val="24"/>
          <w:szCs w:val="24"/>
        </w:rPr>
        <w:t>, 1435-1436</w:t>
      </w:r>
      <w:r>
        <w:rPr>
          <w:rFonts w:ascii="Times New Roman" w:eastAsia="Times New Roman" w:hAnsi="Times New Roman"/>
          <w:sz w:val="24"/>
          <w:szCs w:val="24"/>
        </w:rPr>
        <w:t xml:space="preserve"> </w:t>
      </w:r>
      <w:r w:rsidRPr="00631FB3">
        <w:rPr>
          <w:rFonts w:ascii="Times New Roman" w:eastAsia="Times New Roman" w:hAnsi="Times New Roman"/>
          <w:sz w:val="24"/>
          <w:szCs w:val="24"/>
        </w:rPr>
        <w:t>(1968).</w:t>
      </w:r>
      <w:bookmarkEnd w:id="250"/>
    </w:p>
    <w:p w:rsidR="00794450" w:rsidRPr="000D3F86" w:rsidRDefault="00794450" w:rsidP="00097A19">
      <w:pPr>
        <w:pStyle w:val="ListParagraph"/>
        <w:numPr>
          <w:ilvl w:val="0"/>
          <w:numId w:val="43"/>
        </w:numPr>
        <w:shd w:val="clear" w:color="auto" w:fill="FFFFFF"/>
        <w:spacing w:after="166" w:line="240" w:lineRule="auto"/>
        <w:textAlignment w:val="baseline"/>
        <w:rPr>
          <w:rFonts w:ascii="Times New Roman" w:eastAsia="Times New Roman" w:hAnsi="Times New Roman"/>
          <w:sz w:val="24"/>
          <w:szCs w:val="24"/>
        </w:rPr>
      </w:pPr>
      <w:bookmarkStart w:id="251" w:name="_Ref381282581"/>
      <w:r w:rsidRPr="00085EBF">
        <w:rPr>
          <w:rFonts w:ascii="Times New Roman" w:eastAsia="Times New Roman" w:hAnsi="Times New Roman"/>
          <w:sz w:val="24"/>
          <w:szCs w:val="24"/>
        </w:rPr>
        <w:lastRenderedPageBreak/>
        <w:t xml:space="preserve">Dauwe, R., </w:t>
      </w:r>
      <w:r w:rsidRPr="00085EBF">
        <w:rPr>
          <w:rFonts w:ascii="Times New Roman" w:eastAsia="Times New Roman" w:hAnsi="Times New Roman"/>
          <w:i/>
          <w:sz w:val="24"/>
          <w:szCs w:val="24"/>
        </w:rPr>
        <w:t>et al</w:t>
      </w:r>
      <w:r w:rsidRPr="00085EBF">
        <w:rPr>
          <w:rFonts w:ascii="Times New Roman" w:eastAsia="Times New Roman" w:hAnsi="Times New Roman"/>
          <w:sz w:val="24"/>
          <w:szCs w:val="24"/>
        </w:rPr>
        <w:t>. Molecular phenotyping of lignin</w:t>
      </w:r>
      <w:r w:rsidRPr="00085EBF">
        <w:rPr>
          <w:rFonts w:ascii="Cambria Math" w:eastAsia="Times New Roman" w:hAnsi="Cambria Math" w:cs="Cambria Math"/>
          <w:sz w:val="24"/>
          <w:szCs w:val="24"/>
        </w:rPr>
        <w:t>‐</w:t>
      </w:r>
      <w:r w:rsidRPr="00085EBF">
        <w:rPr>
          <w:rFonts w:ascii="Times New Roman" w:eastAsia="Times New Roman" w:hAnsi="Times New Roman"/>
          <w:sz w:val="24"/>
          <w:szCs w:val="24"/>
        </w:rPr>
        <w:t>modified tobacco reveals associated changes in cell</w:t>
      </w:r>
      <w:r w:rsidRPr="00085EBF">
        <w:rPr>
          <w:rFonts w:ascii="Cambria Math" w:eastAsia="Times New Roman" w:hAnsi="Cambria Math" w:cs="Cambria Math"/>
          <w:sz w:val="24"/>
          <w:szCs w:val="24"/>
        </w:rPr>
        <w:t>‐</w:t>
      </w:r>
      <w:r w:rsidRPr="00085EBF">
        <w:rPr>
          <w:rFonts w:ascii="Times New Roman" w:eastAsia="Times New Roman" w:hAnsi="Times New Roman"/>
          <w:sz w:val="24"/>
          <w:szCs w:val="24"/>
        </w:rPr>
        <w:t>wall metabolism</w:t>
      </w:r>
      <w:r w:rsidRPr="000D3F86">
        <w:rPr>
          <w:rFonts w:ascii="Times New Roman" w:eastAsia="Times New Roman" w:hAnsi="Times New Roman"/>
          <w:sz w:val="24"/>
          <w:szCs w:val="24"/>
        </w:rPr>
        <w:t>, primary metabolism, stress metabolism and photorespiration.</w:t>
      </w:r>
      <w:r w:rsidRPr="000D3F86">
        <w:rPr>
          <w:rFonts w:ascii="Times New Roman" w:eastAsia="Times New Roman" w:hAnsi="Times New Roman"/>
          <w:i/>
          <w:iCs/>
          <w:sz w:val="24"/>
          <w:szCs w:val="24"/>
        </w:rPr>
        <w:t xml:space="preserve"> Plant J.</w:t>
      </w:r>
      <w:r w:rsidRPr="000D3F86">
        <w:rPr>
          <w:rFonts w:ascii="Times New Roman" w:eastAsia="Times New Roman" w:hAnsi="Times New Roman"/>
          <w:sz w:val="24"/>
          <w:szCs w:val="24"/>
        </w:rPr>
        <w:t> </w:t>
      </w:r>
      <w:r w:rsidRPr="000D3F86">
        <w:rPr>
          <w:rFonts w:ascii="Times New Roman" w:eastAsia="Times New Roman" w:hAnsi="Times New Roman"/>
          <w:b/>
          <w:sz w:val="24"/>
          <w:szCs w:val="24"/>
        </w:rPr>
        <w:t>52.2,</w:t>
      </w:r>
      <w:r w:rsidRPr="000D3F86">
        <w:rPr>
          <w:rFonts w:ascii="Times New Roman" w:eastAsia="Times New Roman" w:hAnsi="Times New Roman"/>
          <w:sz w:val="24"/>
          <w:szCs w:val="24"/>
        </w:rPr>
        <w:t xml:space="preserve"> 263-285</w:t>
      </w:r>
      <w:bookmarkEnd w:id="246"/>
      <w:r w:rsidRPr="000D3F86">
        <w:rPr>
          <w:rFonts w:ascii="Times New Roman" w:eastAsia="Times New Roman" w:hAnsi="Times New Roman"/>
          <w:sz w:val="24"/>
          <w:szCs w:val="24"/>
        </w:rPr>
        <w:t xml:space="preserve"> (2007).</w:t>
      </w:r>
      <w:bookmarkEnd w:id="251"/>
    </w:p>
    <w:p w:rsidR="00794450" w:rsidRPr="000D3F86" w:rsidRDefault="00794450" w:rsidP="00097A19">
      <w:pPr>
        <w:pStyle w:val="ListParagraph"/>
        <w:numPr>
          <w:ilvl w:val="0"/>
          <w:numId w:val="43"/>
        </w:numPr>
        <w:shd w:val="clear" w:color="auto" w:fill="FFFFFF"/>
        <w:spacing w:after="166" w:line="240" w:lineRule="auto"/>
        <w:textAlignment w:val="baseline"/>
        <w:rPr>
          <w:rFonts w:ascii="Times New Roman" w:eastAsia="Times New Roman" w:hAnsi="Times New Roman"/>
          <w:sz w:val="24"/>
          <w:szCs w:val="24"/>
        </w:rPr>
      </w:pPr>
      <w:bookmarkStart w:id="252" w:name="_Ref363393607"/>
      <w:bookmarkStart w:id="253" w:name="_Ref382245695"/>
      <w:r w:rsidRPr="000D3F86">
        <w:rPr>
          <w:rFonts w:ascii="Times New Roman" w:eastAsia="Times New Roman" w:hAnsi="Times New Roman"/>
          <w:sz w:val="24"/>
          <w:szCs w:val="24"/>
        </w:rPr>
        <w:t xml:space="preserve">Hu, W.J. </w:t>
      </w:r>
      <w:r w:rsidRPr="000D3F86">
        <w:rPr>
          <w:rFonts w:ascii="Times New Roman" w:eastAsia="Times New Roman" w:hAnsi="Times New Roman"/>
          <w:i/>
          <w:sz w:val="24"/>
          <w:szCs w:val="24"/>
        </w:rPr>
        <w:t>et al</w:t>
      </w:r>
      <w:r w:rsidRPr="000D3F86">
        <w:rPr>
          <w:rFonts w:ascii="Times New Roman" w:eastAsia="Times New Roman" w:hAnsi="Times New Roman"/>
          <w:sz w:val="24"/>
          <w:szCs w:val="24"/>
        </w:rPr>
        <w:t>. Repression of lignin biosynthesis promotes cellulose accumulation and growth in transgenic trees. </w:t>
      </w:r>
      <w:r w:rsidRPr="000D3F86">
        <w:rPr>
          <w:rFonts w:ascii="Times New Roman" w:eastAsia="Times New Roman" w:hAnsi="Times New Roman"/>
          <w:i/>
          <w:iCs/>
          <w:sz w:val="24"/>
          <w:szCs w:val="24"/>
        </w:rPr>
        <w:t xml:space="preserve">Nat. Biotechnol. </w:t>
      </w:r>
      <w:r w:rsidRPr="000D3F86">
        <w:rPr>
          <w:rFonts w:ascii="Times New Roman" w:eastAsia="Times New Roman" w:hAnsi="Times New Roman"/>
          <w:b/>
          <w:iCs/>
          <w:sz w:val="24"/>
          <w:szCs w:val="24"/>
        </w:rPr>
        <w:t>17</w:t>
      </w:r>
      <w:r w:rsidRPr="000D3F86">
        <w:rPr>
          <w:rFonts w:ascii="Times New Roman" w:eastAsia="Times New Roman" w:hAnsi="Times New Roman"/>
          <w:sz w:val="24"/>
          <w:szCs w:val="24"/>
        </w:rPr>
        <w:t>(8), 808-812</w:t>
      </w:r>
      <w:bookmarkEnd w:id="252"/>
      <w:r w:rsidRPr="000D3F86">
        <w:rPr>
          <w:rFonts w:ascii="Times New Roman" w:eastAsia="Times New Roman" w:hAnsi="Times New Roman"/>
          <w:sz w:val="24"/>
          <w:szCs w:val="24"/>
        </w:rPr>
        <w:t xml:space="preserve"> (1999).</w:t>
      </w:r>
      <w:bookmarkEnd w:id="253"/>
    </w:p>
    <w:p w:rsidR="00794450" w:rsidRDefault="00794450" w:rsidP="00097A19">
      <w:pPr>
        <w:pStyle w:val="ListParagraph"/>
        <w:numPr>
          <w:ilvl w:val="0"/>
          <w:numId w:val="43"/>
        </w:numPr>
        <w:spacing w:line="240" w:lineRule="auto"/>
        <w:rPr>
          <w:rFonts w:ascii="Times New Roman" w:hAnsi="Times New Roman"/>
          <w:sz w:val="24"/>
          <w:szCs w:val="24"/>
        </w:rPr>
      </w:pPr>
      <w:bookmarkStart w:id="254" w:name="_Ref365297576"/>
      <w:bookmarkStart w:id="255" w:name="_Ref363410959"/>
      <w:r w:rsidRPr="000D3F86">
        <w:rPr>
          <w:rFonts w:ascii="Times New Roman" w:hAnsi="Times New Roman"/>
          <w:sz w:val="24"/>
          <w:szCs w:val="24"/>
        </w:rPr>
        <w:t>Coleman, H.D., Park, J.Y., Nair, R., Chapple, C., &amp; Mansfield, S.D. RNAi-mediated suppression of p-coumaroyl-CoA 3′-hydroxylase in hybrid poplar impacts lignin deposition and soluble secondary metabolism. </w:t>
      </w:r>
      <w:r w:rsidRPr="000D3F86">
        <w:rPr>
          <w:rFonts w:ascii="Times New Roman" w:hAnsi="Times New Roman"/>
          <w:i/>
          <w:iCs/>
          <w:sz w:val="24"/>
          <w:szCs w:val="24"/>
        </w:rPr>
        <w:t>Proc. Natl. Acad. Sci. USA</w:t>
      </w:r>
      <w:r w:rsidRPr="000D3F86">
        <w:rPr>
          <w:rFonts w:ascii="Times New Roman" w:hAnsi="Times New Roman"/>
          <w:sz w:val="24"/>
          <w:szCs w:val="24"/>
        </w:rPr>
        <w:t xml:space="preserve"> </w:t>
      </w:r>
      <w:r w:rsidRPr="000D3F86">
        <w:rPr>
          <w:rFonts w:ascii="Times New Roman" w:hAnsi="Times New Roman"/>
          <w:b/>
          <w:iCs/>
          <w:sz w:val="24"/>
          <w:szCs w:val="24"/>
        </w:rPr>
        <w:t>105</w:t>
      </w:r>
      <w:r w:rsidRPr="000D3F86">
        <w:rPr>
          <w:rFonts w:ascii="Times New Roman" w:hAnsi="Times New Roman"/>
          <w:sz w:val="24"/>
          <w:szCs w:val="24"/>
        </w:rPr>
        <w:t>(11), 4501-4506</w:t>
      </w:r>
      <w:bookmarkEnd w:id="254"/>
      <w:r w:rsidRPr="000D3F86">
        <w:rPr>
          <w:rFonts w:ascii="Times New Roman" w:hAnsi="Times New Roman"/>
          <w:sz w:val="24"/>
          <w:szCs w:val="24"/>
        </w:rPr>
        <w:t xml:space="preserve"> (2008).</w:t>
      </w:r>
    </w:p>
    <w:p w:rsidR="00CD1254" w:rsidRDefault="00CD1254" w:rsidP="00CD1254">
      <w:pPr>
        <w:pStyle w:val="ListParagraph"/>
        <w:numPr>
          <w:ilvl w:val="0"/>
          <w:numId w:val="43"/>
        </w:numPr>
        <w:spacing w:line="240" w:lineRule="auto"/>
        <w:rPr>
          <w:rFonts w:ascii="Times New Roman" w:hAnsi="Times New Roman"/>
          <w:sz w:val="24"/>
          <w:szCs w:val="24"/>
        </w:rPr>
      </w:pPr>
      <w:bookmarkStart w:id="256" w:name="_Ref382246030"/>
      <w:r>
        <w:rPr>
          <w:rFonts w:ascii="Times New Roman" w:hAnsi="Times New Roman"/>
          <w:sz w:val="24"/>
          <w:szCs w:val="24"/>
        </w:rPr>
        <w:t>Boudet, A.</w:t>
      </w:r>
      <w:r w:rsidRPr="00CD1254">
        <w:rPr>
          <w:rFonts w:ascii="Times New Roman" w:hAnsi="Times New Roman"/>
          <w:sz w:val="24"/>
          <w:szCs w:val="24"/>
        </w:rPr>
        <w:t xml:space="preserve">M., Kajita, S., Grima-Pettenati, J., &amp; Goffner, D. Lignins and lignocellulosics: a better control of synthesis for new and improved uses. </w:t>
      </w:r>
      <w:r w:rsidRPr="00CD1254">
        <w:rPr>
          <w:rFonts w:ascii="Times New Roman" w:hAnsi="Times New Roman"/>
          <w:i/>
          <w:sz w:val="24"/>
          <w:szCs w:val="24"/>
        </w:rPr>
        <w:t>Trends Plant Sci</w:t>
      </w:r>
      <w:r>
        <w:rPr>
          <w:rFonts w:ascii="Times New Roman" w:hAnsi="Times New Roman"/>
          <w:sz w:val="24"/>
          <w:szCs w:val="24"/>
        </w:rPr>
        <w:t>.</w:t>
      </w:r>
      <w:r w:rsidRPr="00CD1254">
        <w:rPr>
          <w:rFonts w:ascii="Times New Roman" w:hAnsi="Times New Roman"/>
          <w:sz w:val="24"/>
          <w:szCs w:val="24"/>
        </w:rPr>
        <w:t xml:space="preserve"> </w:t>
      </w:r>
      <w:r w:rsidRPr="00CD1254">
        <w:rPr>
          <w:rFonts w:ascii="Times New Roman" w:hAnsi="Times New Roman"/>
          <w:b/>
          <w:sz w:val="24"/>
          <w:szCs w:val="24"/>
        </w:rPr>
        <w:t>8</w:t>
      </w:r>
      <w:r>
        <w:rPr>
          <w:rFonts w:ascii="Times New Roman" w:hAnsi="Times New Roman"/>
          <w:sz w:val="24"/>
          <w:szCs w:val="24"/>
        </w:rPr>
        <w:t>(12), 576-581</w:t>
      </w:r>
      <w:r w:rsidRPr="00CD1254">
        <w:rPr>
          <w:rFonts w:ascii="Times New Roman" w:hAnsi="Times New Roman"/>
          <w:sz w:val="24"/>
          <w:szCs w:val="24"/>
        </w:rPr>
        <w:t xml:space="preserve"> (2003).</w:t>
      </w:r>
      <w:bookmarkEnd w:id="256"/>
    </w:p>
    <w:p w:rsidR="00BC2D26" w:rsidRPr="00BC2D26" w:rsidRDefault="00BC2D26" w:rsidP="00BC2D26">
      <w:pPr>
        <w:pStyle w:val="ListParagraph"/>
        <w:numPr>
          <w:ilvl w:val="0"/>
          <w:numId w:val="43"/>
        </w:numPr>
        <w:rPr>
          <w:rFonts w:ascii="Times New Roman" w:hAnsi="Times New Roman"/>
          <w:sz w:val="24"/>
          <w:szCs w:val="24"/>
        </w:rPr>
      </w:pPr>
      <w:bookmarkStart w:id="257" w:name="_Ref382322422"/>
      <w:r w:rsidRPr="00BC2D26">
        <w:rPr>
          <w:rFonts w:ascii="Times New Roman" w:hAnsi="Times New Roman"/>
          <w:sz w:val="24"/>
          <w:szCs w:val="24"/>
        </w:rPr>
        <w:t>Park, S.H., et al. Downregulation of maize cinnamoyl-coenzyme a reductase via RNA interference technology causes brown midrib and improves ammonia fiber expansion-pretreated conversion into fermentable sugars for biofuels. Crop Sci. 52(6), 2687-2701 (2012).</w:t>
      </w:r>
      <w:bookmarkEnd w:id="257"/>
    </w:p>
    <w:p w:rsidR="00794450" w:rsidRPr="000D3F86" w:rsidRDefault="00794450" w:rsidP="00097A19">
      <w:pPr>
        <w:pStyle w:val="ListParagraph"/>
        <w:numPr>
          <w:ilvl w:val="0"/>
          <w:numId w:val="43"/>
        </w:numPr>
        <w:spacing w:line="240" w:lineRule="auto"/>
        <w:rPr>
          <w:rFonts w:ascii="Times New Roman" w:hAnsi="Times New Roman"/>
          <w:sz w:val="24"/>
          <w:szCs w:val="24"/>
        </w:rPr>
      </w:pPr>
      <w:bookmarkStart w:id="258" w:name="_Ref366079226"/>
      <w:bookmarkEnd w:id="255"/>
      <w:r w:rsidRPr="000D3F86">
        <w:rPr>
          <w:rFonts w:ascii="Times New Roman" w:hAnsi="Times New Roman"/>
          <w:sz w:val="24"/>
          <w:szCs w:val="24"/>
        </w:rPr>
        <w:t>Bonawitz, N.D. &amp; Chapple, C. Can genetic engineering of lignin deposition be accomplished without an unacceptable yield penalty</w:t>
      </w:r>
      <w:proofErr w:type="gramStart"/>
      <w:r w:rsidRPr="000D3F86">
        <w:rPr>
          <w:rFonts w:ascii="Times New Roman" w:hAnsi="Times New Roman"/>
          <w:sz w:val="24"/>
          <w:szCs w:val="24"/>
        </w:rPr>
        <w:t>?.</w:t>
      </w:r>
      <w:proofErr w:type="gramEnd"/>
      <w:r w:rsidRPr="000D3F86">
        <w:rPr>
          <w:rFonts w:ascii="Times New Roman" w:hAnsi="Times New Roman"/>
          <w:sz w:val="24"/>
          <w:szCs w:val="24"/>
        </w:rPr>
        <w:t> </w:t>
      </w:r>
      <w:r w:rsidRPr="000D3F86">
        <w:rPr>
          <w:rFonts w:ascii="Times New Roman" w:hAnsi="Times New Roman"/>
          <w:i/>
          <w:iCs/>
          <w:sz w:val="24"/>
          <w:szCs w:val="24"/>
        </w:rPr>
        <w:t>Curr. Opin. Biotech</w:t>
      </w:r>
      <w:r w:rsidRPr="000D3F86">
        <w:rPr>
          <w:rFonts w:ascii="Times New Roman" w:hAnsi="Times New Roman"/>
          <w:sz w:val="24"/>
          <w:szCs w:val="24"/>
        </w:rPr>
        <w:t>.</w:t>
      </w:r>
      <w:bookmarkEnd w:id="247"/>
      <w:bookmarkEnd w:id="258"/>
      <w:r w:rsidRPr="000D3F86">
        <w:rPr>
          <w:rFonts w:ascii="Times New Roman" w:hAnsi="Times New Roman"/>
          <w:sz w:val="24"/>
          <w:szCs w:val="24"/>
        </w:rPr>
        <w:t xml:space="preserve"> (2012).</w:t>
      </w:r>
    </w:p>
    <w:p w:rsidR="00794450" w:rsidRPr="000D3F86" w:rsidRDefault="00794450" w:rsidP="00097A19">
      <w:pPr>
        <w:pStyle w:val="ListParagraph"/>
        <w:numPr>
          <w:ilvl w:val="0"/>
          <w:numId w:val="43"/>
        </w:numPr>
        <w:shd w:val="clear" w:color="auto" w:fill="FFFFFF"/>
        <w:spacing w:after="166" w:line="240" w:lineRule="auto"/>
        <w:textAlignment w:val="baseline"/>
        <w:rPr>
          <w:rFonts w:ascii="Times New Roman" w:eastAsia="Times New Roman" w:hAnsi="Times New Roman"/>
          <w:sz w:val="24"/>
          <w:szCs w:val="24"/>
        </w:rPr>
      </w:pPr>
      <w:bookmarkStart w:id="259" w:name="_Ref365296283"/>
      <w:r w:rsidRPr="000D3F86">
        <w:rPr>
          <w:rFonts w:ascii="Times New Roman" w:eastAsia="Times New Roman" w:hAnsi="Times New Roman"/>
          <w:sz w:val="24"/>
          <w:szCs w:val="24"/>
        </w:rPr>
        <w:t>Perrin, R., Vogel, K., Schmer, M., &amp; Mitchell, R. Farm-scale production cost of switchgrass for biomass. </w:t>
      </w:r>
      <w:r w:rsidRPr="000D3F86">
        <w:rPr>
          <w:rFonts w:ascii="Times New Roman" w:eastAsia="Times New Roman" w:hAnsi="Times New Roman"/>
          <w:i/>
          <w:iCs/>
          <w:sz w:val="24"/>
          <w:szCs w:val="24"/>
        </w:rPr>
        <w:t>BioEnergy Research</w:t>
      </w:r>
      <w:r w:rsidRPr="000D3F86">
        <w:rPr>
          <w:rFonts w:ascii="Times New Roman" w:eastAsia="Times New Roman" w:hAnsi="Times New Roman"/>
          <w:sz w:val="24"/>
          <w:szCs w:val="24"/>
        </w:rPr>
        <w:t>, </w:t>
      </w:r>
      <w:r w:rsidRPr="000D3F86">
        <w:rPr>
          <w:rFonts w:ascii="Times New Roman" w:eastAsia="Times New Roman" w:hAnsi="Times New Roman"/>
          <w:b/>
          <w:iCs/>
          <w:sz w:val="24"/>
          <w:szCs w:val="24"/>
        </w:rPr>
        <w:t>1</w:t>
      </w:r>
      <w:r w:rsidRPr="000D3F86">
        <w:rPr>
          <w:rFonts w:ascii="Times New Roman" w:eastAsia="Times New Roman" w:hAnsi="Times New Roman"/>
          <w:sz w:val="24"/>
          <w:szCs w:val="24"/>
        </w:rPr>
        <w:t>(1), 91-97</w:t>
      </w:r>
      <w:bookmarkEnd w:id="259"/>
      <w:r w:rsidRPr="000D3F86">
        <w:rPr>
          <w:rFonts w:ascii="Times New Roman" w:eastAsia="Times New Roman" w:hAnsi="Times New Roman"/>
          <w:sz w:val="24"/>
          <w:szCs w:val="24"/>
        </w:rPr>
        <w:t xml:space="preserve"> (2008).</w:t>
      </w:r>
    </w:p>
    <w:p w:rsidR="00794450" w:rsidRPr="000D3F86" w:rsidRDefault="00794450" w:rsidP="00097A19">
      <w:pPr>
        <w:pStyle w:val="ListParagraph"/>
        <w:numPr>
          <w:ilvl w:val="0"/>
          <w:numId w:val="43"/>
        </w:numPr>
        <w:shd w:val="clear" w:color="auto" w:fill="FFFFFF"/>
        <w:spacing w:after="166" w:line="240" w:lineRule="auto"/>
        <w:textAlignment w:val="baseline"/>
        <w:rPr>
          <w:rFonts w:ascii="Times New Roman" w:eastAsia="Times New Roman" w:hAnsi="Times New Roman"/>
          <w:sz w:val="24"/>
          <w:szCs w:val="24"/>
        </w:rPr>
      </w:pPr>
      <w:bookmarkStart w:id="260" w:name="_Ref365296597"/>
      <w:r w:rsidRPr="000D3F86">
        <w:rPr>
          <w:rFonts w:ascii="Times New Roman" w:eastAsia="Times New Roman" w:hAnsi="Times New Roman"/>
          <w:sz w:val="24"/>
          <w:szCs w:val="24"/>
        </w:rPr>
        <w:t>Samson, R. Switchgrass production in Ontario: A management guide. Online. Resource Efficient Agricultural Production (REAP) - Canada, Ste. Anne de Bellevue, Quebec</w:t>
      </w:r>
      <w:bookmarkEnd w:id="260"/>
      <w:r w:rsidRPr="000D3F86">
        <w:rPr>
          <w:rFonts w:ascii="Times New Roman" w:eastAsia="Times New Roman" w:hAnsi="Times New Roman"/>
          <w:sz w:val="24"/>
          <w:szCs w:val="24"/>
        </w:rPr>
        <w:t xml:space="preserve"> (2007).</w:t>
      </w:r>
    </w:p>
    <w:p w:rsidR="00794450" w:rsidRPr="000D3F86" w:rsidRDefault="00794450" w:rsidP="00097A19">
      <w:pPr>
        <w:pStyle w:val="ListParagraph"/>
        <w:numPr>
          <w:ilvl w:val="0"/>
          <w:numId w:val="43"/>
        </w:numPr>
        <w:shd w:val="clear" w:color="auto" w:fill="FFFFFF"/>
        <w:spacing w:after="166" w:line="240" w:lineRule="auto"/>
        <w:textAlignment w:val="baseline"/>
        <w:rPr>
          <w:rFonts w:ascii="Times New Roman" w:eastAsia="Times New Roman" w:hAnsi="Times New Roman"/>
          <w:sz w:val="24"/>
          <w:szCs w:val="24"/>
        </w:rPr>
      </w:pPr>
      <w:bookmarkStart w:id="261" w:name="_Ref364170422"/>
      <w:r w:rsidRPr="000D3F86">
        <w:rPr>
          <w:rFonts w:ascii="Times New Roman" w:eastAsia="Times New Roman" w:hAnsi="Times New Roman"/>
          <w:sz w:val="24"/>
          <w:szCs w:val="24"/>
        </w:rPr>
        <w:t>Stewart, A. &amp; Cromey, M. Identifying disease threats and management practices for bio-energy crops. </w:t>
      </w:r>
      <w:r w:rsidRPr="000D3F86">
        <w:rPr>
          <w:rFonts w:ascii="Times New Roman" w:eastAsia="Times New Roman" w:hAnsi="Times New Roman"/>
          <w:i/>
          <w:iCs/>
          <w:sz w:val="24"/>
          <w:szCs w:val="24"/>
        </w:rPr>
        <w:t>Current Opinion in Environmental Sustainability</w:t>
      </w:r>
      <w:r w:rsidRPr="000D3F86">
        <w:rPr>
          <w:rFonts w:ascii="Times New Roman" w:eastAsia="Times New Roman" w:hAnsi="Times New Roman"/>
          <w:sz w:val="24"/>
          <w:szCs w:val="24"/>
        </w:rPr>
        <w:t xml:space="preserve"> </w:t>
      </w:r>
      <w:r w:rsidRPr="000D3F86">
        <w:rPr>
          <w:rFonts w:ascii="Times New Roman" w:eastAsia="Times New Roman" w:hAnsi="Times New Roman"/>
          <w:b/>
          <w:iCs/>
          <w:sz w:val="24"/>
          <w:szCs w:val="24"/>
        </w:rPr>
        <w:t>3</w:t>
      </w:r>
      <w:r w:rsidRPr="000D3F86">
        <w:rPr>
          <w:rFonts w:ascii="Times New Roman" w:eastAsia="Times New Roman" w:hAnsi="Times New Roman"/>
          <w:sz w:val="24"/>
          <w:szCs w:val="24"/>
        </w:rPr>
        <w:t>(1), 75-80</w:t>
      </w:r>
      <w:bookmarkEnd w:id="261"/>
      <w:r w:rsidRPr="000D3F86">
        <w:rPr>
          <w:rFonts w:ascii="Times New Roman" w:eastAsia="Times New Roman" w:hAnsi="Times New Roman"/>
          <w:sz w:val="24"/>
          <w:szCs w:val="24"/>
        </w:rPr>
        <w:t xml:space="preserve"> (2011).</w:t>
      </w:r>
    </w:p>
    <w:p w:rsidR="004E73E9" w:rsidRPr="000D3F86" w:rsidRDefault="004E73E9" w:rsidP="004E73E9">
      <w:pPr>
        <w:pStyle w:val="ListParagraph"/>
        <w:numPr>
          <w:ilvl w:val="0"/>
          <w:numId w:val="43"/>
        </w:numPr>
        <w:shd w:val="clear" w:color="auto" w:fill="FFFFFF"/>
        <w:spacing w:after="166" w:line="240" w:lineRule="auto"/>
        <w:textAlignment w:val="baseline"/>
        <w:rPr>
          <w:rFonts w:ascii="Times New Roman" w:eastAsia="Times New Roman" w:hAnsi="Times New Roman"/>
          <w:sz w:val="24"/>
          <w:szCs w:val="24"/>
        </w:rPr>
      </w:pPr>
      <w:bookmarkStart w:id="262" w:name="_Ref381282850"/>
      <w:bookmarkStart w:id="263" w:name="_Ref364775259"/>
      <w:bookmarkStart w:id="264" w:name="_Ref364252523"/>
      <w:bookmarkStart w:id="265" w:name="_Ref365556798"/>
      <w:r w:rsidRPr="008119C5">
        <w:rPr>
          <w:rFonts w:ascii="Times New Roman" w:eastAsia="Times New Roman" w:hAnsi="Times New Roman"/>
          <w:sz w:val="24"/>
          <w:szCs w:val="24"/>
          <w:lang w:val="es-ES"/>
        </w:rPr>
        <w:t xml:space="preserve">Uppalapati, S.R. </w:t>
      </w:r>
      <w:r w:rsidRPr="008119C5">
        <w:rPr>
          <w:rFonts w:ascii="Times New Roman" w:eastAsia="Times New Roman" w:hAnsi="Times New Roman"/>
          <w:i/>
          <w:sz w:val="24"/>
          <w:szCs w:val="24"/>
          <w:lang w:val="es-ES"/>
        </w:rPr>
        <w:t>et al</w:t>
      </w:r>
      <w:r w:rsidRPr="008119C5">
        <w:rPr>
          <w:rFonts w:ascii="Times New Roman" w:eastAsia="Times New Roman" w:hAnsi="Times New Roman"/>
          <w:sz w:val="24"/>
          <w:szCs w:val="24"/>
          <w:lang w:val="es-ES"/>
        </w:rPr>
        <w:t xml:space="preserve">. </w:t>
      </w:r>
      <w:r w:rsidRPr="000D3F86">
        <w:rPr>
          <w:rFonts w:ascii="Times New Roman" w:eastAsia="Times New Roman" w:hAnsi="Times New Roman"/>
          <w:sz w:val="24"/>
          <w:szCs w:val="24"/>
        </w:rPr>
        <w:t xml:space="preserve">Characterization of the Rust Fungus, </w:t>
      </w:r>
      <w:r w:rsidRPr="000D3F86">
        <w:rPr>
          <w:rFonts w:ascii="Times New Roman" w:eastAsia="Times New Roman" w:hAnsi="Times New Roman"/>
          <w:i/>
          <w:sz w:val="24"/>
          <w:szCs w:val="24"/>
        </w:rPr>
        <w:t>Puccinia emaculata</w:t>
      </w:r>
      <w:r w:rsidRPr="000D3F86">
        <w:rPr>
          <w:rFonts w:ascii="Times New Roman" w:eastAsia="Times New Roman" w:hAnsi="Times New Roman"/>
          <w:sz w:val="24"/>
          <w:szCs w:val="24"/>
        </w:rPr>
        <w:t>, and Evaluation of Genetic Variability for Rust Resistance in Switchgrass Populations. </w:t>
      </w:r>
      <w:r w:rsidRPr="000D3F86">
        <w:rPr>
          <w:rFonts w:ascii="Times New Roman" w:eastAsia="Times New Roman" w:hAnsi="Times New Roman"/>
          <w:i/>
          <w:iCs/>
          <w:sz w:val="24"/>
          <w:szCs w:val="24"/>
        </w:rPr>
        <w:t>BioEnergy Research</w:t>
      </w:r>
      <w:r w:rsidRPr="000D3F86">
        <w:rPr>
          <w:rFonts w:ascii="Times New Roman" w:eastAsia="Times New Roman" w:hAnsi="Times New Roman"/>
          <w:sz w:val="24"/>
          <w:szCs w:val="24"/>
        </w:rPr>
        <w:t>, 1-11 (2012).</w:t>
      </w:r>
      <w:bookmarkEnd w:id="262"/>
    </w:p>
    <w:p w:rsidR="00870B1C" w:rsidRPr="000D3F86" w:rsidRDefault="00870B1C" w:rsidP="00870B1C">
      <w:pPr>
        <w:pStyle w:val="ListParagraph"/>
        <w:numPr>
          <w:ilvl w:val="0"/>
          <w:numId w:val="43"/>
        </w:numPr>
        <w:shd w:val="clear" w:color="auto" w:fill="FFFFFF"/>
        <w:spacing w:after="166" w:line="240" w:lineRule="auto"/>
        <w:textAlignment w:val="baseline"/>
        <w:rPr>
          <w:rFonts w:ascii="Times New Roman" w:eastAsia="Times New Roman" w:hAnsi="Times New Roman"/>
          <w:sz w:val="24"/>
          <w:szCs w:val="24"/>
        </w:rPr>
      </w:pPr>
      <w:bookmarkStart w:id="266" w:name="_Ref381716430"/>
      <w:r w:rsidRPr="000D3F86">
        <w:rPr>
          <w:rFonts w:ascii="Times New Roman" w:eastAsia="Times New Roman" w:hAnsi="Times New Roman"/>
          <w:sz w:val="24"/>
          <w:szCs w:val="24"/>
        </w:rPr>
        <w:t xml:space="preserve">Pilate, G. </w:t>
      </w:r>
      <w:r w:rsidRPr="000D3F86">
        <w:rPr>
          <w:rFonts w:ascii="Times New Roman" w:eastAsia="Times New Roman" w:hAnsi="Times New Roman"/>
          <w:i/>
          <w:sz w:val="24"/>
          <w:szCs w:val="24"/>
        </w:rPr>
        <w:t>et al</w:t>
      </w:r>
      <w:r w:rsidRPr="000D3F86">
        <w:rPr>
          <w:rFonts w:ascii="Times New Roman" w:eastAsia="Times New Roman" w:hAnsi="Times New Roman"/>
          <w:sz w:val="24"/>
          <w:szCs w:val="24"/>
        </w:rPr>
        <w:t>. Field and pulping performances of transgenic trees with altered lignification. </w:t>
      </w:r>
      <w:r w:rsidRPr="000D3F86">
        <w:rPr>
          <w:rFonts w:ascii="Times New Roman" w:eastAsia="Times New Roman" w:hAnsi="Times New Roman"/>
          <w:i/>
          <w:iCs/>
          <w:sz w:val="24"/>
          <w:szCs w:val="24"/>
        </w:rPr>
        <w:t>Nat. Biotechnol.</w:t>
      </w:r>
      <w:r w:rsidRPr="000D3F86">
        <w:rPr>
          <w:rFonts w:ascii="Times New Roman" w:eastAsia="Times New Roman" w:hAnsi="Times New Roman"/>
          <w:sz w:val="24"/>
          <w:szCs w:val="24"/>
        </w:rPr>
        <w:t> </w:t>
      </w:r>
      <w:r w:rsidRPr="000D3F86">
        <w:rPr>
          <w:rFonts w:ascii="Times New Roman" w:eastAsia="Times New Roman" w:hAnsi="Times New Roman"/>
          <w:b/>
          <w:iCs/>
          <w:sz w:val="24"/>
          <w:szCs w:val="24"/>
        </w:rPr>
        <w:t>20</w:t>
      </w:r>
      <w:r w:rsidRPr="000D3F86">
        <w:rPr>
          <w:rFonts w:ascii="Times New Roman" w:eastAsia="Times New Roman" w:hAnsi="Times New Roman"/>
          <w:sz w:val="24"/>
          <w:szCs w:val="24"/>
        </w:rPr>
        <w:t>(6), 607-612</w:t>
      </w:r>
      <w:bookmarkEnd w:id="263"/>
      <w:r w:rsidRPr="000D3F86">
        <w:rPr>
          <w:rFonts w:ascii="Times New Roman" w:eastAsia="Times New Roman" w:hAnsi="Times New Roman"/>
          <w:sz w:val="24"/>
          <w:szCs w:val="24"/>
        </w:rPr>
        <w:t xml:space="preserve"> (2002).</w:t>
      </w:r>
      <w:bookmarkEnd w:id="266"/>
    </w:p>
    <w:bookmarkEnd w:id="248"/>
    <w:bookmarkEnd w:id="264"/>
    <w:bookmarkEnd w:id="265"/>
    <w:p w:rsidR="00794450" w:rsidRPr="000D3F86" w:rsidRDefault="00794450" w:rsidP="00097A19">
      <w:pPr>
        <w:pStyle w:val="ListParagraph"/>
        <w:shd w:val="clear" w:color="auto" w:fill="FFFFFF"/>
        <w:spacing w:after="166" w:line="480" w:lineRule="auto"/>
        <w:ind w:left="360"/>
        <w:textAlignment w:val="baseline"/>
        <w:rPr>
          <w:rFonts w:ascii="Times New Roman" w:eastAsia="Times New Roman" w:hAnsi="Times New Roman"/>
          <w:sz w:val="24"/>
          <w:szCs w:val="24"/>
        </w:rPr>
      </w:pPr>
    </w:p>
    <w:p w:rsidR="001E6579" w:rsidRPr="001E6579" w:rsidRDefault="00A25215" w:rsidP="00152D54">
      <w:pPr>
        <w:pStyle w:val="Heading2"/>
        <w:spacing w:line="480" w:lineRule="auto"/>
      </w:pPr>
      <w:r w:rsidRPr="000D3F86">
        <w:rPr>
          <w:sz w:val="24"/>
        </w:rPr>
        <w:br w:type="page"/>
      </w:r>
      <w:r w:rsidR="00C050E8">
        <w:lastRenderedPageBreak/>
        <w:t>Appendix</w:t>
      </w:r>
      <w:r w:rsidR="002C1C5F">
        <w:t xml:space="preserve"> B</w:t>
      </w:r>
    </w:p>
    <w:p w:rsidR="00DC207C" w:rsidRDefault="00DC207C" w:rsidP="00097A19">
      <w:pPr>
        <w:pStyle w:val="Heading3"/>
        <w:rPr>
          <w:sz w:val="28"/>
          <w:szCs w:val="28"/>
        </w:rPr>
      </w:pPr>
      <w:r w:rsidRPr="00EA03CD">
        <w:rPr>
          <w:sz w:val="28"/>
          <w:szCs w:val="28"/>
        </w:rPr>
        <w:t>Figures</w:t>
      </w:r>
    </w:p>
    <w:p w:rsidR="00BF6B06" w:rsidRDefault="00BF6B06" w:rsidP="00BF6B06"/>
    <w:p w:rsidR="00BF6B06" w:rsidRDefault="00BF6B06" w:rsidP="00BF6B06">
      <w:pPr>
        <w:spacing w:line="480" w:lineRule="auto"/>
      </w:pPr>
      <w:r>
        <w:rPr>
          <w:b/>
        </w:rPr>
        <w:t xml:space="preserve">Figure B.1. </w:t>
      </w:r>
      <w:r w:rsidRPr="007E6338">
        <w:t xml:space="preserve">COMT </w:t>
      </w:r>
      <w:r>
        <w:t xml:space="preserve">switchgrass </w:t>
      </w:r>
      <w:r w:rsidRPr="007E6338">
        <w:t>field design. The field layout</w:t>
      </w:r>
      <w:r w:rsidRPr="003E4F76">
        <w:t xml:space="preserve"> </w:t>
      </w:r>
      <w:r>
        <w:t>consisted of a</w:t>
      </w:r>
      <w:r w:rsidRPr="003E4F76">
        <w:t xml:space="preserve"> 22.9 m x 25.9 m plot (607.0 m</w:t>
      </w:r>
      <w:r w:rsidRPr="003E4F76">
        <w:rPr>
          <w:vertAlign w:val="superscript"/>
        </w:rPr>
        <w:t>2</w:t>
      </w:r>
      <w:r w:rsidRPr="003E4F76">
        <w:t>) containing two independent transgenic events (COMT2 (+) and COMT3 (+)) and corresponding null-segregant control plants for each of these event</w:t>
      </w:r>
      <w:r>
        <w:t>s</w:t>
      </w:r>
      <w:r w:rsidRPr="003E4F76">
        <w:t xml:space="preserve"> (COMT2 (-) and COMT3 (-)). Ten </w:t>
      </w:r>
      <w:r>
        <w:t xml:space="preserve">biological </w:t>
      </w:r>
      <w:r w:rsidRPr="003E4F76">
        <w:t xml:space="preserve">replicates for each transgenic event and five </w:t>
      </w:r>
      <w:r>
        <w:t xml:space="preserve">biological </w:t>
      </w:r>
      <w:r w:rsidRPr="003E4F76">
        <w:t xml:space="preserve">replicates for each control (30 replicates in total) </w:t>
      </w:r>
      <w:r>
        <w:t>were</w:t>
      </w:r>
      <w:r w:rsidRPr="003E4F76">
        <w:t xml:space="preserve"> distributed throughout the plot in a completely randomized design</w:t>
      </w:r>
      <w:r>
        <w:t xml:space="preserve"> (CRD)</w:t>
      </w:r>
      <w:r w:rsidRPr="003E4F76">
        <w:t>. Nine vegetatively-propagated clones were planted within each replicate. Replicates were spaced 152.4 cm apart with 76.2 cm between the nine plants within each single replicate. The investigated plants were surrounded by border plants</w:t>
      </w:r>
      <w:r>
        <w:t xml:space="preserve"> (switchgrass genotype Alamo 2)</w:t>
      </w:r>
      <w:r w:rsidRPr="003E4F76">
        <w:t xml:space="preserve"> to redu</w:t>
      </w:r>
      <w:r>
        <w:t>ce any shading effects.</w:t>
      </w:r>
    </w:p>
    <w:p w:rsidR="00BF6B06" w:rsidRPr="00BF6B06" w:rsidRDefault="00BF6B06" w:rsidP="00BF6B06">
      <w:r>
        <w:br w:type="page"/>
      </w:r>
    </w:p>
    <w:tbl>
      <w:tblPr>
        <w:tblpPr w:leftFromText="180" w:rightFromText="180" w:vertAnchor="text" w:horzAnchor="margin" w:tblpY="31"/>
        <w:tblW w:w="7411" w:type="dxa"/>
        <w:tblLook w:val="00A0" w:firstRow="1" w:lastRow="0" w:firstColumn="1" w:lastColumn="0" w:noHBand="0" w:noVBand="0"/>
      </w:tblPr>
      <w:tblGrid>
        <w:gridCol w:w="512"/>
        <w:gridCol w:w="406"/>
        <w:gridCol w:w="500"/>
        <w:gridCol w:w="759"/>
        <w:gridCol w:w="256"/>
        <w:gridCol w:w="759"/>
        <w:gridCol w:w="256"/>
        <w:gridCol w:w="759"/>
        <w:gridCol w:w="256"/>
        <w:gridCol w:w="759"/>
        <w:gridCol w:w="256"/>
        <w:gridCol w:w="759"/>
        <w:gridCol w:w="256"/>
        <w:gridCol w:w="406"/>
        <w:gridCol w:w="512"/>
      </w:tblGrid>
      <w:tr w:rsidR="00831D05" w:rsidRPr="007F0DA8" w:rsidTr="00831D05">
        <w:trPr>
          <w:trHeight w:val="551"/>
        </w:trPr>
        <w:tc>
          <w:tcPr>
            <w:tcW w:w="541" w:type="dxa"/>
            <w:tcBorders>
              <w:top w:val="nil"/>
              <w:left w:val="nil"/>
              <w:bottom w:val="nil"/>
              <w:right w:val="nil"/>
            </w:tcBorders>
            <w:shd w:val="clear" w:color="000000" w:fill="D7E4BC"/>
            <w:vAlign w:val="center"/>
          </w:tcPr>
          <w:p w:rsidR="00831D05" w:rsidRPr="00831D05" w:rsidRDefault="00831D05" w:rsidP="00831D05">
            <w:pPr>
              <w:jc w:val="center"/>
              <w:rPr>
                <w:color w:val="000000"/>
                <w:sz w:val="14"/>
                <w:szCs w:val="14"/>
              </w:rPr>
            </w:pPr>
            <w:bookmarkStart w:id="267" w:name="_Toc286145921"/>
            <w:r w:rsidRPr="00831D05">
              <w:rPr>
                <w:b/>
                <w:sz w:val="14"/>
                <w:szCs w:val="14"/>
              </w:rPr>
              <w:lastRenderedPageBreak/>
              <w:br w:type="page"/>
            </w:r>
            <w:r w:rsidRPr="00831D05">
              <w:rPr>
                <w:color w:val="000000"/>
                <w:sz w:val="14"/>
                <w:szCs w:val="14"/>
              </w:rPr>
              <w:t>3.0m</w:t>
            </w:r>
          </w:p>
        </w:tc>
        <w:tc>
          <w:tcPr>
            <w:tcW w:w="406" w:type="dxa"/>
            <w:tcBorders>
              <w:top w:val="nil"/>
              <w:left w:val="nil"/>
              <w:bottom w:val="nil"/>
              <w:right w:val="nil"/>
            </w:tcBorders>
            <w:shd w:val="clear" w:color="000000" w:fill="D7E4BC"/>
            <w:vAlign w:val="bottom"/>
          </w:tcPr>
          <w:p w:rsidR="00831D05" w:rsidRPr="008849C2" w:rsidRDefault="00831D05" w:rsidP="00831D05">
            <w:pPr>
              <w:rPr>
                <w:color w:val="000000"/>
                <w:sz w:val="16"/>
                <w:szCs w:val="16"/>
              </w:rPr>
            </w:pPr>
            <w:r w:rsidRPr="008849C2">
              <w:rPr>
                <w:color w:val="000000"/>
                <w:sz w:val="16"/>
                <w:szCs w:val="16"/>
              </w:rPr>
              <w:t> </w:t>
            </w:r>
          </w:p>
        </w:tc>
        <w:tc>
          <w:tcPr>
            <w:tcW w:w="442" w:type="dxa"/>
            <w:tcBorders>
              <w:top w:val="nil"/>
              <w:left w:val="nil"/>
              <w:bottom w:val="nil"/>
              <w:right w:val="nil"/>
            </w:tcBorders>
            <w:shd w:val="clear" w:color="000000" w:fill="D7E4BC"/>
            <w:vAlign w:val="bottom"/>
          </w:tcPr>
          <w:p w:rsidR="00831D05" w:rsidRPr="008849C2" w:rsidRDefault="00831D05" w:rsidP="00831D05">
            <w:pPr>
              <w:rPr>
                <w:color w:val="000000"/>
                <w:sz w:val="16"/>
                <w:szCs w:val="16"/>
              </w:rPr>
            </w:pPr>
            <w:r w:rsidRPr="008849C2">
              <w:rPr>
                <w:color w:val="000000"/>
                <w:sz w:val="16"/>
                <w:szCs w:val="16"/>
              </w:rPr>
              <w:t> </w:t>
            </w:r>
          </w:p>
        </w:tc>
        <w:tc>
          <w:tcPr>
            <w:tcW w:w="759" w:type="dxa"/>
            <w:tcBorders>
              <w:top w:val="nil"/>
              <w:left w:val="nil"/>
              <w:bottom w:val="nil"/>
              <w:right w:val="nil"/>
            </w:tcBorders>
            <w:shd w:val="clear" w:color="000000" w:fill="D7E4BC"/>
            <w:vAlign w:val="center"/>
          </w:tcPr>
          <w:p w:rsidR="00831D05" w:rsidRPr="008849C2" w:rsidRDefault="00831D05" w:rsidP="00831D05">
            <w:pPr>
              <w:jc w:val="center"/>
              <w:rPr>
                <w:color w:val="000000"/>
                <w:sz w:val="16"/>
                <w:szCs w:val="16"/>
              </w:rPr>
            </w:pPr>
            <w:r w:rsidRPr="008849C2">
              <w:rPr>
                <w:color w:val="000000"/>
                <w:sz w:val="16"/>
                <w:szCs w:val="16"/>
              </w:rPr>
              <w:t> </w:t>
            </w:r>
          </w:p>
        </w:tc>
        <w:tc>
          <w:tcPr>
            <w:tcW w:w="256" w:type="dxa"/>
            <w:tcBorders>
              <w:top w:val="nil"/>
              <w:left w:val="nil"/>
              <w:bottom w:val="nil"/>
              <w:right w:val="nil"/>
            </w:tcBorders>
            <w:shd w:val="clear" w:color="000000" w:fill="D7E4BC"/>
            <w:vAlign w:val="center"/>
          </w:tcPr>
          <w:p w:rsidR="00831D05" w:rsidRPr="008849C2" w:rsidRDefault="00831D05" w:rsidP="00831D05">
            <w:pPr>
              <w:jc w:val="center"/>
              <w:rPr>
                <w:color w:val="000000"/>
                <w:sz w:val="16"/>
                <w:szCs w:val="16"/>
              </w:rPr>
            </w:pPr>
            <w:r w:rsidRPr="008849C2">
              <w:rPr>
                <w:color w:val="000000"/>
                <w:sz w:val="16"/>
                <w:szCs w:val="16"/>
              </w:rPr>
              <w:t> </w:t>
            </w:r>
          </w:p>
        </w:tc>
        <w:tc>
          <w:tcPr>
            <w:tcW w:w="759" w:type="dxa"/>
            <w:tcBorders>
              <w:top w:val="nil"/>
              <w:left w:val="nil"/>
              <w:bottom w:val="nil"/>
              <w:right w:val="nil"/>
            </w:tcBorders>
            <w:shd w:val="clear" w:color="000000" w:fill="D7E4BC"/>
            <w:vAlign w:val="center"/>
          </w:tcPr>
          <w:p w:rsidR="00831D05" w:rsidRPr="008849C2" w:rsidRDefault="00831D05" w:rsidP="00831D05">
            <w:pPr>
              <w:jc w:val="center"/>
              <w:rPr>
                <w:color w:val="000000"/>
                <w:sz w:val="16"/>
                <w:szCs w:val="16"/>
              </w:rPr>
            </w:pPr>
            <w:r w:rsidRPr="008849C2">
              <w:rPr>
                <w:color w:val="000000"/>
                <w:sz w:val="16"/>
                <w:szCs w:val="16"/>
              </w:rPr>
              <w:t> </w:t>
            </w:r>
          </w:p>
        </w:tc>
        <w:tc>
          <w:tcPr>
            <w:tcW w:w="256" w:type="dxa"/>
            <w:tcBorders>
              <w:top w:val="nil"/>
              <w:left w:val="nil"/>
              <w:bottom w:val="nil"/>
              <w:right w:val="nil"/>
            </w:tcBorders>
            <w:shd w:val="clear" w:color="000000" w:fill="D7E4BC"/>
            <w:vAlign w:val="center"/>
          </w:tcPr>
          <w:p w:rsidR="00831D05" w:rsidRPr="008849C2" w:rsidRDefault="00831D05" w:rsidP="00831D05">
            <w:pPr>
              <w:jc w:val="center"/>
              <w:rPr>
                <w:color w:val="000000"/>
                <w:sz w:val="16"/>
                <w:szCs w:val="16"/>
              </w:rPr>
            </w:pPr>
            <w:r w:rsidRPr="008849C2">
              <w:rPr>
                <w:color w:val="000000"/>
                <w:sz w:val="16"/>
                <w:szCs w:val="16"/>
              </w:rPr>
              <w:t> </w:t>
            </w:r>
          </w:p>
        </w:tc>
        <w:tc>
          <w:tcPr>
            <w:tcW w:w="759" w:type="dxa"/>
            <w:tcBorders>
              <w:top w:val="nil"/>
              <w:left w:val="nil"/>
              <w:bottom w:val="nil"/>
              <w:right w:val="nil"/>
            </w:tcBorders>
            <w:shd w:val="clear" w:color="000000" w:fill="D7E4BC"/>
            <w:vAlign w:val="center"/>
          </w:tcPr>
          <w:p w:rsidR="00831D05" w:rsidRPr="008849C2" w:rsidRDefault="00831D05" w:rsidP="00831D05">
            <w:pPr>
              <w:jc w:val="center"/>
              <w:rPr>
                <w:color w:val="000000"/>
                <w:sz w:val="16"/>
                <w:szCs w:val="16"/>
              </w:rPr>
            </w:pPr>
            <w:r w:rsidRPr="008849C2">
              <w:rPr>
                <w:color w:val="000000"/>
                <w:sz w:val="16"/>
                <w:szCs w:val="16"/>
              </w:rPr>
              <w:t>Fallow space</w:t>
            </w:r>
          </w:p>
        </w:tc>
        <w:tc>
          <w:tcPr>
            <w:tcW w:w="256" w:type="dxa"/>
            <w:tcBorders>
              <w:top w:val="nil"/>
              <w:left w:val="nil"/>
              <w:bottom w:val="nil"/>
              <w:right w:val="nil"/>
            </w:tcBorders>
            <w:shd w:val="clear" w:color="000000" w:fill="D7E4BC"/>
            <w:vAlign w:val="center"/>
          </w:tcPr>
          <w:p w:rsidR="00831D05" w:rsidRPr="008849C2" w:rsidRDefault="00831D05" w:rsidP="00831D05">
            <w:pPr>
              <w:jc w:val="center"/>
              <w:rPr>
                <w:color w:val="000000"/>
                <w:sz w:val="16"/>
                <w:szCs w:val="16"/>
              </w:rPr>
            </w:pPr>
            <w:r w:rsidRPr="008849C2">
              <w:rPr>
                <w:color w:val="000000"/>
                <w:sz w:val="16"/>
                <w:szCs w:val="16"/>
              </w:rPr>
              <w:t> </w:t>
            </w:r>
          </w:p>
        </w:tc>
        <w:tc>
          <w:tcPr>
            <w:tcW w:w="759" w:type="dxa"/>
            <w:tcBorders>
              <w:top w:val="nil"/>
              <w:left w:val="nil"/>
              <w:bottom w:val="nil"/>
              <w:right w:val="nil"/>
            </w:tcBorders>
            <w:shd w:val="clear" w:color="000000" w:fill="D7E4BC"/>
            <w:vAlign w:val="center"/>
          </w:tcPr>
          <w:p w:rsidR="00831D05" w:rsidRPr="008849C2" w:rsidRDefault="00831D05" w:rsidP="00831D05">
            <w:pPr>
              <w:jc w:val="center"/>
              <w:rPr>
                <w:color w:val="000000"/>
                <w:sz w:val="16"/>
                <w:szCs w:val="16"/>
              </w:rPr>
            </w:pPr>
            <w:r w:rsidRPr="008849C2">
              <w:rPr>
                <w:color w:val="000000"/>
                <w:sz w:val="16"/>
                <w:szCs w:val="16"/>
              </w:rPr>
              <w:t> </w:t>
            </w:r>
          </w:p>
        </w:tc>
        <w:tc>
          <w:tcPr>
            <w:tcW w:w="256" w:type="dxa"/>
            <w:tcBorders>
              <w:top w:val="nil"/>
              <w:left w:val="nil"/>
              <w:bottom w:val="nil"/>
              <w:right w:val="nil"/>
            </w:tcBorders>
            <w:shd w:val="clear" w:color="000000" w:fill="D7E4BC"/>
            <w:vAlign w:val="center"/>
          </w:tcPr>
          <w:p w:rsidR="00831D05" w:rsidRPr="008849C2" w:rsidRDefault="00831D05" w:rsidP="00831D05">
            <w:pPr>
              <w:jc w:val="center"/>
              <w:rPr>
                <w:color w:val="000000"/>
                <w:sz w:val="16"/>
                <w:szCs w:val="16"/>
              </w:rPr>
            </w:pPr>
            <w:r w:rsidRPr="008849C2">
              <w:rPr>
                <w:color w:val="000000"/>
                <w:sz w:val="16"/>
                <w:szCs w:val="16"/>
              </w:rPr>
              <w:t> </w:t>
            </w:r>
          </w:p>
        </w:tc>
        <w:tc>
          <w:tcPr>
            <w:tcW w:w="759" w:type="dxa"/>
            <w:tcBorders>
              <w:top w:val="nil"/>
              <w:left w:val="nil"/>
              <w:bottom w:val="nil"/>
              <w:right w:val="nil"/>
            </w:tcBorders>
            <w:shd w:val="clear" w:color="000000" w:fill="D7E4BC"/>
            <w:vAlign w:val="center"/>
          </w:tcPr>
          <w:p w:rsidR="00831D05" w:rsidRPr="008849C2" w:rsidRDefault="00831D05" w:rsidP="00831D05">
            <w:pPr>
              <w:jc w:val="center"/>
              <w:rPr>
                <w:color w:val="000000"/>
                <w:sz w:val="16"/>
                <w:szCs w:val="16"/>
              </w:rPr>
            </w:pPr>
            <w:r w:rsidRPr="008849C2">
              <w:rPr>
                <w:color w:val="000000"/>
                <w:sz w:val="16"/>
                <w:szCs w:val="16"/>
              </w:rPr>
              <w:t> </w:t>
            </w:r>
          </w:p>
        </w:tc>
        <w:tc>
          <w:tcPr>
            <w:tcW w:w="256" w:type="dxa"/>
            <w:tcBorders>
              <w:top w:val="nil"/>
              <w:left w:val="nil"/>
              <w:bottom w:val="nil"/>
              <w:right w:val="nil"/>
            </w:tcBorders>
            <w:shd w:val="clear" w:color="000000" w:fill="D7E4BC"/>
            <w:vAlign w:val="bottom"/>
          </w:tcPr>
          <w:p w:rsidR="00831D05" w:rsidRPr="008849C2" w:rsidRDefault="00831D05" w:rsidP="00831D05">
            <w:pPr>
              <w:rPr>
                <w:color w:val="000000"/>
                <w:sz w:val="16"/>
                <w:szCs w:val="16"/>
              </w:rPr>
            </w:pPr>
            <w:r w:rsidRPr="008849C2">
              <w:rPr>
                <w:color w:val="000000"/>
                <w:sz w:val="16"/>
                <w:szCs w:val="16"/>
              </w:rPr>
              <w:t> </w:t>
            </w:r>
          </w:p>
        </w:tc>
        <w:tc>
          <w:tcPr>
            <w:tcW w:w="406" w:type="dxa"/>
            <w:tcBorders>
              <w:top w:val="nil"/>
              <w:left w:val="nil"/>
              <w:bottom w:val="nil"/>
              <w:right w:val="nil"/>
            </w:tcBorders>
            <w:shd w:val="clear" w:color="000000" w:fill="D7E4BC"/>
            <w:vAlign w:val="bottom"/>
          </w:tcPr>
          <w:p w:rsidR="00831D05" w:rsidRPr="008849C2" w:rsidRDefault="00831D05" w:rsidP="00831D05">
            <w:pPr>
              <w:rPr>
                <w:color w:val="000000"/>
                <w:sz w:val="16"/>
                <w:szCs w:val="16"/>
              </w:rPr>
            </w:pPr>
            <w:r w:rsidRPr="008849C2">
              <w:rPr>
                <w:color w:val="000000"/>
                <w:sz w:val="16"/>
                <w:szCs w:val="16"/>
              </w:rPr>
              <w:t> </w:t>
            </w:r>
          </w:p>
        </w:tc>
        <w:tc>
          <w:tcPr>
            <w:tcW w:w="541" w:type="dxa"/>
            <w:tcBorders>
              <w:top w:val="nil"/>
              <w:left w:val="nil"/>
              <w:bottom w:val="nil"/>
              <w:right w:val="nil"/>
            </w:tcBorders>
            <w:shd w:val="clear" w:color="000000" w:fill="D7E4BC"/>
            <w:vAlign w:val="center"/>
          </w:tcPr>
          <w:p w:rsidR="00831D05" w:rsidRPr="00831D05" w:rsidRDefault="00831D05" w:rsidP="00831D05">
            <w:pPr>
              <w:jc w:val="center"/>
              <w:rPr>
                <w:color w:val="000000"/>
                <w:sz w:val="14"/>
                <w:szCs w:val="14"/>
              </w:rPr>
            </w:pPr>
            <w:r w:rsidRPr="00831D05">
              <w:rPr>
                <w:b/>
                <w:sz w:val="14"/>
                <w:szCs w:val="14"/>
              </w:rPr>
              <w:br w:type="page"/>
            </w:r>
            <w:r w:rsidRPr="00831D05">
              <w:rPr>
                <w:color w:val="000000"/>
                <w:sz w:val="14"/>
                <w:szCs w:val="14"/>
              </w:rPr>
              <w:t>3.0m</w:t>
            </w:r>
          </w:p>
        </w:tc>
      </w:tr>
      <w:tr w:rsidR="00DC207C" w:rsidRPr="007F0DA8" w:rsidTr="00831D05">
        <w:trPr>
          <w:trHeight w:val="183"/>
        </w:trPr>
        <w:tc>
          <w:tcPr>
            <w:tcW w:w="541" w:type="dxa"/>
            <w:tcBorders>
              <w:top w:val="nil"/>
              <w:left w:val="nil"/>
              <w:bottom w:val="nil"/>
              <w:right w:val="nil"/>
            </w:tcBorders>
            <w:shd w:val="clear" w:color="000000" w:fill="D7E4BC"/>
            <w:vAlign w:val="bottom"/>
          </w:tcPr>
          <w:p w:rsidR="00DC207C" w:rsidRPr="00831D05" w:rsidRDefault="00DC207C" w:rsidP="00097A19">
            <w:pPr>
              <w:rPr>
                <w:color w:val="000000"/>
                <w:sz w:val="14"/>
                <w:szCs w:val="14"/>
              </w:rPr>
            </w:pPr>
            <w:r w:rsidRPr="00831D05">
              <w:rPr>
                <w:color w:val="000000"/>
                <w:sz w:val="14"/>
                <w:szCs w:val="14"/>
              </w:rPr>
              <w:t> </w:t>
            </w:r>
          </w:p>
        </w:tc>
        <w:tc>
          <w:tcPr>
            <w:tcW w:w="406" w:type="dxa"/>
            <w:tcBorders>
              <w:top w:val="single" w:sz="8" w:space="0" w:color="000000"/>
              <w:left w:val="single" w:sz="8" w:space="0" w:color="000000"/>
              <w:bottom w:val="single" w:sz="8" w:space="0" w:color="000000"/>
              <w:right w:val="single" w:sz="8" w:space="0" w:color="000000"/>
            </w:tcBorders>
            <w:shd w:val="clear" w:color="000000" w:fill="DBE5F1"/>
            <w:vAlign w:val="bottom"/>
          </w:tcPr>
          <w:p w:rsidR="00DC207C" w:rsidRPr="008849C2" w:rsidRDefault="00DC207C" w:rsidP="00097A19">
            <w:pPr>
              <w:rPr>
                <w:color w:val="000000"/>
                <w:sz w:val="16"/>
                <w:szCs w:val="16"/>
              </w:rPr>
            </w:pPr>
            <w:r w:rsidRPr="008849C2">
              <w:rPr>
                <w:color w:val="000000"/>
                <w:sz w:val="16"/>
                <w:szCs w:val="16"/>
              </w:rPr>
              <w:t> </w:t>
            </w:r>
          </w:p>
        </w:tc>
        <w:tc>
          <w:tcPr>
            <w:tcW w:w="442" w:type="dxa"/>
            <w:tcBorders>
              <w:top w:val="nil"/>
              <w:left w:val="nil"/>
              <w:bottom w:val="nil"/>
              <w:right w:val="nil"/>
            </w:tcBorders>
            <w:vAlign w:val="bottom"/>
          </w:tcPr>
          <w:p w:rsidR="00DC207C" w:rsidRPr="008849C2" w:rsidRDefault="00831D05" w:rsidP="00097A19">
            <w:pPr>
              <w:jc w:val="center"/>
              <w:rPr>
                <w:color w:val="000000"/>
                <w:sz w:val="16"/>
                <w:szCs w:val="16"/>
              </w:rPr>
            </w:pPr>
            <w:r w:rsidRPr="00831D05">
              <w:rPr>
                <w:color w:val="000000"/>
                <w:sz w:val="14"/>
                <w:szCs w:val="16"/>
              </w:rPr>
              <w:t>1.5m</w:t>
            </w:r>
          </w:p>
        </w:tc>
        <w:tc>
          <w:tcPr>
            <w:tcW w:w="759" w:type="dxa"/>
            <w:tcBorders>
              <w:top w:val="single" w:sz="8" w:space="0" w:color="000000"/>
              <w:left w:val="single" w:sz="8" w:space="0" w:color="000000"/>
              <w:bottom w:val="single" w:sz="8" w:space="0" w:color="000000"/>
              <w:right w:val="single" w:sz="8" w:space="0" w:color="000000"/>
            </w:tcBorders>
            <w:shd w:val="clear" w:color="000000" w:fill="DBE5F1"/>
            <w:vAlign w:val="center"/>
          </w:tcPr>
          <w:p w:rsidR="00DC207C" w:rsidRPr="008849C2" w:rsidRDefault="00DC207C" w:rsidP="00097A19">
            <w:pPr>
              <w:jc w:val="center"/>
              <w:rPr>
                <w:color w:val="000000"/>
                <w:sz w:val="16"/>
                <w:szCs w:val="16"/>
              </w:rPr>
            </w:pPr>
            <w:r w:rsidRPr="008849C2">
              <w:rPr>
                <w:color w:val="000000"/>
                <w:sz w:val="16"/>
                <w:szCs w:val="16"/>
              </w:rPr>
              <w:t>Alamo2</w:t>
            </w:r>
          </w:p>
        </w:tc>
        <w:tc>
          <w:tcPr>
            <w:tcW w:w="256" w:type="dxa"/>
            <w:tcBorders>
              <w:top w:val="nil"/>
              <w:left w:val="nil"/>
              <w:bottom w:val="nil"/>
              <w:right w:val="nil"/>
            </w:tcBorders>
            <w:vAlign w:val="bottom"/>
          </w:tcPr>
          <w:p w:rsidR="00DC207C" w:rsidRPr="008849C2" w:rsidRDefault="00DC207C" w:rsidP="00097A19">
            <w:pPr>
              <w:jc w:val="center"/>
              <w:rPr>
                <w:color w:val="000000"/>
                <w:sz w:val="16"/>
                <w:szCs w:val="16"/>
              </w:rPr>
            </w:pPr>
          </w:p>
        </w:tc>
        <w:tc>
          <w:tcPr>
            <w:tcW w:w="759" w:type="dxa"/>
            <w:tcBorders>
              <w:top w:val="single" w:sz="8" w:space="0" w:color="000000"/>
              <w:left w:val="single" w:sz="8" w:space="0" w:color="000000"/>
              <w:bottom w:val="single" w:sz="8" w:space="0" w:color="000000"/>
              <w:right w:val="single" w:sz="8" w:space="0" w:color="000000"/>
            </w:tcBorders>
            <w:shd w:val="clear" w:color="000000" w:fill="DBE5F1"/>
            <w:vAlign w:val="center"/>
          </w:tcPr>
          <w:p w:rsidR="00DC207C" w:rsidRPr="008849C2" w:rsidRDefault="00DC207C" w:rsidP="00097A19">
            <w:pPr>
              <w:jc w:val="center"/>
              <w:rPr>
                <w:color w:val="000000"/>
                <w:sz w:val="16"/>
                <w:szCs w:val="16"/>
              </w:rPr>
            </w:pPr>
            <w:r w:rsidRPr="008849C2">
              <w:rPr>
                <w:color w:val="000000"/>
                <w:sz w:val="16"/>
                <w:szCs w:val="16"/>
              </w:rPr>
              <w:t>Alamo2</w:t>
            </w:r>
          </w:p>
        </w:tc>
        <w:tc>
          <w:tcPr>
            <w:tcW w:w="256" w:type="dxa"/>
            <w:tcBorders>
              <w:top w:val="nil"/>
              <w:left w:val="nil"/>
              <w:bottom w:val="nil"/>
              <w:right w:val="nil"/>
            </w:tcBorders>
            <w:vAlign w:val="bottom"/>
          </w:tcPr>
          <w:p w:rsidR="00DC207C" w:rsidRPr="008849C2" w:rsidRDefault="00DC207C" w:rsidP="00097A19">
            <w:pPr>
              <w:jc w:val="center"/>
              <w:rPr>
                <w:color w:val="000000"/>
                <w:sz w:val="16"/>
                <w:szCs w:val="16"/>
              </w:rPr>
            </w:pPr>
          </w:p>
        </w:tc>
        <w:tc>
          <w:tcPr>
            <w:tcW w:w="759" w:type="dxa"/>
            <w:tcBorders>
              <w:top w:val="single" w:sz="8" w:space="0" w:color="000000"/>
              <w:left w:val="single" w:sz="8" w:space="0" w:color="000000"/>
              <w:bottom w:val="single" w:sz="8" w:space="0" w:color="000000"/>
              <w:right w:val="single" w:sz="8" w:space="0" w:color="000000"/>
            </w:tcBorders>
            <w:shd w:val="clear" w:color="000000" w:fill="DBE5F1"/>
            <w:vAlign w:val="center"/>
          </w:tcPr>
          <w:p w:rsidR="00DC207C" w:rsidRPr="008849C2" w:rsidRDefault="00DC207C" w:rsidP="00097A19">
            <w:pPr>
              <w:jc w:val="center"/>
              <w:rPr>
                <w:color w:val="000000"/>
                <w:sz w:val="16"/>
                <w:szCs w:val="16"/>
              </w:rPr>
            </w:pPr>
            <w:r w:rsidRPr="008849C2">
              <w:rPr>
                <w:color w:val="000000"/>
                <w:sz w:val="16"/>
                <w:szCs w:val="16"/>
              </w:rPr>
              <w:t>Alamo2</w:t>
            </w:r>
          </w:p>
        </w:tc>
        <w:tc>
          <w:tcPr>
            <w:tcW w:w="256" w:type="dxa"/>
            <w:tcBorders>
              <w:top w:val="nil"/>
              <w:left w:val="nil"/>
              <w:bottom w:val="nil"/>
              <w:right w:val="nil"/>
            </w:tcBorders>
            <w:vAlign w:val="bottom"/>
          </w:tcPr>
          <w:p w:rsidR="00DC207C" w:rsidRPr="008849C2" w:rsidRDefault="00DC207C" w:rsidP="00097A19">
            <w:pPr>
              <w:jc w:val="center"/>
              <w:rPr>
                <w:color w:val="000000"/>
                <w:sz w:val="16"/>
                <w:szCs w:val="16"/>
              </w:rPr>
            </w:pPr>
          </w:p>
        </w:tc>
        <w:tc>
          <w:tcPr>
            <w:tcW w:w="759" w:type="dxa"/>
            <w:tcBorders>
              <w:top w:val="single" w:sz="8" w:space="0" w:color="000000"/>
              <w:left w:val="single" w:sz="8" w:space="0" w:color="000000"/>
              <w:bottom w:val="single" w:sz="8" w:space="0" w:color="000000"/>
              <w:right w:val="single" w:sz="8" w:space="0" w:color="000000"/>
            </w:tcBorders>
            <w:shd w:val="clear" w:color="000000" w:fill="DBE5F1"/>
            <w:vAlign w:val="center"/>
          </w:tcPr>
          <w:p w:rsidR="00DC207C" w:rsidRPr="008849C2" w:rsidRDefault="00DC207C" w:rsidP="00097A19">
            <w:pPr>
              <w:jc w:val="center"/>
              <w:rPr>
                <w:color w:val="000000"/>
                <w:sz w:val="16"/>
                <w:szCs w:val="16"/>
              </w:rPr>
            </w:pPr>
            <w:r w:rsidRPr="008849C2">
              <w:rPr>
                <w:color w:val="000000"/>
                <w:sz w:val="16"/>
                <w:szCs w:val="16"/>
              </w:rPr>
              <w:t>Alamo2</w:t>
            </w:r>
          </w:p>
        </w:tc>
        <w:tc>
          <w:tcPr>
            <w:tcW w:w="256" w:type="dxa"/>
            <w:tcBorders>
              <w:top w:val="nil"/>
              <w:left w:val="nil"/>
              <w:bottom w:val="nil"/>
              <w:right w:val="nil"/>
            </w:tcBorders>
            <w:vAlign w:val="bottom"/>
          </w:tcPr>
          <w:p w:rsidR="00DC207C" w:rsidRPr="008849C2" w:rsidRDefault="00DC207C" w:rsidP="00097A19">
            <w:pPr>
              <w:jc w:val="center"/>
              <w:rPr>
                <w:color w:val="000000"/>
                <w:sz w:val="16"/>
                <w:szCs w:val="16"/>
              </w:rPr>
            </w:pPr>
          </w:p>
        </w:tc>
        <w:tc>
          <w:tcPr>
            <w:tcW w:w="759" w:type="dxa"/>
            <w:tcBorders>
              <w:top w:val="single" w:sz="8" w:space="0" w:color="000000"/>
              <w:left w:val="single" w:sz="8" w:space="0" w:color="000000"/>
              <w:bottom w:val="single" w:sz="8" w:space="0" w:color="000000"/>
              <w:right w:val="single" w:sz="8" w:space="0" w:color="000000"/>
            </w:tcBorders>
            <w:shd w:val="clear" w:color="000000" w:fill="DBE5F1"/>
            <w:vAlign w:val="center"/>
          </w:tcPr>
          <w:p w:rsidR="00DC207C" w:rsidRPr="008849C2" w:rsidRDefault="00DC207C" w:rsidP="00097A19">
            <w:pPr>
              <w:jc w:val="center"/>
              <w:rPr>
                <w:color w:val="000000"/>
                <w:sz w:val="16"/>
                <w:szCs w:val="16"/>
              </w:rPr>
            </w:pPr>
            <w:r w:rsidRPr="008849C2">
              <w:rPr>
                <w:color w:val="000000"/>
                <w:sz w:val="16"/>
                <w:szCs w:val="16"/>
              </w:rPr>
              <w:t>Alamo2</w:t>
            </w:r>
          </w:p>
        </w:tc>
        <w:tc>
          <w:tcPr>
            <w:tcW w:w="256" w:type="dxa"/>
            <w:tcBorders>
              <w:top w:val="nil"/>
              <w:left w:val="nil"/>
              <w:bottom w:val="nil"/>
              <w:right w:val="nil"/>
            </w:tcBorders>
            <w:vAlign w:val="bottom"/>
          </w:tcPr>
          <w:p w:rsidR="00DC207C" w:rsidRPr="008849C2" w:rsidRDefault="00DC207C" w:rsidP="00097A19">
            <w:pPr>
              <w:jc w:val="center"/>
              <w:rPr>
                <w:color w:val="000000"/>
                <w:sz w:val="16"/>
                <w:szCs w:val="16"/>
              </w:rPr>
            </w:pPr>
          </w:p>
        </w:tc>
        <w:tc>
          <w:tcPr>
            <w:tcW w:w="406" w:type="dxa"/>
            <w:tcBorders>
              <w:top w:val="single" w:sz="8" w:space="0" w:color="000000"/>
              <w:left w:val="single" w:sz="8" w:space="0" w:color="000000"/>
              <w:bottom w:val="single" w:sz="8" w:space="0" w:color="000000"/>
              <w:right w:val="single" w:sz="8" w:space="0" w:color="000000"/>
            </w:tcBorders>
            <w:shd w:val="clear" w:color="000000" w:fill="DBE5F1"/>
            <w:vAlign w:val="bottom"/>
          </w:tcPr>
          <w:p w:rsidR="00DC207C" w:rsidRPr="008849C2" w:rsidRDefault="00DC207C" w:rsidP="00097A19">
            <w:pPr>
              <w:rPr>
                <w:color w:val="000000"/>
                <w:sz w:val="16"/>
                <w:szCs w:val="16"/>
              </w:rPr>
            </w:pPr>
            <w:r w:rsidRPr="008849C2">
              <w:rPr>
                <w:color w:val="000000"/>
                <w:sz w:val="16"/>
                <w:szCs w:val="16"/>
              </w:rPr>
              <w:t> </w:t>
            </w:r>
          </w:p>
        </w:tc>
        <w:tc>
          <w:tcPr>
            <w:tcW w:w="541" w:type="dxa"/>
            <w:tcBorders>
              <w:top w:val="nil"/>
              <w:left w:val="nil"/>
              <w:bottom w:val="nil"/>
              <w:right w:val="nil"/>
            </w:tcBorders>
            <w:shd w:val="clear" w:color="000000" w:fill="D7E4BC"/>
            <w:vAlign w:val="bottom"/>
          </w:tcPr>
          <w:p w:rsidR="00DC207C" w:rsidRPr="008849C2" w:rsidRDefault="00DC207C" w:rsidP="00097A19">
            <w:pPr>
              <w:rPr>
                <w:color w:val="000000"/>
                <w:sz w:val="16"/>
                <w:szCs w:val="16"/>
              </w:rPr>
            </w:pPr>
            <w:r w:rsidRPr="008849C2">
              <w:rPr>
                <w:color w:val="000000"/>
                <w:sz w:val="16"/>
                <w:szCs w:val="16"/>
              </w:rPr>
              <w:t> </w:t>
            </w:r>
          </w:p>
        </w:tc>
      </w:tr>
      <w:tr w:rsidR="00DC207C" w:rsidRPr="007F0DA8" w:rsidTr="00831D05">
        <w:trPr>
          <w:trHeight w:val="551"/>
        </w:trPr>
        <w:tc>
          <w:tcPr>
            <w:tcW w:w="541" w:type="dxa"/>
            <w:tcBorders>
              <w:top w:val="nil"/>
              <w:left w:val="nil"/>
              <w:bottom w:val="nil"/>
              <w:right w:val="nil"/>
            </w:tcBorders>
            <w:shd w:val="clear" w:color="000000" w:fill="D7E4BC"/>
            <w:vAlign w:val="bottom"/>
          </w:tcPr>
          <w:p w:rsidR="00DC207C" w:rsidRPr="008849C2" w:rsidRDefault="00DC207C" w:rsidP="00097A19">
            <w:pPr>
              <w:rPr>
                <w:color w:val="000000"/>
                <w:sz w:val="16"/>
                <w:szCs w:val="16"/>
              </w:rPr>
            </w:pPr>
            <w:r w:rsidRPr="008849C2">
              <w:rPr>
                <w:color w:val="000000"/>
                <w:sz w:val="16"/>
                <w:szCs w:val="16"/>
              </w:rPr>
              <w:t> </w:t>
            </w:r>
          </w:p>
        </w:tc>
        <w:tc>
          <w:tcPr>
            <w:tcW w:w="406" w:type="dxa"/>
            <w:tcBorders>
              <w:top w:val="nil"/>
              <w:left w:val="nil"/>
              <w:bottom w:val="nil"/>
              <w:right w:val="nil"/>
            </w:tcBorders>
            <w:vAlign w:val="bottom"/>
          </w:tcPr>
          <w:p w:rsidR="00DC207C" w:rsidRPr="008849C2" w:rsidRDefault="00DC207C" w:rsidP="00097A19">
            <w:pPr>
              <w:rPr>
                <w:color w:val="000000"/>
                <w:sz w:val="16"/>
                <w:szCs w:val="16"/>
              </w:rPr>
            </w:pPr>
          </w:p>
        </w:tc>
        <w:tc>
          <w:tcPr>
            <w:tcW w:w="442" w:type="dxa"/>
            <w:tcBorders>
              <w:top w:val="nil"/>
              <w:left w:val="nil"/>
              <w:bottom w:val="nil"/>
              <w:right w:val="nil"/>
            </w:tcBorders>
            <w:vAlign w:val="bottom"/>
          </w:tcPr>
          <w:p w:rsidR="00DC207C" w:rsidRPr="008849C2" w:rsidRDefault="00DC207C" w:rsidP="00097A19">
            <w:pPr>
              <w:rPr>
                <w:color w:val="000000"/>
                <w:sz w:val="16"/>
                <w:szCs w:val="16"/>
              </w:rPr>
            </w:pPr>
          </w:p>
        </w:tc>
        <w:tc>
          <w:tcPr>
            <w:tcW w:w="759" w:type="dxa"/>
            <w:tcBorders>
              <w:top w:val="nil"/>
              <w:left w:val="nil"/>
              <w:bottom w:val="nil"/>
              <w:right w:val="nil"/>
            </w:tcBorders>
            <w:vAlign w:val="center"/>
          </w:tcPr>
          <w:p w:rsidR="00DC207C" w:rsidRPr="008849C2" w:rsidRDefault="00831D05" w:rsidP="00097A19">
            <w:pPr>
              <w:jc w:val="center"/>
              <w:rPr>
                <w:color w:val="000000"/>
                <w:sz w:val="16"/>
                <w:szCs w:val="16"/>
              </w:rPr>
            </w:pPr>
            <w:r w:rsidRPr="00831D05">
              <w:rPr>
                <w:color w:val="000000"/>
                <w:sz w:val="14"/>
                <w:szCs w:val="16"/>
              </w:rPr>
              <w:t>1.5m</w:t>
            </w:r>
          </w:p>
        </w:tc>
        <w:tc>
          <w:tcPr>
            <w:tcW w:w="256" w:type="dxa"/>
            <w:tcBorders>
              <w:top w:val="nil"/>
              <w:left w:val="nil"/>
              <w:bottom w:val="nil"/>
              <w:right w:val="nil"/>
            </w:tcBorders>
            <w:vAlign w:val="center"/>
          </w:tcPr>
          <w:p w:rsidR="00DC207C" w:rsidRPr="008849C2" w:rsidRDefault="00DC207C" w:rsidP="00097A19">
            <w:pPr>
              <w:jc w:val="center"/>
              <w:rPr>
                <w:color w:val="000000"/>
                <w:sz w:val="16"/>
                <w:szCs w:val="16"/>
              </w:rPr>
            </w:pPr>
          </w:p>
        </w:tc>
        <w:tc>
          <w:tcPr>
            <w:tcW w:w="759" w:type="dxa"/>
            <w:tcBorders>
              <w:top w:val="nil"/>
              <w:left w:val="nil"/>
              <w:bottom w:val="nil"/>
              <w:right w:val="nil"/>
            </w:tcBorders>
            <w:vAlign w:val="center"/>
          </w:tcPr>
          <w:p w:rsidR="00DC207C" w:rsidRPr="008849C2" w:rsidRDefault="00DC207C" w:rsidP="00097A19">
            <w:pPr>
              <w:jc w:val="center"/>
              <w:rPr>
                <w:color w:val="000000"/>
                <w:sz w:val="16"/>
                <w:szCs w:val="16"/>
              </w:rPr>
            </w:pPr>
          </w:p>
        </w:tc>
        <w:tc>
          <w:tcPr>
            <w:tcW w:w="256" w:type="dxa"/>
            <w:tcBorders>
              <w:top w:val="nil"/>
              <w:left w:val="nil"/>
              <w:bottom w:val="nil"/>
              <w:right w:val="nil"/>
            </w:tcBorders>
            <w:vAlign w:val="center"/>
          </w:tcPr>
          <w:p w:rsidR="00DC207C" w:rsidRPr="008849C2" w:rsidRDefault="00DC207C" w:rsidP="00097A19">
            <w:pPr>
              <w:jc w:val="center"/>
              <w:rPr>
                <w:color w:val="000000"/>
                <w:sz w:val="16"/>
                <w:szCs w:val="16"/>
              </w:rPr>
            </w:pPr>
          </w:p>
        </w:tc>
        <w:tc>
          <w:tcPr>
            <w:tcW w:w="759" w:type="dxa"/>
            <w:tcBorders>
              <w:top w:val="nil"/>
              <w:left w:val="nil"/>
              <w:bottom w:val="nil"/>
              <w:right w:val="nil"/>
            </w:tcBorders>
            <w:vAlign w:val="center"/>
          </w:tcPr>
          <w:p w:rsidR="00DC207C" w:rsidRPr="008849C2" w:rsidRDefault="00DC207C" w:rsidP="00097A19">
            <w:pPr>
              <w:jc w:val="center"/>
              <w:rPr>
                <w:color w:val="000000"/>
                <w:sz w:val="16"/>
                <w:szCs w:val="16"/>
              </w:rPr>
            </w:pPr>
          </w:p>
        </w:tc>
        <w:tc>
          <w:tcPr>
            <w:tcW w:w="256" w:type="dxa"/>
            <w:tcBorders>
              <w:top w:val="nil"/>
              <w:left w:val="nil"/>
              <w:bottom w:val="nil"/>
              <w:right w:val="nil"/>
            </w:tcBorders>
            <w:vAlign w:val="center"/>
          </w:tcPr>
          <w:p w:rsidR="00DC207C" w:rsidRPr="008849C2" w:rsidRDefault="00DC207C" w:rsidP="00097A19">
            <w:pPr>
              <w:jc w:val="center"/>
              <w:rPr>
                <w:color w:val="000000"/>
                <w:sz w:val="16"/>
                <w:szCs w:val="16"/>
              </w:rPr>
            </w:pPr>
          </w:p>
        </w:tc>
        <w:tc>
          <w:tcPr>
            <w:tcW w:w="759" w:type="dxa"/>
            <w:tcBorders>
              <w:top w:val="nil"/>
              <w:left w:val="nil"/>
              <w:bottom w:val="nil"/>
              <w:right w:val="nil"/>
            </w:tcBorders>
            <w:vAlign w:val="center"/>
          </w:tcPr>
          <w:p w:rsidR="00DC207C" w:rsidRPr="008849C2" w:rsidRDefault="00DC207C" w:rsidP="00097A19">
            <w:pPr>
              <w:jc w:val="center"/>
              <w:rPr>
                <w:color w:val="000000"/>
                <w:sz w:val="16"/>
                <w:szCs w:val="16"/>
              </w:rPr>
            </w:pPr>
          </w:p>
        </w:tc>
        <w:tc>
          <w:tcPr>
            <w:tcW w:w="256" w:type="dxa"/>
            <w:tcBorders>
              <w:top w:val="nil"/>
              <w:left w:val="nil"/>
              <w:bottom w:val="nil"/>
              <w:right w:val="nil"/>
            </w:tcBorders>
            <w:vAlign w:val="center"/>
          </w:tcPr>
          <w:p w:rsidR="00DC207C" w:rsidRPr="008849C2" w:rsidRDefault="00DC207C" w:rsidP="00097A19">
            <w:pPr>
              <w:jc w:val="center"/>
              <w:rPr>
                <w:color w:val="000000"/>
                <w:sz w:val="16"/>
                <w:szCs w:val="16"/>
              </w:rPr>
            </w:pPr>
          </w:p>
        </w:tc>
        <w:tc>
          <w:tcPr>
            <w:tcW w:w="759" w:type="dxa"/>
            <w:tcBorders>
              <w:top w:val="nil"/>
              <w:left w:val="nil"/>
              <w:bottom w:val="nil"/>
              <w:right w:val="nil"/>
            </w:tcBorders>
            <w:vAlign w:val="center"/>
          </w:tcPr>
          <w:p w:rsidR="00DC207C" w:rsidRPr="008849C2" w:rsidRDefault="00DC207C" w:rsidP="00097A19">
            <w:pPr>
              <w:jc w:val="center"/>
              <w:rPr>
                <w:color w:val="000000"/>
                <w:sz w:val="16"/>
                <w:szCs w:val="16"/>
              </w:rPr>
            </w:pPr>
          </w:p>
        </w:tc>
        <w:tc>
          <w:tcPr>
            <w:tcW w:w="256" w:type="dxa"/>
            <w:tcBorders>
              <w:top w:val="nil"/>
              <w:left w:val="nil"/>
              <w:bottom w:val="nil"/>
              <w:right w:val="nil"/>
            </w:tcBorders>
            <w:vAlign w:val="bottom"/>
          </w:tcPr>
          <w:p w:rsidR="00DC207C" w:rsidRPr="008849C2" w:rsidRDefault="00DC207C" w:rsidP="00097A19">
            <w:pPr>
              <w:rPr>
                <w:color w:val="000000"/>
                <w:sz w:val="16"/>
                <w:szCs w:val="16"/>
              </w:rPr>
            </w:pPr>
          </w:p>
        </w:tc>
        <w:tc>
          <w:tcPr>
            <w:tcW w:w="406" w:type="dxa"/>
            <w:tcBorders>
              <w:top w:val="nil"/>
              <w:left w:val="nil"/>
              <w:bottom w:val="nil"/>
              <w:right w:val="nil"/>
            </w:tcBorders>
            <w:vAlign w:val="bottom"/>
          </w:tcPr>
          <w:p w:rsidR="00DC207C" w:rsidRPr="008849C2" w:rsidRDefault="00DC207C" w:rsidP="00097A19">
            <w:pPr>
              <w:rPr>
                <w:color w:val="000000"/>
                <w:sz w:val="16"/>
                <w:szCs w:val="16"/>
              </w:rPr>
            </w:pPr>
          </w:p>
        </w:tc>
        <w:tc>
          <w:tcPr>
            <w:tcW w:w="541" w:type="dxa"/>
            <w:tcBorders>
              <w:top w:val="nil"/>
              <w:left w:val="nil"/>
              <w:bottom w:val="nil"/>
              <w:right w:val="nil"/>
            </w:tcBorders>
            <w:shd w:val="clear" w:color="000000" w:fill="D7E4BC"/>
            <w:vAlign w:val="bottom"/>
          </w:tcPr>
          <w:p w:rsidR="00DC207C" w:rsidRPr="008849C2" w:rsidRDefault="00DC207C" w:rsidP="00097A19">
            <w:pPr>
              <w:rPr>
                <w:color w:val="000000"/>
                <w:sz w:val="16"/>
                <w:szCs w:val="16"/>
              </w:rPr>
            </w:pPr>
            <w:r w:rsidRPr="008849C2">
              <w:rPr>
                <w:color w:val="000000"/>
                <w:sz w:val="16"/>
                <w:szCs w:val="16"/>
              </w:rPr>
              <w:t> </w:t>
            </w:r>
          </w:p>
        </w:tc>
      </w:tr>
      <w:tr w:rsidR="00DC207C" w:rsidRPr="007F0DA8" w:rsidTr="00831D05">
        <w:trPr>
          <w:trHeight w:val="551"/>
        </w:trPr>
        <w:tc>
          <w:tcPr>
            <w:tcW w:w="541" w:type="dxa"/>
            <w:tcBorders>
              <w:top w:val="nil"/>
              <w:left w:val="nil"/>
              <w:bottom w:val="nil"/>
              <w:right w:val="nil"/>
            </w:tcBorders>
            <w:shd w:val="clear" w:color="000000" w:fill="D7E4BC"/>
            <w:vAlign w:val="bottom"/>
          </w:tcPr>
          <w:p w:rsidR="00DC207C" w:rsidRPr="008849C2" w:rsidRDefault="00DC207C" w:rsidP="00097A19">
            <w:pPr>
              <w:rPr>
                <w:color w:val="000000"/>
                <w:sz w:val="16"/>
                <w:szCs w:val="16"/>
              </w:rPr>
            </w:pPr>
            <w:r w:rsidRPr="008849C2">
              <w:rPr>
                <w:color w:val="000000"/>
                <w:sz w:val="16"/>
                <w:szCs w:val="16"/>
              </w:rPr>
              <w:t> </w:t>
            </w:r>
          </w:p>
        </w:tc>
        <w:tc>
          <w:tcPr>
            <w:tcW w:w="406" w:type="dxa"/>
            <w:tcBorders>
              <w:top w:val="single" w:sz="8" w:space="0" w:color="000000"/>
              <w:left w:val="single" w:sz="8" w:space="0" w:color="000000"/>
              <w:bottom w:val="single" w:sz="8" w:space="0" w:color="000000"/>
              <w:right w:val="single" w:sz="8" w:space="0" w:color="000000"/>
            </w:tcBorders>
            <w:shd w:val="clear" w:color="000000" w:fill="DBE5F1"/>
            <w:textDirection w:val="btLr"/>
            <w:vAlign w:val="bottom"/>
          </w:tcPr>
          <w:p w:rsidR="00DC207C" w:rsidRPr="008849C2" w:rsidRDefault="00DC207C" w:rsidP="00097A19">
            <w:pPr>
              <w:jc w:val="right"/>
              <w:rPr>
                <w:color w:val="000000"/>
                <w:sz w:val="16"/>
                <w:szCs w:val="16"/>
              </w:rPr>
            </w:pPr>
            <w:r w:rsidRPr="008849C2">
              <w:rPr>
                <w:color w:val="000000"/>
                <w:sz w:val="16"/>
                <w:szCs w:val="16"/>
              </w:rPr>
              <w:t>Alamo2</w:t>
            </w:r>
          </w:p>
        </w:tc>
        <w:tc>
          <w:tcPr>
            <w:tcW w:w="442" w:type="dxa"/>
            <w:tcBorders>
              <w:top w:val="nil"/>
              <w:left w:val="nil"/>
              <w:bottom w:val="nil"/>
              <w:right w:val="nil"/>
            </w:tcBorders>
            <w:vAlign w:val="bottom"/>
          </w:tcPr>
          <w:p w:rsidR="00DC207C" w:rsidRPr="008849C2" w:rsidRDefault="00DC207C" w:rsidP="00097A19">
            <w:pPr>
              <w:rPr>
                <w:color w:val="000000"/>
                <w:sz w:val="16"/>
                <w:szCs w:val="16"/>
              </w:rPr>
            </w:pPr>
          </w:p>
        </w:tc>
        <w:tc>
          <w:tcPr>
            <w:tcW w:w="759" w:type="dxa"/>
            <w:tcBorders>
              <w:top w:val="single" w:sz="4" w:space="0" w:color="auto"/>
              <w:left w:val="single" w:sz="4" w:space="0" w:color="auto"/>
              <w:bottom w:val="single" w:sz="4" w:space="0" w:color="auto"/>
              <w:right w:val="single" w:sz="4" w:space="0" w:color="auto"/>
            </w:tcBorders>
            <w:vAlign w:val="center"/>
          </w:tcPr>
          <w:p w:rsidR="00DC207C" w:rsidRPr="008849C2" w:rsidRDefault="00DC207C" w:rsidP="00097A19">
            <w:pPr>
              <w:jc w:val="center"/>
              <w:rPr>
                <w:sz w:val="16"/>
                <w:szCs w:val="16"/>
              </w:rPr>
            </w:pPr>
            <w:r w:rsidRPr="008849C2">
              <w:rPr>
                <w:sz w:val="16"/>
                <w:szCs w:val="16"/>
              </w:rPr>
              <w:t>COMT2 (+)</w:t>
            </w:r>
          </w:p>
        </w:tc>
        <w:tc>
          <w:tcPr>
            <w:tcW w:w="256" w:type="dxa"/>
            <w:tcBorders>
              <w:top w:val="nil"/>
              <w:left w:val="nil"/>
              <w:bottom w:val="nil"/>
              <w:right w:val="nil"/>
            </w:tcBorders>
            <w:vAlign w:val="center"/>
          </w:tcPr>
          <w:p w:rsidR="00DC207C" w:rsidRPr="008849C2" w:rsidRDefault="00DC207C" w:rsidP="00097A19">
            <w:pPr>
              <w:jc w:val="center"/>
              <w:rPr>
                <w:color w:val="000000"/>
                <w:sz w:val="16"/>
                <w:szCs w:val="16"/>
              </w:rPr>
            </w:pPr>
          </w:p>
        </w:tc>
        <w:tc>
          <w:tcPr>
            <w:tcW w:w="759" w:type="dxa"/>
            <w:tcBorders>
              <w:top w:val="single" w:sz="4" w:space="0" w:color="auto"/>
              <w:left w:val="single" w:sz="4" w:space="0" w:color="auto"/>
              <w:bottom w:val="single" w:sz="4" w:space="0" w:color="auto"/>
              <w:right w:val="single" w:sz="4" w:space="0" w:color="auto"/>
            </w:tcBorders>
            <w:vAlign w:val="center"/>
          </w:tcPr>
          <w:p w:rsidR="00DC207C" w:rsidRPr="008849C2" w:rsidRDefault="00DC207C" w:rsidP="00097A19">
            <w:pPr>
              <w:jc w:val="center"/>
              <w:rPr>
                <w:sz w:val="16"/>
                <w:szCs w:val="16"/>
              </w:rPr>
            </w:pPr>
            <w:r w:rsidRPr="008849C2">
              <w:rPr>
                <w:sz w:val="16"/>
                <w:szCs w:val="16"/>
              </w:rPr>
              <w:t>COMT2  (-)</w:t>
            </w:r>
          </w:p>
        </w:tc>
        <w:tc>
          <w:tcPr>
            <w:tcW w:w="256" w:type="dxa"/>
            <w:tcBorders>
              <w:top w:val="nil"/>
              <w:left w:val="nil"/>
              <w:bottom w:val="nil"/>
              <w:right w:val="nil"/>
            </w:tcBorders>
            <w:vAlign w:val="center"/>
          </w:tcPr>
          <w:p w:rsidR="00DC207C" w:rsidRPr="008849C2" w:rsidRDefault="00DC207C" w:rsidP="00097A19">
            <w:pPr>
              <w:jc w:val="center"/>
              <w:rPr>
                <w:color w:val="000000"/>
                <w:sz w:val="16"/>
                <w:szCs w:val="16"/>
              </w:rPr>
            </w:pPr>
          </w:p>
        </w:tc>
        <w:tc>
          <w:tcPr>
            <w:tcW w:w="759" w:type="dxa"/>
            <w:tcBorders>
              <w:top w:val="single" w:sz="4" w:space="0" w:color="auto"/>
              <w:left w:val="single" w:sz="4" w:space="0" w:color="auto"/>
              <w:bottom w:val="single" w:sz="4" w:space="0" w:color="auto"/>
              <w:right w:val="single" w:sz="4" w:space="0" w:color="auto"/>
            </w:tcBorders>
            <w:vAlign w:val="center"/>
          </w:tcPr>
          <w:p w:rsidR="00DC207C" w:rsidRPr="008849C2" w:rsidRDefault="00DC207C" w:rsidP="00097A19">
            <w:pPr>
              <w:jc w:val="center"/>
              <w:rPr>
                <w:color w:val="000000"/>
                <w:sz w:val="16"/>
                <w:szCs w:val="16"/>
              </w:rPr>
            </w:pPr>
            <w:r w:rsidRPr="008849C2">
              <w:rPr>
                <w:color w:val="000000"/>
                <w:sz w:val="16"/>
                <w:szCs w:val="16"/>
              </w:rPr>
              <w:t>COMT3 (+)</w:t>
            </w:r>
          </w:p>
        </w:tc>
        <w:tc>
          <w:tcPr>
            <w:tcW w:w="256" w:type="dxa"/>
            <w:tcBorders>
              <w:top w:val="nil"/>
              <w:left w:val="nil"/>
              <w:bottom w:val="nil"/>
              <w:right w:val="nil"/>
            </w:tcBorders>
            <w:vAlign w:val="center"/>
          </w:tcPr>
          <w:p w:rsidR="00DC207C" w:rsidRPr="008849C2" w:rsidRDefault="00DC207C" w:rsidP="00097A19">
            <w:pPr>
              <w:jc w:val="center"/>
              <w:rPr>
                <w:color w:val="000000"/>
                <w:sz w:val="16"/>
                <w:szCs w:val="16"/>
              </w:rPr>
            </w:pPr>
          </w:p>
        </w:tc>
        <w:tc>
          <w:tcPr>
            <w:tcW w:w="759" w:type="dxa"/>
            <w:tcBorders>
              <w:top w:val="single" w:sz="4" w:space="0" w:color="auto"/>
              <w:left w:val="single" w:sz="4" w:space="0" w:color="auto"/>
              <w:bottom w:val="single" w:sz="4" w:space="0" w:color="auto"/>
              <w:right w:val="single" w:sz="4" w:space="0" w:color="auto"/>
            </w:tcBorders>
            <w:vAlign w:val="center"/>
          </w:tcPr>
          <w:p w:rsidR="00DC207C" w:rsidRPr="008849C2" w:rsidRDefault="00DC207C" w:rsidP="00097A19">
            <w:pPr>
              <w:jc w:val="center"/>
              <w:rPr>
                <w:sz w:val="16"/>
                <w:szCs w:val="16"/>
              </w:rPr>
            </w:pPr>
            <w:r w:rsidRPr="008849C2">
              <w:rPr>
                <w:sz w:val="16"/>
                <w:szCs w:val="16"/>
              </w:rPr>
              <w:t>COMT2 (+)</w:t>
            </w:r>
          </w:p>
        </w:tc>
        <w:tc>
          <w:tcPr>
            <w:tcW w:w="256" w:type="dxa"/>
            <w:tcBorders>
              <w:top w:val="nil"/>
              <w:left w:val="nil"/>
              <w:bottom w:val="nil"/>
              <w:right w:val="nil"/>
            </w:tcBorders>
            <w:vAlign w:val="center"/>
          </w:tcPr>
          <w:p w:rsidR="00DC207C" w:rsidRPr="008849C2" w:rsidRDefault="00DC207C" w:rsidP="00097A19">
            <w:pPr>
              <w:jc w:val="center"/>
              <w:rPr>
                <w:color w:val="000000"/>
                <w:sz w:val="16"/>
                <w:szCs w:val="16"/>
              </w:rPr>
            </w:pPr>
          </w:p>
        </w:tc>
        <w:tc>
          <w:tcPr>
            <w:tcW w:w="759" w:type="dxa"/>
            <w:tcBorders>
              <w:top w:val="single" w:sz="4" w:space="0" w:color="auto"/>
              <w:left w:val="single" w:sz="4" w:space="0" w:color="auto"/>
              <w:bottom w:val="single" w:sz="4" w:space="0" w:color="auto"/>
              <w:right w:val="single" w:sz="4" w:space="0" w:color="auto"/>
            </w:tcBorders>
            <w:vAlign w:val="center"/>
          </w:tcPr>
          <w:p w:rsidR="00DC207C" w:rsidRPr="008849C2" w:rsidRDefault="00DC207C" w:rsidP="00097A19">
            <w:pPr>
              <w:jc w:val="center"/>
              <w:rPr>
                <w:color w:val="000000"/>
                <w:sz w:val="16"/>
                <w:szCs w:val="16"/>
              </w:rPr>
            </w:pPr>
            <w:r w:rsidRPr="008849C2">
              <w:rPr>
                <w:color w:val="000000"/>
                <w:sz w:val="16"/>
                <w:szCs w:val="16"/>
              </w:rPr>
              <w:t>COMT3   (-)</w:t>
            </w:r>
          </w:p>
        </w:tc>
        <w:tc>
          <w:tcPr>
            <w:tcW w:w="256" w:type="dxa"/>
            <w:tcBorders>
              <w:top w:val="nil"/>
              <w:left w:val="nil"/>
              <w:bottom w:val="nil"/>
              <w:right w:val="nil"/>
            </w:tcBorders>
            <w:vAlign w:val="bottom"/>
          </w:tcPr>
          <w:p w:rsidR="00DC207C" w:rsidRPr="008849C2" w:rsidRDefault="00DC207C" w:rsidP="00097A19">
            <w:pPr>
              <w:rPr>
                <w:color w:val="000000"/>
                <w:sz w:val="16"/>
                <w:szCs w:val="16"/>
              </w:rPr>
            </w:pPr>
          </w:p>
        </w:tc>
        <w:tc>
          <w:tcPr>
            <w:tcW w:w="406" w:type="dxa"/>
            <w:tcBorders>
              <w:top w:val="single" w:sz="8" w:space="0" w:color="000000"/>
              <w:left w:val="single" w:sz="8" w:space="0" w:color="000000"/>
              <w:bottom w:val="single" w:sz="8" w:space="0" w:color="000000"/>
              <w:right w:val="single" w:sz="8" w:space="0" w:color="000000"/>
            </w:tcBorders>
            <w:shd w:val="clear" w:color="000000" w:fill="DBE5F1"/>
            <w:textDirection w:val="btLr"/>
            <w:vAlign w:val="bottom"/>
          </w:tcPr>
          <w:p w:rsidR="00DC207C" w:rsidRPr="008849C2" w:rsidRDefault="00DC207C" w:rsidP="00097A19">
            <w:pPr>
              <w:jc w:val="right"/>
              <w:rPr>
                <w:color w:val="000000"/>
                <w:sz w:val="16"/>
                <w:szCs w:val="16"/>
              </w:rPr>
            </w:pPr>
            <w:r w:rsidRPr="008849C2">
              <w:rPr>
                <w:color w:val="000000"/>
                <w:sz w:val="16"/>
                <w:szCs w:val="16"/>
              </w:rPr>
              <w:t>Alamo2</w:t>
            </w:r>
          </w:p>
        </w:tc>
        <w:tc>
          <w:tcPr>
            <w:tcW w:w="541" w:type="dxa"/>
            <w:tcBorders>
              <w:top w:val="nil"/>
              <w:left w:val="nil"/>
              <w:bottom w:val="nil"/>
              <w:right w:val="nil"/>
            </w:tcBorders>
            <w:shd w:val="clear" w:color="000000" w:fill="D7E4BC"/>
            <w:vAlign w:val="bottom"/>
          </w:tcPr>
          <w:p w:rsidR="00DC207C" w:rsidRPr="008849C2" w:rsidRDefault="00DC207C" w:rsidP="00097A19">
            <w:pPr>
              <w:rPr>
                <w:color w:val="000000"/>
                <w:sz w:val="16"/>
                <w:szCs w:val="16"/>
              </w:rPr>
            </w:pPr>
            <w:r w:rsidRPr="008849C2">
              <w:rPr>
                <w:color w:val="000000"/>
                <w:sz w:val="16"/>
                <w:szCs w:val="16"/>
              </w:rPr>
              <w:t> </w:t>
            </w:r>
          </w:p>
        </w:tc>
      </w:tr>
      <w:tr w:rsidR="00DC207C" w:rsidRPr="007F0DA8" w:rsidTr="00831D05">
        <w:trPr>
          <w:trHeight w:val="551"/>
        </w:trPr>
        <w:tc>
          <w:tcPr>
            <w:tcW w:w="541" w:type="dxa"/>
            <w:tcBorders>
              <w:top w:val="nil"/>
              <w:left w:val="nil"/>
              <w:bottom w:val="nil"/>
              <w:right w:val="nil"/>
            </w:tcBorders>
            <w:shd w:val="clear" w:color="000000" w:fill="D7E4BC"/>
            <w:vAlign w:val="bottom"/>
          </w:tcPr>
          <w:p w:rsidR="00DC207C" w:rsidRPr="008849C2" w:rsidRDefault="00DC207C" w:rsidP="00097A19">
            <w:pPr>
              <w:rPr>
                <w:color w:val="000000"/>
                <w:sz w:val="16"/>
                <w:szCs w:val="16"/>
              </w:rPr>
            </w:pPr>
            <w:r w:rsidRPr="008849C2">
              <w:rPr>
                <w:color w:val="000000"/>
                <w:sz w:val="16"/>
                <w:szCs w:val="16"/>
              </w:rPr>
              <w:t> </w:t>
            </w:r>
          </w:p>
        </w:tc>
        <w:tc>
          <w:tcPr>
            <w:tcW w:w="406" w:type="dxa"/>
            <w:tcBorders>
              <w:top w:val="nil"/>
              <w:left w:val="nil"/>
              <w:bottom w:val="nil"/>
              <w:right w:val="nil"/>
            </w:tcBorders>
            <w:vAlign w:val="bottom"/>
          </w:tcPr>
          <w:p w:rsidR="00DC207C" w:rsidRPr="008849C2" w:rsidRDefault="00DC207C" w:rsidP="00097A19">
            <w:pPr>
              <w:rPr>
                <w:color w:val="000000"/>
                <w:sz w:val="16"/>
                <w:szCs w:val="16"/>
              </w:rPr>
            </w:pPr>
          </w:p>
        </w:tc>
        <w:tc>
          <w:tcPr>
            <w:tcW w:w="442" w:type="dxa"/>
            <w:tcBorders>
              <w:top w:val="nil"/>
              <w:left w:val="nil"/>
              <w:bottom w:val="nil"/>
              <w:right w:val="nil"/>
            </w:tcBorders>
            <w:vAlign w:val="bottom"/>
          </w:tcPr>
          <w:p w:rsidR="00DC207C" w:rsidRPr="008849C2" w:rsidRDefault="00DC207C" w:rsidP="00097A19">
            <w:pPr>
              <w:rPr>
                <w:color w:val="000000"/>
                <w:sz w:val="16"/>
                <w:szCs w:val="16"/>
              </w:rPr>
            </w:pPr>
          </w:p>
        </w:tc>
        <w:tc>
          <w:tcPr>
            <w:tcW w:w="759" w:type="dxa"/>
            <w:tcBorders>
              <w:top w:val="nil"/>
              <w:left w:val="nil"/>
              <w:bottom w:val="nil"/>
              <w:right w:val="nil"/>
            </w:tcBorders>
            <w:vAlign w:val="center"/>
          </w:tcPr>
          <w:p w:rsidR="00DC207C" w:rsidRPr="008849C2" w:rsidRDefault="00DC207C" w:rsidP="00097A19">
            <w:pPr>
              <w:jc w:val="center"/>
              <w:rPr>
                <w:color w:val="000000"/>
                <w:sz w:val="16"/>
                <w:szCs w:val="16"/>
              </w:rPr>
            </w:pPr>
          </w:p>
        </w:tc>
        <w:tc>
          <w:tcPr>
            <w:tcW w:w="256" w:type="dxa"/>
            <w:tcBorders>
              <w:top w:val="nil"/>
              <w:left w:val="nil"/>
              <w:bottom w:val="nil"/>
              <w:right w:val="nil"/>
            </w:tcBorders>
            <w:vAlign w:val="center"/>
          </w:tcPr>
          <w:p w:rsidR="00DC207C" w:rsidRPr="008849C2" w:rsidRDefault="00DC207C" w:rsidP="00097A19">
            <w:pPr>
              <w:jc w:val="center"/>
              <w:rPr>
                <w:color w:val="000000"/>
                <w:sz w:val="16"/>
                <w:szCs w:val="16"/>
              </w:rPr>
            </w:pPr>
          </w:p>
        </w:tc>
        <w:tc>
          <w:tcPr>
            <w:tcW w:w="759" w:type="dxa"/>
            <w:tcBorders>
              <w:top w:val="nil"/>
              <w:left w:val="nil"/>
              <w:bottom w:val="nil"/>
              <w:right w:val="nil"/>
            </w:tcBorders>
            <w:vAlign w:val="center"/>
          </w:tcPr>
          <w:p w:rsidR="00DC207C" w:rsidRPr="008849C2" w:rsidRDefault="00DC207C" w:rsidP="00097A19">
            <w:pPr>
              <w:jc w:val="center"/>
              <w:rPr>
                <w:color w:val="000000"/>
                <w:sz w:val="16"/>
                <w:szCs w:val="16"/>
              </w:rPr>
            </w:pPr>
          </w:p>
        </w:tc>
        <w:tc>
          <w:tcPr>
            <w:tcW w:w="256" w:type="dxa"/>
            <w:tcBorders>
              <w:top w:val="nil"/>
              <w:left w:val="nil"/>
              <w:bottom w:val="nil"/>
              <w:right w:val="nil"/>
            </w:tcBorders>
            <w:vAlign w:val="center"/>
          </w:tcPr>
          <w:p w:rsidR="00DC207C" w:rsidRPr="008849C2" w:rsidRDefault="00DC207C" w:rsidP="00097A19">
            <w:pPr>
              <w:jc w:val="center"/>
              <w:rPr>
                <w:color w:val="000000"/>
                <w:sz w:val="16"/>
                <w:szCs w:val="16"/>
              </w:rPr>
            </w:pPr>
          </w:p>
        </w:tc>
        <w:tc>
          <w:tcPr>
            <w:tcW w:w="759" w:type="dxa"/>
            <w:tcBorders>
              <w:top w:val="nil"/>
              <w:left w:val="nil"/>
              <w:bottom w:val="nil"/>
              <w:right w:val="nil"/>
            </w:tcBorders>
            <w:vAlign w:val="center"/>
          </w:tcPr>
          <w:p w:rsidR="00DC207C" w:rsidRPr="008849C2" w:rsidRDefault="00DC207C" w:rsidP="00097A19">
            <w:pPr>
              <w:jc w:val="center"/>
              <w:rPr>
                <w:color w:val="000000"/>
                <w:sz w:val="16"/>
                <w:szCs w:val="16"/>
              </w:rPr>
            </w:pPr>
          </w:p>
        </w:tc>
        <w:tc>
          <w:tcPr>
            <w:tcW w:w="256" w:type="dxa"/>
            <w:tcBorders>
              <w:top w:val="nil"/>
              <w:left w:val="nil"/>
              <w:bottom w:val="nil"/>
              <w:right w:val="nil"/>
            </w:tcBorders>
            <w:vAlign w:val="center"/>
          </w:tcPr>
          <w:p w:rsidR="00DC207C" w:rsidRPr="008849C2" w:rsidRDefault="00DC207C" w:rsidP="00097A19">
            <w:pPr>
              <w:jc w:val="center"/>
              <w:rPr>
                <w:color w:val="000000"/>
                <w:sz w:val="16"/>
                <w:szCs w:val="16"/>
              </w:rPr>
            </w:pPr>
          </w:p>
        </w:tc>
        <w:tc>
          <w:tcPr>
            <w:tcW w:w="759" w:type="dxa"/>
            <w:tcBorders>
              <w:top w:val="nil"/>
              <w:left w:val="nil"/>
              <w:bottom w:val="nil"/>
              <w:right w:val="nil"/>
            </w:tcBorders>
            <w:vAlign w:val="center"/>
          </w:tcPr>
          <w:p w:rsidR="00DC207C" w:rsidRPr="008849C2" w:rsidRDefault="00DC207C" w:rsidP="00097A19">
            <w:pPr>
              <w:jc w:val="center"/>
              <w:rPr>
                <w:color w:val="000000"/>
                <w:sz w:val="16"/>
                <w:szCs w:val="16"/>
              </w:rPr>
            </w:pPr>
          </w:p>
        </w:tc>
        <w:tc>
          <w:tcPr>
            <w:tcW w:w="256" w:type="dxa"/>
            <w:tcBorders>
              <w:top w:val="nil"/>
              <w:left w:val="nil"/>
              <w:bottom w:val="nil"/>
              <w:right w:val="nil"/>
            </w:tcBorders>
            <w:vAlign w:val="center"/>
          </w:tcPr>
          <w:p w:rsidR="00DC207C" w:rsidRPr="008849C2" w:rsidRDefault="00DC207C" w:rsidP="00097A19">
            <w:pPr>
              <w:jc w:val="center"/>
              <w:rPr>
                <w:color w:val="000000"/>
                <w:sz w:val="16"/>
                <w:szCs w:val="16"/>
              </w:rPr>
            </w:pPr>
          </w:p>
        </w:tc>
        <w:tc>
          <w:tcPr>
            <w:tcW w:w="759" w:type="dxa"/>
            <w:tcBorders>
              <w:top w:val="nil"/>
              <w:left w:val="nil"/>
              <w:bottom w:val="nil"/>
              <w:right w:val="nil"/>
            </w:tcBorders>
            <w:vAlign w:val="center"/>
          </w:tcPr>
          <w:p w:rsidR="00DC207C" w:rsidRPr="008849C2" w:rsidRDefault="00DC207C" w:rsidP="00097A19">
            <w:pPr>
              <w:jc w:val="center"/>
              <w:rPr>
                <w:color w:val="000000"/>
                <w:sz w:val="16"/>
                <w:szCs w:val="16"/>
              </w:rPr>
            </w:pPr>
          </w:p>
        </w:tc>
        <w:tc>
          <w:tcPr>
            <w:tcW w:w="256" w:type="dxa"/>
            <w:tcBorders>
              <w:top w:val="nil"/>
              <w:left w:val="nil"/>
              <w:bottom w:val="nil"/>
              <w:right w:val="nil"/>
            </w:tcBorders>
            <w:vAlign w:val="bottom"/>
          </w:tcPr>
          <w:p w:rsidR="00DC207C" w:rsidRPr="008849C2" w:rsidRDefault="00DC207C" w:rsidP="00097A19">
            <w:pPr>
              <w:rPr>
                <w:color w:val="000000"/>
                <w:sz w:val="16"/>
                <w:szCs w:val="16"/>
              </w:rPr>
            </w:pPr>
          </w:p>
        </w:tc>
        <w:tc>
          <w:tcPr>
            <w:tcW w:w="406" w:type="dxa"/>
            <w:tcBorders>
              <w:top w:val="nil"/>
              <w:left w:val="nil"/>
              <w:bottom w:val="nil"/>
              <w:right w:val="nil"/>
            </w:tcBorders>
            <w:vAlign w:val="bottom"/>
          </w:tcPr>
          <w:p w:rsidR="00DC207C" w:rsidRPr="008849C2" w:rsidRDefault="00DC207C" w:rsidP="00097A19">
            <w:pPr>
              <w:rPr>
                <w:color w:val="000000"/>
                <w:sz w:val="16"/>
                <w:szCs w:val="16"/>
              </w:rPr>
            </w:pPr>
          </w:p>
        </w:tc>
        <w:tc>
          <w:tcPr>
            <w:tcW w:w="541" w:type="dxa"/>
            <w:tcBorders>
              <w:top w:val="nil"/>
              <w:left w:val="nil"/>
              <w:bottom w:val="nil"/>
              <w:right w:val="nil"/>
            </w:tcBorders>
            <w:shd w:val="clear" w:color="000000" w:fill="D7E4BC"/>
            <w:vAlign w:val="bottom"/>
          </w:tcPr>
          <w:p w:rsidR="00DC207C" w:rsidRPr="008849C2" w:rsidRDefault="00DC207C" w:rsidP="00097A19">
            <w:pPr>
              <w:rPr>
                <w:color w:val="000000"/>
                <w:sz w:val="16"/>
                <w:szCs w:val="16"/>
              </w:rPr>
            </w:pPr>
            <w:r w:rsidRPr="008849C2">
              <w:rPr>
                <w:color w:val="000000"/>
                <w:sz w:val="16"/>
                <w:szCs w:val="16"/>
              </w:rPr>
              <w:t> </w:t>
            </w:r>
          </w:p>
        </w:tc>
      </w:tr>
      <w:tr w:rsidR="00DC207C" w:rsidRPr="007F0DA8" w:rsidTr="00831D05">
        <w:trPr>
          <w:trHeight w:val="551"/>
        </w:trPr>
        <w:tc>
          <w:tcPr>
            <w:tcW w:w="541" w:type="dxa"/>
            <w:tcBorders>
              <w:top w:val="nil"/>
              <w:left w:val="nil"/>
              <w:bottom w:val="nil"/>
              <w:right w:val="nil"/>
            </w:tcBorders>
            <w:shd w:val="clear" w:color="000000" w:fill="D7E4BC"/>
            <w:vAlign w:val="center"/>
          </w:tcPr>
          <w:p w:rsidR="00DC207C" w:rsidRPr="008849C2" w:rsidRDefault="00DC207C" w:rsidP="00097A19">
            <w:pPr>
              <w:jc w:val="center"/>
              <w:rPr>
                <w:color w:val="000000"/>
                <w:sz w:val="16"/>
                <w:szCs w:val="16"/>
              </w:rPr>
            </w:pPr>
            <w:r w:rsidRPr="008849C2">
              <w:rPr>
                <w:color w:val="000000"/>
                <w:sz w:val="16"/>
                <w:szCs w:val="16"/>
              </w:rPr>
              <w:t> </w:t>
            </w:r>
          </w:p>
        </w:tc>
        <w:tc>
          <w:tcPr>
            <w:tcW w:w="406" w:type="dxa"/>
            <w:tcBorders>
              <w:top w:val="single" w:sz="8" w:space="0" w:color="000000"/>
              <w:left w:val="single" w:sz="8" w:space="0" w:color="000000"/>
              <w:bottom w:val="single" w:sz="8" w:space="0" w:color="000000"/>
              <w:right w:val="single" w:sz="8" w:space="0" w:color="000000"/>
            </w:tcBorders>
            <w:shd w:val="clear" w:color="000000" w:fill="DBE5F1"/>
            <w:textDirection w:val="btLr"/>
            <w:vAlign w:val="bottom"/>
          </w:tcPr>
          <w:p w:rsidR="00DC207C" w:rsidRPr="008849C2" w:rsidRDefault="00DC207C" w:rsidP="00097A19">
            <w:pPr>
              <w:jc w:val="right"/>
              <w:rPr>
                <w:color w:val="000000"/>
                <w:sz w:val="16"/>
                <w:szCs w:val="16"/>
              </w:rPr>
            </w:pPr>
            <w:r w:rsidRPr="008849C2">
              <w:rPr>
                <w:color w:val="000000"/>
                <w:sz w:val="16"/>
                <w:szCs w:val="16"/>
              </w:rPr>
              <w:t>Alamo2</w:t>
            </w:r>
          </w:p>
        </w:tc>
        <w:tc>
          <w:tcPr>
            <w:tcW w:w="442" w:type="dxa"/>
            <w:tcBorders>
              <w:top w:val="nil"/>
              <w:left w:val="nil"/>
              <w:bottom w:val="nil"/>
              <w:right w:val="nil"/>
            </w:tcBorders>
            <w:vAlign w:val="bottom"/>
          </w:tcPr>
          <w:p w:rsidR="00DC207C" w:rsidRPr="008849C2" w:rsidRDefault="00DC207C" w:rsidP="00097A19">
            <w:pPr>
              <w:rPr>
                <w:color w:val="000000"/>
                <w:sz w:val="16"/>
                <w:szCs w:val="16"/>
              </w:rPr>
            </w:pPr>
          </w:p>
        </w:tc>
        <w:tc>
          <w:tcPr>
            <w:tcW w:w="759" w:type="dxa"/>
            <w:tcBorders>
              <w:top w:val="single" w:sz="4" w:space="0" w:color="auto"/>
              <w:left w:val="single" w:sz="4" w:space="0" w:color="auto"/>
              <w:bottom w:val="single" w:sz="4" w:space="0" w:color="auto"/>
              <w:right w:val="single" w:sz="4" w:space="0" w:color="auto"/>
            </w:tcBorders>
            <w:vAlign w:val="center"/>
          </w:tcPr>
          <w:p w:rsidR="00DC207C" w:rsidRPr="008849C2" w:rsidRDefault="00DC207C" w:rsidP="00097A19">
            <w:pPr>
              <w:jc w:val="center"/>
              <w:rPr>
                <w:sz w:val="16"/>
                <w:szCs w:val="16"/>
              </w:rPr>
            </w:pPr>
            <w:r w:rsidRPr="008849C2">
              <w:rPr>
                <w:sz w:val="16"/>
                <w:szCs w:val="16"/>
              </w:rPr>
              <w:t>COMT2 (+)</w:t>
            </w:r>
          </w:p>
        </w:tc>
        <w:tc>
          <w:tcPr>
            <w:tcW w:w="256" w:type="dxa"/>
            <w:tcBorders>
              <w:top w:val="nil"/>
              <w:left w:val="nil"/>
              <w:bottom w:val="nil"/>
              <w:right w:val="nil"/>
            </w:tcBorders>
            <w:vAlign w:val="center"/>
          </w:tcPr>
          <w:p w:rsidR="00DC207C" w:rsidRPr="008849C2" w:rsidRDefault="00DC207C" w:rsidP="00097A19">
            <w:pPr>
              <w:jc w:val="center"/>
              <w:rPr>
                <w:color w:val="000000"/>
                <w:sz w:val="16"/>
                <w:szCs w:val="16"/>
              </w:rPr>
            </w:pPr>
          </w:p>
        </w:tc>
        <w:tc>
          <w:tcPr>
            <w:tcW w:w="759" w:type="dxa"/>
            <w:tcBorders>
              <w:top w:val="single" w:sz="4" w:space="0" w:color="auto"/>
              <w:left w:val="single" w:sz="4" w:space="0" w:color="auto"/>
              <w:bottom w:val="single" w:sz="4" w:space="0" w:color="auto"/>
              <w:right w:val="single" w:sz="4" w:space="0" w:color="auto"/>
            </w:tcBorders>
            <w:vAlign w:val="center"/>
          </w:tcPr>
          <w:p w:rsidR="00DC207C" w:rsidRPr="008849C2" w:rsidRDefault="00DC207C" w:rsidP="00097A19">
            <w:pPr>
              <w:jc w:val="center"/>
              <w:rPr>
                <w:color w:val="000000"/>
                <w:sz w:val="16"/>
                <w:szCs w:val="16"/>
              </w:rPr>
            </w:pPr>
            <w:r w:rsidRPr="008849C2">
              <w:rPr>
                <w:color w:val="000000"/>
                <w:sz w:val="16"/>
                <w:szCs w:val="16"/>
              </w:rPr>
              <w:t>COMT3   (-)</w:t>
            </w:r>
          </w:p>
        </w:tc>
        <w:tc>
          <w:tcPr>
            <w:tcW w:w="256" w:type="dxa"/>
            <w:tcBorders>
              <w:top w:val="nil"/>
              <w:left w:val="nil"/>
              <w:bottom w:val="nil"/>
              <w:right w:val="nil"/>
            </w:tcBorders>
            <w:vAlign w:val="center"/>
          </w:tcPr>
          <w:p w:rsidR="00DC207C" w:rsidRPr="008849C2" w:rsidRDefault="00DC207C" w:rsidP="00097A19">
            <w:pPr>
              <w:jc w:val="center"/>
              <w:rPr>
                <w:color w:val="000000"/>
                <w:sz w:val="16"/>
                <w:szCs w:val="16"/>
              </w:rPr>
            </w:pPr>
          </w:p>
        </w:tc>
        <w:tc>
          <w:tcPr>
            <w:tcW w:w="759" w:type="dxa"/>
            <w:tcBorders>
              <w:top w:val="single" w:sz="4" w:space="0" w:color="auto"/>
              <w:left w:val="single" w:sz="4" w:space="0" w:color="auto"/>
              <w:bottom w:val="single" w:sz="4" w:space="0" w:color="auto"/>
              <w:right w:val="single" w:sz="4" w:space="0" w:color="auto"/>
            </w:tcBorders>
            <w:vAlign w:val="center"/>
          </w:tcPr>
          <w:p w:rsidR="00DC207C" w:rsidRPr="008849C2" w:rsidRDefault="00DC207C" w:rsidP="00097A19">
            <w:pPr>
              <w:jc w:val="center"/>
              <w:rPr>
                <w:color w:val="000000"/>
                <w:sz w:val="16"/>
                <w:szCs w:val="16"/>
              </w:rPr>
            </w:pPr>
            <w:r w:rsidRPr="008849C2">
              <w:rPr>
                <w:color w:val="000000"/>
                <w:sz w:val="16"/>
                <w:szCs w:val="16"/>
              </w:rPr>
              <w:t>COMT3 (+)</w:t>
            </w:r>
          </w:p>
        </w:tc>
        <w:tc>
          <w:tcPr>
            <w:tcW w:w="256" w:type="dxa"/>
            <w:tcBorders>
              <w:top w:val="nil"/>
              <w:left w:val="nil"/>
              <w:bottom w:val="nil"/>
              <w:right w:val="nil"/>
            </w:tcBorders>
            <w:vAlign w:val="center"/>
          </w:tcPr>
          <w:p w:rsidR="00DC207C" w:rsidRPr="008849C2" w:rsidRDefault="00DC207C" w:rsidP="00097A19">
            <w:pPr>
              <w:jc w:val="center"/>
              <w:rPr>
                <w:color w:val="000000"/>
                <w:sz w:val="16"/>
                <w:szCs w:val="16"/>
              </w:rPr>
            </w:pPr>
          </w:p>
        </w:tc>
        <w:tc>
          <w:tcPr>
            <w:tcW w:w="759" w:type="dxa"/>
            <w:tcBorders>
              <w:top w:val="single" w:sz="4" w:space="0" w:color="auto"/>
              <w:left w:val="single" w:sz="4" w:space="0" w:color="auto"/>
              <w:bottom w:val="single" w:sz="4" w:space="0" w:color="auto"/>
              <w:right w:val="single" w:sz="4" w:space="0" w:color="auto"/>
            </w:tcBorders>
            <w:vAlign w:val="center"/>
          </w:tcPr>
          <w:p w:rsidR="00DC207C" w:rsidRPr="008849C2" w:rsidRDefault="00DC207C" w:rsidP="00097A19">
            <w:pPr>
              <w:jc w:val="center"/>
              <w:rPr>
                <w:sz w:val="16"/>
                <w:szCs w:val="16"/>
              </w:rPr>
            </w:pPr>
            <w:r w:rsidRPr="008849C2">
              <w:rPr>
                <w:sz w:val="16"/>
                <w:szCs w:val="16"/>
              </w:rPr>
              <w:t>COMT2 (+)</w:t>
            </w:r>
          </w:p>
        </w:tc>
        <w:tc>
          <w:tcPr>
            <w:tcW w:w="256" w:type="dxa"/>
            <w:tcBorders>
              <w:top w:val="nil"/>
              <w:left w:val="nil"/>
              <w:bottom w:val="nil"/>
              <w:right w:val="nil"/>
            </w:tcBorders>
            <w:vAlign w:val="center"/>
          </w:tcPr>
          <w:p w:rsidR="00DC207C" w:rsidRPr="008849C2" w:rsidRDefault="00DC207C" w:rsidP="00097A19">
            <w:pPr>
              <w:jc w:val="center"/>
              <w:rPr>
                <w:color w:val="000000"/>
                <w:sz w:val="16"/>
                <w:szCs w:val="16"/>
              </w:rPr>
            </w:pPr>
          </w:p>
        </w:tc>
        <w:tc>
          <w:tcPr>
            <w:tcW w:w="759" w:type="dxa"/>
            <w:tcBorders>
              <w:top w:val="single" w:sz="4" w:space="0" w:color="auto"/>
              <w:left w:val="single" w:sz="4" w:space="0" w:color="auto"/>
              <w:bottom w:val="single" w:sz="4" w:space="0" w:color="auto"/>
              <w:right w:val="single" w:sz="4" w:space="0" w:color="auto"/>
            </w:tcBorders>
            <w:vAlign w:val="center"/>
          </w:tcPr>
          <w:p w:rsidR="00DC207C" w:rsidRPr="008849C2" w:rsidRDefault="00DC207C" w:rsidP="00097A19">
            <w:pPr>
              <w:jc w:val="center"/>
              <w:rPr>
                <w:sz w:val="16"/>
                <w:szCs w:val="16"/>
              </w:rPr>
            </w:pPr>
            <w:r w:rsidRPr="008849C2">
              <w:rPr>
                <w:sz w:val="16"/>
                <w:szCs w:val="16"/>
              </w:rPr>
              <w:t>COMT2 (+)</w:t>
            </w:r>
          </w:p>
        </w:tc>
        <w:tc>
          <w:tcPr>
            <w:tcW w:w="256" w:type="dxa"/>
            <w:tcBorders>
              <w:top w:val="nil"/>
              <w:left w:val="nil"/>
              <w:bottom w:val="nil"/>
              <w:right w:val="nil"/>
            </w:tcBorders>
            <w:vAlign w:val="bottom"/>
          </w:tcPr>
          <w:p w:rsidR="00DC207C" w:rsidRPr="008849C2" w:rsidRDefault="00DC207C" w:rsidP="00097A19">
            <w:pPr>
              <w:rPr>
                <w:color w:val="000000"/>
                <w:sz w:val="16"/>
                <w:szCs w:val="16"/>
              </w:rPr>
            </w:pPr>
          </w:p>
        </w:tc>
        <w:tc>
          <w:tcPr>
            <w:tcW w:w="406" w:type="dxa"/>
            <w:tcBorders>
              <w:top w:val="single" w:sz="8" w:space="0" w:color="000000"/>
              <w:left w:val="single" w:sz="8" w:space="0" w:color="000000"/>
              <w:bottom w:val="single" w:sz="8" w:space="0" w:color="000000"/>
              <w:right w:val="single" w:sz="8" w:space="0" w:color="000000"/>
            </w:tcBorders>
            <w:shd w:val="clear" w:color="000000" w:fill="DBE5F1"/>
            <w:textDirection w:val="btLr"/>
            <w:vAlign w:val="bottom"/>
          </w:tcPr>
          <w:p w:rsidR="00DC207C" w:rsidRPr="008849C2" w:rsidRDefault="00DC207C" w:rsidP="00097A19">
            <w:pPr>
              <w:jc w:val="right"/>
              <w:rPr>
                <w:color w:val="000000"/>
                <w:sz w:val="16"/>
                <w:szCs w:val="16"/>
              </w:rPr>
            </w:pPr>
            <w:r w:rsidRPr="008849C2">
              <w:rPr>
                <w:color w:val="000000"/>
                <w:sz w:val="16"/>
                <w:szCs w:val="16"/>
              </w:rPr>
              <w:t>Alamo2</w:t>
            </w:r>
          </w:p>
        </w:tc>
        <w:tc>
          <w:tcPr>
            <w:tcW w:w="541" w:type="dxa"/>
            <w:tcBorders>
              <w:top w:val="nil"/>
              <w:left w:val="nil"/>
              <w:bottom w:val="nil"/>
              <w:right w:val="nil"/>
            </w:tcBorders>
            <w:shd w:val="clear" w:color="000000" w:fill="D7E4BC"/>
            <w:vAlign w:val="center"/>
          </w:tcPr>
          <w:p w:rsidR="00DC207C" w:rsidRPr="008849C2" w:rsidRDefault="00DC207C" w:rsidP="00097A19">
            <w:pPr>
              <w:jc w:val="center"/>
              <w:rPr>
                <w:color w:val="000000"/>
                <w:sz w:val="16"/>
                <w:szCs w:val="16"/>
              </w:rPr>
            </w:pPr>
            <w:r w:rsidRPr="008849C2">
              <w:rPr>
                <w:color w:val="000000"/>
                <w:sz w:val="16"/>
                <w:szCs w:val="16"/>
              </w:rPr>
              <w:t> </w:t>
            </w:r>
          </w:p>
        </w:tc>
      </w:tr>
      <w:tr w:rsidR="00DC207C" w:rsidRPr="007F0DA8" w:rsidTr="00831D05">
        <w:trPr>
          <w:trHeight w:val="551"/>
        </w:trPr>
        <w:tc>
          <w:tcPr>
            <w:tcW w:w="541" w:type="dxa"/>
            <w:tcBorders>
              <w:top w:val="nil"/>
              <w:left w:val="nil"/>
              <w:bottom w:val="nil"/>
              <w:right w:val="nil"/>
            </w:tcBorders>
            <w:shd w:val="clear" w:color="000000" w:fill="D7E4BC"/>
            <w:vAlign w:val="bottom"/>
          </w:tcPr>
          <w:p w:rsidR="00DC207C" w:rsidRPr="008849C2" w:rsidRDefault="00DC207C" w:rsidP="00097A19">
            <w:pPr>
              <w:rPr>
                <w:color w:val="000000"/>
                <w:sz w:val="16"/>
                <w:szCs w:val="16"/>
              </w:rPr>
            </w:pPr>
            <w:r w:rsidRPr="008849C2">
              <w:rPr>
                <w:color w:val="000000"/>
                <w:sz w:val="16"/>
                <w:szCs w:val="16"/>
              </w:rPr>
              <w:t> </w:t>
            </w:r>
          </w:p>
        </w:tc>
        <w:tc>
          <w:tcPr>
            <w:tcW w:w="406" w:type="dxa"/>
            <w:tcBorders>
              <w:top w:val="nil"/>
              <w:left w:val="nil"/>
              <w:bottom w:val="nil"/>
              <w:right w:val="nil"/>
            </w:tcBorders>
            <w:vAlign w:val="bottom"/>
          </w:tcPr>
          <w:p w:rsidR="00DC207C" w:rsidRPr="008849C2" w:rsidRDefault="00DC207C" w:rsidP="00097A19">
            <w:pPr>
              <w:rPr>
                <w:color w:val="000000"/>
                <w:sz w:val="16"/>
                <w:szCs w:val="16"/>
              </w:rPr>
            </w:pPr>
          </w:p>
        </w:tc>
        <w:tc>
          <w:tcPr>
            <w:tcW w:w="442" w:type="dxa"/>
            <w:tcBorders>
              <w:top w:val="nil"/>
              <w:left w:val="nil"/>
              <w:bottom w:val="nil"/>
              <w:right w:val="nil"/>
            </w:tcBorders>
            <w:vAlign w:val="bottom"/>
          </w:tcPr>
          <w:p w:rsidR="00DC207C" w:rsidRPr="008849C2" w:rsidRDefault="00DC207C" w:rsidP="00097A19">
            <w:pPr>
              <w:rPr>
                <w:color w:val="000000"/>
                <w:sz w:val="16"/>
                <w:szCs w:val="16"/>
              </w:rPr>
            </w:pPr>
          </w:p>
        </w:tc>
        <w:tc>
          <w:tcPr>
            <w:tcW w:w="759" w:type="dxa"/>
            <w:tcBorders>
              <w:top w:val="nil"/>
              <w:left w:val="nil"/>
              <w:bottom w:val="nil"/>
              <w:right w:val="nil"/>
            </w:tcBorders>
            <w:vAlign w:val="center"/>
          </w:tcPr>
          <w:p w:rsidR="00DC207C" w:rsidRPr="008849C2" w:rsidRDefault="00DC207C" w:rsidP="00097A19">
            <w:pPr>
              <w:jc w:val="center"/>
              <w:rPr>
                <w:color w:val="000000"/>
                <w:sz w:val="16"/>
                <w:szCs w:val="16"/>
              </w:rPr>
            </w:pPr>
          </w:p>
        </w:tc>
        <w:tc>
          <w:tcPr>
            <w:tcW w:w="256" w:type="dxa"/>
            <w:tcBorders>
              <w:top w:val="nil"/>
              <w:left w:val="nil"/>
              <w:bottom w:val="nil"/>
              <w:right w:val="nil"/>
            </w:tcBorders>
            <w:vAlign w:val="center"/>
          </w:tcPr>
          <w:p w:rsidR="00DC207C" w:rsidRPr="008849C2" w:rsidRDefault="00DC207C" w:rsidP="00097A19">
            <w:pPr>
              <w:jc w:val="center"/>
              <w:rPr>
                <w:color w:val="000000"/>
                <w:sz w:val="16"/>
                <w:szCs w:val="16"/>
              </w:rPr>
            </w:pPr>
          </w:p>
        </w:tc>
        <w:tc>
          <w:tcPr>
            <w:tcW w:w="759" w:type="dxa"/>
            <w:tcBorders>
              <w:top w:val="nil"/>
              <w:left w:val="nil"/>
              <w:bottom w:val="nil"/>
              <w:right w:val="nil"/>
            </w:tcBorders>
            <w:vAlign w:val="center"/>
          </w:tcPr>
          <w:p w:rsidR="00DC207C" w:rsidRPr="008849C2" w:rsidRDefault="00DC207C" w:rsidP="00097A19">
            <w:pPr>
              <w:jc w:val="center"/>
              <w:rPr>
                <w:color w:val="000000"/>
                <w:sz w:val="16"/>
                <w:szCs w:val="16"/>
              </w:rPr>
            </w:pPr>
          </w:p>
        </w:tc>
        <w:tc>
          <w:tcPr>
            <w:tcW w:w="256" w:type="dxa"/>
            <w:tcBorders>
              <w:top w:val="nil"/>
              <w:left w:val="nil"/>
              <w:bottom w:val="nil"/>
              <w:right w:val="nil"/>
            </w:tcBorders>
            <w:vAlign w:val="center"/>
          </w:tcPr>
          <w:p w:rsidR="00DC207C" w:rsidRPr="008849C2" w:rsidRDefault="00DC207C" w:rsidP="00097A19">
            <w:pPr>
              <w:jc w:val="center"/>
              <w:rPr>
                <w:color w:val="000000"/>
                <w:sz w:val="16"/>
                <w:szCs w:val="16"/>
              </w:rPr>
            </w:pPr>
          </w:p>
        </w:tc>
        <w:tc>
          <w:tcPr>
            <w:tcW w:w="759" w:type="dxa"/>
            <w:tcBorders>
              <w:top w:val="nil"/>
              <w:left w:val="nil"/>
              <w:bottom w:val="nil"/>
              <w:right w:val="nil"/>
            </w:tcBorders>
            <w:vAlign w:val="center"/>
          </w:tcPr>
          <w:p w:rsidR="00DC207C" w:rsidRPr="008849C2" w:rsidRDefault="00DC207C" w:rsidP="00097A19">
            <w:pPr>
              <w:jc w:val="center"/>
              <w:rPr>
                <w:color w:val="000000"/>
                <w:sz w:val="16"/>
                <w:szCs w:val="16"/>
              </w:rPr>
            </w:pPr>
          </w:p>
        </w:tc>
        <w:tc>
          <w:tcPr>
            <w:tcW w:w="256" w:type="dxa"/>
            <w:tcBorders>
              <w:top w:val="nil"/>
              <w:left w:val="nil"/>
              <w:bottom w:val="nil"/>
              <w:right w:val="nil"/>
            </w:tcBorders>
            <w:vAlign w:val="center"/>
          </w:tcPr>
          <w:p w:rsidR="00DC207C" w:rsidRPr="008849C2" w:rsidRDefault="00DC207C" w:rsidP="00097A19">
            <w:pPr>
              <w:jc w:val="center"/>
              <w:rPr>
                <w:color w:val="000000"/>
                <w:sz w:val="16"/>
                <w:szCs w:val="16"/>
              </w:rPr>
            </w:pPr>
          </w:p>
        </w:tc>
        <w:tc>
          <w:tcPr>
            <w:tcW w:w="759" w:type="dxa"/>
            <w:tcBorders>
              <w:top w:val="nil"/>
              <w:left w:val="nil"/>
              <w:bottom w:val="nil"/>
              <w:right w:val="nil"/>
            </w:tcBorders>
            <w:vAlign w:val="center"/>
          </w:tcPr>
          <w:p w:rsidR="00DC207C" w:rsidRPr="008849C2" w:rsidRDefault="00DC207C" w:rsidP="00097A19">
            <w:pPr>
              <w:jc w:val="center"/>
              <w:rPr>
                <w:color w:val="000000"/>
                <w:sz w:val="16"/>
                <w:szCs w:val="16"/>
              </w:rPr>
            </w:pPr>
          </w:p>
        </w:tc>
        <w:tc>
          <w:tcPr>
            <w:tcW w:w="256" w:type="dxa"/>
            <w:tcBorders>
              <w:top w:val="nil"/>
              <w:left w:val="nil"/>
              <w:bottom w:val="nil"/>
              <w:right w:val="nil"/>
            </w:tcBorders>
            <w:vAlign w:val="center"/>
          </w:tcPr>
          <w:p w:rsidR="00DC207C" w:rsidRPr="008849C2" w:rsidRDefault="00DC207C" w:rsidP="00097A19">
            <w:pPr>
              <w:jc w:val="center"/>
              <w:rPr>
                <w:color w:val="000000"/>
                <w:sz w:val="16"/>
                <w:szCs w:val="16"/>
              </w:rPr>
            </w:pPr>
          </w:p>
        </w:tc>
        <w:tc>
          <w:tcPr>
            <w:tcW w:w="759" w:type="dxa"/>
            <w:tcBorders>
              <w:top w:val="nil"/>
              <w:left w:val="nil"/>
              <w:bottom w:val="nil"/>
              <w:right w:val="nil"/>
            </w:tcBorders>
            <w:vAlign w:val="center"/>
          </w:tcPr>
          <w:p w:rsidR="00DC207C" w:rsidRPr="008849C2" w:rsidRDefault="00DC207C" w:rsidP="00097A19">
            <w:pPr>
              <w:jc w:val="center"/>
              <w:rPr>
                <w:color w:val="000000"/>
                <w:sz w:val="16"/>
                <w:szCs w:val="16"/>
              </w:rPr>
            </w:pPr>
          </w:p>
        </w:tc>
        <w:tc>
          <w:tcPr>
            <w:tcW w:w="256" w:type="dxa"/>
            <w:tcBorders>
              <w:top w:val="nil"/>
              <w:left w:val="nil"/>
              <w:bottom w:val="nil"/>
              <w:right w:val="nil"/>
            </w:tcBorders>
            <w:vAlign w:val="bottom"/>
          </w:tcPr>
          <w:p w:rsidR="00DC207C" w:rsidRPr="008849C2" w:rsidRDefault="00DC207C" w:rsidP="00097A19">
            <w:pPr>
              <w:rPr>
                <w:color w:val="000000"/>
                <w:sz w:val="16"/>
                <w:szCs w:val="16"/>
              </w:rPr>
            </w:pPr>
          </w:p>
        </w:tc>
        <w:tc>
          <w:tcPr>
            <w:tcW w:w="406" w:type="dxa"/>
            <w:tcBorders>
              <w:top w:val="nil"/>
              <w:left w:val="nil"/>
              <w:bottom w:val="nil"/>
              <w:right w:val="nil"/>
            </w:tcBorders>
            <w:vAlign w:val="bottom"/>
          </w:tcPr>
          <w:p w:rsidR="00DC207C" w:rsidRPr="008849C2" w:rsidRDefault="00DC207C" w:rsidP="00097A19">
            <w:pPr>
              <w:rPr>
                <w:color w:val="000000"/>
                <w:sz w:val="16"/>
                <w:szCs w:val="16"/>
              </w:rPr>
            </w:pPr>
          </w:p>
        </w:tc>
        <w:tc>
          <w:tcPr>
            <w:tcW w:w="541" w:type="dxa"/>
            <w:tcBorders>
              <w:top w:val="nil"/>
              <w:left w:val="nil"/>
              <w:bottom w:val="nil"/>
              <w:right w:val="nil"/>
            </w:tcBorders>
            <w:shd w:val="clear" w:color="000000" w:fill="D7E4BC"/>
            <w:vAlign w:val="bottom"/>
          </w:tcPr>
          <w:p w:rsidR="00DC207C" w:rsidRPr="008849C2" w:rsidRDefault="00DC207C" w:rsidP="00097A19">
            <w:pPr>
              <w:rPr>
                <w:color w:val="000000"/>
                <w:sz w:val="16"/>
                <w:szCs w:val="16"/>
              </w:rPr>
            </w:pPr>
            <w:r w:rsidRPr="008849C2">
              <w:rPr>
                <w:color w:val="000000"/>
                <w:sz w:val="16"/>
                <w:szCs w:val="16"/>
              </w:rPr>
              <w:t> </w:t>
            </w:r>
          </w:p>
        </w:tc>
      </w:tr>
      <w:tr w:rsidR="00DC207C" w:rsidRPr="007F0DA8" w:rsidTr="00831D05">
        <w:trPr>
          <w:trHeight w:val="551"/>
        </w:trPr>
        <w:tc>
          <w:tcPr>
            <w:tcW w:w="541" w:type="dxa"/>
            <w:tcBorders>
              <w:top w:val="nil"/>
              <w:left w:val="nil"/>
              <w:bottom w:val="nil"/>
              <w:right w:val="nil"/>
            </w:tcBorders>
            <w:shd w:val="clear" w:color="000000" w:fill="D7E4BC"/>
            <w:vAlign w:val="bottom"/>
          </w:tcPr>
          <w:p w:rsidR="00DC207C" w:rsidRPr="008849C2" w:rsidRDefault="00DC207C" w:rsidP="00097A19">
            <w:pPr>
              <w:rPr>
                <w:color w:val="000000"/>
                <w:sz w:val="16"/>
                <w:szCs w:val="16"/>
              </w:rPr>
            </w:pPr>
            <w:r w:rsidRPr="008849C2">
              <w:rPr>
                <w:color w:val="000000"/>
                <w:sz w:val="16"/>
                <w:szCs w:val="16"/>
              </w:rPr>
              <w:t> </w:t>
            </w:r>
          </w:p>
        </w:tc>
        <w:tc>
          <w:tcPr>
            <w:tcW w:w="406" w:type="dxa"/>
            <w:tcBorders>
              <w:top w:val="single" w:sz="8" w:space="0" w:color="000000"/>
              <w:left w:val="single" w:sz="8" w:space="0" w:color="000000"/>
              <w:bottom w:val="single" w:sz="8" w:space="0" w:color="000000"/>
              <w:right w:val="single" w:sz="8" w:space="0" w:color="000000"/>
            </w:tcBorders>
            <w:shd w:val="clear" w:color="000000" w:fill="DBE5F1"/>
            <w:textDirection w:val="btLr"/>
            <w:vAlign w:val="bottom"/>
          </w:tcPr>
          <w:p w:rsidR="00DC207C" w:rsidRPr="008849C2" w:rsidRDefault="00DC207C" w:rsidP="00097A19">
            <w:pPr>
              <w:jc w:val="right"/>
              <w:rPr>
                <w:color w:val="000000"/>
                <w:sz w:val="16"/>
                <w:szCs w:val="16"/>
              </w:rPr>
            </w:pPr>
            <w:r w:rsidRPr="008849C2">
              <w:rPr>
                <w:color w:val="000000"/>
                <w:sz w:val="16"/>
                <w:szCs w:val="16"/>
              </w:rPr>
              <w:t>Alamo2</w:t>
            </w:r>
          </w:p>
        </w:tc>
        <w:tc>
          <w:tcPr>
            <w:tcW w:w="442" w:type="dxa"/>
            <w:tcBorders>
              <w:top w:val="nil"/>
              <w:left w:val="nil"/>
              <w:bottom w:val="nil"/>
              <w:right w:val="nil"/>
            </w:tcBorders>
            <w:vAlign w:val="bottom"/>
          </w:tcPr>
          <w:p w:rsidR="00DC207C" w:rsidRPr="008849C2" w:rsidRDefault="00DC207C" w:rsidP="00097A19">
            <w:pPr>
              <w:rPr>
                <w:color w:val="000000"/>
                <w:sz w:val="16"/>
                <w:szCs w:val="16"/>
              </w:rPr>
            </w:pPr>
          </w:p>
        </w:tc>
        <w:tc>
          <w:tcPr>
            <w:tcW w:w="759" w:type="dxa"/>
            <w:tcBorders>
              <w:top w:val="single" w:sz="4" w:space="0" w:color="auto"/>
              <w:left w:val="single" w:sz="4" w:space="0" w:color="auto"/>
              <w:bottom w:val="single" w:sz="4" w:space="0" w:color="auto"/>
              <w:right w:val="single" w:sz="4" w:space="0" w:color="auto"/>
            </w:tcBorders>
            <w:vAlign w:val="center"/>
          </w:tcPr>
          <w:p w:rsidR="00DC207C" w:rsidRPr="008849C2" w:rsidRDefault="00DC207C" w:rsidP="00097A19">
            <w:pPr>
              <w:jc w:val="center"/>
              <w:rPr>
                <w:sz w:val="16"/>
                <w:szCs w:val="16"/>
              </w:rPr>
            </w:pPr>
            <w:r w:rsidRPr="008849C2">
              <w:rPr>
                <w:sz w:val="16"/>
                <w:szCs w:val="16"/>
              </w:rPr>
              <w:t>COMT2 (+)</w:t>
            </w:r>
          </w:p>
        </w:tc>
        <w:tc>
          <w:tcPr>
            <w:tcW w:w="256" w:type="dxa"/>
            <w:tcBorders>
              <w:top w:val="nil"/>
              <w:left w:val="nil"/>
              <w:bottom w:val="nil"/>
              <w:right w:val="nil"/>
            </w:tcBorders>
            <w:vAlign w:val="center"/>
          </w:tcPr>
          <w:p w:rsidR="00DC207C" w:rsidRPr="008849C2" w:rsidRDefault="00DC207C" w:rsidP="00097A19">
            <w:pPr>
              <w:jc w:val="center"/>
              <w:rPr>
                <w:color w:val="000000"/>
                <w:sz w:val="16"/>
                <w:szCs w:val="16"/>
              </w:rPr>
            </w:pPr>
          </w:p>
        </w:tc>
        <w:tc>
          <w:tcPr>
            <w:tcW w:w="759" w:type="dxa"/>
            <w:tcBorders>
              <w:top w:val="single" w:sz="4" w:space="0" w:color="auto"/>
              <w:left w:val="single" w:sz="4" w:space="0" w:color="auto"/>
              <w:bottom w:val="single" w:sz="4" w:space="0" w:color="auto"/>
              <w:right w:val="single" w:sz="4" w:space="0" w:color="auto"/>
            </w:tcBorders>
            <w:vAlign w:val="center"/>
          </w:tcPr>
          <w:p w:rsidR="00DC207C" w:rsidRPr="008849C2" w:rsidRDefault="00DC207C" w:rsidP="00097A19">
            <w:pPr>
              <w:jc w:val="center"/>
              <w:rPr>
                <w:color w:val="000000"/>
                <w:sz w:val="16"/>
                <w:szCs w:val="16"/>
              </w:rPr>
            </w:pPr>
            <w:r w:rsidRPr="008849C2">
              <w:rPr>
                <w:color w:val="000000"/>
                <w:sz w:val="16"/>
                <w:szCs w:val="16"/>
              </w:rPr>
              <w:t>COMT3 (+)</w:t>
            </w:r>
          </w:p>
        </w:tc>
        <w:tc>
          <w:tcPr>
            <w:tcW w:w="256" w:type="dxa"/>
            <w:tcBorders>
              <w:top w:val="nil"/>
              <w:left w:val="nil"/>
              <w:bottom w:val="nil"/>
              <w:right w:val="nil"/>
            </w:tcBorders>
            <w:vAlign w:val="center"/>
          </w:tcPr>
          <w:p w:rsidR="00DC207C" w:rsidRPr="008849C2" w:rsidRDefault="00DC207C" w:rsidP="00097A19">
            <w:pPr>
              <w:jc w:val="center"/>
              <w:rPr>
                <w:color w:val="000000"/>
                <w:sz w:val="16"/>
                <w:szCs w:val="16"/>
              </w:rPr>
            </w:pPr>
          </w:p>
        </w:tc>
        <w:tc>
          <w:tcPr>
            <w:tcW w:w="759" w:type="dxa"/>
            <w:tcBorders>
              <w:top w:val="single" w:sz="4" w:space="0" w:color="auto"/>
              <w:left w:val="single" w:sz="4" w:space="0" w:color="auto"/>
              <w:bottom w:val="single" w:sz="4" w:space="0" w:color="auto"/>
              <w:right w:val="single" w:sz="4" w:space="0" w:color="auto"/>
            </w:tcBorders>
            <w:vAlign w:val="center"/>
          </w:tcPr>
          <w:p w:rsidR="00DC207C" w:rsidRPr="008849C2" w:rsidRDefault="00DC207C" w:rsidP="00097A19">
            <w:pPr>
              <w:jc w:val="center"/>
              <w:rPr>
                <w:color w:val="000000"/>
                <w:sz w:val="16"/>
                <w:szCs w:val="16"/>
              </w:rPr>
            </w:pPr>
            <w:r w:rsidRPr="008849C2">
              <w:rPr>
                <w:color w:val="000000"/>
                <w:sz w:val="16"/>
                <w:szCs w:val="16"/>
              </w:rPr>
              <w:t>COMT3 (+)</w:t>
            </w:r>
          </w:p>
        </w:tc>
        <w:tc>
          <w:tcPr>
            <w:tcW w:w="256" w:type="dxa"/>
            <w:tcBorders>
              <w:top w:val="nil"/>
              <w:left w:val="single" w:sz="4" w:space="0" w:color="auto"/>
              <w:bottom w:val="nil"/>
              <w:right w:val="single" w:sz="4" w:space="0" w:color="auto"/>
            </w:tcBorders>
            <w:vAlign w:val="center"/>
          </w:tcPr>
          <w:p w:rsidR="00DC207C" w:rsidRPr="008849C2" w:rsidRDefault="00DC207C" w:rsidP="00097A19">
            <w:pPr>
              <w:jc w:val="center"/>
              <w:rPr>
                <w:color w:val="000000"/>
                <w:sz w:val="16"/>
                <w:szCs w:val="16"/>
              </w:rPr>
            </w:pPr>
            <w:r w:rsidRPr="008849C2">
              <w:rPr>
                <w:color w:val="000000"/>
                <w:sz w:val="16"/>
                <w:szCs w:val="16"/>
              </w:rPr>
              <w:t> </w:t>
            </w:r>
          </w:p>
        </w:tc>
        <w:tc>
          <w:tcPr>
            <w:tcW w:w="759" w:type="dxa"/>
            <w:tcBorders>
              <w:top w:val="single" w:sz="4" w:space="0" w:color="auto"/>
              <w:left w:val="single" w:sz="4" w:space="0" w:color="auto"/>
              <w:bottom w:val="single" w:sz="4" w:space="0" w:color="auto"/>
              <w:right w:val="single" w:sz="4" w:space="0" w:color="auto"/>
            </w:tcBorders>
            <w:vAlign w:val="center"/>
          </w:tcPr>
          <w:p w:rsidR="00DC207C" w:rsidRPr="008849C2" w:rsidRDefault="00DC207C" w:rsidP="00097A19">
            <w:pPr>
              <w:jc w:val="center"/>
              <w:rPr>
                <w:color w:val="000000"/>
                <w:sz w:val="16"/>
                <w:szCs w:val="16"/>
              </w:rPr>
            </w:pPr>
            <w:r w:rsidRPr="008849C2">
              <w:rPr>
                <w:color w:val="000000"/>
                <w:sz w:val="16"/>
                <w:szCs w:val="16"/>
              </w:rPr>
              <w:t>COMT3 (+)</w:t>
            </w:r>
          </w:p>
        </w:tc>
        <w:tc>
          <w:tcPr>
            <w:tcW w:w="256" w:type="dxa"/>
            <w:tcBorders>
              <w:top w:val="nil"/>
              <w:left w:val="nil"/>
              <w:bottom w:val="nil"/>
              <w:right w:val="nil"/>
            </w:tcBorders>
            <w:vAlign w:val="center"/>
          </w:tcPr>
          <w:p w:rsidR="00DC207C" w:rsidRPr="008849C2" w:rsidRDefault="00DC207C" w:rsidP="00097A19">
            <w:pPr>
              <w:jc w:val="center"/>
              <w:rPr>
                <w:color w:val="000000"/>
                <w:sz w:val="16"/>
                <w:szCs w:val="16"/>
              </w:rPr>
            </w:pPr>
          </w:p>
        </w:tc>
        <w:tc>
          <w:tcPr>
            <w:tcW w:w="759" w:type="dxa"/>
            <w:tcBorders>
              <w:top w:val="single" w:sz="4" w:space="0" w:color="auto"/>
              <w:left w:val="single" w:sz="4" w:space="0" w:color="auto"/>
              <w:bottom w:val="single" w:sz="4" w:space="0" w:color="auto"/>
              <w:right w:val="single" w:sz="4" w:space="0" w:color="auto"/>
            </w:tcBorders>
            <w:vAlign w:val="center"/>
          </w:tcPr>
          <w:p w:rsidR="00DC207C" w:rsidRPr="008849C2" w:rsidRDefault="00DC207C" w:rsidP="00097A19">
            <w:pPr>
              <w:jc w:val="center"/>
              <w:rPr>
                <w:color w:val="000000"/>
                <w:sz w:val="16"/>
                <w:szCs w:val="16"/>
              </w:rPr>
            </w:pPr>
            <w:r w:rsidRPr="008849C2">
              <w:rPr>
                <w:color w:val="000000"/>
                <w:sz w:val="16"/>
                <w:szCs w:val="16"/>
              </w:rPr>
              <w:t>COMT3   (-)</w:t>
            </w:r>
          </w:p>
        </w:tc>
        <w:tc>
          <w:tcPr>
            <w:tcW w:w="256" w:type="dxa"/>
            <w:tcBorders>
              <w:top w:val="nil"/>
              <w:left w:val="single" w:sz="4" w:space="0" w:color="auto"/>
              <w:bottom w:val="nil"/>
              <w:right w:val="single" w:sz="4" w:space="0" w:color="auto"/>
            </w:tcBorders>
            <w:vAlign w:val="bottom"/>
          </w:tcPr>
          <w:p w:rsidR="00DC207C" w:rsidRPr="008849C2" w:rsidRDefault="00DC207C" w:rsidP="00097A19">
            <w:pPr>
              <w:rPr>
                <w:color w:val="000000"/>
                <w:sz w:val="16"/>
                <w:szCs w:val="16"/>
              </w:rPr>
            </w:pPr>
            <w:r w:rsidRPr="008849C2">
              <w:rPr>
                <w:color w:val="000000"/>
                <w:sz w:val="16"/>
                <w:szCs w:val="16"/>
              </w:rPr>
              <w:t> </w:t>
            </w:r>
          </w:p>
        </w:tc>
        <w:tc>
          <w:tcPr>
            <w:tcW w:w="406" w:type="dxa"/>
            <w:tcBorders>
              <w:top w:val="single" w:sz="8" w:space="0" w:color="000000"/>
              <w:left w:val="nil"/>
              <w:bottom w:val="single" w:sz="8" w:space="0" w:color="000000"/>
              <w:right w:val="single" w:sz="8" w:space="0" w:color="000000"/>
            </w:tcBorders>
            <w:shd w:val="clear" w:color="000000" w:fill="DBE5F1"/>
            <w:textDirection w:val="btLr"/>
            <w:vAlign w:val="bottom"/>
          </w:tcPr>
          <w:p w:rsidR="00DC207C" w:rsidRPr="008849C2" w:rsidRDefault="00DC207C" w:rsidP="00097A19">
            <w:pPr>
              <w:jc w:val="right"/>
              <w:rPr>
                <w:color w:val="000000"/>
                <w:sz w:val="16"/>
                <w:szCs w:val="16"/>
              </w:rPr>
            </w:pPr>
            <w:r w:rsidRPr="008849C2">
              <w:rPr>
                <w:color w:val="000000"/>
                <w:sz w:val="16"/>
                <w:szCs w:val="16"/>
              </w:rPr>
              <w:t>Alamo2</w:t>
            </w:r>
          </w:p>
        </w:tc>
        <w:tc>
          <w:tcPr>
            <w:tcW w:w="541" w:type="dxa"/>
            <w:tcBorders>
              <w:top w:val="nil"/>
              <w:left w:val="nil"/>
              <w:bottom w:val="nil"/>
              <w:right w:val="nil"/>
            </w:tcBorders>
            <w:shd w:val="clear" w:color="000000" w:fill="D7E4BC"/>
            <w:vAlign w:val="bottom"/>
          </w:tcPr>
          <w:p w:rsidR="00DC207C" w:rsidRPr="008849C2" w:rsidRDefault="00DC207C" w:rsidP="00097A19">
            <w:pPr>
              <w:rPr>
                <w:color w:val="000000"/>
                <w:sz w:val="16"/>
                <w:szCs w:val="16"/>
              </w:rPr>
            </w:pPr>
            <w:r w:rsidRPr="008849C2">
              <w:rPr>
                <w:color w:val="000000"/>
                <w:sz w:val="16"/>
                <w:szCs w:val="16"/>
              </w:rPr>
              <w:t> </w:t>
            </w:r>
          </w:p>
        </w:tc>
      </w:tr>
      <w:tr w:rsidR="00DC207C" w:rsidRPr="007F0DA8" w:rsidTr="00831D05">
        <w:trPr>
          <w:trHeight w:val="551"/>
        </w:trPr>
        <w:tc>
          <w:tcPr>
            <w:tcW w:w="541" w:type="dxa"/>
            <w:tcBorders>
              <w:top w:val="nil"/>
              <w:left w:val="nil"/>
              <w:bottom w:val="nil"/>
              <w:right w:val="nil"/>
            </w:tcBorders>
            <w:shd w:val="clear" w:color="000000" w:fill="D7E4BC"/>
            <w:vAlign w:val="bottom"/>
          </w:tcPr>
          <w:p w:rsidR="00DC207C" w:rsidRPr="008849C2" w:rsidRDefault="00DC207C" w:rsidP="00097A19">
            <w:pPr>
              <w:rPr>
                <w:color w:val="000000"/>
                <w:sz w:val="16"/>
                <w:szCs w:val="16"/>
              </w:rPr>
            </w:pPr>
            <w:r w:rsidRPr="008849C2">
              <w:rPr>
                <w:color w:val="000000"/>
                <w:sz w:val="16"/>
                <w:szCs w:val="16"/>
              </w:rPr>
              <w:t> </w:t>
            </w:r>
          </w:p>
        </w:tc>
        <w:tc>
          <w:tcPr>
            <w:tcW w:w="406" w:type="dxa"/>
            <w:tcBorders>
              <w:top w:val="nil"/>
              <w:left w:val="nil"/>
              <w:bottom w:val="nil"/>
              <w:right w:val="nil"/>
            </w:tcBorders>
            <w:vAlign w:val="bottom"/>
          </w:tcPr>
          <w:p w:rsidR="00DC207C" w:rsidRPr="008849C2" w:rsidRDefault="00DC207C" w:rsidP="00097A19">
            <w:pPr>
              <w:rPr>
                <w:color w:val="000000"/>
                <w:sz w:val="16"/>
                <w:szCs w:val="16"/>
              </w:rPr>
            </w:pPr>
          </w:p>
        </w:tc>
        <w:tc>
          <w:tcPr>
            <w:tcW w:w="442" w:type="dxa"/>
            <w:tcBorders>
              <w:top w:val="nil"/>
              <w:left w:val="nil"/>
              <w:bottom w:val="nil"/>
              <w:right w:val="nil"/>
            </w:tcBorders>
            <w:vAlign w:val="bottom"/>
          </w:tcPr>
          <w:p w:rsidR="00DC207C" w:rsidRPr="008849C2" w:rsidRDefault="00DC207C" w:rsidP="00097A19">
            <w:pPr>
              <w:rPr>
                <w:color w:val="000000"/>
                <w:sz w:val="16"/>
                <w:szCs w:val="16"/>
              </w:rPr>
            </w:pPr>
          </w:p>
        </w:tc>
        <w:tc>
          <w:tcPr>
            <w:tcW w:w="759" w:type="dxa"/>
            <w:tcBorders>
              <w:top w:val="nil"/>
              <w:left w:val="nil"/>
              <w:bottom w:val="nil"/>
              <w:right w:val="nil"/>
            </w:tcBorders>
            <w:vAlign w:val="center"/>
          </w:tcPr>
          <w:p w:rsidR="00DC207C" w:rsidRPr="008849C2" w:rsidRDefault="00DC207C" w:rsidP="00097A19">
            <w:pPr>
              <w:jc w:val="center"/>
              <w:rPr>
                <w:color w:val="000000"/>
                <w:sz w:val="16"/>
                <w:szCs w:val="16"/>
              </w:rPr>
            </w:pPr>
          </w:p>
        </w:tc>
        <w:tc>
          <w:tcPr>
            <w:tcW w:w="256" w:type="dxa"/>
            <w:tcBorders>
              <w:top w:val="nil"/>
              <w:left w:val="nil"/>
              <w:bottom w:val="nil"/>
              <w:right w:val="nil"/>
            </w:tcBorders>
            <w:vAlign w:val="center"/>
          </w:tcPr>
          <w:p w:rsidR="00DC207C" w:rsidRPr="008849C2" w:rsidRDefault="00DC207C" w:rsidP="00097A19">
            <w:pPr>
              <w:jc w:val="center"/>
              <w:rPr>
                <w:color w:val="000000"/>
                <w:sz w:val="16"/>
                <w:szCs w:val="16"/>
              </w:rPr>
            </w:pPr>
          </w:p>
        </w:tc>
        <w:tc>
          <w:tcPr>
            <w:tcW w:w="759" w:type="dxa"/>
            <w:tcBorders>
              <w:top w:val="nil"/>
              <w:left w:val="nil"/>
              <w:bottom w:val="nil"/>
              <w:right w:val="nil"/>
            </w:tcBorders>
            <w:vAlign w:val="center"/>
          </w:tcPr>
          <w:p w:rsidR="00DC207C" w:rsidRPr="008849C2" w:rsidRDefault="00DC207C" w:rsidP="00097A19">
            <w:pPr>
              <w:jc w:val="center"/>
              <w:rPr>
                <w:color w:val="000000"/>
                <w:sz w:val="16"/>
                <w:szCs w:val="16"/>
              </w:rPr>
            </w:pPr>
          </w:p>
        </w:tc>
        <w:tc>
          <w:tcPr>
            <w:tcW w:w="256" w:type="dxa"/>
            <w:tcBorders>
              <w:top w:val="nil"/>
              <w:left w:val="nil"/>
              <w:bottom w:val="nil"/>
              <w:right w:val="nil"/>
            </w:tcBorders>
            <w:vAlign w:val="center"/>
          </w:tcPr>
          <w:p w:rsidR="00DC207C" w:rsidRPr="008849C2" w:rsidRDefault="00DC207C" w:rsidP="00097A19">
            <w:pPr>
              <w:jc w:val="center"/>
              <w:rPr>
                <w:color w:val="000000"/>
                <w:sz w:val="16"/>
                <w:szCs w:val="16"/>
              </w:rPr>
            </w:pPr>
          </w:p>
        </w:tc>
        <w:tc>
          <w:tcPr>
            <w:tcW w:w="759" w:type="dxa"/>
            <w:tcBorders>
              <w:top w:val="nil"/>
              <w:left w:val="nil"/>
              <w:bottom w:val="nil"/>
              <w:right w:val="nil"/>
            </w:tcBorders>
            <w:vAlign w:val="center"/>
          </w:tcPr>
          <w:p w:rsidR="00DC207C" w:rsidRPr="008849C2" w:rsidRDefault="00DC207C" w:rsidP="00097A19">
            <w:pPr>
              <w:jc w:val="center"/>
              <w:rPr>
                <w:color w:val="000000"/>
                <w:sz w:val="16"/>
                <w:szCs w:val="16"/>
              </w:rPr>
            </w:pPr>
          </w:p>
        </w:tc>
        <w:tc>
          <w:tcPr>
            <w:tcW w:w="256" w:type="dxa"/>
            <w:tcBorders>
              <w:top w:val="nil"/>
              <w:left w:val="nil"/>
              <w:bottom w:val="nil"/>
              <w:right w:val="nil"/>
            </w:tcBorders>
            <w:vAlign w:val="center"/>
          </w:tcPr>
          <w:p w:rsidR="00DC207C" w:rsidRPr="008849C2" w:rsidRDefault="00DC207C" w:rsidP="00097A19">
            <w:pPr>
              <w:jc w:val="center"/>
              <w:rPr>
                <w:color w:val="000000"/>
                <w:sz w:val="16"/>
                <w:szCs w:val="16"/>
              </w:rPr>
            </w:pPr>
          </w:p>
        </w:tc>
        <w:tc>
          <w:tcPr>
            <w:tcW w:w="759" w:type="dxa"/>
            <w:tcBorders>
              <w:top w:val="nil"/>
              <w:left w:val="nil"/>
              <w:bottom w:val="nil"/>
              <w:right w:val="nil"/>
            </w:tcBorders>
            <w:vAlign w:val="center"/>
          </w:tcPr>
          <w:p w:rsidR="00DC207C" w:rsidRPr="008849C2" w:rsidRDefault="00DC207C" w:rsidP="00097A19">
            <w:pPr>
              <w:jc w:val="center"/>
              <w:rPr>
                <w:color w:val="000000"/>
                <w:sz w:val="16"/>
                <w:szCs w:val="16"/>
              </w:rPr>
            </w:pPr>
          </w:p>
        </w:tc>
        <w:tc>
          <w:tcPr>
            <w:tcW w:w="256" w:type="dxa"/>
            <w:tcBorders>
              <w:top w:val="nil"/>
              <w:left w:val="nil"/>
              <w:bottom w:val="nil"/>
              <w:right w:val="nil"/>
            </w:tcBorders>
            <w:vAlign w:val="center"/>
          </w:tcPr>
          <w:p w:rsidR="00DC207C" w:rsidRPr="008849C2" w:rsidRDefault="00DC207C" w:rsidP="00097A19">
            <w:pPr>
              <w:jc w:val="center"/>
              <w:rPr>
                <w:color w:val="000000"/>
                <w:sz w:val="16"/>
                <w:szCs w:val="16"/>
              </w:rPr>
            </w:pPr>
          </w:p>
        </w:tc>
        <w:tc>
          <w:tcPr>
            <w:tcW w:w="759" w:type="dxa"/>
            <w:tcBorders>
              <w:top w:val="nil"/>
              <w:left w:val="nil"/>
              <w:bottom w:val="nil"/>
              <w:right w:val="nil"/>
            </w:tcBorders>
            <w:vAlign w:val="center"/>
          </w:tcPr>
          <w:p w:rsidR="00DC207C" w:rsidRPr="008849C2" w:rsidRDefault="00DC207C" w:rsidP="00097A19">
            <w:pPr>
              <w:jc w:val="center"/>
              <w:rPr>
                <w:color w:val="000000"/>
                <w:sz w:val="16"/>
                <w:szCs w:val="16"/>
              </w:rPr>
            </w:pPr>
          </w:p>
        </w:tc>
        <w:tc>
          <w:tcPr>
            <w:tcW w:w="256" w:type="dxa"/>
            <w:tcBorders>
              <w:top w:val="nil"/>
              <w:left w:val="nil"/>
              <w:bottom w:val="nil"/>
              <w:right w:val="nil"/>
            </w:tcBorders>
            <w:vAlign w:val="bottom"/>
          </w:tcPr>
          <w:p w:rsidR="00DC207C" w:rsidRPr="008849C2" w:rsidRDefault="00DC207C" w:rsidP="00097A19">
            <w:pPr>
              <w:rPr>
                <w:color w:val="000000"/>
                <w:sz w:val="16"/>
                <w:szCs w:val="16"/>
              </w:rPr>
            </w:pPr>
          </w:p>
        </w:tc>
        <w:tc>
          <w:tcPr>
            <w:tcW w:w="406" w:type="dxa"/>
            <w:tcBorders>
              <w:top w:val="nil"/>
              <w:left w:val="nil"/>
              <w:bottom w:val="nil"/>
              <w:right w:val="nil"/>
            </w:tcBorders>
            <w:vAlign w:val="bottom"/>
          </w:tcPr>
          <w:p w:rsidR="00DC207C" w:rsidRPr="008849C2" w:rsidRDefault="00DC207C" w:rsidP="00097A19">
            <w:pPr>
              <w:rPr>
                <w:color w:val="000000"/>
                <w:sz w:val="16"/>
                <w:szCs w:val="16"/>
              </w:rPr>
            </w:pPr>
          </w:p>
        </w:tc>
        <w:tc>
          <w:tcPr>
            <w:tcW w:w="541" w:type="dxa"/>
            <w:tcBorders>
              <w:top w:val="nil"/>
              <w:left w:val="nil"/>
              <w:bottom w:val="nil"/>
              <w:right w:val="nil"/>
            </w:tcBorders>
            <w:shd w:val="clear" w:color="000000" w:fill="D7E4BC"/>
            <w:vAlign w:val="bottom"/>
          </w:tcPr>
          <w:p w:rsidR="00DC207C" w:rsidRPr="008849C2" w:rsidRDefault="00DC207C" w:rsidP="00097A19">
            <w:pPr>
              <w:rPr>
                <w:color w:val="000000"/>
                <w:sz w:val="16"/>
                <w:szCs w:val="16"/>
              </w:rPr>
            </w:pPr>
            <w:r w:rsidRPr="008849C2">
              <w:rPr>
                <w:color w:val="000000"/>
                <w:sz w:val="16"/>
                <w:szCs w:val="16"/>
              </w:rPr>
              <w:t> </w:t>
            </w:r>
          </w:p>
        </w:tc>
      </w:tr>
      <w:tr w:rsidR="00DC207C" w:rsidRPr="007F0DA8" w:rsidTr="00831D05">
        <w:trPr>
          <w:trHeight w:val="551"/>
        </w:trPr>
        <w:tc>
          <w:tcPr>
            <w:tcW w:w="541" w:type="dxa"/>
            <w:tcBorders>
              <w:top w:val="nil"/>
              <w:left w:val="nil"/>
              <w:bottom w:val="nil"/>
              <w:right w:val="nil"/>
            </w:tcBorders>
            <w:shd w:val="clear" w:color="000000" w:fill="D7E4BC"/>
            <w:vAlign w:val="center"/>
          </w:tcPr>
          <w:p w:rsidR="00DC207C" w:rsidRPr="008849C2" w:rsidRDefault="00DC207C" w:rsidP="00097A19">
            <w:pPr>
              <w:jc w:val="center"/>
              <w:rPr>
                <w:color w:val="000000"/>
                <w:sz w:val="16"/>
                <w:szCs w:val="16"/>
              </w:rPr>
            </w:pPr>
            <w:r w:rsidRPr="008849C2">
              <w:rPr>
                <w:color w:val="000000"/>
                <w:sz w:val="16"/>
                <w:szCs w:val="16"/>
              </w:rPr>
              <w:t> </w:t>
            </w:r>
          </w:p>
        </w:tc>
        <w:tc>
          <w:tcPr>
            <w:tcW w:w="406" w:type="dxa"/>
            <w:tcBorders>
              <w:top w:val="single" w:sz="8" w:space="0" w:color="000000"/>
              <w:left w:val="single" w:sz="8" w:space="0" w:color="000000"/>
              <w:bottom w:val="single" w:sz="8" w:space="0" w:color="000000"/>
              <w:right w:val="single" w:sz="8" w:space="0" w:color="000000"/>
            </w:tcBorders>
            <w:shd w:val="clear" w:color="000000" w:fill="DBE5F1"/>
            <w:textDirection w:val="btLr"/>
            <w:vAlign w:val="bottom"/>
          </w:tcPr>
          <w:p w:rsidR="00DC207C" w:rsidRPr="008849C2" w:rsidRDefault="00DC207C" w:rsidP="00097A19">
            <w:pPr>
              <w:jc w:val="right"/>
              <w:rPr>
                <w:color w:val="000000"/>
                <w:sz w:val="16"/>
                <w:szCs w:val="16"/>
              </w:rPr>
            </w:pPr>
            <w:r w:rsidRPr="008849C2">
              <w:rPr>
                <w:color w:val="000000"/>
                <w:sz w:val="16"/>
                <w:szCs w:val="16"/>
              </w:rPr>
              <w:t>Alamo2</w:t>
            </w:r>
          </w:p>
        </w:tc>
        <w:tc>
          <w:tcPr>
            <w:tcW w:w="442" w:type="dxa"/>
            <w:tcBorders>
              <w:top w:val="nil"/>
              <w:left w:val="nil"/>
              <w:bottom w:val="nil"/>
              <w:right w:val="nil"/>
            </w:tcBorders>
            <w:vAlign w:val="bottom"/>
          </w:tcPr>
          <w:p w:rsidR="00DC207C" w:rsidRPr="008849C2" w:rsidRDefault="00DC207C" w:rsidP="00097A19">
            <w:pPr>
              <w:rPr>
                <w:color w:val="000000"/>
                <w:sz w:val="16"/>
                <w:szCs w:val="16"/>
              </w:rPr>
            </w:pPr>
          </w:p>
        </w:tc>
        <w:tc>
          <w:tcPr>
            <w:tcW w:w="759" w:type="dxa"/>
            <w:tcBorders>
              <w:top w:val="single" w:sz="4" w:space="0" w:color="auto"/>
              <w:left w:val="single" w:sz="4" w:space="0" w:color="auto"/>
              <w:bottom w:val="single" w:sz="4" w:space="0" w:color="auto"/>
              <w:right w:val="single" w:sz="4" w:space="0" w:color="auto"/>
            </w:tcBorders>
            <w:vAlign w:val="center"/>
          </w:tcPr>
          <w:p w:rsidR="00DC207C" w:rsidRPr="008849C2" w:rsidRDefault="00DC207C" w:rsidP="00097A19">
            <w:pPr>
              <w:jc w:val="center"/>
              <w:rPr>
                <w:color w:val="000000"/>
                <w:sz w:val="16"/>
                <w:szCs w:val="16"/>
              </w:rPr>
            </w:pPr>
            <w:r w:rsidRPr="008849C2">
              <w:rPr>
                <w:color w:val="000000"/>
                <w:sz w:val="16"/>
                <w:szCs w:val="16"/>
              </w:rPr>
              <w:t>COMT3   (-)</w:t>
            </w:r>
          </w:p>
        </w:tc>
        <w:tc>
          <w:tcPr>
            <w:tcW w:w="256" w:type="dxa"/>
            <w:tcBorders>
              <w:top w:val="nil"/>
              <w:left w:val="single" w:sz="8" w:space="0" w:color="0D0D0D"/>
              <w:bottom w:val="nil"/>
              <w:right w:val="nil"/>
            </w:tcBorders>
            <w:vAlign w:val="center"/>
          </w:tcPr>
          <w:p w:rsidR="00DC207C" w:rsidRPr="008849C2" w:rsidRDefault="00DC207C" w:rsidP="00097A19">
            <w:pPr>
              <w:jc w:val="center"/>
              <w:rPr>
                <w:color w:val="000000"/>
                <w:sz w:val="16"/>
                <w:szCs w:val="16"/>
              </w:rPr>
            </w:pPr>
            <w:r w:rsidRPr="008849C2">
              <w:rPr>
                <w:color w:val="000000"/>
                <w:sz w:val="16"/>
                <w:szCs w:val="16"/>
              </w:rPr>
              <w:t> </w:t>
            </w:r>
          </w:p>
        </w:tc>
        <w:tc>
          <w:tcPr>
            <w:tcW w:w="759" w:type="dxa"/>
            <w:tcBorders>
              <w:top w:val="single" w:sz="4" w:space="0" w:color="auto"/>
              <w:left w:val="single" w:sz="4" w:space="0" w:color="auto"/>
              <w:bottom w:val="single" w:sz="4" w:space="0" w:color="auto"/>
              <w:right w:val="single" w:sz="4" w:space="0" w:color="auto"/>
            </w:tcBorders>
            <w:vAlign w:val="center"/>
          </w:tcPr>
          <w:p w:rsidR="00DC207C" w:rsidRPr="008849C2" w:rsidRDefault="00DC207C" w:rsidP="00097A19">
            <w:pPr>
              <w:jc w:val="center"/>
              <w:rPr>
                <w:color w:val="000000"/>
                <w:sz w:val="16"/>
                <w:szCs w:val="16"/>
              </w:rPr>
            </w:pPr>
            <w:r w:rsidRPr="008849C2">
              <w:rPr>
                <w:color w:val="000000"/>
                <w:sz w:val="16"/>
                <w:szCs w:val="16"/>
              </w:rPr>
              <w:t>COMT3 (+)</w:t>
            </w:r>
          </w:p>
        </w:tc>
        <w:tc>
          <w:tcPr>
            <w:tcW w:w="256" w:type="dxa"/>
            <w:tcBorders>
              <w:top w:val="nil"/>
              <w:left w:val="nil"/>
              <w:bottom w:val="nil"/>
              <w:right w:val="nil"/>
            </w:tcBorders>
            <w:vAlign w:val="center"/>
          </w:tcPr>
          <w:p w:rsidR="00DC207C" w:rsidRPr="008849C2" w:rsidRDefault="00DC207C" w:rsidP="00097A19">
            <w:pPr>
              <w:jc w:val="center"/>
              <w:rPr>
                <w:color w:val="000000"/>
                <w:sz w:val="16"/>
                <w:szCs w:val="16"/>
              </w:rPr>
            </w:pPr>
          </w:p>
        </w:tc>
        <w:tc>
          <w:tcPr>
            <w:tcW w:w="759" w:type="dxa"/>
            <w:tcBorders>
              <w:top w:val="single" w:sz="4" w:space="0" w:color="auto"/>
              <w:left w:val="single" w:sz="4" w:space="0" w:color="auto"/>
              <w:bottom w:val="single" w:sz="4" w:space="0" w:color="auto"/>
              <w:right w:val="single" w:sz="4" w:space="0" w:color="auto"/>
            </w:tcBorders>
            <w:vAlign w:val="center"/>
          </w:tcPr>
          <w:p w:rsidR="00DC207C" w:rsidRPr="008849C2" w:rsidRDefault="00DC207C" w:rsidP="00097A19">
            <w:pPr>
              <w:jc w:val="center"/>
              <w:rPr>
                <w:sz w:val="16"/>
                <w:szCs w:val="16"/>
              </w:rPr>
            </w:pPr>
            <w:r w:rsidRPr="008849C2">
              <w:rPr>
                <w:sz w:val="16"/>
                <w:szCs w:val="16"/>
              </w:rPr>
              <w:t>COMT2  (-)</w:t>
            </w:r>
          </w:p>
        </w:tc>
        <w:tc>
          <w:tcPr>
            <w:tcW w:w="256" w:type="dxa"/>
            <w:tcBorders>
              <w:top w:val="nil"/>
              <w:left w:val="nil"/>
              <w:bottom w:val="nil"/>
              <w:right w:val="nil"/>
            </w:tcBorders>
            <w:vAlign w:val="center"/>
          </w:tcPr>
          <w:p w:rsidR="00DC207C" w:rsidRPr="008849C2" w:rsidRDefault="00DC207C" w:rsidP="00097A19">
            <w:pPr>
              <w:jc w:val="center"/>
              <w:rPr>
                <w:color w:val="000000"/>
                <w:sz w:val="16"/>
                <w:szCs w:val="16"/>
              </w:rPr>
            </w:pPr>
          </w:p>
        </w:tc>
        <w:tc>
          <w:tcPr>
            <w:tcW w:w="759" w:type="dxa"/>
            <w:tcBorders>
              <w:top w:val="single" w:sz="4" w:space="0" w:color="auto"/>
              <w:left w:val="single" w:sz="4" w:space="0" w:color="auto"/>
              <w:bottom w:val="single" w:sz="4" w:space="0" w:color="auto"/>
              <w:right w:val="single" w:sz="4" w:space="0" w:color="auto"/>
            </w:tcBorders>
            <w:vAlign w:val="center"/>
          </w:tcPr>
          <w:p w:rsidR="00DC207C" w:rsidRPr="008849C2" w:rsidRDefault="00DC207C" w:rsidP="00097A19">
            <w:pPr>
              <w:jc w:val="center"/>
              <w:rPr>
                <w:color w:val="000000"/>
                <w:sz w:val="16"/>
                <w:szCs w:val="16"/>
              </w:rPr>
            </w:pPr>
            <w:r w:rsidRPr="008849C2">
              <w:rPr>
                <w:color w:val="000000"/>
                <w:sz w:val="16"/>
                <w:szCs w:val="16"/>
              </w:rPr>
              <w:t>COMT3 (+)</w:t>
            </w:r>
          </w:p>
        </w:tc>
        <w:tc>
          <w:tcPr>
            <w:tcW w:w="256" w:type="dxa"/>
            <w:tcBorders>
              <w:top w:val="nil"/>
              <w:left w:val="nil"/>
              <w:bottom w:val="nil"/>
              <w:right w:val="nil"/>
            </w:tcBorders>
            <w:vAlign w:val="center"/>
          </w:tcPr>
          <w:p w:rsidR="00DC207C" w:rsidRPr="008849C2" w:rsidRDefault="00DC207C" w:rsidP="00097A19">
            <w:pPr>
              <w:jc w:val="center"/>
              <w:rPr>
                <w:color w:val="000000"/>
                <w:sz w:val="16"/>
                <w:szCs w:val="16"/>
              </w:rPr>
            </w:pPr>
          </w:p>
        </w:tc>
        <w:tc>
          <w:tcPr>
            <w:tcW w:w="759" w:type="dxa"/>
            <w:tcBorders>
              <w:top w:val="single" w:sz="4" w:space="0" w:color="auto"/>
              <w:left w:val="single" w:sz="4" w:space="0" w:color="auto"/>
              <w:bottom w:val="single" w:sz="4" w:space="0" w:color="auto"/>
              <w:right w:val="single" w:sz="4" w:space="0" w:color="auto"/>
            </w:tcBorders>
            <w:vAlign w:val="center"/>
          </w:tcPr>
          <w:p w:rsidR="00DC207C" w:rsidRPr="008849C2" w:rsidRDefault="00DC207C" w:rsidP="00097A19">
            <w:pPr>
              <w:jc w:val="center"/>
              <w:rPr>
                <w:sz w:val="16"/>
                <w:szCs w:val="16"/>
              </w:rPr>
            </w:pPr>
            <w:r w:rsidRPr="008849C2">
              <w:rPr>
                <w:sz w:val="16"/>
                <w:szCs w:val="16"/>
              </w:rPr>
              <w:t>COMT2  (-)</w:t>
            </w:r>
          </w:p>
        </w:tc>
        <w:tc>
          <w:tcPr>
            <w:tcW w:w="256" w:type="dxa"/>
            <w:tcBorders>
              <w:top w:val="nil"/>
              <w:left w:val="nil"/>
              <w:bottom w:val="nil"/>
              <w:right w:val="nil"/>
            </w:tcBorders>
            <w:vAlign w:val="bottom"/>
          </w:tcPr>
          <w:p w:rsidR="00DC207C" w:rsidRPr="008849C2" w:rsidRDefault="00DC207C" w:rsidP="00097A19">
            <w:pPr>
              <w:rPr>
                <w:color w:val="000000"/>
                <w:sz w:val="16"/>
                <w:szCs w:val="16"/>
              </w:rPr>
            </w:pPr>
          </w:p>
        </w:tc>
        <w:tc>
          <w:tcPr>
            <w:tcW w:w="406" w:type="dxa"/>
            <w:tcBorders>
              <w:top w:val="single" w:sz="8" w:space="0" w:color="000000"/>
              <w:left w:val="single" w:sz="8" w:space="0" w:color="000000"/>
              <w:bottom w:val="single" w:sz="8" w:space="0" w:color="000000"/>
              <w:right w:val="single" w:sz="8" w:space="0" w:color="000000"/>
            </w:tcBorders>
            <w:shd w:val="clear" w:color="000000" w:fill="DBE5F1"/>
            <w:textDirection w:val="btLr"/>
            <w:vAlign w:val="bottom"/>
          </w:tcPr>
          <w:p w:rsidR="00DC207C" w:rsidRPr="008849C2" w:rsidRDefault="00DC207C" w:rsidP="00097A19">
            <w:pPr>
              <w:jc w:val="right"/>
              <w:rPr>
                <w:color w:val="000000"/>
                <w:sz w:val="16"/>
                <w:szCs w:val="16"/>
              </w:rPr>
            </w:pPr>
            <w:r w:rsidRPr="008849C2">
              <w:rPr>
                <w:color w:val="000000"/>
                <w:sz w:val="16"/>
                <w:szCs w:val="16"/>
              </w:rPr>
              <w:t>Alamo2</w:t>
            </w:r>
          </w:p>
        </w:tc>
        <w:tc>
          <w:tcPr>
            <w:tcW w:w="541" w:type="dxa"/>
            <w:tcBorders>
              <w:top w:val="nil"/>
              <w:left w:val="nil"/>
              <w:bottom w:val="nil"/>
              <w:right w:val="nil"/>
            </w:tcBorders>
            <w:shd w:val="clear" w:color="000000" w:fill="D7E4BC"/>
            <w:vAlign w:val="center"/>
          </w:tcPr>
          <w:p w:rsidR="00DC207C" w:rsidRPr="008849C2" w:rsidRDefault="00DC207C" w:rsidP="00097A19">
            <w:pPr>
              <w:jc w:val="center"/>
              <w:rPr>
                <w:color w:val="000000"/>
                <w:sz w:val="16"/>
                <w:szCs w:val="16"/>
              </w:rPr>
            </w:pPr>
            <w:r w:rsidRPr="008849C2">
              <w:rPr>
                <w:color w:val="000000"/>
                <w:sz w:val="16"/>
                <w:szCs w:val="16"/>
              </w:rPr>
              <w:t> </w:t>
            </w:r>
          </w:p>
        </w:tc>
      </w:tr>
      <w:tr w:rsidR="00DC207C" w:rsidRPr="007F0DA8" w:rsidTr="00831D05">
        <w:trPr>
          <w:trHeight w:val="551"/>
        </w:trPr>
        <w:tc>
          <w:tcPr>
            <w:tcW w:w="541" w:type="dxa"/>
            <w:tcBorders>
              <w:top w:val="nil"/>
              <w:left w:val="nil"/>
              <w:bottom w:val="nil"/>
              <w:right w:val="nil"/>
            </w:tcBorders>
            <w:shd w:val="clear" w:color="000000" w:fill="D7E4BC"/>
            <w:vAlign w:val="bottom"/>
          </w:tcPr>
          <w:p w:rsidR="00DC207C" w:rsidRPr="008849C2" w:rsidRDefault="00DC207C" w:rsidP="00097A19">
            <w:pPr>
              <w:rPr>
                <w:color w:val="000000"/>
                <w:sz w:val="16"/>
                <w:szCs w:val="16"/>
              </w:rPr>
            </w:pPr>
            <w:r w:rsidRPr="008849C2">
              <w:rPr>
                <w:color w:val="000000"/>
                <w:sz w:val="16"/>
                <w:szCs w:val="16"/>
              </w:rPr>
              <w:t> </w:t>
            </w:r>
          </w:p>
        </w:tc>
        <w:tc>
          <w:tcPr>
            <w:tcW w:w="406" w:type="dxa"/>
            <w:tcBorders>
              <w:top w:val="nil"/>
              <w:left w:val="nil"/>
              <w:bottom w:val="nil"/>
              <w:right w:val="nil"/>
            </w:tcBorders>
            <w:vAlign w:val="bottom"/>
          </w:tcPr>
          <w:p w:rsidR="00DC207C" w:rsidRPr="008849C2" w:rsidRDefault="00DC207C" w:rsidP="00097A19">
            <w:pPr>
              <w:rPr>
                <w:color w:val="000000"/>
                <w:sz w:val="16"/>
                <w:szCs w:val="16"/>
              </w:rPr>
            </w:pPr>
          </w:p>
        </w:tc>
        <w:tc>
          <w:tcPr>
            <w:tcW w:w="442" w:type="dxa"/>
            <w:tcBorders>
              <w:top w:val="nil"/>
              <w:left w:val="nil"/>
              <w:bottom w:val="nil"/>
              <w:right w:val="nil"/>
            </w:tcBorders>
            <w:vAlign w:val="bottom"/>
          </w:tcPr>
          <w:p w:rsidR="00DC207C" w:rsidRPr="008849C2" w:rsidRDefault="00DC207C" w:rsidP="00097A19">
            <w:pPr>
              <w:rPr>
                <w:color w:val="000000"/>
                <w:sz w:val="16"/>
                <w:szCs w:val="16"/>
              </w:rPr>
            </w:pPr>
          </w:p>
        </w:tc>
        <w:tc>
          <w:tcPr>
            <w:tcW w:w="759" w:type="dxa"/>
            <w:tcBorders>
              <w:top w:val="nil"/>
              <w:left w:val="nil"/>
              <w:bottom w:val="nil"/>
              <w:right w:val="nil"/>
            </w:tcBorders>
            <w:vAlign w:val="center"/>
          </w:tcPr>
          <w:p w:rsidR="00DC207C" w:rsidRPr="008849C2" w:rsidRDefault="00DC207C" w:rsidP="00097A19">
            <w:pPr>
              <w:jc w:val="center"/>
              <w:rPr>
                <w:color w:val="000000"/>
                <w:sz w:val="16"/>
                <w:szCs w:val="16"/>
              </w:rPr>
            </w:pPr>
          </w:p>
        </w:tc>
        <w:tc>
          <w:tcPr>
            <w:tcW w:w="256" w:type="dxa"/>
            <w:tcBorders>
              <w:top w:val="nil"/>
              <w:left w:val="nil"/>
              <w:bottom w:val="nil"/>
              <w:right w:val="nil"/>
            </w:tcBorders>
            <w:vAlign w:val="center"/>
          </w:tcPr>
          <w:p w:rsidR="00DC207C" w:rsidRPr="008849C2" w:rsidRDefault="00DC207C" w:rsidP="00097A19">
            <w:pPr>
              <w:jc w:val="center"/>
              <w:rPr>
                <w:color w:val="000000"/>
                <w:sz w:val="16"/>
                <w:szCs w:val="16"/>
              </w:rPr>
            </w:pPr>
          </w:p>
        </w:tc>
        <w:tc>
          <w:tcPr>
            <w:tcW w:w="759" w:type="dxa"/>
            <w:tcBorders>
              <w:top w:val="nil"/>
              <w:left w:val="nil"/>
              <w:bottom w:val="nil"/>
              <w:right w:val="nil"/>
            </w:tcBorders>
            <w:vAlign w:val="center"/>
          </w:tcPr>
          <w:p w:rsidR="00DC207C" w:rsidRPr="008849C2" w:rsidRDefault="00DC207C" w:rsidP="00097A19">
            <w:pPr>
              <w:jc w:val="center"/>
              <w:rPr>
                <w:color w:val="000000"/>
                <w:sz w:val="16"/>
                <w:szCs w:val="16"/>
              </w:rPr>
            </w:pPr>
          </w:p>
        </w:tc>
        <w:tc>
          <w:tcPr>
            <w:tcW w:w="256" w:type="dxa"/>
            <w:tcBorders>
              <w:top w:val="nil"/>
              <w:left w:val="nil"/>
              <w:bottom w:val="nil"/>
              <w:right w:val="nil"/>
            </w:tcBorders>
            <w:vAlign w:val="center"/>
          </w:tcPr>
          <w:p w:rsidR="00DC207C" w:rsidRPr="008849C2" w:rsidRDefault="00DC207C" w:rsidP="00097A19">
            <w:pPr>
              <w:jc w:val="center"/>
              <w:rPr>
                <w:color w:val="000000"/>
                <w:sz w:val="16"/>
                <w:szCs w:val="16"/>
              </w:rPr>
            </w:pPr>
          </w:p>
        </w:tc>
        <w:tc>
          <w:tcPr>
            <w:tcW w:w="759" w:type="dxa"/>
            <w:tcBorders>
              <w:top w:val="nil"/>
              <w:left w:val="nil"/>
              <w:bottom w:val="nil"/>
              <w:right w:val="nil"/>
            </w:tcBorders>
            <w:vAlign w:val="center"/>
          </w:tcPr>
          <w:p w:rsidR="00DC207C" w:rsidRPr="008849C2" w:rsidRDefault="00DC207C" w:rsidP="00097A19">
            <w:pPr>
              <w:jc w:val="center"/>
              <w:rPr>
                <w:color w:val="000000"/>
                <w:sz w:val="16"/>
                <w:szCs w:val="16"/>
              </w:rPr>
            </w:pPr>
          </w:p>
        </w:tc>
        <w:tc>
          <w:tcPr>
            <w:tcW w:w="256" w:type="dxa"/>
            <w:tcBorders>
              <w:top w:val="nil"/>
              <w:left w:val="nil"/>
              <w:bottom w:val="nil"/>
              <w:right w:val="nil"/>
            </w:tcBorders>
            <w:vAlign w:val="center"/>
          </w:tcPr>
          <w:p w:rsidR="00DC207C" w:rsidRPr="008849C2" w:rsidRDefault="00DC207C" w:rsidP="00097A19">
            <w:pPr>
              <w:jc w:val="center"/>
              <w:rPr>
                <w:color w:val="000000"/>
                <w:sz w:val="16"/>
                <w:szCs w:val="16"/>
              </w:rPr>
            </w:pPr>
          </w:p>
        </w:tc>
        <w:tc>
          <w:tcPr>
            <w:tcW w:w="759" w:type="dxa"/>
            <w:tcBorders>
              <w:top w:val="nil"/>
              <w:left w:val="nil"/>
              <w:bottom w:val="nil"/>
              <w:right w:val="nil"/>
            </w:tcBorders>
            <w:vAlign w:val="center"/>
          </w:tcPr>
          <w:p w:rsidR="00DC207C" w:rsidRPr="008849C2" w:rsidRDefault="00DC207C" w:rsidP="00097A19">
            <w:pPr>
              <w:jc w:val="center"/>
              <w:rPr>
                <w:color w:val="000000"/>
                <w:sz w:val="16"/>
                <w:szCs w:val="16"/>
              </w:rPr>
            </w:pPr>
          </w:p>
        </w:tc>
        <w:tc>
          <w:tcPr>
            <w:tcW w:w="256" w:type="dxa"/>
            <w:tcBorders>
              <w:top w:val="nil"/>
              <w:left w:val="nil"/>
              <w:bottom w:val="nil"/>
              <w:right w:val="nil"/>
            </w:tcBorders>
            <w:vAlign w:val="center"/>
          </w:tcPr>
          <w:p w:rsidR="00DC207C" w:rsidRPr="008849C2" w:rsidRDefault="00DC207C" w:rsidP="00097A19">
            <w:pPr>
              <w:jc w:val="center"/>
              <w:rPr>
                <w:color w:val="000000"/>
                <w:sz w:val="16"/>
                <w:szCs w:val="16"/>
              </w:rPr>
            </w:pPr>
          </w:p>
        </w:tc>
        <w:tc>
          <w:tcPr>
            <w:tcW w:w="759" w:type="dxa"/>
            <w:tcBorders>
              <w:top w:val="nil"/>
              <w:left w:val="nil"/>
              <w:bottom w:val="nil"/>
              <w:right w:val="nil"/>
            </w:tcBorders>
            <w:vAlign w:val="center"/>
          </w:tcPr>
          <w:p w:rsidR="00DC207C" w:rsidRPr="008849C2" w:rsidRDefault="00DC207C" w:rsidP="00097A19">
            <w:pPr>
              <w:jc w:val="center"/>
              <w:rPr>
                <w:color w:val="000000"/>
                <w:sz w:val="16"/>
                <w:szCs w:val="16"/>
              </w:rPr>
            </w:pPr>
          </w:p>
        </w:tc>
        <w:tc>
          <w:tcPr>
            <w:tcW w:w="256" w:type="dxa"/>
            <w:tcBorders>
              <w:top w:val="nil"/>
              <w:left w:val="nil"/>
              <w:bottom w:val="nil"/>
              <w:right w:val="nil"/>
            </w:tcBorders>
            <w:vAlign w:val="bottom"/>
          </w:tcPr>
          <w:p w:rsidR="00DC207C" w:rsidRPr="008849C2" w:rsidRDefault="00DC207C" w:rsidP="00097A19">
            <w:pPr>
              <w:rPr>
                <w:color w:val="000000"/>
                <w:sz w:val="16"/>
                <w:szCs w:val="16"/>
              </w:rPr>
            </w:pPr>
          </w:p>
        </w:tc>
        <w:tc>
          <w:tcPr>
            <w:tcW w:w="406" w:type="dxa"/>
            <w:tcBorders>
              <w:top w:val="nil"/>
              <w:left w:val="nil"/>
              <w:bottom w:val="nil"/>
              <w:right w:val="nil"/>
            </w:tcBorders>
            <w:vAlign w:val="bottom"/>
          </w:tcPr>
          <w:p w:rsidR="00DC207C" w:rsidRPr="008849C2" w:rsidRDefault="00DC207C" w:rsidP="00097A19">
            <w:pPr>
              <w:rPr>
                <w:color w:val="000000"/>
                <w:sz w:val="16"/>
                <w:szCs w:val="16"/>
              </w:rPr>
            </w:pPr>
          </w:p>
        </w:tc>
        <w:tc>
          <w:tcPr>
            <w:tcW w:w="541" w:type="dxa"/>
            <w:tcBorders>
              <w:top w:val="nil"/>
              <w:left w:val="nil"/>
              <w:bottom w:val="nil"/>
              <w:right w:val="nil"/>
            </w:tcBorders>
            <w:shd w:val="clear" w:color="000000" w:fill="D7E4BC"/>
            <w:vAlign w:val="bottom"/>
          </w:tcPr>
          <w:p w:rsidR="00DC207C" w:rsidRPr="008849C2" w:rsidRDefault="00DC207C" w:rsidP="00097A19">
            <w:pPr>
              <w:rPr>
                <w:color w:val="000000"/>
                <w:sz w:val="16"/>
                <w:szCs w:val="16"/>
              </w:rPr>
            </w:pPr>
            <w:r w:rsidRPr="008849C2">
              <w:rPr>
                <w:color w:val="000000"/>
                <w:sz w:val="16"/>
                <w:szCs w:val="16"/>
              </w:rPr>
              <w:t> </w:t>
            </w:r>
          </w:p>
        </w:tc>
      </w:tr>
      <w:tr w:rsidR="00DC207C" w:rsidRPr="007F0DA8" w:rsidTr="00831D05">
        <w:trPr>
          <w:trHeight w:val="551"/>
        </w:trPr>
        <w:tc>
          <w:tcPr>
            <w:tcW w:w="541" w:type="dxa"/>
            <w:tcBorders>
              <w:top w:val="nil"/>
              <w:left w:val="nil"/>
              <w:bottom w:val="nil"/>
              <w:right w:val="nil"/>
            </w:tcBorders>
            <w:shd w:val="clear" w:color="000000" w:fill="D7E4BC"/>
            <w:vAlign w:val="bottom"/>
          </w:tcPr>
          <w:p w:rsidR="00DC207C" w:rsidRPr="008849C2" w:rsidRDefault="00DC207C" w:rsidP="00097A19">
            <w:pPr>
              <w:rPr>
                <w:color w:val="000000"/>
                <w:sz w:val="16"/>
                <w:szCs w:val="16"/>
              </w:rPr>
            </w:pPr>
            <w:r w:rsidRPr="008849C2">
              <w:rPr>
                <w:color w:val="000000"/>
                <w:sz w:val="16"/>
                <w:szCs w:val="16"/>
              </w:rPr>
              <w:t> </w:t>
            </w:r>
          </w:p>
        </w:tc>
        <w:tc>
          <w:tcPr>
            <w:tcW w:w="406" w:type="dxa"/>
            <w:tcBorders>
              <w:top w:val="single" w:sz="8" w:space="0" w:color="000000"/>
              <w:left w:val="single" w:sz="8" w:space="0" w:color="000000"/>
              <w:bottom w:val="single" w:sz="8" w:space="0" w:color="000000"/>
              <w:right w:val="single" w:sz="8" w:space="0" w:color="000000"/>
            </w:tcBorders>
            <w:shd w:val="clear" w:color="000000" w:fill="DBE5F1"/>
            <w:textDirection w:val="btLr"/>
            <w:vAlign w:val="bottom"/>
          </w:tcPr>
          <w:p w:rsidR="00DC207C" w:rsidRPr="008849C2" w:rsidRDefault="00DC207C" w:rsidP="00097A19">
            <w:pPr>
              <w:jc w:val="right"/>
              <w:rPr>
                <w:color w:val="000000"/>
                <w:sz w:val="16"/>
                <w:szCs w:val="16"/>
              </w:rPr>
            </w:pPr>
            <w:r w:rsidRPr="008849C2">
              <w:rPr>
                <w:color w:val="000000"/>
                <w:sz w:val="16"/>
                <w:szCs w:val="16"/>
              </w:rPr>
              <w:t>Alamo2</w:t>
            </w:r>
          </w:p>
        </w:tc>
        <w:tc>
          <w:tcPr>
            <w:tcW w:w="442" w:type="dxa"/>
            <w:tcBorders>
              <w:top w:val="nil"/>
              <w:left w:val="nil"/>
              <w:bottom w:val="nil"/>
              <w:right w:val="nil"/>
            </w:tcBorders>
            <w:vAlign w:val="bottom"/>
          </w:tcPr>
          <w:p w:rsidR="00DC207C" w:rsidRPr="008849C2" w:rsidRDefault="00DC207C" w:rsidP="00097A19">
            <w:pPr>
              <w:rPr>
                <w:color w:val="000000"/>
                <w:sz w:val="16"/>
                <w:szCs w:val="16"/>
              </w:rPr>
            </w:pPr>
          </w:p>
        </w:tc>
        <w:tc>
          <w:tcPr>
            <w:tcW w:w="759" w:type="dxa"/>
            <w:tcBorders>
              <w:top w:val="single" w:sz="4" w:space="0" w:color="auto"/>
              <w:left w:val="single" w:sz="4" w:space="0" w:color="auto"/>
              <w:bottom w:val="single" w:sz="4" w:space="0" w:color="auto"/>
              <w:right w:val="single" w:sz="4" w:space="0" w:color="auto"/>
            </w:tcBorders>
            <w:vAlign w:val="center"/>
          </w:tcPr>
          <w:p w:rsidR="00DC207C" w:rsidRPr="008849C2" w:rsidRDefault="00DC207C" w:rsidP="00097A19">
            <w:pPr>
              <w:jc w:val="center"/>
              <w:rPr>
                <w:sz w:val="16"/>
                <w:szCs w:val="16"/>
              </w:rPr>
            </w:pPr>
            <w:r w:rsidRPr="008849C2">
              <w:rPr>
                <w:sz w:val="16"/>
                <w:szCs w:val="16"/>
              </w:rPr>
              <w:t>COMT2  (-)</w:t>
            </w:r>
          </w:p>
        </w:tc>
        <w:tc>
          <w:tcPr>
            <w:tcW w:w="256" w:type="dxa"/>
            <w:tcBorders>
              <w:top w:val="nil"/>
              <w:left w:val="nil"/>
              <w:bottom w:val="nil"/>
              <w:right w:val="nil"/>
            </w:tcBorders>
            <w:vAlign w:val="center"/>
          </w:tcPr>
          <w:p w:rsidR="00DC207C" w:rsidRPr="008849C2" w:rsidRDefault="00DC207C" w:rsidP="00097A19">
            <w:pPr>
              <w:jc w:val="center"/>
              <w:rPr>
                <w:color w:val="000000"/>
                <w:sz w:val="16"/>
                <w:szCs w:val="16"/>
              </w:rPr>
            </w:pPr>
          </w:p>
        </w:tc>
        <w:tc>
          <w:tcPr>
            <w:tcW w:w="759" w:type="dxa"/>
            <w:tcBorders>
              <w:top w:val="single" w:sz="4" w:space="0" w:color="auto"/>
              <w:left w:val="single" w:sz="4" w:space="0" w:color="auto"/>
              <w:bottom w:val="single" w:sz="4" w:space="0" w:color="auto"/>
              <w:right w:val="single" w:sz="4" w:space="0" w:color="auto"/>
            </w:tcBorders>
            <w:vAlign w:val="center"/>
          </w:tcPr>
          <w:p w:rsidR="00DC207C" w:rsidRPr="008849C2" w:rsidRDefault="00DC207C" w:rsidP="00097A19">
            <w:pPr>
              <w:jc w:val="center"/>
              <w:rPr>
                <w:sz w:val="16"/>
                <w:szCs w:val="16"/>
              </w:rPr>
            </w:pPr>
            <w:r w:rsidRPr="008849C2">
              <w:rPr>
                <w:sz w:val="16"/>
                <w:szCs w:val="16"/>
              </w:rPr>
              <w:t>COMT2 (+)</w:t>
            </w:r>
          </w:p>
        </w:tc>
        <w:tc>
          <w:tcPr>
            <w:tcW w:w="256" w:type="dxa"/>
            <w:tcBorders>
              <w:top w:val="nil"/>
              <w:left w:val="nil"/>
              <w:bottom w:val="nil"/>
              <w:right w:val="nil"/>
            </w:tcBorders>
            <w:vAlign w:val="center"/>
          </w:tcPr>
          <w:p w:rsidR="00DC207C" w:rsidRPr="008849C2" w:rsidRDefault="00DC207C" w:rsidP="00097A19">
            <w:pPr>
              <w:jc w:val="center"/>
              <w:rPr>
                <w:color w:val="000000"/>
                <w:sz w:val="16"/>
                <w:szCs w:val="16"/>
              </w:rPr>
            </w:pPr>
          </w:p>
        </w:tc>
        <w:tc>
          <w:tcPr>
            <w:tcW w:w="759" w:type="dxa"/>
            <w:tcBorders>
              <w:top w:val="single" w:sz="4" w:space="0" w:color="auto"/>
              <w:left w:val="single" w:sz="4" w:space="0" w:color="auto"/>
              <w:bottom w:val="single" w:sz="4" w:space="0" w:color="auto"/>
              <w:right w:val="single" w:sz="4" w:space="0" w:color="auto"/>
            </w:tcBorders>
            <w:vAlign w:val="center"/>
          </w:tcPr>
          <w:p w:rsidR="00DC207C" w:rsidRPr="008849C2" w:rsidRDefault="00DC207C" w:rsidP="00097A19">
            <w:pPr>
              <w:jc w:val="center"/>
              <w:rPr>
                <w:sz w:val="16"/>
                <w:szCs w:val="16"/>
              </w:rPr>
            </w:pPr>
            <w:r w:rsidRPr="008849C2">
              <w:rPr>
                <w:sz w:val="16"/>
                <w:szCs w:val="16"/>
              </w:rPr>
              <w:t>COMT2  (-)</w:t>
            </w:r>
          </w:p>
        </w:tc>
        <w:tc>
          <w:tcPr>
            <w:tcW w:w="256" w:type="dxa"/>
            <w:tcBorders>
              <w:top w:val="nil"/>
              <w:left w:val="nil"/>
              <w:bottom w:val="nil"/>
              <w:right w:val="nil"/>
            </w:tcBorders>
            <w:vAlign w:val="center"/>
          </w:tcPr>
          <w:p w:rsidR="00DC207C" w:rsidRPr="008849C2" w:rsidRDefault="00DC207C" w:rsidP="00097A19">
            <w:pPr>
              <w:jc w:val="center"/>
              <w:rPr>
                <w:color w:val="000000"/>
                <w:sz w:val="16"/>
                <w:szCs w:val="16"/>
              </w:rPr>
            </w:pPr>
          </w:p>
        </w:tc>
        <w:tc>
          <w:tcPr>
            <w:tcW w:w="759" w:type="dxa"/>
            <w:tcBorders>
              <w:top w:val="single" w:sz="4" w:space="0" w:color="auto"/>
              <w:left w:val="single" w:sz="4" w:space="0" w:color="auto"/>
              <w:bottom w:val="single" w:sz="4" w:space="0" w:color="auto"/>
              <w:right w:val="single" w:sz="4" w:space="0" w:color="auto"/>
            </w:tcBorders>
            <w:vAlign w:val="center"/>
          </w:tcPr>
          <w:p w:rsidR="00DC207C" w:rsidRPr="008849C2" w:rsidRDefault="00DC207C" w:rsidP="00097A19">
            <w:pPr>
              <w:jc w:val="center"/>
              <w:rPr>
                <w:sz w:val="16"/>
                <w:szCs w:val="16"/>
              </w:rPr>
            </w:pPr>
            <w:r w:rsidRPr="008849C2">
              <w:rPr>
                <w:sz w:val="16"/>
                <w:szCs w:val="16"/>
              </w:rPr>
              <w:t>COMT2 (+)</w:t>
            </w:r>
          </w:p>
        </w:tc>
        <w:tc>
          <w:tcPr>
            <w:tcW w:w="256" w:type="dxa"/>
            <w:tcBorders>
              <w:top w:val="nil"/>
              <w:left w:val="nil"/>
              <w:bottom w:val="nil"/>
              <w:right w:val="nil"/>
            </w:tcBorders>
            <w:vAlign w:val="center"/>
          </w:tcPr>
          <w:p w:rsidR="00DC207C" w:rsidRPr="008849C2" w:rsidRDefault="00DC207C" w:rsidP="00097A19">
            <w:pPr>
              <w:jc w:val="center"/>
              <w:rPr>
                <w:color w:val="000000"/>
                <w:sz w:val="16"/>
                <w:szCs w:val="16"/>
              </w:rPr>
            </w:pPr>
          </w:p>
        </w:tc>
        <w:tc>
          <w:tcPr>
            <w:tcW w:w="759" w:type="dxa"/>
            <w:tcBorders>
              <w:top w:val="single" w:sz="4" w:space="0" w:color="auto"/>
              <w:left w:val="single" w:sz="4" w:space="0" w:color="auto"/>
              <w:bottom w:val="single" w:sz="4" w:space="0" w:color="auto"/>
              <w:right w:val="single" w:sz="4" w:space="0" w:color="auto"/>
            </w:tcBorders>
            <w:vAlign w:val="center"/>
          </w:tcPr>
          <w:p w:rsidR="00DC207C" w:rsidRPr="008849C2" w:rsidRDefault="00DC207C" w:rsidP="00097A19">
            <w:pPr>
              <w:jc w:val="center"/>
              <w:rPr>
                <w:color w:val="000000"/>
                <w:sz w:val="16"/>
                <w:szCs w:val="16"/>
              </w:rPr>
            </w:pPr>
            <w:r w:rsidRPr="008849C2">
              <w:rPr>
                <w:color w:val="000000"/>
                <w:sz w:val="16"/>
                <w:szCs w:val="16"/>
              </w:rPr>
              <w:t>COMT3   (-)</w:t>
            </w:r>
          </w:p>
        </w:tc>
        <w:tc>
          <w:tcPr>
            <w:tcW w:w="256" w:type="dxa"/>
            <w:tcBorders>
              <w:top w:val="nil"/>
              <w:left w:val="nil"/>
              <w:bottom w:val="nil"/>
              <w:right w:val="nil"/>
            </w:tcBorders>
            <w:vAlign w:val="bottom"/>
          </w:tcPr>
          <w:p w:rsidR="00DC207C" w:rsidRPr="008849C2" w:rsidRDefault="00DC207C" w:rsidP="00097A19">
            <w:pPr>
              <w:rPr>
                <w:color w:val="000000"/>
                <w:sz w:val="16"/>
                <w:szCs w:val="16"/>
              </w:rPr>
            </w:pPr>
          </w:p>
        </w:tc>
        <w:tc>
          <w:tcPr>
            <w:tcW w:w="406" w:type="dxa"/>
            <w:tcBorders>
              <w:top w:val="single" w:sz="8" w:space="0" w:color="000000"/>
              <w:left w:val="single" w:sz="8" w:space="0" w:color="000000"/>
              <w:bottom w:val="single" w:sz="8" w:space="0" w:color="000000"/>
              <w:right w:val="single" w:sz="8" w:space="0" w:color="000000"/>
            </w:tcBorders>
            <w:shd w:val="clear" w:color="000000" w:fill="DBE5F1"/>
            <w:textDirection w:val="btLr"/>
            <w:vAlign w:val="bottom"/>
          </w:tcPr>
          <w:p w:rsidR="00DC207C" w:rsidRPr="008849C2" w:rsidRDefault="00DC207C" w:rsidP="00097A19">
            <w:pPr>
              <w:jc w:val="right"/>
              <w:rPr>
                <w:color w:val="000000"/>
                <w:sz w:val="16"/>
                <w:szCs w:val="16"/>
              </w:rPr>
            </w:pPr>
            <w:r w:rsidRPr="008849C2">
              <w:rPr>
                <w:color w:val="000000"/>
                <w:sz w:val="16"/>
                <w:szCs w:val="16"/>
              </w:rPr>
              <w:t>Alamo2</w:t>
            </w:r>
          </w:p>
        </w:tc>
        <w:tc>
          <w:tcPr>
            <w:tcW w:w="541" w:type="dxa"/>
            <w:tcBorders>
              <w:top w:val="nil"/>
              <w:left w:val="nil"/>
              <w:bottom w:val="nil"/>
              <w:right w:val="nil"/>
            </w:tcBorders>
            <w:shd w:val="clear" w:color="000000" w:fill="D7E4BC"/>
            <w:vAlign w:val="bottom"/>
          </w:tcPr>
          <w:p w:rsidR="00DC207C" w:rsidRPr="008849C2" w:rsidRDefault="00DC207C" w:rsidP="00097A19">
            <w:pPr>
              <w:rPr>
                <w:color w:val="000000"/>
                <w:sz w:val="16"/>
                <w:szCs w:val="16"/>
              </w:rPr>
            </w:pPr>
            <w:r w:rsidRPr="008849C2">
              <w:rPr>
                <w:color w:val="000000"/>
                <w:sz w:val="16"/>
                <w:szCs w:val="16"/>
              </w:rPr>
              <w:t> </w:t>
            </w:r>
          </w:p>
        </w:tc>
      </w:tr>
      <w:tr w:rsidR="00DC207C" w:rsidRPr="007F0DA8" w:rsidTr="00831D05">
        <w:trPr>
          <w:trHeight w:val="551"/>
        </w:trPr>
        <w:tc>
          <w:tcPr>
            <w:tcW w:w="541" w:type="dxa"/>
            <w:tcBorders>
              <w:top w:val="nil"/>
              <w:left w:val="nil"/>
              <w:bottom w:val="nil"/>
              <w:right w:val="nil"/>
            </w:tcBorders>
            <w:shd w:val="clear" w:color="000000" w:fill="D7E4BC"/>
            <w:vAlign w:val="bottom"/>
          </w:tcPr>
          <w:p w:rsidR="00DC207C" w:rsidRPr="008849C2" w:rsidRDefault="00DC207C" w:rsidP="00097A19">
            <w:pPr>
              <w:rPr>
                <w:color w:val="000000"/>
                <w:sz w:val="16"/>
                <w:szCs w:val="16"/>
              </w:rPr>
            </w:pPr>
            <w:r w:rsidRPr="008849C2">
              <w:rPr>
                <w:color w:val="000000"/>
                <w:sz w:val="16"/>
                <w:szCs w:val="16"/>
              </w:rPr>
              <w:t> </w:t>
            </w:r>
          </w:p>
        </w:tc>
        <w:tc>
          <w:tcPr>
            <w:tcW w:w="406" w:type="dxa"/>
            <w:tcBorders>
              <w:top w:val="nil"/>
              <w:left w:val="nil"/>
              <w:bottom w:val="nil"/>
              <w:right w:val="nil"/>
            </w:tcBorders>
            <w:vAlign w:val="bottom"/>
          </w:tcPr>
          <w:p w:rsidR="00DC207C" w:rsidRPr="008849C2" w:rsidRDefault="00DC207C" w:rsidP="00097A19">
            <w:pPr>
              <w:rPr>
                <w:color w:val="000000"/>
                <w:sz w:val="16"/>
                <w:szCs w:val="16"/>
              </w:rPr>
            </w:pPr>
          </w:p>
        </w:tc>
        <w:tc>
          <w:tcPr>
            <w:tcW w:w="442" w:type="dxa"/>
            <w:tcBorders>
              <w:top w:val="nil"/>
              <w:left w:val="nil"/>
              <w:bottom w:val="nil"/>
              <w:right w:val="nil"/>
            </w:tcBorders>
            <w:vAlign w:val="bottom"/>
          </w:tcPr>
          <w:p w:rsidR="00DC207C" w:rsidRPr="008849C2" w:rsidRDefault="00DC207C" w:rsidP="00097A19">
            <w:pPr>
              <w:rPr>
                <w:color w:val="000000"/>
                <w:sz w:val="16"/>
                <w:szCs w:val="16"/>
              </w:rPr>
            </w:pPr>
          </w:p>
        </w:tc>
        <w:tc>
          <w:tcPr>
            <w:tcW w:w="759" w:type="dxa"/>
            <w:tcBorders>
              <w:top w:val="nil"/>
              <w:left w:val="nil"/>
              <w:bottom w:val="nil"/>
              <w:right w:val="nil"/>
            </w:tcBorders>
            <w:vAlign w:val="center"/>
          </w:tcPr>
          <w:p w:rsidR="00DC207C" w:rsidRPr="008849C2" w:rsidRDefault="00DC207C" w:rsidP="00097A19">
            <w:pPr>
              <w:jc w:val="center"/>
              <w:rPr>
                <w:color w:val="000000"/>
                <w:sz w:val="16"/>
                <w:szCs w:val="16"/>
              </w:rPr>
            </w:pPr>
          </w:p>
        </w:tc>
        <w:tc>
          <w:tcPr>
            <w:tcW w:w="256" w:type="dxa"/>
            <w:tcBorders>
              <w:top w:val="nil"/>
              <w:left w:val="nil"/>
              <w:bottom w:val="nil"/>
              <w:right w:val="nil"/>
            </w:tcBorders>
            <w:vAlign w:val="center"/>
          </w:tcPr>
          <w:p w:rsidR="00DC207C" w:rsidRPr="008849C2" w:rsidRDefault="00DC207C" w:rsidP="00097A19">
            <w:pPr>
              <w:jc w:val="center"/>
              <w:rPr>
                <w:color w:val="000000"/>
                <w:sz w:val="16"/>
                <w:szCs w:val="16"/>
              </w:rPr>
            </w:pPr>
          </w:p>
        </w:tc>
        <w:tc>
          <w:tcPr>
            <w:tcW w:w="759" w:type="dxa"/>
            <w:tcBorders>
              <w:top w:val="nil"/>
              <w:left w:val="nil"/>
              <w:bottom w:val="nil"/>
              <w:right w:val="nil"/>
            </w:tcBorders>
            <w:vAlign w:val="center"/>
          </w:tcPr>
          <w:p w:rsidR="00DC207C" w:rsidRPr="008849C2" w:rsidRDefault="00DC207C" w:rsidP="00097A19">
            <w:pPr>
              <w:jc w:val="center"/>
              <w:rPr>
                <w:color w:val="000000"/>
                <w:sz w:val="16"/>
                <w:szCs w:val="16"/>
              </w:rPr>
            </w:pPr>
          </w:p>
        </w:tc>
        <w:tc>
          <w:tcPr>
            <w:tcW w:w="256" w:type="dxa"/>
            <w:tcBorders>
              <w:top w:val="nil"/>
              <w:left w:val="nil"/>
              <w:bottom w:val="nil"/>
              <w:right w:val="nil"/>
            </w:tcBorders>
            <w:vAlign w:val="center"/>
          </w:tcPr>
          <w:p w:rsidR="00DC207C" w:rsidRPr="008849C2" w:rsidRDefault="00DC207C" w:rsidP="00097A19">
            <w:pPr>
              <w:jc w:val="center"/>
              <w:rPr>
                <w:color w:val="000000"/>
                <w:sz w:val="16"/>
                <w:szCs w:val="16"/>
              </w:rPr>
            </w:pPr>
          </w:p>
        </w:tc>
        <w:tc>
          <w:tcPr>
            <w:tcW w:w="759" w:type="dxa"/>
            <w:tcBorders>
              <w:top w:val="nil"/>
              <w:left w:val="nil"/>
              <w:bottom w:val="nil"/>
              <w:right w:val="nil"/>
            </w:tcBorders>
            <w:vAlign w:val="center"/>
          </w:tcPr>
          <w:p w:rsidR="00DC207C" w:rsidRPr="008849C2" w:rsidRDefault="00DC207C" w:rsidP="00097A19">
            <w:pPr>
              <w:jc w:val="center"/>
              <w:rPr>
                <w:color w:val="000000"/>
                <w:sz w:val="16"/>
                <w:szCs w:val="16"/>
              </w:rPr>
            </w:pPr>
          </w:p>
        </w:tc>
        <w:tc>
          <w:tcPr>
            <w:tcW w:w="256" w:type="dxa"/>
            <w:tcBorders>
              <w:top w:val="nil"/>
              <w:left w:val="nil"/>
              <w:bottom w:val="nil"/>
              <w:right w:val="nil"/>
            </w:tcBorders>
            <w:vAlign w:val="center"/>
          </w:tcPr>
          <w:p w:rsidR="00DC207C" w:rsidRPr="008849C2" w:rsidRDefault="00DC207C" w:rsidP="00097A19">
            <w:pPr>
              <w:jc w:val="center"/>
              <w:rPr>
                <w:color w:val="000000"/>
                <w:sz w:val="16"/>
                <w:szCs w:val="16"/>
              </w:rPr>
            </w:pPr>
          </w:p>
        </w:tc>
        <w:tc>
          <w:tcPr>
            <w:tcW w:w="759" w:type="dxa"/>
            <w:tcBorders>
              <w:top w:val="nil"/>
              <w:left w:val="nil"/>
              <w:bottom w:val="nil"/>
              <w:right w:val="nil"/>
            </w:tcBorders>
            <w:vAlign w:val="center"/>
          </w:tcPr>
          <w:p w:rsidR="00DC207C" w:rsidRPr="008849C2" w:rsidRDefault="00DC207C" w:rsidP="00097A19">
            <w:pPr>
              <w:jc w:val="center"/>
              <w:rPr>
                <w:color w:val="000000"/>
                <w:sz w:val="16"/>
                <w:szCs w:val="16"/>
              </w:rPr>
            </w:pPr>
          </w:p>
        </w:tc>
        <w:tc>
          <w:tcPr>
            <w:tcW w:w="256" w:type="dxa"/>
            <w:tcBorders>
              <w:top w:val="nil"/>
              <w:left w:val="nil"/>
              <w:bottom w:val="nil"/>
              <w:right w:val="nil"/>
            </w:tcBorders>
            <w:vAlign w:val="center"/>
          </w:tcPr>
          <w:p w:rsidR="00DC207C" w:rsidRPr="008849C2" w:rsidRDefault="00DC207C" w:rsidP="00097A19">
            <w:pPr>
              <w:jc w:val="center"/>
              <w:rPr>
                <w:color w:val="000000"/>
                <w:sz w:val="16"/>
                <w:szCs w:val="16"/>
              </w:rPr>
            </w:pPr>
          </w:p>
        </w:tc>
        <w:tc>
          <w:tcPr>
            <w:tcW w:w="759" w:type="dxa"/>
            <w:tcBorders>
              <w:top w:val="nil"/>
              <w:left w:val="nil"/>
              <w:bottom w:val="nil"/>
              <w:right w:val="nil"/>
            </w:tcBorders>
            <w:vAlign w:val="center"/>
          </w:tcPr>
          <w:p w:rsidR="00DC207C" w:rsidRPr="008849C2" w:rsidRDefault="00DC207C" w:rsidP="00097A19">
            <w:pPr>
              <w:jc w:val="center"/>
              <w:rPr>
                <w:color w:val="000000"/>
                <w:sz w:val="16"/>
                <w:szCs w:val="16"/>
              </w:rPr>
            </w:pPr>
          </w:p>
        </w:tc>
        <w:tc>
          <w:tcPr>
            <w:tcW w:w="256" w:type="dxa"/>
            <w:tcBorders>
              <w:top w:val="nil"/>
              <w:left w:val="nil"/>
              <w:bottom w:val="nil"/>
              <w:right w:val="nil"/>
            </w:tcBorders>
            <w:vAlign w:val="bottom"/>
          </w:tcPr>
          <w:p w:rsidR="00DC207C" w:rsidRPr="008849C2" w:rsidRDefault="00DC207C" w:rsidP="00097A19">
            <w:pPr>
              <w:rPr>
                <w:color w:val="000000"/>
                <w:sz w:val="16"/>
                <w:szCs w:val="16"/>
              </w:rPr>
            </w:pPr>
          </w:p>
        </w:tc>
        <w:tc>
          <w:tcPr>
            <w:tcW w:w="406" w:type="dxa"/>
            <w:tcBorders>
              <w:top w:val="nil"/>
              <w:left w:val="nil"/>
              <w:bottom w:val="nil"/>
              <w:right w:val="nil"/>
            </w:tcBorders>
            <w:vAlign w:val="bottom"/>
          </w:tcPr>
          <w:p w:rsidR="00DC207C" w:rsidRPr="008849C2" w:rsidRDefault="00DC207C" w:rsidP="00097A19">
            <w:pPr>
              <w:rPr>
                <w:color w:val="000000"/>
                <w:sz w:val="16"/>
                <w:szCs w:val="16"/>
              </w:rPr>
            </w:pPr>
          </w:p>
        </w:tc>
        <w:tc>
          <w:tcPr>
            <w:tcW w:w="541" w:type="dxa"/>
            <w:tcBorders>
              <w:top w:val="nil"/>
              <w:left w:val="nil"/>
              <w:bottom w:val="nil"/>
              <w:right w:val="nil"/>
            </w:tcBorders>
            <w:shd w:val="clear" w:color="000000" w:fill="D7E4BC"/>
            <w:vAlign w:val="bottom"/>
          </w:tcPr>
          <w:p w:rsidR="00DC207C" w:rsidRPr="008849C2" w:rsidRDefault="00DC207C" w:rsidP="00097A19">
            <w:pPr>
              <w:rPr>
                <w:color w:val="000000"/>
                <w:sz w:val="16"/>
                <w:szCs w:val="16"/>
              </w:rPr>
            </w:pPr>
            <w:r w:rsidRPr="008849C2">
              <w:rPr>
                <w:color w:val="000000"/>
                <w:sz w:val="16"/>
                <w:szCs w:val="16"/>
              </w:rPr>
              <w:t> </w:t>
            </w:r>
          </w:p>
        </w:tc>
      </w:tr>
      <w:tr w:rsidR="00DC207C" w:rsidRPr="007F0DA8" w:rsidTr="00831D05">
        <w:trPr>
          <w:trHeight w:val="551"/>
        </w:trPr>
        <w:tc>
          <w:tcPr>
            <w:tcW w:w="541" w:type="dxa"/>
            <w:tcBorders>
              <w:top w:val="nil"/>
              <w:left w:val="nil"/>
              <w:bottom w:val="nil"/>
              <w:right w:val="nil"/>
            </w:tcBorders>
            <w:shd w:val="clear" w:color="000000" w:fill="D7E4BC"/>
            <w:vAlign w:val="center"/>
          </w:tcPr>
          <w:p w:rsidR="00DC207C" w:rsidRPr="008849C2" w:rsidRDefault="00DC207C" w:rsidP="00097A19">
            <w:pPr>
              <w:jc w:val="center"/>
              <w:rPr>
                <w:color w:val="000000"/>
                <w:sz w:val="16"/>
                <w:szCs w:val="16"/>
              </w:rPr>
            </w:pPr>
            <w:r w:rsidRPr="008849C2">
              <w:rPr>
                <w:color w:val="000000"/>
                <w:sz w:val="16"/>
                <w:szCs w:val="16"/>
              </w:rPr>
              <w:t> </w:t>
            </w:r>
          </w:p>
        </w:tc>
        <w:tc>
          <w:tcPr>
            <w:tcW w:w="406" w:type="dxa"/>
            <w:tcBorders>
              <w:top w:val="single" w:sz="8" w:space="0" w:color="000000"/>
              <w:left w:val="single" w:sz="8" w:space="0" w:color="000000"/>
              <w:bottom w:val="single" w:sz="8" w:space="0" w:color="000000"/>
              <w:right w:val="single" w:sz="8" w:space="0" w:color="000000"/>
            </w:tcBorders>
            <w:shd w:val="clear" w:color="000000" w:fill="DBE5F1"/>
            <w:textDirection w:val="btLr"/>
            <w:vAlign w:val="bottom"/>
          </w:tcPr>
          <w:p w:rsidR="00DC207C" w:rsidRPr="008849C2" w:rsidRDefault="00DC207C" w:rsidP="00097A19">
            <w:pPr>
              <w:jc w:val="right"/>
              <w:rPr>
                <w:color w:val="000000"/>
                <w:sz w:val="16"/>
                <w:szCs w:val="16"/>
              </w:rPr>
            </w:pPr>
            <w:r w:rsidRPr="008849C2">
              <w:rPr>
                <w:color w:val="000000"/>
                <w:sz w:val="16"/>
                <w:szCs w:val="16"/>
              </w:rPr>
              <w:t>Alamo2</w:t>
            </w:r>
          </w:p>
        </w:tc>
        <w:tc>
          <w:tcPr>
            <w:tcW w:w="442" w:type="dxa"/>
            <w:tcBorders>
              <w:top w:val="nil"/>
              <w:left w:val="nil"/>
              <w:bottom w:val="nil"/>
              <w:right w:val="nil"/>
            </w:tcBorders>
            <w:vAlign w:val="bottom"/>
          </w:tcPr>
          <w:p w:rsidR="00DC207C" w:rsidRPr="008849C2" w:rsidRDefault="00DC207C" w:rsidP="00097A19">
            <w:pPr>
              <w:rPr>
                <w:color w:val="000000"/>
                <w:sz w:val="16"/>
                <w:szCs w:val="16"/>
              </w:rPr>
            </w:pPr>
          </w:p>
        </w:tc>
        <w:tc>
          <w:tcPr>
            <w:tcW w:w="759" w:type="dxa"/>
            <w:tcBorders>
              <w:top w:val="single" w:sz="4" w:space="0" w:color="auto"/>
              <w:left w:val="single" w:sz="4" w:space="0" w:color="auto"/>
              <w:bottom w:val="single" w:sz="4" w:space="0" w:color="auto"/>
              <w:right w:val="single" w:sz="4" w:space="0" w:color="auto"/>
            </w:tcBorders>
            <w:vAlign w:val="center"/>
          </w:tcPr>
          <w:p w:rsidR="00DC207C" w:rsidRPr="008849C2" w:rsidRDefault="00DC207C" w:rsidP="00097A19">
            <w:pPr>
              <w:jc w:val="center"/>
              <w:rPr>
                <w:sz w:val="16"/>
                <w:szCs w:val="16"/>
              </w:rPr>
            </w:pPr>
            <w:r w:rsidRPr="008849C2">
              <w:rPr>
                <w:sz w:val="16"/>
                <w:szCs w:val="16"/>
              </w:rPr>
              <w:t>COMT2 (+)</w:t>
            </w:r>
          </w:p>
        </w:tc>
        <w:tc>
          <w:tcPr>
            <w:tcW w:w="256" w:type="dxa"/>
            <w:tcBorders>
              <w:top w:val="nil"/>
              <w:left w:val="nil"/>
              <w:bottom w:val="nil"/>
              <w:right w:val="nil"/>
            </w:tcBorders>
            <w:vAlign w:val="center"/>
          </w:tcPr>
          <w:p w:rsidR="00DC207C" w:rsidRPr="008849C2" w:rsidRDefault="00DC207C" w:rsidP="00097A19">
            <w:pPr>
              <w:jc w:val="center"/>
              <w:rPr>
                <w:color w:val="000000"/>
                <w:sz w:val="16"/>
                <w:szCs w:val="16"/>
              </w:rPr>
            </w:pPr>
          </w:p>
        </w:tc>
        <w:tc>
          <w:tcPr>
            <w:tcW w:w="759" w:type="dxa"/>
            <w:tcBorders>
              <w:top w:val="single" w:sz="4" w:space="0" w:color="auto"/>
              <w:left w:val="single" w:sz="4" w:space="0" w:color="auto"/>
              <w:bottom w:val="single" w:sz="4" w:space="0" w:color="auto"/>
              <w:right w:val="single" w:sz="4" w:space="0" w:color="auto"/>
            </w:tcBorders>
            <w:vAlign w:val="center"/>
          </w:tcPr>
          <w:p w:rsidR="00DC207C" w:rsidRPr="008849C2" w:rsidRDefault="00DC207C" w:rsidP="00097A19">
            <w:pPr>
              <w:jc w:val="center"/>
              <w:rPr>
                <w:color w:val="000000"/>
                <w:sz w:val="16"/>
                <w:szCs w:val="16"/>
              </w:rPr>
            </w:pPr>
            <w:r w:rsidRPr="008849C2">
              <w:rPr>
                <w:color w:val="000000"/>
                <w:sz w:val="16"/>
                <w:szCs w:val="16"/>
              </w:rPr>
              <w:t>COMT3 (+)</w:t>
            </w:r>
          </w:p>
        </w:tc>
        <w:tc>
          <w:tcPr>
            <w:tcW w:w="256" w:type="dxa"/>
            <w:tcBorders>
              <w:top w:val="nil"/>
              <w:left w:val="nil"/>
              <w:bottom w:val="nil"/>
              <w:right w:val="nil"/>
            </w:tcBorders>
            <w:vAlign w:val="center"/>
          </w:tcPr>
          <w:p w:rsidR="00DC207C" w:rsidRPr="008849C2" w:rsidRDefault="00DC207C" w:rsidP="00097A19">
            <w:pPr>
              <w:jc w:val="center"/>
              <w:rPr>
                <w:color w:val="000000"/>
                <w:sz w:val="16"/>
                <w:szCs w:val="16"/>
              </w:rPr>
            </w:pPr>
          </w:p>
        </w:tc>
        <w:tc>
          <w:tcPr>
            <w:tcW w:w="759" w:type="dxa"/>
            <w:tcBorders>
              <w:top w:val="single" w:sz="4" w:space="0" w:color="auto"/>
              <w:left w:val="single" w:sz="4" w:space="0" w:color="auto"/>
              <w:bottom w:val="single" w:sz="4" w:space="0" w:color="auto"/>
              <w:right w:val="single" w:sz="4" w:space="0" w:color="auto"/>
            </w:tcBorders>
            <w:vAlign w:val="center"/>
          </w:tcPr>
          <w:p w:rsidR="00DC207C" w:rsidRPr="008849C2" w:rsidRDefault="00DC207C" w:rsidP="00097A19">
            <w:pPr>
              <w:jc w:val="center"/>
              <w:rPr>
                <w:color w:val="000000"/>
                <w:sz w:val="16"/>
                <w:szCs w:val="16"/>
              </w:rPr>
            </w:pPr>
            <w:r w:rsidRPr="008849C2">
              <w:rPr>
                <w:color w:val="000000"/>
                <w:sz w:val="16"/>
                <w:szCs w:val="16"/>
              </w:rPr>
              <w:t>COMT3 (+)</w:t>
            </w:r>
          </w:p>
        </w:tc>
        <w:tc>
          <w:tcPr>
            <w:tcW w:w="256" w:type="dxa"/>
            <w:tcBorders>
              <w:top w:val="nil"/>
              <w:left w:val="nil"/>
              <w:bottom w:val="nil"/>
              <w:right w:val="nil"/>
            </w:tcBorders>
            <w:vAlign w:val="center"/>
          </w:tcPr>
          <w:p w:rsidR="00DC207C" w:rsidRPr="008849C2" w:rsidRDefault="00DC207C" w:rsidP="00097A19">
            <w:pPr>
              <w:jc w:val="center"/>
              <w:rPr>
                <w:color w:val="000000"/>
                <w:sz w:val="16"/>
                <w:szCs w:val="16"/>
              </w:rPr>
            </w:pPr>
          </w:p>
        </w:tc>
        <w:tc>
          <w:tcPr>
            <w:tcW w:w="759" w:type="dxa"/>
            <w:tcBorders>
              <w:top w:val="single" w:sz="4" w:space="0" w:color="auto"/>
              <w:left w:val="single" w:sz="4" w:space="0" w:color="auto"/>
              <w:bottom w:val="single" w:sz="4" w:space="0" w:color="auto"/>
              <w:right w:val="single" w:sz="4" w:space="0" w:color="auto"/>
            </w:tcBorders>
            <w:vAlign w:val="center"/>
          </w:tcPr>
          <w:p w:rsidR="00DC207C" w:rsidRPr="008849C2" w:rsidRDefault="00DC207C" w:rsidP="00097A19">
            <w:pPr>
              <w:jc w:val="center"/>
              <w:rPr>
                <w:sz w:val="16"/>
                <w:szCs w:val="16"/>
              </w:rPr>
            </w:pPr>
            <w:r w:rsidRPr="008849C2">
              <w:rPr>
                <w:sz w:val="16"/>
                <w:szCs w:val="16"/>
              </w:rPr>
              <w:t>COMT2 (+)</w:t>
            </w:r>
          </w:p>
        </w:tc>
        <w:tc>
          <w:tcPr>
            <w:tcW w:w="256" w:type="dxa"/>
            <w:tcBorders>
              <w:top w:val="nil"/>
              <w:left w:val="nil"/>
              <w:bottom w:val="nil"/>
              <w:right w:val="nil"/>
            </w:tcBorders>
            <w:vAlign w:val="center"/>
          </w:tcPr>
          <w:p w:rsidR="00DC207C" w:rsidRPr="008849C2" w:rsidRDefault="00DC207C" w:rsidP="00097A19">
            <w:pPr>
              <w:jc w:val="center"/>
              <w:rPr>
                <w:color w:val="000000"/>
                <w:sz w:val="16"/>
                <w:szCs w:val="16"/>
              </w:rPr>
            </w:pPr>
          </w:p>
        </w:tc>
        <w:tc>
          <w:tcPr>
            <w:tcW w:w="759" w:type="dxa"/>
            <w:tcBorders>
              <w:top w:val="single" w:sz="4" w:space="0" w:color="auto"/>
              <w:left w:val="single" w:sz="4" w:space="0" w:color="auto"/>
              <w:bottom w:val="single" w:sz="4" w:space="0" w:color="auto"/>
              <w:right w:val="single" w:sz="4" w:space="0" w:color="auto"/>
            </w:tcBorders>
            <w:vAlign w:val="center"/>
          </w:tcPr>
          <w:p w:rsidR="00DC207C" w:rsidRPr="008849C2" w:rsidRDefault="00DC207C" w:rsidP="00097A19">
            <w:pPr>
              <w:jc w:val="center"/>
              <w:rPr>
                <w:color w:val="000000"/>
                <w:sz w:val="16"/>
                <w:szCs w:val="16"/>
              </w:rPr>
            </w:pPr>
            <w:r w:rsidRPr="008849C2">
              <w:rPr>
                <w:color w:val="000000"/>
                <w:sz w:val="16"/>
                <w:szCs w:val="16"/>
              </w:rPr>
              <w:t>COMT3 (+)</w:t>
            </w:r>
          </w:p>
        </w:tc>
        <w:tc>
          <w:tcPr>
            <w:tcW w:w="256" w:type="dxa"/>
            <w:tcBorders>
              <w:top w:val="nil"/>
              <w:left w:val="nil"/>
              <w:bottom w:val="nil"/>
              <w:right w:val="nil"/>
            </w:tcBorders>
            <w:vAlign w:val="bottom"/>
          </w:tcPr>
          <w:p w:rsidR="00DC207C" w:rsidRPr="008849C2" w:rsidRDefault="00DC207C" w:rsidP="00097A19">
            <w:pPr>
              <w:rPr>
                <w:color w:val="000000"/>
                <w:sz w:val="16"/>
                <w:szCs w:val="16"/>
              </w:rPr>
            </w:pPr>
          </w:p>
        </w:tc>
        <w:tc>
          <w:tcPr>
            <w:tcW w:w="406" w:type="dxa"/>
            <w:tcBorders>
              <w:top w:val="single" w:sz="8" w:space="0" w:color="000000"/>
              <w:left w:val="single" w:sz="8" w:space="0" w:color="000000"/>
              <w:bottom w:val="single" w:sz="8" w:space="0" w:color="000000"/>
              <w:right w:val="single" w:sz="8" w:space="0" w:color="000000"/>
            </w:tcBorders>
            <w:shd w:val="clear" w:color="000000" w:fill="DBE5F1"/>
            <w:textDirection w:val="btLr"/>
            <w:vAlign w:val="bottom"/>
          </w:tcPr>
          <w:p w:rsidR="00DC207C" w:rsidRPr="008849C2" w:rsidRDefault="00DC207C" w:rsidP="00097A19">
            <w:pPr>
              <w:jc w:val="right"/>
              <w:rPr>
                <w:color w:val="000000"/>
                <w:sz w:val="16"/>
                <w:szCs w:val="16"/>
              </w:rPr>
            </w:pPr>
            <w:r w:rsidRPr="008849C2">
              <w:rPr>
                <w:color w:val="000000"/>
                <w:sz w:val="16"/>
                <w:szCs w:val="16"/>
              </w:rPr>
              <w:t>Alamo2</w:t>
            </w:r>
          </w:p>
        </w:tc>
        <w:tc>
          <w:tcPr>
            <w:tcW w:w="541" w:type="dxa"/>
            <w:tcBorders>
              <w:top w:val="nil"/>
              <w:left w:val="nil"/>
              <w:bottom w:val="nil"/>
              <w:right w:val="nil"/>
            </w:tcBorders>
            <w:shd w:val="clear" w:color="000000" w:fill="D7E4BC"/>
            <w:vAlign w:val="center"/>
          </w:tcPr>
          <w:p w:rsidR="00DC207C" w:rsidRPr="008849C2" w:rsidRDefault="00DC207C" w:rsidP="00097A19">
            <w:pPr>
              <w:jc w:val="center"/>
              <w:rPr>
                <w:color w:val="000000"/>
                <w:sz w:val="16"/>
                <w:szCs w:val="16"/>
              </w:rPr>
            </w:pPr>
            <w:r w:rsidRPr="008849C2">
              <w:rPr>
                <w:color w:val="000000"/>
                <w:sz w:val="16"/>
                <w:szCs w:val="16"/>
              </w:rPr>
              <w:t> </w:t>
            </w:r>
          </w:p>
        </w:tc>
      </w:tr>
      <w:tr w:rsidR="00DC207C" w:rsidRPr="007F0DA8" w:rsidTr="00831D05">
        <w:trPr>
          <w:trHeight w:val="551"/>
        </w:trPr>
        <w:tc>
          <w:tcPr>
            <w:tcW w:w="541" w:type="dxa"/>
            <w:tcBorders>
              <w:top w:val="nil"/>
              <w:left w:val="nil"/>
              <w:bottom w:val="nil"/>
              <w:right w:val="nil"/>
            </w:tcBorders>
            <w:shd w:val="clear" w:color="000000" w:fill="D7E4BC"/>
            <w:vAlign w:val="bottom"/>
          </w:tcPr>
          <w:p w:rsidR="00DC207C" w:rsidRPr="008849C2" w:rsidRDefault="00DC207C" w:rsidP="00097A19">
            <w:pPr>
              <w:rPr>
                <w:color w:val="000000"/>
                <w:sz w:val="16"/>
                <w:szCs w:val="16"/>
              </w:rPr>
            </w:pPr>
            <w:r w:rsidRPr="008849C2">
              <w:rPr>
                <w:color w:val="000000"/>
                <w:sz w:val="16"/>
                <w:szCs w:val="16"/>
              </w:rPr>
              <w:t> </w:t>
            </w:r>
          </w:p>
        </w:tc>
        <w:tc>
          <w:tcPr>
            <w:tcW w:w="406" w:type="dxa"/>
            <w:tcBorders>
              <w:top w:val="nil"/>
              <w:left w:val="nil"/>
              <w:bottom w:val="nil"/>
              <w:right w:val="nil"/>
            </w:tcBorders>
            <w:vAlign w:val="bottom"/>
          </w:tcPr>
          <w:p w:rsidR="00DC207C" w:rsidRPr="008849C2" w:rsidRDefault="00DC207C" w:rsidP="00097A19">
            <w:pPr>
              <w:rPr>
                <w:color w:val="000000"/>
                <w:sz w:val="16"/>
                <w:szCs w:val="16"/>
              </w:rPr>
            </w:pPr>
          </w:p>
        </w:tc>
        <w:tc>
          <w:tcPr>
            <w:tcW w:w="442" w:type="dxa"/>
            <w:tcBorders>
              <w:top w:val="nil"/>
              <w:left w:val="nil"/>
              <w:bottom w:val="nil"/>
              <w:right w:val="nil"/>
            </w:tcBorders>
            <w:vAlign w:val="bottom"/>
          </w:tcPr>
          <w:p w:rsidR="00DC207C" w:rsidRPr="008849C2" w:rsidRDefault="00DC207C" w:rsidP="00097A19">
            <w:pPr>
              <w:rPr>
                <w:color w:val="000000"/>
                <w:sz w:val="16"/>
                <w:szCs w:val="16"/>
              </w:rPr>
            </w:pPr>
          </w:p>
        </w:tc>
        <w:tc>
          <w:tcPr>
            <w:tcW w:w="759" w:type="dxa"/>
            <w:tcBorders>
              <w:top w:val="nil"/>
              <w:left w:val="nil"/>
              <w:bottom w:val="nil"/>
              <w:right w:val="nil"/>
            </w:tcBorders>
            <w:vAlign w:val="center"/>
          </w:tcPr>
          <w:p w:rsidR="00DC207C" w:rsidRPr="008849C2" w:rsidRDefault="00DC207C" w:rsidP="00097A19">
            <w:pPr>
              <w:jc w:val="center"/>
              <w:rPr>
                <w:color w:val="000000"/>
                <w:sz w:val="16"/>
                <w:szCs w:val="16"/>
              </w:rPr>
            </w:pPr>
          </w:p>
        </w:tc>
        <w:tc>
          <w:tcPr>
            <w:tcW w:w="256" w:type="dxa"/>
            <w:tcBorders>
              <w:top w:val="nil"/>
              <w:left w:val="nil"/>
              <w:bottom w:val="nil"/>
              <w:right w:val="nil"/>
            </w:tcBorders>
            <w:vAlign w:val="center"/>
          </w:tcPr>
          <w:p w:rsidR="00DC207C" w:rsidRPr="008849C2" w:rsidRDefault="00DC207C" w:rsidP="00097A19">
            <w:pPr>
              <w:jc w:val="center"/>
              <w:rPr>
                <w:color w:val="000000"/>
                <w:sz w:val="16"/>
                <w:szCs w:val="16"/>
              </w:rPr>
            </w:pPr>
          </w:p>
        </w:tc>
        <w:tc>
          <w:tcPr>
            <w:tcW w:w="759" w:type="dxa"/>
            <w:tcBorders>
              <w:top w:val="nil"/>
              <w:left w:val="nil"/>
              <w:bottom w:val="nil"/>
              <w:right w:val="nil"/>
            </w:tcBorders>
            <w:vAlign w:val="center"/>
          </w:tcPr>
          <w:p w:rsidR="00DC207C" w:rsidRPr="008849C2" w:rsidRDefault="00DC207C" w:rsidP="00097A19">
            <w:pPr>
              <w:jc w:val="center"/>
              <w:rPr>
                <w:color w:val="000000"/>
                <w:sz w:val="16"/>
                <w:szCs w:val="16"/>
              </w:rPr>
            </w:pPr>
          </w:p>
        </w:tc>
        <w:tc>
          <w:tcPr>
            <w:tcW w:w="256" w:type="dxa"/>
            <w:tcBorders>
              <w:top w:val="nil"/>
              <w:left w:val="nil"/>
              <w:bottom w:val="nil"/>
              <w:right w:val="nil"/>
            </w:tcBorders>
            <w:vAlign w:val="center"/>
          </w:tcPr>
          <w:p w:rsidR="00DC207C" w:rsidRPr="008849C2" w:rsidRDefault="00DC207C" w:rsidP="00097A19">
            <w:pPr>
              <w:jc w:val="center"/>
              <w:rPr>
                <w:color w:val="000000"/>
                <w:sz w:val="16"/>
                <w:szCs w:val="16"/>
              </w:rPr>
            </w:pPr>
          </w:p>
        </w:tc>
        <w:tc>
          <w:tcPr>
            <w:tcW w:w="759" w:type="dxa"/>
            <w:tcBorders>
              <w:top w:val="nil"/>
              <w:left w:val="nil"/>
              <w:bottom w:val="nil"/>
              <w:right w:val="nil"/>
            </w:tcBorders>
            <w:vAlign w:val="center"/>
          </w:tcPr>
          <w:p w:rsidR="00DC207C" w:rsidRPr="008849C2" w:rsidRDefault="00DC207C" w:rsidP="00097A19">
            <w:pPr>
              <w:jc w:val="center"/>
              <w:rPr>
                <w:color w:val="000000"/>
                <w:sz w:val="16"/>
                <w:szCs w:val="16"/>
              </w:rPr>
            </w:pPr>
          </w:p>
        </w:tc>
        <w:tc>
          <w:tcPr>
            <w:tcW w:w="256" w:type="dxa"/>
            <w:tcBorders>
              <w:top w:val="nil"/>
              <w:left w:val="nil"/>
              <w:bottom w:val="nil"/>
              <w:right w:val="nil"/>
            </w:tcBorders>
            <w:vAlign w:val="center"/>
          </w:tcPr>
          <w:p w:rsidR="00DC207C" w:rsidRPr="008849C2" w:rsidRDefault="00DC207C" w:rsidP="00097A19">
            <w:pPr>
              <w:jc w:val="center"/>
              <w:rPr>
                <w:color w:val="000000"/>
                <w:sz w:val="16"/>
                <w:szCs w:val="16"/>
              </w:rPr>
            </w:pPr>
          </w:p>
        </w:tc>
        <w:tc>
          <w:tcPr>
            <w:tcW w:w="759" w:type="dxa"/>
            <w:tcBorders>
              <w:top w:val="nil"/>
              <w:left w:val="nil"/>
              <w:bottom w:val="nil"/>
              <w:right w:val="nil"/>
            </w:tcBorders>
            <w:vAlign w:val="center"/>
          </w:tcPr>
          <w:p w:rsidR="00DC207C" w:rsidRPr="008849C2" w:rsidRDefault="00DC207C" w:rsidP="00097A19">
            <w:pPr>
              <w:jc w:val="center"/>
              <w:rPr>
                <w:color w:val="000000"/>
                <w:sz w:val="16"/>
                <w:szCs w:val="16"/>
              </w:rPr>
            </w:pPr>
          </w:p>
        </w:tc>
        <w:tc>
          <w:tcPr>
            <w:tcW w:w="256" w:type="dxa"/>
            <w:tcBorders>
              <w:top w:val="nil"/>
              <w:left w:val="nil"/>
              <w:bottom w:val="nil"/>
              <w:right w:val="nil"/>
            </w:tcBorders>
            <w:vAlign w:val="center"/>
          </w:tcPr>
          <w:p w:rsidR="00DC207C" w:rsidRPr="008849C2" w:rsidRDefault="00DC207C" w:rsidP="00097A19">
            <w:pPr>
              <w:jc w:val="center"/>
              <w:rPr>
                <w:color w:val="000000"/>
                <w:sz w:val="16"/>
                <w:szCs w:val="16"/>
              </w:rPr>
            </w:pPr>
          </w:p>
        </w:tc>
        <w:tc>
          <w:tcPr>
            <w:tcW w:w="759" w:type="dxa"/>
            <w:tcBorders>
              <w:top w:val="nil"/>
              <w:left w:val="nil"/>
              <w:bottom w:val="nil"/>
              <w:right w:val="nil"/>
            </w:tcBorders>
            <w:vAlign w:val="center"/>
          </w:tcPr>
          <w:p w:rsidR="00DC207C" w:rsidRPr="008849C2" w:rsidRDefault="00DC207C" w:rsidP="00097A19">
            <w:pPr>
              <w:jc w:val="center"/>
              <w:rPr>
                <w:color w:val="000000"/>
                <w:sz w:val="16"/>
                <w:szCs w:val="16"/>
              </w:rPr>
            </w:pPr>
          </w:p>
        </w:tc>
        <w:tc>
          <w:tcPr>
            <w:tcW w:w="256" w:type="dxa"/>
            <w:tcBorders>
              <w:top w:val="nil"/>
              <w:left w:val="nil"/>
              <w:bottom w:val="nil"/>
              <w:right w:val="nil"/>
            </w:tcBorders>
            <w:vAlign w:val="bottom"/>
          </w:tcPr>
          <w:p w:rsidR="00DC207C" w:rsidRPr="008849C2" w:rsidRDefault="00DC207C" w:rsidP="00097A19">
            <w:pPr>
              <w:rPr>
                <w:color w:val="000000"/>
                <w:sz w:val="16"/>
                <w:szCs w:val="16"/>
              </w:rPr>
            </w:pPr>
          </w:p>
        </w:tc>
        <w:tc>
          <w:tcPr>
            <w:tcW w:w="406" w:type="dxa"/>
            <w:tcBorders>
              <w:top w:val="nil"/>
              <w:left w:val="nil"/>
              <w:bottom w:val="nil"/>
              <w:right w:val="nil"/>
            </w:tcBorders>
            <w:vAlign w:val="bottom"/>
          </w:tcPr>
          <w:p w:rsidR="00DC207C" w:rsidRPr="008849C2" w:rsidRDefault="00DC207C" w:rsidP="00097A19">
            <w:pPr>
              <w:rPr>
                <w:color w:val="000000"/>
                <w:sz w:val="16"/>
                <w:szCs w:val="16"/>
              </w:rPr>
            </w:pPr>
          </w:p>
        </w:tc>
        <w:tc>
          <w:tcPr>
            <w:tcW w:w="541" w:type="dxa"/>
            <w:tcBorders>
              <w:top w:val="nil"/>
              <w:left w:val="nil"/>
              <w:bottom w:val="nil"/>
              <w:right w:val="nil"/>
            </w:tcBorders>
            <w:shd w:val="clear" w:color="000000" w:fill="D7E4BC"/>
            <w:vAlign w:val="bottom"/>
          </w:tcPr>
          <w:p w:rsidR="00DC207C" w:rsidRPr="008849C2" w:rsidRDefault="00DC207C" w:rsidP="00097A19">
            <w:pPr>
              <w:rPr>
                <w:color w:val="000000"/>
                <w:sz w:val="16"/>
                <w:szCs w:val="16"/>
              </w:rPr>
            </w:pPr>
            <w:r w:rsidRPr="008849C2">
              <w:rPr>
                <w:color w:val="000000"/>
                <w:sz w:val="16"/>
                <w:szCs w:val="16"/>
              </w:rPr>
              <w:t> </w:t>
            </w:r>
          </w:p>
        </w:tc>
      </w:tr>
      <w:tr w:rsidR="00DC207C" w:rsidRPr="007F0DA8" w:rsidTr="00831D05">
        <w:trPr>
          <w:trHeight w:val="183"/>
        </w:trPr>
        <w:tc>
          <w:tcPr>
            <w:tcW w:w="541" w:type="dxa"/>
            <w:tcBorders>
              <w:top w:val="nil"/>
              <w:left w:val="nil"/>
              <w:bottom w:val="nil"/>
              <w:right w:val="nil"/>
            </w:tcBorders>
            <w:shd w:val="clear" w:color="000000" w:fill="D7E4BC"/>
            <w:vAlign w:val="bottom"/>
          </w:tcPr>
          <w:p w:rsidR="00DC207C" w:rsidRPr="008849C2" w:rsidRDefault="00DC207C" w:rsidP="00097A19">
            <w:pPr>
              <w:rPr>
                <w:color w:val="000000"/>
                <w:sz w:val="16"/>
                <w:szCs w:val="16"/>
              </w:rPr>
            </w:pPr>
            <w:r w:rsidRPr="008849C2">
              <w:rPr>
                <w:color w:val="000000"/>
                <w:sz w:val="16"/>
                <w:szCs w:val="16"/>
              </w:rPr>
              <w:t> </w:t>
            </w:r>
          </w:p>
        </w:tc>
        <w:tc>
          <w:tcPr>
            <w:tcW w:w="406" w:type="dxa"/>
            <w:tcBorders>
              <w:top w:val="single" w:sz="8" w:space="0" w:color="000000"/>
              <w:left w:val="single" w:sz="8" w:space="0" w:color="000000"/>
              <w:bottom w:val="single" w:sz="8" w:space="0" w:color="000000"/>
              <w:right w:val="single" w:sz="8" w:space="0" w:color="000000"/>
            </w:tcBorders>
            <w:shd w:val="clear" w:color="000000" w:fill="DBE5F1"/>
            <w:vAlign w:val="bottom"/>
          </w:tcPr>
          <w:p w:rsidR="00DC207C" w:rsidRPr="008849C2" w:rsidRDefault="00DC207C" w:rsidP="00097A19">
            <w:pPr>
              <w:rPr>
                <w:color w:val="000000"/>
                <w:sz w:val="16"/>
                <w:szCs w:val="16"/>
              </w:rPr>
            </w:pPr>
            <w:r w:rsidRPr="008849C2">
              <w:rPr>
                <w:color w:val="000000"/>
                <w:sz w:val="16"/>
                <w:szCs w:val="16"/>
              </w:rPr>
              <w:t> </w:t>
            </w:r>
          </w:p>
        </w:tc>
        <w:tc>
          <w:tcPr>
            <w:tcW w:w="442" w:type="dxa"/>
            <w:tcBorders>
              <w:top w:val="nil"/>
              <w:left w:val="nil"/>
              <w:bottom w:val="nil"/>
              <w:right w:val="nil"/>
            </w:tcBorders>
            <w:vAlign w:val="bottom"/>
          </w:tcPr>
          <w:p w:rsidR="00DC207C" w:rsidRPr="008849C2" w:rsidRDefault="00DC207C" w:rsidP="00097A19">
            <w:pPr>
              <w:rPr>
                <w:color w:val="000000"/>
                <w:sz w:val="16"/>
                <w:szCs w:val="16"/>
              </w:rPr>
            </w:pPr>
          </w:p>
        </w:tc>
        <w:tc>
          <w:tcPr>
            <w:tcW w:w="759" w:type="dxa"/>
            <w:tcBorders>
              <w:top w:val="single" w:sz="8" w:space="0" w:color="000000"/>
              <w:left w:val="single" w:sz="8" w:space="0" w:color="000000"/>
              <w:bottom w:val="single" w:sz="8" w:space="0" w:color="000000"/>
              <w:right w:val="single" w:sz="8" w:space="0" w:color="000000"/>
            </w:tcBorders>
            <w:shd w:val="clear" w:color="000000" w:fill="DBE5F1"/>
            <w:vAlign w:val="center"/>
          </w:tcPr>
          <w:p w:rsidR="00DC207C" w:rsidRPr="008849C2" w:rsidRDefault="00DC207C" w:rsidP="00097A19">
            <w:pPr>
              <w:jc w:val="center"/>
              <w:rPr>
                <w:color w:val="000000"/>
                <w:sz w:val="16"/>
                <w:szCs w:val="16"/>
              </w:rPr>
            </w:pPr>
            <w:r w:rsidRPr="008849C2">
              <w:rPr>
                <w:color w:val="000000"/>
                <w:sz w:val="16"/>
                <w:szCs w:val="16"/>
              </w:rPr>
              <w:t>Alamo2</w:t>
            </w:r>
          </w:p>
        </w:tc>
        <w:tc>
          <w:tcPr>
            <w:tcW w:w="256" w:type="dxa"/>
            <w:tcBorders>
              <w:top w:val="nil"/>
              <w:left w:val="nil"/>
              <w:bottom w:val="nil"/>
              <w:right w:val="nil"/>
            </w:tcBorders>
            <w:vAlign w:val="bottom"/>
          </w:tcPr>
          <w:p w:rsidR="00DC207C" w:rsidRPr="008849C2" w:rsidRDefault="00DC207C" w:rsidP="00097A19">
            <w:pPr>
              <w:jc w:val="center"/>
              <w:rPr>
                <w:color w:val="000000"/>
                <w:sz w:val="16"/>
                <w:szCs w:val="16"/>
              </w:rPr>
            </w:pPr>
          </w:p>
        </w:tc>
        <w:tc>
          <w:tcPr>
            <w:tcW w:w="759" w:type="dxa"/>
            <w:tcBorders>
              <w:top w:val="single" w:sz="8" w:space="0" w:color="000000"/>
              <w:left w:val="single" w:sz="8" w:space="0" w:color="000000"/>
              <w:bottom w:val="single" w:sz="8" w:space="0" w:color="000000"/>
              <w:right w:val="single" w:sz="8" w:space="0" w:color="000000"/>
            </w:tcBorders>
            <w:shd w:val="clear" w:color="000000" w:fill="DBE5F1"/>
            <w:vAlign w:val="center"/>
          </w:tcPr>
          <w:p w:rsidR="00DC207C" w:rsidRPr="008849C2" w:rsidRDefault="00DC207C" w:rsidP="00097A19">
            <w:pPr>
              <w:jc w:val="center"/>
              <w:rPr>
                <w:color w:val="000000"/>
                <w:sz w:val="16"/>
                <w:szCs w:val="16"/>
              </w:rPr>
            </w:pPr>
            <w:r w:rsidRPr="008849C2">
              <w:rPr>
                <w:color w:val="000000"/>
                <w:sz w:val="16"/>
                <w:szCs w:val="16"/>
              </w:rPr>
              <w:t>Alamo2</w:t>
            </w:r>
          </w:p>
        </w:tc>
        <w:tc>
          <w:tcPr>
            <w:tcW w:w="256" w:type="dxa"/>
            <w:tcBorders>
              <w:top w:val="nil"/>
              <w:left w:val="nil"/>
              <w:bottom w:val="nil"/>
              <w:right w:val="nil"/>
            </w:tcBorders>
            <w:vAlign w:val="bottom"/>
          </w:tcPr>
          <w:p w:rsidR="00DC207C" w:rsidRPr="008849C2" w:rsidRDefault="00DC207C" w:rsidP="00097A19">
            <w:pPr>
              <w:jc w:val="center"/>
              <w:rPr>
                <w:color w:val="000000"/>
                <w:sz w:val="16"/>
                <w:szCs w:val="16"/>
              </w:rPr>
            </w:pPr>
          </w:p>
        </w:tc>
        <w:tc>
          <w:tcPr>
            <w:tcW w:w="759" w:type="dxa"/>
            <w:tcBorders>
              <w:top w:val="single" w:sz="8" w:space="0" w:color="000000"/>
              <w:left w:val="single" w:sz="8" w:space="0" w:color="000000"/>
              <w:bottom w:val="single" w:sz="8" w:space="0" w:color="000000"/>
              <w:right w:val="single" w:sz="8" w:space="0" w:color="000000"/>
            </w:tcBorders>
            <w:shd w:val="clear" w:color="000000" w:fill="DBE5F1"/>
            <w:vAlign w:val="center"/>
          </w:tcPr>
          <w:p w:rsidR="00DC207C" w:rsidRPr="008849C2" w:rsidRDefault="00DC207C" w:rsidP="00097A19">
            <w:pPr>
              <w:jc w:val="center"/>
              <w:rPr>
                <w:color w:val="000000"/>
                <w:sz w:val="16"/>
                <w:szCs w:val="16"/>
              </w:rPr>
            </w:pPr>
            <w:r w:rsidRPr="008849C2">
              <w:rPr>
                <w:color w:val="000000"/>
                <w:sz w:val="16"/>
                <w:szCs w:val="16"/>
              </w:rPr>
              <w:t>Alamo2</w:t>
            </w:r>
          </w:p>
        </w:tc>
        <w:tc>
          <w:tcPr>
            <w:tcW w:w="256" w:type="dxa"/>
            <w:tcBorders>
              <w:top w:val="nil"/>
              <w:left w:val="nil"/>
              <w:bottom w:val="nil"/>
              <w:right w:val="nil"/>
            </w:tcBorders>
            <w:vAlign w:val="bottom"/>
          </w:tcPr>
          <w:p w:rsidR="00DC207C" w:rsidRPr="008849C2" w:rsidRDefault="00DC207C" w:rsidP="00097A19">
            <w:pPr>
              <w:jc w:val="center"/>
              <w:rPr>
                <w:color w:val="000000"/>
                <w:sz w:val="16"/>
                <w:szCs w:val="16"/>
              </w:rPr>
            </w:pPr>
          </w:p>
        </w:tc>
        <w:tc>
          <w:tcPr>
            <w:tcW w:w="759" w:type="dxa"/>
            <w:tcBorders>
              <w:top w:val="single" w:sz="8" w:space="0" w:color="000000"/>
              <w:left w:val="single" w:sz="8" w:space="0" w:color="000000"/>
              <w:bottom w:val="single" w:sz="8" w:space="0" w:color="000000"/>
              <w:right w:val="single" w:sz="8" w:space="0" w:color="000000"/>
            </w:tcBorders>
            <w:shd w:val="clear" w:color="000000" w:fill="DBE5F1"/>
            <w:vAlign w:val="center"/>
          </w:tcPr>
          <w:p w:rsidR="00DC207C" w:rsidRPr="008849C2" w:rsidRDefault="00DC207C" w:rsidP="00097A19">
            <w:pPr>
              <w:jc w:val="center"/>
              <w:rPr>
                <w:color w:val="000000"/>
                <w:sz w:val="16"/>
                <w:szCs w:val="16"/>
              </w:rPr>
            </w:pPr>
            <w:r w:rsidRPr="008849C2">
              <w:rPr>
                <w:color w:val="000000"/>
                <w:sz w:val="16"/>
                <w:szCs w:val="16"/>
              </w:rPr>
              <w:t>Alamo2</w:t>
            </w:r>
          </w:p>
        </w:tc>
        <w:tc>
          <w:tcPr>
            <w:tcW w:w="256" w:type="dxa"/>
            <w:tcBorders>
              <w:top w:val="nil"/>
              <w:left w:val="nil"/>
              <w:bottom w:val="nil"/>
              <w:right w:val="nil"/>
            </w:tcBorders>
            <w:vAlign w:val="bottom"/>
          </w:tcPr>
          <w:p w:rsidR="00DC207C" w:rsidRPr="008849C2" w:rsidRDefault="00DC207C" w:rsidP="00097A19">
            <w:pPr>
              <w:jc w:val="center"/>
              <w:rPr>
                <w:color w:val="000000"/>
                <w:sz w:val="16"/>
                <w:szCs w:val="16"/>
              </w:rPr>
            </w:pPr>
          </w:p>
        </w:tc>
        <w:tc>
          <w:tcPr>
            <w:tcW w:w="759" w:type="dxa"/>
            <w:tcBorders>
              <w:top w:val="single" w:sz="8" w:space="0" w:color="000000"/>
              <w:left w:val="single" w:sz="8" w:space="0" w:color="000000"/>
              <w:bottom w:val="single" w:sz="8" w:space="0" w:color="000000"/>
              <w:right w:val="single" w:sz="8" w:space="0" w:color="000000"/>
            </w:tcBorders>
            <w:shd w:val="clear" w:color="000000" w:fill="DBE5F1"/>
            <w:vAlign w:val="center"/>
          </w:tcPr>
          <w:p w:rsidR="00DC207C" w:rsidRPr="008849C2" w:rsidRDefault="00DC207C" w:rsidP="00097A19">
            <w:pPr>
              <w:jc w:val="center"/>
              <w:rPr>
                <w:color w:val="000000"/>
                <w:sz w:val="16"/>
                <w:szCs w:val="16"/>
              </w:rPr>
            </w:pPr>
            <w:r w:rsidRPr="008849C2">
              <w:rPr>
                <w:color w:val="000000"/>
                <w:sz w:val="16"/>
                <w:szCs w:val="16"/>
              </w:rPr>
              <w:t>Alamo2</w:t>
            </w:r>
          </w:p>
        </w:tc>
        <w:tc>
          <w:tcPr>
            <w:tcW w:w="256" w:type="dxa"/>
            <w:tcBorders>
              <w:top w:val="nil"/>
              <w:left w:val="nil"/>
              <w:bottom w:val="nil"/>
              <w:right w:val="nil"/>
            </w:tcBorders>
            <w:vAlign w:val="bottom"/>
          </w:tcPr>
          <w:p w:rsidR="00DC207C" w:rsidRPr="008849C2" w:rsidRDefault="00DC207C" w:rsidP="00097A19">
            <w:pPr>
              <w:rPr>
                <w:color w:val="000000"/>
                <w:sz w:val="16"/>
                <w:szCs w:val="16"/>
              </w:rPr>
            </w:pPr>
          </w:p>
        </w:tc>
        <w:tc>
          <w:tcPr>
            <w:tcW w:w="406" w:type="dxa"/>
            <w:tcBorders>
              <w:top w:val="single" w:sz="8" w:space="0" w:color="000000"/>
              <w:left w:val="single" w:sz="8" w:space="0" w:color="000000"/>
              <w:bottom w:val="single" w:sz="8" w:space="0" w:color="000000"/>
              <w:right w:val="single" w:sz="8" w:space="0" w:color="000000"/>
            </w:tcBorders>
            <w:shd w:val="clear" w:color="000000" w:fill="DBE5F1"/>
            <w:vAlign w:val="bottom"/>
          </w:tcPr>
          <w:p w:rsidR="00DC207C" w:rsidRPr="008849C2" w:rsidRDefault="00DC207C" w:rsidP="00097A19">
            <w:pPr>
              <w:rPr>
                <w:color w:val="000000"/>
                <w:sz w:val="16"/>
                <w:szCs w:val="16"/>
              </w:rPr>
            </w:pPr>
            <w:r w:rsidRPr="008849C2">
              <w:rPr>
                <w:color w:val="000000"/>
                <w:sz w:val="16"/>
                <w:szCs w:val="16"/>
              </w:rPr>
              <w:t> </w:t>
            </w:r>
          </w:p>
        </w:tc>
        <w:tc>
          <w:tcPr>
            <w:tcW w:w="541" w:type="dxa"/>
            <w:tcBorders>
              <w:top w:val="nil"/>
              <w:left w:val="nil"/>
              <w:bottom w:val="nil"/>
              <w:right w:val="nil"/>
            </w:tcBorders>
            <w:shd w:val="clear" w:color="000000" w:fill="D7E4BC"/>
            <w:vAlign w:val="bottom"/>
          </w:tcPr>
          <w:p w:rsidR="00DC207C" w:rsidRPr="008849C2" w:rsidRDefault="00DC207C" w:rsidP="00097A19">
            <w:pPr>
              <w:rPr>
                <w:color w:val="000000"/>
                <w:sz w:val="16"/>
                <w:szCs w:val="16"/>
              </w:rPr>
            </w:pPr>
            <w:r w:rsidRPr="008849C2">
              <w:rPr>
                <w:color w:val="000000"/>
                <w:sz w:val="16"/>
                <w:szCs w:val="16"/>
              </w:rPr>
              <w:t> </w:t>
            </w:r>
          </w:p>
        </w:tc>
      </w:tr>
      <w:tr w:rsidR="00831D05" w:rsidRPr="007F0DA8" w:rsidTr="00831D05">
        <w:trPr>
          <w:trHeight w:val="551"/>
        </w:trPr>
        <w:tc>
          <w:tcPr>
            <w:tcW w:w="541" w:type="dxa"/>
            <w:tcBorders>
              <w:top w:val="nil"/>
              <w:left w:val="nil"/>
              <w:bottom w:val="nil"/>
              <w:right w:val="nil"/>
            </w:tcBorders>
            <w:shd w:val="clear" w:color="000000" w:fill="D7E4BC"/>
            <w:vAlign w:val="center"/>
          </w:tcPr>
          <w:p w:rsidR="00831D05" w:rsidRPr="00831D05" w:rsidRDefault="00831D05" w:rsidP="00831D05">
            <w:pPr>
              <w:jc w:val="center"/>
              <w:rPr>
                <w:color w:val="000000"/>
                <w:sz w:val="14"/>
                <w:szCs w:val="14"/>
              </w:rPr>
            </w:pPr>
            <w:r w:rsidRPr="00831D05">
              <w:rPr>
                <w:b/>
                <w:sz w:val="14"/>
                <w:szCs w:val="14"/>
              </w:rPr>
              <w:br w:type="page"/>
            </w:r>
            <w:r w:rsidRPr="00831D05">
              <w:rPr>
                <w:color w:val="000000"/>
                <w:sz w:val="14"/>
                <w:szCs w:val="14"/>
              </w:rPr>
              <w:t>3.0</w:t>
            </w:r>
            <w:r>
              <w:rPr>
                <w:color w:val="000000"/>
                <w:sz w:val="14"/>
                <w:szCs w:val="14"/>
              </w:rPr>
              <w:t>m</w:t>
            </w:r>
          </w:p>
        </w:tc>
        <w:tc>
          <w:tcPr>
            <w:tcW w:w="406" w:type="dxa"/>
            <w:tcBorders>
              <w:top w:val="nil"/>
              <w:left w:val="nil"/>
              <w:bottom w:val="nil"/>
              <w:right w:val="nil"/>
            </w:tcBorders>
            <w:shd w:val="clear" w:color="000000" w:fill="D7E4BC"/>
            <w:vAlign w:val="bottom"/>
          </w:tcPr>
          <w:p w:rsidR="00831D05" w:rsidRPr="008849C2" w:rsidRDefault="00831D05" w:rsidP="00831D05">
            <w:pPr>
              <w:rPr>
                <w:color w:val="000000"/>
                <w:sz w:val="16"/>
                <w:szCs w:val="16"/>
              </w:rPr>
            </w:pPr>
            <w:r w:rsidRPr="008849C2">
              <w:rPr>
                <w:color w:val="000000"/>
                <w:sz w:val="16"/>
                <w:szCs w:val="16"/>
              </w:rPr>
              <w:t> </w:t>
            </w:r>
          </w:p>
        </w:tc>
        <w:tc>
          <w:tcPr>
            <w:tcW w:w="442" w:type="dxa"/>
            <w:tcBorders>
              <w:top w:val="nil"/>
              <w:left w:val="nil"/>
              <w:bottom w:val="nil"/>
              <w:right w:val="nil"/>
            </w:tcBorders>
            <w:shd w:val="clear" w:color="000000" w:fill="D7E4BC"/>
            <w:vAlign w:val="bottom"/>
          </w:tcPr>
          <w:p w:rsidR="00831D05" w:rsidRPr="008849C2" w:rsidRDefault="00831D05" w:rsidP="00831D05">
            <w:pPr>
              <w:rPr>
                <w:color w:val="000000"/>
                <w:sz w:val="16"/>
                <w:szCs w:val="16"/>
              </w:rPr>
            </w:pPr>
            <w:r w:rsidRPr="008849C2">
              <w:rPr>
                <w:color w:val="000000"/>
                <w:sz w:val="16"/>
                <w:szCs w:val="16"/>
              </w:rPr>
              <w:t> </w:t>
            </w:r>
          </w:p>
        </w:tc>
        <w:tc>
          <w:tcPr>
            <w:tcW w:w="759" w:type="dxa"/>
            <w:tcBorders>
              <w:top w:val="nil"/>
              <w:left w:val="nil"/>
              <w:bottom w:val="nil"/>
              <w:right w:val="nil"/>
            </w:tcBorders>
            <w:shd w:val="clear" w:color="000000" w:fill="D7E4BC"/>
            <w:vAlign w:val="center"/>
          </w:tcPr>
          <w:p w:rsidR="00831D05" w:rsidRPr="008849C2" w:rsidRDefault="00831D05" w:rsidP="00831D05">
            <w:pPr>
              <w:jc w:val="center"/>
              <w:rPr>
                <w:color w:val="000000"/>
                <w:sz w:val="16"/>
                <w:szCs w:val="16"/>
              </w:rPr>
            </w:pPr>
            <w:r w:rsidRPr="008849C2">
              <w:rPr>
                <w:color w:val="000000"/>
                <w:sz w:val="16"/>
                <w:szCs w:val="16"/>
              </w:rPr>
              <w:t> </w:t>
            </w:r>
          </w:p>
        </w:tc>
        <w:tc>
          <w:tcPr>
            <w:tcW w:w="256" w:type="dxa"/>
            <w:tcBorders>
              <w:top w:val="nil"/>
              <w:left w:val="nil"/>
              <w:bottom w:val="nil"/>
              <w:right w:val="nil"/>
            </w:tcBorders>
            <w:shd w:val="clear" w:color="000000" w:fill="D7E4BC"/>
            <w:vAlign w:val="center"/>
          </w:tcPr>
          <w:p w:rsidR="00831D05" w:rsidRPr="008849C2" w:rsidRDefault="00831D05" w:rsidP="00831D05">
            <w:pPr>
              <w:jc w:val="center"/>
              <w:rPr>
                <w:color w:val="000000"/>
                <w:sz w:val="16"/>
                <w:szCs w:val="16"/>
              </w:rPr>
            </w:pPr>
            <w:r w:rsidRPr="008849C2">
              <w:rPr>
                <w:color w:val="000000"/>
                <w:sz w:val="16"/>
                <w:szCs w:val="16"/>
              </w:rPr>
              <w:t> </w:t>
            </w:r>
          </w:p>
        </w:tc>
        <w:tc>
          <w:tcPr>
            <w:tcW w:w="759" w:type="dxa"/>
            <w:tcBorders>
              <w:top w:val="nil"/>
              <w:left w:val="nil"/>
              <w:bottom w:val="nil"/>
              <w:right w:val="nil"/>
            </w:tcBorders>
            <w:shd w:val="clear" w:color="000000" w:fill="D7E4BC"/>
            <w:vAlign w:val="center"/>
          </w:tcPr>
          <w:p w:rsidR="00831D05" w:rsidRPr="008849C2" w:rsidRDefault="00831D05" w:rsidP="00831D05">
            <w:pPr>
              <w:jc w:val="center"/>
              <w:rPr>
                <w:color w:val="000000"/>
                <w:sz w:val="16"/>
                <w:szCs w:val="16"/>
              </w:rPr>
            </w:pPr>
            <w:r w:rsidRPr="008849C2">
              <w:rPr>
                <w:color w:val="000000"/>
                <w:sz w:val="16"/>
                <w:szCs w:val="16"/>
              </w:rPr>
              <w:t> </w:t>
            </w:r>
          </w:p>
        </w:tc>
        <w:tc>
          <w:tcPr>
            <w:tcW w:w="256" w:type="dxa"/>
            <w:tcBorders>
              <w:top w:val="nil"/>
              <w:left w:val="nil"/>
              <w:bottom w:val="nil"/>
              <w:right w:val="nil"/>
            </w:tcBorders>
            <w:shd w:val="clear" w:color="000000" w:fill="D7E4BC"/>
            <w:vAlign w:val="center"/>
          </w:tcPr>
          <w:p w:rsidR="00831D05" w:rsidRPr="008849C2" w:rsidRDefault="00831D05" w:rsidP="00831D05">
            <w:pPr>
              <w:jc w:val="center"/>
              <w:rPr>
                <w:color w:val="000000"/>
                <w:sz w:val="16"/>
                <w:szCs w:val="16"/>
              </w:rPr>
            </w:pPr>
            <w:r w:rsidRPr="008849C2">
              <w:rPr>
                <w:color w:val="000000"/>
                <w:sz w:val="16"/>
                <w:szCs w:val="16"/>
              </w:rPr>
              <w:t> </w:t>
            </w:r>
          </w:p>
        </w:tc>
        <w:tc>
          <w:tcPr>
            <w:tcW w:w="759" w:type="dxa"/>
            <w:tcBorders>
              <w:top w:val="nil"/>
              <w:left w:val="nil"/>
              <w:bottom w:val="nil"/>
              <w:right w:val="nil"/>
            </w:tcBorders>
            <w:shd w:val="clear" w:color="000000" w:fill="D7E4BC"/>
            <w:vAlign w:val="center"/>
          </w:tcPr>
          <w:p w:rsidR="00831D05" w:rsidRPr="008849C2" w:rsidRDefault="00831D05" w:rsidP="00831D05">
            <w:pPr>
              <w:jc w:val="center"/>
              <w:rPr>
                <w:color w:val="000000"/>
                <w:sz w:val="16"/>
                <w:szCs w:val="16"/>
              </w:rPr>
            </w:pPr>
            <w:r w:rsidRPr="008849C2">
              <w:rPr>
                <w:color w:val="000000"/>
                <w:sz w:val="16"/>
                <w:szCs w:val="16"/>
              </w:rPr>
              <w:t>Fallow space</w:t>
            </w:r>
          </w:p>
        </w:tc>
        <w:tc>
          <w:tcPr>
            <w:tcW w:w="256" w:type="dxa"/>
            <w:tcBorders>
              <w:top w:val="nil"/>
              <w:left w:val="nil"/>
              <w:bottom w:val="nil"/>
              <w:right w:val="nil"/>
            </w:tcBorders>
            <w:shd w:val="clear" w:color="000000" w:fill="D7E4BC"/>
            <w:vAlign w:val="center"/>
          </w:tcPr>
          <w:p w:rsidR="00831D05" w:rsidRPr="008849C2" w:rsidRDefault="00831D05" w:rsidP="00831D05">
            <w:pPr>
              <w:jc w:val="center"/>
              <w:rPr>
                <w:color w:val="000000"/>
                <w:sz w:val="16"/>
                <w:szCs w:val="16"/>
              </w:rPr>
            </w:pPr>
            <w:r w:rsidRPr="008849C2">
              <w:rPr>
                <w:color w:val="000000"/>
                <w:sz w:val="16"/>
                <w:szCs w:val="16"/>
              </w:rPr>
              <w:t> </w:t>
            </w:r>
          </w:p>
        </w:tc>
        <w:tc>
          <w:tcPr>
            <w:tcW w:w="759" w:type="dxa"/>
            <w:tcBorders>
              <w:top w:val="nil"/>
              <w:left w:val="nil"/>
              <w:bottom w:val="nil"/>
              <w:right w:val="nil"/>
            </w:tcBorders>
            <w:shd w:val="clear" w:color="000000" w:fill="D7E4BC"/>
            <w:vAlign w:val="center"/>
          </w:tcPr>
          <w:p w:rsidR="00831D05" w:rsidRPr="008849C2" w:rsidRDefault="00831D05" w:rsidP="00831D05">
            <w:pPr>
              <w:jc w:val="center"/>
              <w:rPr>
                <w:color w:val="000000"/>
                <w:sz w:val="16"/>
                <w:szCs w:val="16"/>
              </w:rPr>
            </w:pPr>
            <w:r w:rsidRPr="008849C2">
              <w:rPr>
                <w:color w:val="000000"/>
                <w:sz w:val="16"/>
                <w:szCs w:val="16"/>
              </w:rPr>
              <w:t> </w:t>
            </w:r>
          </w:p>
        </w:tc>
        <w:tc>
          <w:tcPr>
            <w:tcW w:w="256" w:type="dxa"/>
            <w:tcBorders>
              <w:top w:val="nil"/>
              <w:left w:val="nil"/>
              <w:bottom w:val="nil"/>
              <w:right w:val="nil"/>
            </w:tcBorders>
            <w:shd w:val="clear" w:color="000000" w:fill="D7E4BC"/>
            <w:vAlign w:val="center"/>
          </w:tcPr>
          <w:p w:rsidR="00831D05" w:rsidRPr="008849C2" w:rsidRDefault="00831D05" w:rsidP="00831D05">
            <w:pPr>
              <w:jc w:val="center"/>
              <w:rPr>
                <w:color w:val="000000"/>
                <w:sz w:val="16"/>
                <w:szCs w:val="16"/>
              </w:rPr>
            </w:pPr>
            <w:r w:rsidRPr="008849C2">
              <w:rPr>
                <w:color w:val="000000"/>
                <w:sz w:val="16"/>
                <w:szCs w:val="16"/>
              </w:rPr>
              <w:t> </w:t>
            </w:r>
          </w:p>
        </w:tc>
        <w:tc>
          <w:tcPr>
            <w:tcW w:w="759" w:type="dxa"/>
            <w:tcBorders>
              <w:top w:val="nil"/>
              <w:left w:val="nil"/>
              <w:bottom w:val="nil"/>
              <w:right w:val="nil"/>
            </w:tcBorders>
            <w:shd w:val="clear" w:color="000000" w:fill="D7E4BC"/>
            <w:vAlign w:val="center"/>
          </w:tcPr>
          <w:p w:rsidR="00831D05" w:rsidRPr="008849C2" w:rsidRDefault="00831D05" w:rsidP="00831D05">
            <w:pPr>
              <w:jc w:val="center"/>
              <w:rPr>
                <w:color w:val="000000"/>
                <w:sz w:val="16"/>
                <w:szCs w:val="16"/>
              </w:rPr>
            </w:pPr>
            <w:r w:rsidRPr="008849C2">
              <w:rPr>
                <w:color w:val="000000"/>
                <w:sz w:val="16"/>
                <w:szCs w:val="16"/>
              </w:rPr>
              <w:t> </w:t>
            </w:r>
          </w:p>
        </w:tc>
        <w:tc>
          <w:tcPr>
            <w:tcW w:w="256" w:type="dxa"/>
            <w:tcBorders>
              <w:top w:val="nil"/>
              <w:left w:val="nil"/>
              <w:bottom w:val="nil"/>
              <w:right w:val="nil"/>
            </w:tcBorders>
            <w:shd w:val="clear" w:color="000000" w:fill="D7E4BC"/>
            <w:vAlign w:val="bottom"/>
          </w:tcPr>
          <w:p w:rsidR="00831D05" w:rsidRPr="008849C2" w:rsidRDefault="00831D05" w:rsidP="00831D05">
            <w:pPr>
              <w:rPr>
                <w:color w:val="000000"/>
                <w:sz w:val="16"/>
                <w:szCs w:val="16"/>
              </w:rPr>
            </w:pPr>
            <w:r w:rsidRPr="008849C2">
              <w:rPr>
                <w:color w:val="000000"/>
                <w:sz w:val="16"/>
                <w:szCs w:val="16"/>
              </w:rPr>
              <w:t> </w:t>
            </w:r>
          </w:p>
        </w:tc>
        <w:tc>
          <w:tcPr>
            <w:tcW w:w="406" w:type="dxa"/>
            <w:tcBorders>
              <w:top w:val="nil"/>
              <w:left w:val="nil"/>
              <w:bottom w:val="nil"/>
              <w:right w:val="nil"/>
            </w:tcBorders>
            <w:shd w:val="clear" w:color="000000" w:fill="D7E4BC"/>
            <w:vAlign w:val="bottom"/>
          </w:tcPr>
          <w:p w:rsidR="00831D05" w:rsidRPr="008849C2" w:rsidRDefault="00831D05" w:rsidP="00831D05">
            <w:pPr>
              <w:rPr>
                <w:color w:val="000000"/>
                <w:sz w:val="16"/>
                <w:szCs w:val="16"/>
              </w:rPr>
            </w:pPr>
            <w:r w:rsidRPr="008849C2">
              <w:rPr>
                <w:color w:val="000000"/>
                <w:sz w:val="16"/>
                <w:szCs w:val="16"/>
              </w:rPr>
              <w:t> </w:t>
            </w:r>
          </w:p>
        </w:tc>
        <w:tc>
          <w:tcPr>
            <w:tcW w:w="541" w:type="dxa"/>
            <w:tcBorders>
              <w:top w:val="nil"/>
              <w:left w:val="nil"/>
              <w:bottom w:val="nil"/>
              <w:right w:val="nil"/>
            </w:tcBorders>
            <w:shd w:val="clear" w:color="000000" w:fill="D7E4BC"/>
            <w:vAlign w:val="center"/>
          </w:tcPr>
          <w:p w:rsidR="00831D05" w:rsidRPr="00831D05" w:rsidRDefault="00831D05" w:rsidP="00831D05">
            <w:pPr>
              <w:jc w:val="center"/>
              <w:rPr>
                <w:color w:val="000000"/>
                <w:sz w:val="14"/>
                <w:szCs w:val="14"/>
              </w:rPr>
            </w:pPr>
            <w:r w:rsidRPr="00831D05">
              <w:rPr>
                <w:b/>
                <w:sz w:val="14"/>
                <w:szCs w:val="14"/>
              </w:rPr>
              <w:br w:type="page"/>
            </w:r>
            <w:r w:rsidRPr="00831D05">
              <w:rPr>
                <w:color w:val="000000"/>
                <w:sz w:val="14"/>
                <w:szCs w:val="14"/>
              </w:rPr>
              <w:t>3.0m</w:t>
            </w:r>
          </w:p>
        </w:tc>
      </w:tr>
    </w:tbl>
    <w:p w:rsidR="00DC207C" w:rsidRDefault="00DC207C" w:rsidP="00097A19">
      <w:pPr>
        <w:rPr>
          <w:b/>
        </w:rPr>
      </w:pPr>
    </w:p>
    <w:p w:rsidR="00DC207C" w:rsidRDefault="00DC207C" w:rsidP="00097A19">
      <w:pPr>
        <w:rPr>
          <w:b/>
        </w:rPr>
      </w:pPr>
    </w:p>
    <w:p w:rsidR="00DC207C" w:rsidRDefault="00DC207C" w:rsidP="00097A19">
      <w:pPr>
        <w:rPr>
          <w:b/>
        </w:rPr>
      </w:pPr>
    </w:p>
    <w:p w:rsidR="00DC207C" w:rsidRDefault="00DC207C" w:rsidP="00097A19">
      <w:pPr>
        <w:rPr>
          <w:b/>
        </w:rPr>
      </w:pPr>
    </w:p>
    <w:p w:rsidR="00DC207C" w:rsidRDefault="00DC207C" w:rsidP="00097A19">
      <w:pPr>
        <w:rPr>
          <w:b/>
        </w:rPr>
      </w:pPr>
    </w:p>
    <w:p w:rsidR="00DC207C" w:rsidRDefault="00DC207C" w:rsidP="00097A19">
      <w:pPr>
        <w:rPr>
          <w:b/>
        </w:rPr>
      </w:pPr>
    </w:p>
    <w:p w:rsidR="00DC207C" w:rsidRDefault="00DC207C" w:rsidP="00097A19">
      <w:pPr>
        <w:rPr>
          <w:b/>
        </w:rPr>
      </w:pPr>
    </w:p>
    <w:p w:rsidR="00DC207C" w:rsidRDefault="00DC207C" w:rsidP="00097A19">
      <w:pPr>
        <w:rPr>
          <w:b/>
        </w:rPr>
      </w:pPr>
    </w:p>
    <w:p w:rsidR="00DC207C" w:rsidRDefault="00DC207C" w:rsidP="00097A19">
      <w:pPr>
        <w:rPr>
          <w:b/>
        </w:rPr>
      </w:pPr>
    </w:p>
    <w:p w:rsidR="00DC207C" w:rsidRDefault="00DC207C" w:rsidP="00097A19">
      <w:pPr>
        <w:rPr>
          <w:b/>
        </w:rPr>
      </w:pPr>
    </w:p>
    <w:p w:rsidR="00DC207C" w:rsidRDefault="00DC207C" w:rsidP="00097A19">
      <w:pPr>
        <w:rPr>
          <w:b/>
        </w:rPr>
      </w:pPr>
    </w:p>
    <w:p w:rsidR="00DC207C" w:rsidRDefault="00DC207C" w:rsidP="00097A19">
      <w:pPr>
        <w:rPr>
          <w:b/>
        </w:rPr>
      </w:pPr>
    </w:p>
    <w:p w:rsidR="00DC207C" w:rsidRDefault="00DC207C" w:rsidP="00097A19">
      <w:pPr>
        <w:rPr>
          <w:b/>
        </w:rPr>
      </w:pPr>
    </w:p>
    <w:p w:rsidR="00DC207C" w:rsidRDefault="00DC207C" w:rsidP="00097A19">
      <w:pPr>
        <w:rPr>
          <w:b/>
        </w:rPr>
      </w:pPr>
    </w:p>
    <w:p w:rsidR="00DC207C" w:rsidRDefault="00DC207C" w:rsidP="00097A19">
      <w:pPr>
        <w:rPr>
          <w:b/>
        </w:rPr>
      </w:pPr>
    </w:p>
    <w:p w:rsidR="00DC207C" w:rsidRDefault="00DC207C" w:rsidP="00097A19">
      <w:pPr>
        <w:rPr>
          <w:b/>
        </w:rPr>
      </w:pPr>
    </w:p>
    <w:p w:rsidR="00DC207C" w:rsidRDefault="00DC207C" w:rsidP="00097A19">
      <w:pPr>
        <w:rPr>
          <w:b/>
        </w:rPr>
      </w:pPr>
    </w:p>
    <w:p w:rsidR="00DC207C" w:rsidRDefault="00DC207C" w:rsidP="00097A19">
      <w:pPr>
        <w:rPr>
          <w:b/>
        </w:rPr>
      </w:pPr>
    </w:p>
    <w:p w:rsidR="00DC207C" w:rsidRDefault="00DC207C" w:rsidP="00097A19">
      <w:pPr>
        <w:spacing w:line="480" w:lineRule="auto"/>
        <w:rPr>
          <w:b/>
        </w:rPr>
      </w:pPr>
    </w:p>
    <w:p w:rsidR="00DC207C" w:rsidRDefault="00DC207C" w:rsidP="00097A19">
      <w:pPr>
        <w:spacing w:line="480" w:lineRule="auto"/>
        <w:rPr>
          <w:b/>
        </w:rPr>
      </w:pPr>
    </w:p>
    <w:p w:rsidR="00DC207C" w:rsidRDefault="00DC207C" w:rsidP="00097A19">
      <w:pPr>
        <w:spacing w:line="480" w:lineRule="auto"/>
        <w:rPr>
          <w:b/>
        </w:rPr>
      </w:pPr>
    </w:p>
    <w:p w:rsidR="00DC207C" w:rsidRDefault="00DC207C" w:rsidP="00097A19">
      <w:pPr>
        <w:spacing w:line="480" w:lineRule="auto"/>
        <w:rPr>
          <w:b/>
        </w:rPr>
      </w:pPr>
    </w:p>
    <w:p w:rsidR="00DC207C" w:rsidRDefault="00DC207C" w:rsidP="00097A19">
      <w:pPr>
        <w:spacing w:line="480" w:lineRule="auto"/>
        <w:rPr>
          <w:b/>
        </w:rPr>
      </w:pPr>
    </w:p>
    <w:p w:rsidR="00DC207C" w:rsidRDefault="00DC207C" w:rsidP="00097A19">
      <w:pPr>
        <w:spacing w:line="480" w:lineRule="auto"/>
        <w:rPr>
          <w:b/>
        </w:rPr>
      </w:pPr>
    </w:p>
    <w:p w:rsidR="00DC207C" w:rsidRDefault="00DC207C" w:rsidP="00097A19">
      <w:pPr>
        <w:spacing w:line="480" w:lineRule="auto"/>
        <w:rPr>
          <w:b/>
        </w:rPr>
      </w:pPr>
    </w:p>
    <w:p w:rsidR="00DC207C" w:rsidRDefault="00DC207C" w:rsidP="00097A19">
      <w:pPr>
        <w:spacing w:line="480" w:lineRule="auto"/>
        <w:rPr>
          <w:b/>
        </w:rPr>
      </w:pPr>
    </w:p>
    <w:p w:rsidR="00376AE6" w:rsidRDefault="00376AE6" w:rsidP="00376AE6">
      <w:r>
        <w:rPr>
          <w:b/>
        </w:rPr>
        <w:t xml:space="preserve">Figure B.1. </w:t>
      </w:r>
      <w:r>
        <w:t>Continued.</w:t>
      </w:r>
    </w:p>
    <w:p w:rsidR="00376AE6" w:rsidRDefault="00376AE6" w:rsidP="00097A19">
      <w:pPr>
        <w:spacing w:line="480" w:lineRule="auto"/>
        <w:rPr>
          <w:b/>
        </w:rPr>
      </w:pPr>
    </w:p>
    <w:p w:rsidR="00DC207C" w:rsidRDefault="00DC207C" w:rsidP="00097A19">
      <w:pPr>
        <w:spacing w:line="480" w:lineRule="auto"/>
        <w:rPr>
          <w:b/>
        </w:rPr>
      </w:pPr>
      <w:r>
        <w:br w:type="page"/>
      </w:r>
      <w:r w:rsidR="0080315A">
        <w:rPr>
          <w:noProof/>
        </w:rPr>
        <w:lastRenderedPageBreak/>
        <mc:AlternateContent>
          <mc:Choice Requires="wps">
            <w:drawing>
              <wp:anchor distT="0" distB="0" distL="114300" distR="114300" simplePos="0" relativeHeight="251655168" behindDoc="0" locked="0" layoutInCell="1" allowOverlap="1">
                <wp:simplePos x="0" y="0"/>
                <wp:positionH relativeFrom="column">
                  <wp:posOffset>23495</wp:posOffset>
                </wp:positionH>
                <wp:positionV relativeFrom="paragraph">
                  <wp:posOffset>1765300</wp:posOffset>
                </wp:positionV>
                <wp:extent cx="504825" cy="266700"/>
                <wp:effectExtent l="0" t="0" r="0" b="0"/>
                <wp:wrapNone/>
                <wp:docPr id="29"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1FB3" w:rsidRPr="00125072" w:rsidRDefault="00631FB3" w:rsidP="00DC207C">
                            <w:r w:rsidRPr="00125072">
                              <w:t>(d)</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2" o:spid="_x0000_s1026" type="#_x0000_t202" style="position:absolute;margin-left:1.85pt;margin-top:139pt;width:39.75pt;height:2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" filled="f" stroked="f">
                <v:textbox style="mso-fit-shape-to-text:t">
                  <w:txbxContent>
                    <w:p w:rsidR="00631FB3" w:rsidRPr="00125072" w:rsidRDefault="00631FB3" w:rsidP="00DC207C">
                      <w:r w:rsidRPr="00125072">
                        <w:t>(d)</w:t>
                      </w:r>
                    </w:p>
                  </w:txbxContent>
                </v:textbox>
              </v:shape>
            </w:pict>
          </mc:Fallback>
        </mc:AlternateContent>
      </w:r>
      <w:r w:rsidR="0080315A">
        <w:rPr>
          <w:noProof/>
        </w:rPr>
        <mc:AlternateContent>
          <mc:Choice Requires="wps">
            <w:drawing>
              <wp:anchor distT="0" distB="0" distL="114300" distR="114300" simplePos="0" relativeHeight="251653120" behindDoc="0" locked="0" layoutInCell="1" allowOverlap="1">
                <wp:simplePos x="0" y="0"/>
                <wp:positionH relativeFrom="column">
                  <wp:posOffset>2033905</wp:posOffset>
                </wp:positionH>
                <wp:positionV relativeFrom="paragraph">
                  <wp:posOffset>10795</wp:posOffset>
                </wp:positionV>
                <wp:extent cx="574040" cy="266700"/>
                <wp:effectExtent l="0" t="0" r="0" b="0"/>
                <wp:wrapNone/>
                <wp:docPr id="28"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04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1FB3" w:rsidRPr="00125072" w:rsidRDefault="00631FB3" w:rsidP="00DC207C">
                            <w:r w:rsidRPr="00125072">
                              <w:t>(b)</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0" o:spid="_x0000_s1027" type="#_x0000_t202" style="position:absolute;margin-left:160.15pt;margin-top:.85pt;width:45.2pt;height:2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" filled="f" stroked="f">
                <v:textbox style="mso-fit-shape-to-text:t">
                  <w:txbxContent>
                    <w:p w:rsidR="00631FB3" w:rsidRPr="00125072" w:rsidRDefault="00631FB3" w:rsidP="00DC207C">
                      <w:r w:rsidRPr="00125072">
                        <w:t>(b)</w:t>
                      </w:r>
                    </w:p>
                  </w:txbxContent>
                </v:textbox>
              </v:shape>
            </w:pict>
          </mc:Fallback>
        </mc:AlternateContent>
      </w:r>
      <w:r w:rsidR="0080315A">
        <w:rPr>
          <w:noProof/>
        </w:rPr>
        <mc:AlternateContent>
          <mc:Choice Requires="wps">
            <w:drawing>
              <wp:anchor distT="0" distB="0" distL="114300" distR="114300" simplePos="0" relativeHeight="251657216" behindDoc="0" locked="0" layoutInCell="1" allowOverlap="1">
                <wp:simplePos x="0" y="0"/>
                <wp:positionH relativeFrom="column">
                  <wp:posOffset>4074160</wp:posOffset>
                </wp:positionH>
                <wp:positionV relativeFrom="paragraph">
                  <wp:posOffset>1765300</wp:posOffset>
                </wp:positionV>
                <wp:extent cx="359410" cy="266700"/>
                <wp:effectExtent l="0" t="0" r="0" b="0"/>
                <wp:wrapNone/>
                <wp:docPr id="27"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1FB3" w:rsidRPr="00125072" w:rsidRDefault="00631FB3" w:rsidP="00DC207C">
                            <w:r w:rsidRPr="00125072">
                              <w:t>(f)</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4" o:spid="_x0000_s1028" type="#_x0000_t202" style="position:absolute;margin-left:320.8pt;margin-top:139pt;width:28.3pt;height:2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" filled="f" stroked="f">
                <v:textbox style="mso-fit-shape-to-text:t">
                  <w:txbxContent>
                    <w:p w:rsidR="00631FB3" w:rsidRPr="00125072" w:rsidRDefault="00631FB3" w:rsidP="00DC207C">
                      <w:r w:rsidRPr="00125072">
                        <w:t>(f)</w:t>
                      </w:r>
                    </w:p>
                  </w:txbxContent>
                </v:textbox>
              </v:shape>
            </w:pict>
          </mc:Fallback>
        </mc:AlternateContent>
      </w:r>
      <w:r w:rsidR="0080315A">
        <w:rPr>
          <w:noProof/>
        </w:rPr>
        <mc:AlternateContent>
          <mc:Choice Requires="wps">
            <w:drawing>
              <wp:anchor distT="0" distB="0" distL="114300" distR="114300" simplePos="0" relativeHeight="251656192" behindDoc="0" locked="0" layoutInCell="1" allowOverlap="1">
                <wp:simplePos x="0" y="0"/>
                <wp:positionH relativeFrom="column">
                  <wp:posOffset>2087245</wp:posOffset>
                </wp:positionH>
                <wp:positionV relativeFrom="paragraph">
                  <wp:posOffset>1765300</wp:posOffset>
                </wp:positionV>
                <wp:extent cx="359410" cy="266700"/>
                <wp:effectExtent l="0" t="0" r="0" b="0"/>
                <wp:wrapNone/>
                <wp:docPr id="26"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1FB3" w:rsidRPr="00125072" w:rsidRDefault="00631FB3" w:rsidP="00DC207C">
                            <w:r w:rsidRPr="00125072">
                              <w:t>(e)</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3" o:spid="_x0000_s1029" type="#_x0000_t202" style="position:absolute;margin-left:164.35pt;margin-top:139pt;width:28.3pt;height:2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" filled="f" stroked="f">
                <v:textbox style="mso-fit-shape-to-text:t">
                  <w:txbxContent>
                    <w:p w:rsidR="00631FB3" w:rsidRPr="00125072" w:rsidRDefault="00631FB3" w:rsidP="00DC207C">
                      <w:r w:rsidRPr="00125072">
                        <w:t>(e)</w:t>
                      </w:r>
                    </w:p>
                  </w:txbxContent>
                </v:textbox>
              </v:shape>
            </w:pict>
          </mc:Fallback>
        </mc:AlternateContent>
      </w:r>
      <w:r w:rsidR="0080315A">
        <w:rPr>
          <w:noProof/>
        </w:rPr>
        <mc:AlternateContent>
          <mc:Choice Requires="wps">
            <w:drawing>
              <wp:anchor distT="0" distB="0" distL="114300" distR="114300" simplePos="0" relativeHeight="251654144" behindDoc="0" locked="0" layoutInCell="1" allowOverlap="1">
                <wp:simplePos x="0" y="0"/>
                <wp:positionH relativeFrom="column">
                  <wp:posOffset>4074160</wp:posOffset>
                </wp:positionH>
                <wp:positionV relativeFrom="paragraph">
                  <wp:posOffset>10795</wp:posOffset>
                </wp:positionV>
                <wp:extent cx="359410" cy="266700"/>
                <wp:effectExtent l="0" t="0" r="0" b="0"/>
                <wp:wrapNone/>
                <wp:docPr id="25"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1FB3" w:rsidRPr="00125072" w:rsidRDefault="00631FB3" w:rsidP="00DC207C">
                            <w:r w:rsidRPr="00125072">
                              <w:t>(c)</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1" o:spid="_x0000_s1030" type="#_x0000_t202" style="position:absolute;margin-left:320.8pt;margin-top:.85pt;width:28.3pt;height:2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" filled="f" stroked="f">
                <v:textbox style="mso-fit-shape-to-text:t">
                  <w:txbxContent>
                    <w:p w:rsidR="00631FB3" w:rsidRPr="00125072" w:rsidRDefault="00631FB3" w:rsidP="00DC207C">
                      <w:r w:rsidRPr="00125072">
                        <w:t>(c)</w:t>
                      </w:r>
                    </w:p>
                  </w:txbxContent>
                </v:textbox>
              </v:shape>
            </w:pict>
          </mc:Fallback>
        </mc:AlternateContent>
      </w:r>
      <w:r w:rsidR="0080315A">
        <w:rPr>
          <w:noProof/>
        </w:rPr>
        <mc:AlternateContent>
          <mc:Choice Requires="wps">
            <w:drawing>
              <wp:anchor distT="0" distB="0" distL="114300" distR="114300" simplePos="0" relativeHeight="251652096" behindDoc="0" locked="0" layoutInCell="1" allowOverlap="1">
                <wp:simplePos x="0" y="0"/>
                <wp:positionH relativeFrom="column">
                  <wp:posOffset>23495</wp:posOffset>
                </wp:positionH>
                <wp:positionV relativeFrom="paragraph">
                  <wp:posOffset>10795</wp:posOffset>
                </wp:positionV>
                <wp:extent cx="359410" cy="266700"/>
                <wp:effectExtent l="0" t="0" r="0" b="0"/>
                <wp:wrapNone/>
                <wp:docPr id="24"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1FB3" w:rsidRPr="00125072" w:rsidRDefault="00631FB3" w:rsidP="00DC207C">
                            <w:r w:rsidRPr="00125072">
                              <w:t>(a)</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9" o:spid="_x0000_s1031" type="#_x0000_t202" style="position:absolute;margin-left:1.85pt;margin-top:.85pt;width:28.3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" filled="f" stroked="f">
                <v:textbox style="mso-fit-shape-to-text:t">
                  <w:txbxContent>
                    <w:p w:rsidR="00631FB3" w:rsidRPr="00125072" w:rsidRDefault="00631FB3" w:rsidP="00DC207C">
                      <w:r w:rsidRPr="00125072">
                        <w:t>(a)</w:t>
                      </w:r>
                    </w:p>
                  </w:txbxContent>
                </v:textbox>
              </v:shape>
            </w:pict>
          </mc:Fallback>
        </mc:AlternateContent>
      </w:r>
      <w:r w:rsidR="001E6579" w:rsidRPr="00976DFE">
        <w:rPr>
          <w:noProof/>
        </w:rPr>
        <w:drawing>
          <wp:inline distT="0" distB="0" distL="0" distR="0">
            <wp:extent cx="5904865" cy="3277870"/>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04865" cy="3277870"/>
                    </a:xfrm>
                    <a:prstGeom prst="rect">
                      <a:avLst/>
                    </a:prstGeom>
                    <a:noFill/>
                    <a:ln>
                      <a:noFill/>
                    </a:ln>
                  </pic:spPr>
                </pic:pic>
              </a:graphicData>
            </a:graphic>
          </wp:inline>
        </w:drawing>
      </w:r>
    </w:p>
    <w:p w:rsidR="00DC207C" w:rsidRDefault="00DC207C" w:rsidP="00097A19">
      <w:pPr>
        <w:spacing w:line="480" w:lineRule="auto"/>
      </w:pPr>
      <w:r>
        <w:rPr>
          <w:b/>
        </w:rPr>
        <w:t xml:space="preserve">Figure </w:t>
      </w:r>
      <w:r w:rsidR="008F29AA">
        <w:rPr>
          <w:b/>
        </w:rPr>
        <w:t>B.</w:t>
      </w:r>
      <w:r>
        <w:rPr>
          <w:b/>
        </w:rPr>
        <w:t xml:space="preserve">2. </w:t>
      </w:r>
      <w:r w:rsidR="008F29AA" w:rsidRPr="008F29AA">
        <w:t>Pictures of the COMT field site at different time points in 2011 and 2012</w:t>
      </w:r>
      <w:r>
        <w:t>. First year pictures include: (a) August 2011 (3 months after transplantation), (b) October 2011, and (c) December 2011 (prior to harvesting). Second year pictures include: (e) August 2012, (d) October 2012, (e) December 2012 (prior to harvesting).</w:t>
      </w:r>
    </w:p>
    <w:p w:rsidR="00DC207C" w:rsidRDefault="00DC207C" w:rsidP="00097A19">
      <w:pPr>
        <w:spacing w:line="480" w:lineRule="auto"/>
      </w:pPr>
      <w:r>
        <w:br w:type="page"/>
      </w:r>
      <w:r w:rsidR="001E6579" w:rsidRPr="00976DFE">
        <w:rPr>
          <w:noProof/>
        </w:rPr>
        <w:lastRenderedPageBreak/>
        <w:drawing>
          <wp:inline distT="0" distB="0" distL="0" distR="0">
            <wp:extent cx="2931795" cy="2743200"/>
            <wp:effectExtent l="0" t="0" r="0" b="0"/>
            <wp:docPr id="4" name="Chart 10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1E6579" w:rsidRPr="00976DFE">
        <w:rPr>
          <w:noProof/>
        </w:rPr>
        <w:drawing>
          <wp:inline distT="0" distB="0" distL="0" distR="0">
            <wp:extent cx="2942590" cy="2755900"/>
            <wp:effectExtent l="0" t="0" r="0" b="0"/>
            <wp:docPr id="5" name="Chart 10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C207C" w:rsidRPr="00423885" w:rsidRDefault="00DC207C" w:rsidP="00097A19">
      <w:pPr>
        <w:spacing w:line="480" w:lineRule="auto"/>
        <w:rPr>
          <w:b/>
        </w:rPr>
      </w:pPr>
      <w:r>
        <w:rPr>
          <w:b/>
        </w:rPr>
        <w:t xml:space="preserve">Figure </w:t>
      </w:r>
      <w:r w:rsidR="008F29AA">
        <w:rPr>
          <w:b/>
        </w:rPr>
        <w:t>B.</w:t>
      </w:r>
      <w:r>
        <w:rPr>
          <w:b/>
        </w:rPr>
        <w:t>3</w:t>
      </w:r>
      <w:r w:rsidRPr="00575757">
        <w:rPr>
          <w:b/>
        </w:rPr>
        <w:t xml:space="preserve">. </w:t>
      </w:r>
      <w:r>
        <w:t>Analysis of COMT transcript levels for 2011 (a) and 2012 (b)</w:t>
      </w:r>
      <w:r w:rsidRPr="008912FF">
        <w:t xml:space="preserve">. </w:t>
      </w:r>
      <w:r>
        <w:t xml:space="preserve">Four biological replicates were randomly selected from each control and transgenic group for the analyses. After RNA isolation from the leaves, cDNA from reverse transcription was used for quantitative RT-PCR. </w:t>
      </w:r>
      <w:r w:rsidRPr="008912FF">
        <w:t>Bars</w:t>
      </w:r>
      <w:r>
        <w:t xml:space="preserve"> represent the average of the biological replicates within each group ± </w:t>
      </w:r>
      <w:r w:rsidR="00831D05">
        <w:t>standard error</w:t>
      </w:r>
      <w:r>
        <w:t xml:space="preserve">. </w:t>
      </w:r>
    </w:p>
    <w:p w:rsidR="00DC207C" w:rsidRDefault="00DC207C" w:rsidP="00097A19">
      <w:pPr>
        <w:spacing w:line="480" w:lineRule="auto"/>
      </w:pPr>
    </w:p>
    <w:p w:rsidR="00DC207C" w:rsidRDefault="00DC207C" w:rsidP="00097A19">
      <w:pPr>
        <w:spacing w:line="480" w:lineRule="auto"/>
      </w:pPr>
      <w:r>
        <w:br w:type="page"/>
      </w:r>
      <w:r w:rsidR="001E6579" w:rsidRPr="00976DFE">
        <w:rPr>
          <w:noProof/>
        </w:rPr>
        <w:lastRenderedPageBreak/>
        <w:drawing>
          <wp:inline distT="0" distB="0" distL="0" distR="0">
            <wp:extent cx="2360295" cy="1903095"/>
            <wp:effectExtent l="0" t="0" r="0" b="0"/>
            <wp:docPr id="6" name="Chart 8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1E6579" w:rsidRPr="00976DFE">
        <w:rPr>
          <w:noProof/>
        </w:rPr>
        <w:drawing>
          <wp:inline distT="0" distB="0" distL="0" distR="0">
            <wp:extent cx="2359660" cy="1903095"/>
            <wp:effectExtent l="0" t="0" r="0" b="0"/>
            <wp:docPr id="7" name="Chart 8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1E6579" w:rsidRPr="00976DFE">
        <w:rPr>
          <w:noProof/>
        </w:rPr>
        <w:drawing>
          <wp:inline distT="0" distB="0" distL="0" distR="0">
            <wp:extent cx="2360295" cy="1903095"/>
            <wp:effectExtent l="0" t="0" r="0" b="0"/>
            <wp:docPr id="8"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1E6579" w:rsidRPr="00976DFE">
        <w:rPr>
          <w:noProof/>
        </w:rPr>
        <w:drawing>
          <wp:inline distT="0" distB="0" distL="0" distR="0">
            <wp:extent cx="2360295" cy="1903095"/>
            <wp:effectExtent l="0" t="0" r="0" b="0"/>
            <wp:docPr id="9"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DC207C" w:rsidRPr="00B225FC" w:rsidRDefault="00DC207C" w:rsidP="00097A19">
      <w:pPr>
        <w:spacing w:line="480" w:lineRule="auto"/>
      </w:pPr>
      <w:r>
        <w:rPr>
          <w:b/>
        </w:rPr>
        <w:t>F</w:t>
      </w:r>
      <w:r w:rsidRPr="00B225FC">
        <w:rPr>
          <w:b/>
        </w:rPr>
        <w:t xml:space="preserve">igure </w:t>
      </w:r>
      <w:r w:rsidR="008F29AA">
        <w:rPr>
          <w:b/>
        </w:rPr>
        <w:t>B.</w:t>
      </w:r>
      <w:r>
        <w:rPr>
          <w:b/>
        </w:rPr>
        <w:t>4</w:t>
      </w:r>
      <w:r w:rsidRPr="00B225FC">
        <w:t>. Lignin content and S/G ratio of green tissue samples</w:t>
      </w:r>
      <w:r>
        <w:t>,</w:t>
      </w:r>
      <w:r w:rsidRPr="00B225FC">
        <w:t xml:space="preserve"> as estimated by py</w:t>
      </w:r>
      <w:r>
        <w:t>rolysis</w:t>
      </w:r>
      <w:r w:rsidRPr="00B225FC">
        <w:t>-</w:t>
      </w:r>
      <w:r>
        <w:t>molecular beam mass spectrometry,</w:t>
      </w:r>
      <w:r w:rsidRPr="00B225FC">
        <w:t xml:space="preserve"> for 2011 (a-b) and 2012 (c-d).</w:t>
      </w:r>
      <w:r w:rsidRPr="00B225FC">
        <w:rPr>
          <w:sz w:val="20"/>
          <w:szCs w:val="20"/>
        </w:rPr>
        <w:t xml:space="preserve"> </w:t>
      </w:r>
      <w:r>
        <w:t>All five biological replicates from each control group, and all 10 biological replicates from each transgenic group, were used in the analyses</w:t>
      </w:r>
      <w:r w:rsidRPr="003B592D">
        <w:t xml:space="preserve">. </w:t>
      </w:r>
      <w:r w:rsidRPr="00D93DCF">
        <w:t>Bars represent the average of the biological replicates</w:t>
      </w:r>
      <w:r>
        <w:t xml:space="preserve"> within each group</w:t>
      </w:r>
      <w:r w:rsidRPr="00D93DCF">
        <w:t xml:space="preserve"> ± </w:t>
      </w:r>
      <w:r w:rsidR="00831D05">
        <w:t>standard error</w:t>
      </w:r>
      <w:r w:rsidRPr="00D93DCF">
        <w:t xml:space="preserve">. </w:t>
      </w:r>
      <w:r w:rsidRPr="00B225FC">
        <w:t xml:space="preserve">Each transgenic </w:t>
      </w:r>
      <w:r>
        <w:t>event</w:t>
      </w:r>
      <w:r w:rsidRPr="00B225FC">
        <w:t xml:space="preserve"> was compared to its respective control</w:t>
      </w:r>
      <w:r>
        <w:t xml:space="preserve">. An asterisk indicates a significant difference as determined by a </w:t>
      </w:r>
      <w:r w:rsidRPr="004C3931">
        <w:rPr>
          <w:i/>
        </w:rPr>
        <w:t>t</w:t>
      </w:r>
      <w:r>
        <w:t xml:space="preserve">-test </w:t>
      </w:r>
      <w:r w:rsidRPr="00B225FC">
        <w:t>(P &lt; 0.05). CWR, cell wall residues.</w:t>
      </w:r>
    </w:p>
    <w:p w:rsidR="00DC207C" w:rsidRDefault="00DC207C" w:rsidP="00097A19">
      <w:pPr>
        <w:spacing w:line="480" w:lineRule="auto"/>
      </w:pPr>
      <w:r>
        <w:br w:type="page"/>
      </w:r>
    </w:p>
    <w:p w:rsidR="00DC207C" w:rsidRDefault="001E6579" w:rsidP="00097A19">
      <w:pPr>
        <w:spacing w:line="480" w:lineRule="auto"/>
        <w:jc w:val="center"/>
      </w:pPr>
      <w:r w:rsidRPr="00976DFE">
        <w:rPr>
          <w:noProof/>
        </w:rPr>
        <w:lastRenderedPageBreak/>
        <w:drawing>
          <wp:inline distT="0" distB="0" distL="0" distR="0">
            <wp:extent cx="2360295" cy="1903095"/>
            <wp:effectExtent l="0" t="0" r="0" b="0"/>
            <wp:docPr id="10" name="Chart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976DFE">
        <w:rPr>
          <w:noProof/>
        </w:rPr>
        <w:drawing>
          <wp:inline distT="0" distB="0" distL="0" distR="0">
            <wp:extent cx="2360295" cy="1903095"/>
            <wp:effectExtent l="0" t="0" r="0" b="0"/>
            <wp:docPr id="11" name="Chart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976DFE">
        <w:rPr>
          <w:noProof/>
        </w:rPr>
        <w:drawing>
          <wp:inline distT="0" distB="0" distL="0" distR="0">
            <wp:extent cx="2360295" cy="1903095"/>
            <wp:effectExtent l="0" t="0" r="0" b="0"/>
            <wp:docPr id="12" name="Chart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976DFE">
        <w:rPr>
          <w:noProof/>
        </w:rPr>
        <w:drawing>
          <wp:inline distT="0" distB="0" distL="0" distR="0">
            <wp:extent cx="2360295" cy="1903095"/>
            <wp:effectExtent l="0" t="0" r="0" b="0"/>
            <wp:docPr id="13" name="Chart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DC207C" w:rsidRPr="00B225FC" w:rsidRDefault="00DC207C" w:rsidP="00097A19">
      <w:pPr>
        <w:spacing w:line="480" w:lineRule="auto"/>
      </w:pPr>
      <w:r>
        <w:rPr>
          <w:b/>
        </w:rPr>
        <w:t>Figure</w:t>
      </w:r>
      <w:r w:rsidRPr="00B225FC">
        <w:rPr>
          <w:b/>
        </w:rPr>
        <w:t xml:space="preserve"> </w:t>
      </w:r>
      <w:r w:rsidR="008F29AA">
        <w:rPr>
          <w:b/>
        </w:rPr>
        <w:t>B.</w:t>
      </w:r>
      <w:r>
        <w:rPr>
          <w:b/>
        </w:rPr>
        <w:t>5</w:t>
      </w:r>
      <w:r w:rsidRPr="00B225FC">
        <w:t xml:space="preserve">. Lignin content and S/G ratio of </w:t>
      </w:r>
      <w:r>
        <w:t>senesced</w:t>
      </w:r>
      <w:r w:rsidRPr="00B225FC">
        <w:t xml:space="preserve"> tissue samples</w:t>
      </w:r>
      <w:r>
        <w:t>,</w:t>
      </w:r>
      <w:r w:rsidRPr="00B225FC">
        <w:t xml:space="preserve"> as estimated by py</w:t>
      </w:r>
      <w:r>
        <w:t>rolysis</w:t>
      </w:r>
      <w:r w:rsidRPr="00B225FC">
        <w:t>-</w:t>
      </w:r>
      <w:r>
        <w:t>molecular beam mass spectrometry,</w:t>
      </w:r>
      <w:r w:rsidRPr="00B225FC">
        <w:t xml:space="preserve"> for 2011 (a-b) and 2012 (c-d). </w:t>
      </w:r>
      <w:r>
        <w:t>All five biological replicates from each control group, and all 10 biological replicates from each transgenic group, were used in the analyses</w:t>
      </w:r>
      <w:r w:rsidRPr="00145267">
        <w:t xml:space="preserve">. </w:t>
      </w:r>
      <w:r w:rsidRPr="00D93DCF">
        <w:t xml:space="preserve">Bars represent the average of the biological replicates </w:t>
      </w:r>
      <w:r>
        <w:t xml:space="preserve">within each group </w:t>
      </w:r>
      <w:r w:rsidRPr="00D93DCF">
        <w:t xml:space="preserve">± s.e.m. </w:t>
      </w:r>
      <w:r w:rsidRPr="00B225FC">
        <w:t xml:space="preserve">Each transgenic </w:t>
      </w:r>
      <w:r>
        <w:t>event</w:t>
      </w:r>
      <w:r w:rsidRPr="00B225FC">
        <w:t xml:space="preserve"> was com</w:t>
      </w:r>
      <w:r>
        <w:t>pared to its respective control. An asterisk indicates a significant difference</w:t>
      </w:r>
      <w:r w:rsidRPr="00B225FC">
        <w:t xml:space="preserve"> </w:t>
      </w:r>
      <w:r>
        <w:t xml:space="preserve">as determined by a </w:t>
      </w:r>
      <w:r w:rsidRPr="004C3931">
        <w:rPr>
          <w:i/>
        </w:rPr>
        <w:t>t</w:t>
      </w:r>
      <w:r>
        <w:t xml:space="preserve">-test </w:t>
      </w:r>
      <w:r w:rsidRPr="00B225FC">
        <w:t>(P &lt; 0.05).</w:t>
      </w:r>
      <w:r w:rsidRPr="00860D40">
        <w:t xml:space="preserve"> </w:t>
      </w:r>
      <w:r w:rsidRPr="00B225FC">
        <w:t>CWR, cell wall residues</w:t>
      </w:r>
      <w:r w:rsidRPr="00B225FC" w:rsidDel="00D93DCF">
        <w:t xml:space="preserve"> </w:t>
      </w:r>
    </w:p>
    <w:p w:rsidR="00DC207C" w:rsidRDefault="00DC207C" w:rsidP="00097A19">
      <w:pPr>
        <w:spacing w:line="480" w:lineRule="auto"/>
        <w:rPr>
          <w:color w:val="000000"/>
          <w:kern w:val="24"/>
        </w:rPr>
      </w:pPr>
      <w:r>
        <w:br w:type="page"/>
      </w:r>
    </w:p>
    <w:p w:rsidR="00DC207C" w:rsidRDefault="001E6579" w:rsidP="00097A19">
      <w:pPr>
        <w:spacing w:line="480" w:lineRule="auto"/>
      </w:pPr>
      <w:r w:rsidRPr="00976DFE">
        <w:rPr>
          <w:noProof/>
        </w:rPr>
        <w:lastRenderedPageBreak/>
        <w:drawing>
          <wp:inline distT="0" distB="0" distL="0" distR="0">
            <wp:extent cx="2971800" cy="2354580"/>
            <wp:effectExtent l="0" t="0" r="0" b="0"/>
            <wp:docPr id="14" name="Chart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976DFE">
        <w:rPr>
          <w:noProof/>
        </w:rPr>
        <w:drawing>
          <wp:inline distT="0" distB="0" distL="0" distR="0">
            <wp:extent cx="2971800" cy="2354580"/>
            <wp:effectExtent l="0" t="0" r="0" b="0"/>
            <wp:docPr id="15" name="Chart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DC207C" w:rsidRDefault="00DC207C" w:rsidP="00097A19">
      <w:pPr>
        <w:spacing w:line="480" w:lineRule="auto"/>
      </w:pPr>
      <w:r>
        <w:rPr>
          <w:b/>
        </w:rPr>
        <w:t>Figure</w:t>
      </w:r>
      <w:r w:rsidRPr="008912FF">
        <w:rPr>
          <w:b/>
        </w:rPr>
        <w:t xml:space="preserve"> </w:t>
      </w:r>
      <w:r w:rsidR="008F29AA">
        <w:rPr>
          <w:b/>
        </w:rPr>
        <w:t>B.</w:t>
      </w:r>
      <w:r>
        <w:rPr>
          <w:b/>
        </w:rPr>
        <w:t>6</w:t>
      </w:r>
      <w:r w:rsidRPr="008912FF">
        <w:t xml:space="preserve">. </w:t>
      </w:r>
      <w:r>
        <w:t>Index of cellulose crystallinity as determined</w:t>
      </w:r>
      <w:r w:rsidRPr="008912FF">
        <w:t xml:space="preserve"> by </w:t>
      </w:r>
      <w:r>
        <w:t>Fourier transform infrared spectroscopy</w:t>
      </w:r>
      <w:r w:rsidRPr="008912FF">
        <w:t xml:space="preserve"> of senesced tissue samples. MIR, mid-infrared. </w:t>
      </w:r>
      <w:r>
        <w:t>All five biological replicates from each control group, and all 10 biological replicates from each transgenic group, were used in the analyses</w:t>
      </w:r>
      <w:r w:rsidRPr="00145267">
        <w:t xml:space="preserve">. </w:t>
      </w:r>
      <w:r w:rsidRPr="00D93DCF">
        <w:t>Bars represent the average of the biological replicates</w:t>
      </w:r>
      <w:r>
        <w:t xml:space="preserve"> within each group</w:t>
      </w:r>
      <w:r w:rsidRPr="00D93DCF">
        <w:t xml:space="preserve"> ± </w:t>
      </w:r>
      <w:r w:rsidR="00831D05">
        <w:t>standard error</w:t>
      </w:r>
      <w:r w:rsidRPr="00D93DCF">
        <w:t xml:space="preserve">. </w:t>
      </w:r>
      <w:r w:rsidRPr="00B225FC">
        <w:t xml:space="preserve">Each transgenic </w:t>
      </w:r>
      <w:r>
        <w:t>event</w:t>
      </w:r>
      <w:r w:rsidRPr="00B225FC">
        <w:t xml:space="preserve"> was com</w:t>
      </w:r>
      <w:r>
        <w:t>pared to its respective control. An asterisk indicates a significant difference</w:t>
      </w:r>
      <w:r w:rsidRPr="00B225FC">
        <w:t xml:space="preserve"> </w:t>
      </w:r>
      <w:r>
        <w:t xml:space="preserve">as determined by a </w:t>
      </w:r>
      <w:r w:rsidRPr="004C3931">
        <w:rPr>
          <w:i/>
        </w:rPr>
        <w:t>t</w:t>
      </w:r>
      <w:r>
        <w:t xml:space="preserve">-test </w:t>
      </w:r>
      <w:r w:rsidRPr="00B225FC">
        <w:t>(P &lt; 0.05).</w:t>
      </w:r>
      <w:r>
        <w:t xml:space="preserve"> </w:t>
      </w:r>
    </w:p>
    <w:p w:rsidR="00376AE6" w:rsidRDefault="00376AE6" w:rsidP="00097A19">
      <w:pPr>
        <w:spacing w:line="480" w:lineRule="auto"/>
      </w:pPr>
    </w:p>
    <w:p w:rsidR="00376AE6" w:rsidRDefault="00376AE6" w:rsidP="00097A19">
      <w:pPr>
        <w:spacing w:line="480" w:lineRule="auto"/>
      </w:pPr>
    </w:p>
    <w:p w:rsidR="00376AE6" w:rsidRDefault="00376AE6" w:rsidP="00097A19">
      <w:pPr>
        <w:spacing w:line="480" w:lineRule="auto"/>
      </w:pPr>
      <w:r>
        <w:rPr>
          <w:b/>
        </w:rPr>
        <w:lastRenderedPageBreak/>
        <w:t>Figure</w:t>
      </w:r>
      <w:r w:rsidRPr="00541330">
        <w:rPr>
          <w:b/>
        </w:rPr>
        <w:t xml:space="preserve"> </w:t>
      </w:r>
      <w:r>
        <w:rPr>
          <w:b/>
        </w:rPr>
        <w:t>B.7</w:t>
      </w:r>
      <w:r w:rsidRPr="00541330">
        <w:t xml:space="preserve">. </w:t>
      </w:r>
      <w:r>
        <w:t>Ethanol yield as determined by simultaneous saccharification and fermentation of whole aboveground senesced biomass in 2011. All five</w:t>
      </w:r>
      <w:r w:rsidRPr="00145267">
        <w:t xml:space="preserve"> biological replicates from each control </w:t>
      </w:r>
      <w:r>
        <w:t xml:space="preserve">group, and five randomly selected samples from each transgenic group, </w:t>
      </w:r>
      <w:r w:rsidRPr="00145267">
        <w:t xml:space="preserve">were used in the analyses. </w:t>
      </w:r>
      <w:r>
        <w:t xml:space="preserve">All samples were pretreated (180°C for 7.5 min, </w:t>
      </w:r>
      <w:r w:rsidRPr="00541330">
        <w:t>0.5% H</w:t>
      </w:r>
      <w:r w:rsidRPr="00541330">
        <w:rPr>
          <w:vertAlign w:val="subscript"/>
        </w:rPr>
        <w:t>2</w:t>
      </w:r>
      <w:r w:rsidRPr="00541330">
        <w:t>SO</w:t>
      </w:r>
      <w:r w:rsidRPr="00541330">
        <w:rPr>
          <w:vertAlign w:val="subscript"/>
        </w:rPr>
        <w:t>4</w:t>
      </w:r>
      <w:r w:rsidRPr="00145267">
        <w:t>)</w:t>
      </w:r>
      <w:r>
        <w:t xml:space="preserve"> prior to fermentation. (</w:t>
      </w:r>
      <w:proofErr w:type="gramStart"/>
      <w:r>
        <w:t>a</w:t>
      </w:r>
      <w:proofErr w:type="gramEnd"/>
      <w:r>
        <w:t>, b) Weight loss of fermentation bottles due to CO</w:t>
      </w:r>
      <w:r w:rsidRPr="00145267">
        <w:rPr>
          <w:vertAlign w:val="subscript"/>
        </w:rPr>
        <w:t>2</w:t>
      </w:r>
      <w:r>
        <w:t xml:space="preserve"> release over time for events COMT2 (a) and COMT3 (b); data points represent the average of the biological replicates within each group </w:t>
      </w:r>
      <w:r w:rsidRPr="00D93DCF">
        <w:t xml:space="preserve">± </w:t>
      </w:r>
      <w:r w:rsidR="00831D05">
        <w:t>standard error</w:t>
      </w:r>
      <w:r>
        <w:t>. (c) Final ethanol yield</w:t>
      </w:r>
      <w:r w:rsidR="00831D05">
        <w:t xml:space="preserve"> after 17d</w:t>
      </w:r>
      <w:r>
        <w:t>; b</w:t>
      </w:r>
      <w:r w:rsidRPr="00D93DCF">
        <w:t xml:space="preserve">ars represent the average of the biological replicates </w:t>
      </w:r>
      <w:r>
        <w:t xml:space="preserve">within each group </w:t>
      </w:r>
      <w:r w:rsidRPr="00D93DCF">
        <w:t xml:space="preserve">± </w:t>
      </w:r>
      <w:r w:rsidR="00831D05">
        <w:t>standard error</w:t>
      </w:r>
      <w:r w:rsidRPr="00D93DCF">
        <w:t xml:space="preserve">. </w:t>
      </w:r>
      <w:r w:rsidRPr="00B225FC">
        <w:t xml:space="preserve">Each transgenic </w:t>
      </w:r>
      <w:r>
        <w:t>event</w:t>
      </w:r>
      <w:r w:rsidRPr="00B225FC">
        <w:t xml:space="preserve"> was com</w:t>
      </w:r>
      <w:r>
        <w:t>pared to its respective control. An asterisk indicates a significant difference</w:t>
      </w:r>
      <w:r w:rsidRPr="00B225FC">
        <w:t xml:space="preserve"> </w:t>
      </w:r>
      <w:r>
        <w:t xml:space="preserve">as determined by a </w:t>
      </w:r>
      <w:r w:rsidRPr="004C3931">
        <w:rPr>
          <w:i/>
        </w:rPr>
        <w:t>t</w:t>
      </w:r>
      <w:r>
        <w:t xml:space="preserve">-test </w:t>
      </w:r>
      <w:r w:rsidRPr="00B225FC">
        <w:t>(P &lt; 0.05).</w:t>
      </w:r>
    </w:p>
    <w:p w:rsidR="00376AE6" w:rsidRDefault="00376AE6">
      <w:r>
        <w:br w:type="page"/>
      </w:r>
    </w:p>
    <w:p w:rsidR="00DC207C" w:rsidRDefault="001E6579" w:rsidP="00097A19">
      <w:pPr>
        <w:spacing w:line="480" w:lineRule="auto"/>
      </w:pPr>
      <w:r w:rsidRPr="00976DFE">
        <w:rPr>
          <w:noProof/>
        </w:rPr>
        <w:lastRenderedPageBreak/>
        <w:drawing>
          <wp:inline distT="0" distB="0" distL="0" distR="0">
            <wp:extent cx="2817495" cy="1754505"/>
            <wp:effectExtent l="0" t="0" r="0" b="0"/>
            <wp:docPr id="16" name="Char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DC207C" w:rsidRDefault="001E6579" w:rsidP="00097A19">
      <w:pPr>
        <w:spacing w:line="480" w:lineRule="auto"/>
      </w:pPr>
      <w:r w:rsidRPr="00976DFE">
        <w:rPr>
          <w:noProof/>
        </w:rPr>
        <w:drawing>
          <wp:inline distT="0" distB="0" distL="0" distR="0">
            <wp:extent cx="2817495" cy="1754505"/>
            <wp:effectExtent l="0" t="0" r="0" b="0"/>
            <wp:docPr id="17" name="Char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DC207C" w:rsidRDefault="001E6579" w:rsidP="00097A19">
      <w:pPr>
        <w:spacing w:line="480" w:lineRule="auto"/>
        <w:rPr>
          <w:b/>
        </w:rPr>
      </w:pPr>
      <w:r w:rsidRPr="00976DFE">
        <w:rPr>
          <w:noProof/>
        </w:rPr>
        <w:drawing>
          <wp:inline distT="0" distB="0" distL="0" distR="0">
            <wp:extent cx="2743200" cy="2534285"/>
            <wp:effectExtent l="0" t="0" r="0" b="0"/>
            <wp:docPr id="18" name="Char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376AE6" w:rsidRDefault="00376AE6" w:rsidP="00376AE6">
      <w:r>
        <w:rPr>
          <w:b/>
        </w:rPr>
        <w:t>Figure</w:t>
      </w:r>
      <w:r w:rsidRPr="00541330">
        <w:rPr>
          <w:b/>
        </w:rPr>
        <w:t xml:space="preserve"> </w:t>
      </w:r>
      <w:r>
        <w:rPr>
          <w:b/>
        </w:rPr>
        <w:t>B.7</w:t>
      </w:r>
      <w:r w:rsidRPr="00541330">
        <w:t xml:space="preserve">. </w:t>
      </w:r>
      <w:r>
        <w:t>Continued.</w:t>
      </w:r>
    </w:p>
    <w:p w:rsidR="00DC207C" w:rsidRDefault="00DC207C" w:rsidP="00097A19">
      <w:pPr>
        <w:spacing w:line="480" w:lineRule="auto"/>
      </w:pPr>
    </w:p>
    <w:p w:rsidR="00376AE6" w:rsidRDefault="00376AE6" w:rsidP="00097A19">
      <w:pPr>
        <w:spacing w:line="480" w:lineRule="auto"/>
      </w:pPr>
    </w:p>
    <w:p w:rsidR="00376AE6" w:rsidRDefault="00376AE6" w:rsidP="00097A19">
      <w:pPr>
        <w:spacing w:line="480" w:lineRule="auto"/>
      </w:pPr>
    </w:p>
    <w:p w:rsidR="00376AE6" w:rsidRDefault="00376AE6" w:rsidP="00097A19">
      <w:pPr>
        <w:spacing w:line="480" w:lineRule="auto"/>
      </w:pPr>
      <w:r>
        <w:rPr>
          <w:b/>
        </w:rPr>
        <w:lastRenderedPageBreak/>
        <w:t>Figure</w:t>
      </w:r>
      <w:r w:rsidRPr="00541330">
        <w:rPr>
          <w:b/>
        </w:rPr>
        <w:t xml:space="preserve"> </w:t>
      </w:r>
      <w:r>
        <w:rPr>
          <w:b/>
        </w:rPr>
        <w:t>B.8</w:t>
      </w:r>
      <w:r w:rsidRPr="00541330">
        <w:t xml:space="preserve">. </w:t>
      </w:r>
      <w:r>
        <w:t>Ethanol yield as determined by simultaneous saccharification and fermentation of whole aboveground senesced biomass in 2012. All five</w:t>
      </w:r>
      <w:r w:rsidRPr="00145267">
        <w:t xml:space="preserve"> biological replicates from each control </w:t>
      </w:r>
      <w:r>
        <w:t xml:space="preserve">group, and five randomly selected samples from each transgenic group, </w:t>
      </w:r>
      <w:r w:rsidRPr="00145267">
        <w:t xml:space="preserve">were used in the analyses. </w:t>
      </w:r>
      <w:r>
        <w:t xml:space="preserve">All samples were pretreated (180°C for 7.5 min, </w:t>
      </w:r>
      <w:r w:rsidRPr="00541330">
        <w:t>0.5% H</w:t>
      </w:r>
      <w:r w:rsidRPr="00541330">
        <w:rPr>
          <w:vertAlign w:val="subscript"/>
        </w:rPr>
        <w:t>2</w:t>
      </w:r>
      <w:r w:rsidRPr="00541330">
        <w:t>SO</w:t>
      </w:r>
      <w:r w:rsidRPr="00541330">
        <w:rPr>
          <w:vertAlign w:val="subscript"/>
        </w:rPr>
        <w:t>4</w:t>
      </w:r>
      <w:r w:rsidRPr="00145267">
        <w:t>)</w:t>
      </w:r>
      <w:r>
        <w:t xml:space="preserve"> prior to fermentation. (</w:t>
      </w:r>
      <w:proofErr w:type="gramStart"/>
      <w:r>
        <w:t>a</w:t>
      </w:r>
      <w:proofErr w:type="gramEnd"/>
      <w:r>
        <w:t>, b) Weight loss of fermentation bottles due to CO</w:t>
      </w:r>
      <w:r w:rsidRPr="00145267">
        <w:rPr>
          <w:vertAlign w:val="subscript"/>
        </w:rPr>
        <w:t>2</w:t>
      </w:r>
      <w:r>
        <w:t xml:space="preserve"> release over time for events COMT2 (a) and COMT3 (b); data points represent the average of the biological replicates within each group </w:t>
      </w:r>
      <w:r w:rsidRPr="00D93DCF">
        <w:t xml:space="preserve">± </w:t>
      </w:r>
      <w:r w:rsidR="00831D05">
        <w:t>standard error</w:t>
      </w:r>
      <w:r>
        <w:t>. (c) Final ethanol yield</w:t>
      </w:r>
      <w:r w:rsidR="00831D05">
        <w:t xml:space="preserve"> after 17d</w:t>
      </w:r>
      <w:r>
        <w:t>; b</w:t>
      </w:r>
      <w:r w:rsidRPr="00D93DCF">
        <w:t xml:space="preserve">ars represent the average of the biological replicates </w:t>
      </w:r>
      <w:r>
        <w:t xml:space="preserve">within each group </w:t>
      </w:r>
      <w:r w:rsidRPr="00D93DCF">
        <w:t xml:space="preserve">± </w:t>
      </w:r>
      <w:r w:rsidR="00831D05">
        <w:t xml:space="preserve">standard </w:t>
      </w:r>
      <w:bookmarkStart w:id="268" w:name="_GoBack"/>
      <w:r w:rsidR="00831D05">
        <w:t>error</w:t>
      </w:r>
      <w:bookmarkEnd w:id="268"/>
      <w:r w:rsidRPr="00D93DCF">
        <w:t xml:space="preserve">. </w:t>
      </w:r>
      <w:r w:rsidRPr="00B225FC">
        <w:t xml:space="preserve">Each transgenic </w:t>
      </w:r>
      <w:r>
        <w:t>event</w:t>
      </w:r>
      <w:r w:rsidRPr="00B225FC">
        <w:t xml:space="preserve"> was com</w:t>
      </w:r>
      <w:r>
        <w:t>pared to its respective control. An asterisk indicates a significant difference</w:t>
      </w:r>
      <w:r w:rsidRPr="00B225FC">
        <w:t xml:space="preserve"> </w:t>
      </w:r>
      <w:r>
        <w:t xml:space="preserve">as determined by a </w:t>
      </w:r>
      <w:r w:rsidRPr="004C3931">
        <w:rPr>
          <w:i/>
        </w:rPr>
        <w:t>t</w:t>
      </w:r>
      <w:r>
        <w:t xml:space="preserve">-test </w:t>
      </w:r>
      <w:r w:rsidRPr="00B225FC">
        <w:t>(P &lt; 0.05).</w:t>
      </w:r>
    </w:p>
    <w:p w:rsidR="00376AE6" w:rsidRDefault="00376AE6"/>
    <w:p w:rsidR="00376AE6" w:rsidRDefault="00376AE6"/>
    <w:p w:rsidR="00376AE6" w:rsidRDefault="00376AE6"/>
    <w:p w:rsidR="00376AE6" w:rsidRDefault="00376AE6"/>
    <w:p w:rsidR="00376AE6" w:rsidRDefault="00376AE6"/>
    <w:p w:rsidR="00376AE6" w:rsidRDefault="00376AE6"/>
    <w:p w:rsidR="00376AE6" w:rsidRDefault="00376AE6"/>
    <w:p w:rsidR="00376AE6" w:rsidRDefault="00376AE6"/>
    <w:p w:rsidR="00376AE6" w:rsidRDefault="00376AE6"/>
    <w:p w:rsidR="00376AE6" w:rsidRDefault="00376AE6"/>
    <w:p w:rsidR="00376AE6" w:rsidRDefault="00376AE6"/>
    <w:p w:rsidR="00376AE6" w:rsidRDefault="00376AE6"/>
    <w:p w:rsidR="00376AE6" w:rsidRDefault="00376AE6"/>
    <w:p w:rsidR="00376AE6" w:rsidRDefault="00376AE6"/>
    <w:p w:rsidR="00376AE6" w:rsidRDefault="00376AE6"/>
    <w:p w:rsidR="00376AE6" w:rsidRDefault="00376AE6"/>
    <w:p w:rsidR="00376AE6" w:rsidRDefault="00376AE6"/>
    <w:p w:rsidR="00376AE6" w:rsidRDefault="00376AE6"/>
    <w:p w:rsidR="00376AE6" w:rsidRDefault="00376AE6"/>
    <w:p w:rsidR="00376AE6" w:rsidRDefault="00376AE6"/>
    <w:p w:rsidR="00376AE6" w:rsidRDefault="00376AE6"/>
    <w:p w:rsidR="00376AE6" w:rsidRDefault="00376AE6"/>
    <w:p w:rsidR="00376AE6" w:rsidRDefault="00376AE6"/>
    <w:p w:rsidR="00376AE6" w:rsidRDefault="00376AE6"/>
    <w:p w:rsidR="00DC207C" w:rsidRDefault="001E6579" w:rsidP="00097A19">
      <w:pPr>
        <w:spacing w:line="480" w:lineRule="auto"/>
      </w:pPr>
      <w:r w:rsidRPr="00976DFE">
        <w:rPr>
          <w:noProof/>
        </w:rPr>
        <w:lastRenderedPageBreak/>
        <w:drawing>
          <wp:inline distT="0" distB="0" distL="0" distR="0">
            <wp:extent cx="2817495" cy="1754505"/>
            <wp:effectExtent l="0" t="0" r="0" b="0"/>
            <wp:docPr id="19"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DC207C" w:rsidRDefault="001E6579" w:rsidP="00097A19">
      <w:pPr>
        <w:spacing w:line="480" w:lineRule="auto"/>
      </w:pPr>
      <w:r w:rsidRPr="00976DFE">
        <w:rPr>
          <w:noProof/>
        </w:rPr>
        <w:drawing>
          <wp:inline distT="0" distB="0" distL="0" distR="0">
            <wp:extent cx="2817495" cy="1754505"/>
            <wp:effectExtent l="0" t="0" r="0" b="0"/>
            <wp:docPr id="20"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DC207C" w:rsidRDefault="001E6579" w:rsidP="00097A19">
      <w:pPr>
        <w:spacing w:line="480" w:lineRule="auto"/>
        <w:rPr>
          <w:b/>
        </w:rPr>
      </w:pPr>
      <w:r w:rsidRPr="00976DFE">
        <w:rPr>
          <w:noProof/>
        </w:rPr>
        <w:drawing>
          <wp:inline distT="0" distB="0" distL="0" distR="0">
            <wp:extent cx="2817495" cy="2588895"/>
            <wp:effectExtent l="0" t="0" r="0" b="0"/>
            <wp:docPr id="21"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376AE6" w:rsidRDefault="00376AE6" w:rsidP="00376AE6">
      <w:r>
        <w:rPr>
          <w:b/>
        </w:rPr>
        <w:t>Figure</w:t>
      </w:r>
      <w:r w:rsidRPr="00541330">
        <w:rPr>
          <w:b/>
        </w:rPr>
        <w:t xml:space="preserve"> </w:t>
      </w:r>
      <w:r>
        <w:rPr>
          <w:b/>
        </w:rPr>
        <w:t>B.8</w:t>
      </w:r>
      <w:r w:rsidRPr="00541330">
        <w:t xml:space="preserve">. </w:t>
      </w:r>
      <w:r>
        <w:t>Continued.</w:t>
      </w:r>
    </w:p>
    <w:p w:rsidR="00376AE6" w:rsidRDefault="00376AE6">
      <w:pPr>
        <w:rPr>
          <w:b/>
        </w:rPr>
      </w:pPr>
      <w:r>
        <w:rPr>
          <w:b/>
        </w:rPr>
        <w:br w:type="page"/>
      </w:r>
    </w:p>
    <w:p w:rsidR="00376AE6" w:rsidRDefault="00376AE6" w:rsidP="00376AE6">
      <w:pPr>
        <w:spacing w:line="480" w:lineRule="auto"/>
      </w:pPr>
      <w:r>
        <w:rPr>
          <w:b/>
        </w:rPr>
        <w:lastRenderedPageBreak/>
        <w:t>Figure</w:t>
      </w:r>
      <w:r w:rsidRPr="00A50ECC">
        <w:rPr>
          <w:b/>
        </w:rPr>
        <w:t xml:space="preserve"> </w:t>
      </w:r>
      <w:r>
        <w:rPr>
          <w:b/>
        </w:rPr>
        <w:t>B.9</w:t>
      </w:r>
      <w:r w:rsidRPr="00B225FC">
        <w:t>. Rust susceptibility of field-grown transgeni</w:t>
      </w:r>
      <w:r>
        <w:t>c plants. (</w:t>
      </w:r>
      <w:proofErr w:type="gramStart"/>
      <w:r>
        <w:t>a</w:t>
      </w:r>
      <w:proofErr w:type="gramEnd"/>
      <w:r>
        <w:t>, b) Pictures of rust-infected leaves</w:t>
      </w:r>
      <w:r w:rsidRPr="00B225FC">
        <w:t xml:space="preserve"> on four randomly selected </w:t>
      </w:r>
      <w:r>
        <w:t>leaves</w:t>
      </w:r>
      <w:r w:rsidRPr="00B225FC">
        <w:t xml:space="preserve"> from transgenic </w:t>
      </w:r>
      <w:r>
        <w:t xml:space="preserve">(a) </w:t>
      </w:r>
      <w:r w:rsidRPr="00B225FC">
        <w:t>and control plants</w:t>
      </w:r>
      <w:r>
        <w:t xml:space="preserve"> (b)</w:t>
      </w:r>
      <w:r w:rsidRPr="00B225FC">
        <w:t>, taken in November of 2012. (</w:t>
      </w:r>
      <w:r>
        <w:t>c</w:t>
      </w:r>
      <w:r w:rsidRPr="00B225FC">
        <w:t xml:space="preserve">) Severity </w:t>
      </w:r>
      <w:r>
        <w:t xml:space="preserve">of rust infection in transgenic </w:t>
      </w:r>
      <w:r w:rsidRPr="00B225FC">
        <w:t>and control plants</w:t>
      </w:r>
      <w:r>
        <w:t xml:space="preserve"> </w:t>
      </w:r>
      <w:r w:rsidRPr="00B225FC">
        <w:t xml:space="preserve">at various time points across the growing season in 2012. </w:t>
      </w:r>
      <w:r>
        <w:t xml:space="preserve">All five biological replicates from each control group, and all 10 biological replicates from each transgenic group were used in the analysis. </w:t>
      </w:r>
      <w:r w:rsidRPr="00D93DCF">
        <w:t xml:space="preserve">Bars represent the average of the biological replicates </w:t>
      </w:r>
      <w:r>
        <w:t xml:space="preserve">within each group </w:t>
      </w:r>
      <w:r w:rsidRPr="00D93DCF">
        <w:t xml:space="preserve">± </w:t>
      </w:r>
      <w:r w:rsidR="00831D05">
        <w:t>standard error</w:t>
      </w:r>
      <w:r w:rsidRPr="00D93DCF">
        <w:t xml:space="preserve">. </w:t>
      </w:r>
      <w:r>
        <w:t>For each time point, e</w:t>
      </w:r>
      <w:r w:rsidRPr="00B225FC">
        <w:t xml:space="preserve">ach transgenic </w:t>
      </w:r>
      <w:r>
        <w:t>event</w:t>
      </w:r>
      <w:r w:rsidRPr="00B225FC">
        <w:t xml:space="preserve"> was com</w:t>
      </w:r>
      <w:r>
        <w:t xml:space="preserve">pared to its respective control using a </w:t>
      </w:r>
      <w:r w:rsidRPr="004C3931">
        <w:rPr>
          <w:i/>
        </w:rPr>
        <w:t>t</w:t>
      </w:r>
      <w:r>
        <w:t xml:space="preserve">-test at the 5% level of significance. No significant differences were detected. </w:t>
      </w:r>
    </w:p>
    <w:p w:rsidR="00376AE6" w:rsidRDefault="00376AE6">
      <w:r>
        <w:br w:type="page"/>
      </w:r>
    </w:p>
    <w:p w:rsidR="00DC207C" w:rsidRPr="00423885" w:rsidRDefault="0080315A" w:rsidP="00097A19">
      <w:pPr>
        <w:spacing w:line="480" w:lineRule="auto"/>
        <w:jc w:val="center"/>
      </w:pPr>
      <w:r>
        <w:rPr>
          <w:noProof/>
        </w:rPr>
        <w:lastRenderedPageBreak/>
        <mc:AlternateContent>
          <mc:Choice Requires="wps">
            <w:drawing>
              <wp:anchor distT="0" distB="0" distL="114300" distR="114300" simplePos="0" relativeHeight="251658240" behindDoc="0" locked="0" layoutInCell="1" allowOverlap="1">
                <wp:simplePos x="0" y="0"/>
                <wp:positionH relativeFrom="column">
                  <wp:posOffset>219710</wp:posOffset>
                </wp:positionH>
                <wp:positionV relativeFrom="paragraph">
                  <wp:posOffset>46990</wp:posOffset>
                </wp:positionV>
                <wp:extent cx="359410" cy="323215"/>
                <wp:effectExtent l="0" t="0" r="0" b="0"/>
                <wp:wrapNone/>
                <wp:docPr id="96"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1FB3" w:rsidRPr="00B225FC" w:rsidRDefault="00631FB3" w:rsidP="00DC207C">
                            <w:r w:rsidRPr="00B225FC">
                              <w: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2" o:spid="_x0000_s1032" type="#_x0000_t202" style="position:absolute;left:0;text-align:left;margin-left:17.3pt;margin-top:3.7pt;width:28.3pt;height:25.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8WcuQIAAMI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" filled="f" stroked="f">
                <v:textbox>
                  <w:txbxContent>
                    <w:p w:rsidR="00631FB3" w:rsidRPr="00B225FC" w:rsidRDefault="00631FB3" w:rsidP="00DC207C">
                      <w:r w:rsidRPr="00B225FC">
                        <w:t>(a)</w:t>
                      </w:r>
                    </w:p>
                  </w:txbxContent>
                </v:textbox>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2900680</wp:posOffset>
                </wp:positionH>
                <wp:positionV relativeFrom="paragraph">
                  <wp:posOffset>-6985</wp:posOffset>
                </wp:positionV>
                <wp:extent cx="444500" cy="323215"/>
                <wp:effectExtent l="0" t="0" r="0" b="0"/>
                <wp:wrapNone/>
                <wp:docPr id="97"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1FB3" w:rsidRPr="00B225FC" w:rsidRDefault="00631FB3" w:rsidP="00DC207C">
                            <w:r w:rsidRPr="00B225FC">
                              <w:t>(</w:t>
                            </w:r>
                            <w:r>
                              <w:t>b</w:t>
                            </w:r>
                            <w:r w:rsidRPr="00B225FC">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3" o:spid="_x0000_s1033" type="#_x0000_t202" style="position:absolute;left:0;text-align:left;margin-left:228.4pt;margin-top:-.55pt;width:35pt;height:25.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jymuQIAAMI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" filled="f" stroked="f">
                <v:textbox>
                  <w:txbxContent>
                    <w:p w:rsidR="00631FB3" w:rsidRPr="00B225FC" w:rsidRDefault="00631FB3" w:rsidP="00DC207C">
                      <w:r w:rsidRPr="00B225FC">
                        <w:t>(</w:t>
                      </w:r>
                      <w:r>
                        <w:t>b</w:t>
                      </w:r>
                      <w:r w:rsidRPr="00B225FC">
                        <w:t>)</w:t>
                      </w:r>
                    </w:p>
                  </w:txbxContent>
                </v:textbox>
              </v:shape>
            </w:pict>
          </mc:Fallback>
        </mc:AlternateContent>
      </w:r>
      <w:r w:rsidR="001E6579" w:rsidRPr="00976DFE">
        <w:rPr>
          <w:noProof/>
        </w:rPr>
        <w:drawing>
          <wp:inline distT="0" distB="0" distL="0" distR="0">
            <wp:extent cx="5106670" cy="3026410"/>
            <wp:effectExtent l="0" t="0" r="0" b="0"/>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106670" cy="3026410"/>
                    </a:xfrm>
                    <a:prstGeom prst="rect">
                      <a:avLst/>
                    </a:prstGeom>
                    <a:noFill/>
                    <a:ln>
                      <a:noFill/>
                    </a:ln>
                  </pic:spPr>
                </pic:pic>
              </a:graphicData>
            </a:graphic>
          </wp:inline>
        </w:drawing>
      </w:r>
    </w:p>
    <w:p w:rsidR="00DC207C" w:rsidRPr="00423885" w:rsidRDefault="00DC207C" w:rsidP="00097A19">
      <w:pPr>
        <w:spacing w:line="480" w:lineRule="auto"/>
      </w:pPr>
    </w:p>
    <w:p w:rsidR="00DC207C" w:rsidRPr="00423885" w:rsidRDefault="001E6579" w:rsidP="00097A19">
      <w:pPr>
        <w:spacing w:line="480" w:lineRule="auto"/>
        <w:jc w:val="right"/>
      </w:pPr>
      <w:r w:rsidRPr="00976DFE">
        <w:rPr>
          <w:noProof/>
        </w:rPr>
        <w:drawing>
          <wp:inline distT="0" distB="0" distL="0" distR="0">
            <wp:extent cx="5617210" cy="3087370"/>
            <wp:effectExtent l="0" t="0" r="2540" b="0"/>
            <wp:docPr id="23" name="Chart 6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376AE6" w:rsidRDefault="00376AE6" w:rsidP="00376AE6">
      <w:r>
        <w:rPr>
          <w:b/>
        </w:rPr>
        <w:t>Figure</w:t>
      </w:r>
      <w:r w:rsidRPr="00A50ECC">
        <w:rPr>
          <w:b/>
        </w:rPr>
        <w:t xml:space="preserve"> </w:t>
      </w:r>
      <w:r>
        <w:rPr>
          <w:b/>
        </w:rPr>
        <w:t>B.9</w:t>
      </w:r>
      <w:r w:rsidRPr="00B225FC">
        <w:t xml:space="preserve">. </w:t>
      </w:r>
      <w:r>
        <w:t>Continued.</w:t>
      </w:r>
    </w:p>
    <w:p w:rsidR="00DC207C" w:rsidRPr="00194BF4" w:rsidRDefault="00DC207C" w:rsidP="00EA03CD">
      <w:pPr>
        <w:pStyle w:val="Heading3"/>
        <w:spacing w:line="480" w:lineRule="auto"/>
        <w:rPr>
          <w:b w:val="0"/>
          <w:sz w:val="28"/>
        </w:rPr>
      </w:pPr>
      <w:r w:rsidRPr="00194BF4">
        <w:br w:type="page"/>
      </w:r>
      <w:r w:rsidRPr="00EA03CD">
        <w:rPr>
          <w:sz w:val="28"/>
        </w:rPr>
        <w:lastRenderedPageBreak/>
        <w:t>Tables</w:t>
      </w:r>
    </w:p>
    <w:p w:rsidR="00DC207C" w:rsidRPr="00B225FC" w:rsidRDefault="00DC207C" w:rsidP="00097A19">
      <w:pPr>
        <w:spacing w:line="480" w:lineRule="auto"/>
      </w:pPr>
      <w:r>
        <w:rPr>
          <w:b/>
        </w:rPr>
        <w:t>Table</w:t>
      </w:r>
      <w:r w:rsidRPr="00A50ECC">
        <w:rPr>
          <w:b/>
        </w:rPr>
        <w:t xml:space="preserve"> </w:t>
      </w:r>
      <w:r w:rsidR="008F29AA">
        <w:rPr>
          <w:b/>
        </w:rPr>
        <w:t>B.</w:t>
      </w:r>
      <w:r>
        <w:rPr>
          <w:b/>
        </w:rPr>
        <w:t>1</w:t>
      </w:r>
      <w:r w:rsidRPr="00B225FC">
        <w:t xml:space="preserve">. </w:t>
      </w:r>
      <w:r>
        <w:t>Chemical composition</w:t>
      </w:r>
      <w:r w:rsidRPr="00B225FC">
        <w:t xml:space="preserve"> of senesced biomass</w:t>
      </w:r>
      <w:r>
        <w:t xml:space="preserve"> on an extractives-free basis in 2011 and 2012. </w:t>
      </w:r>
    </w:p>
    <w:tbl>
      <w:tblPr>
        <w:tblpPr w:leftFromText="180" w:rightFromText="180" w:vertAnchor="text" w:tblpXSpec="center" w:tblpY="1"/>
        <w:tblOverlap w:val="never"/>
        <w:tblW w:w="8250" w:type="dxa"/>
        <w:tblCellMar>
          <w:left w:w="0" w:type="dxa"/>
          <w:right w:w="0" w:type="dxa"/>
        </w:tblCellMar>
        <w:tblLook w:val="00A0" w:firstRow="1" w:lastRow="0" w:firstColumn="1" w:lastColumn="0" w:noHBand="0" w:noVBand="0"/>
      </w:tblPr>
      <w:tblGrid>
        <w:gridCol w:w="2970"/>
        <w:gridCol w:w="400"/>
        <w:gridCol w:w="320"/>
        <w:gridCol w:w="600"/>
        <w:gridCol w:w="400"/>
        <w:gridCol w:w="320"/>
        <w:gridCol w:w="600"/>
        <w:gridCol w:w="520"/>
        <w:gridCol w:w="320"/>
        <w:gridCol w:w="480"/>
        <w:gridCol w:w="480"/>
        <w:gridCol w:w="360"/>
        <w:gridCol w:w="480"/>
      </w:tblGrid>
      <w:tr w:rsidR="00DC207C" w:rsidRPr="00376AE6" w:rsidTr="00376AE6">
        <w:trPr>
          <w:trHeight w:val="20"/>
        </w:trPr>
        <w:tc>
          <w:tcPr>
            <w:tcW w:w="2970" w:type="dxa"/>
            <w:tcBorders>
              <w:top w:val="single" w:sz="4" w:space="0" w:color="auto"/>
              <w:left w:val="nil"/>
              <w:bottom w:val="single" w:sz="4" w:space="0" w:color="auto"/>
              <w:right w:val="nil"/>
            </w:tcBorders>
            <w:tcMar>
              <w:top w:w="72" w:type="dxa"/>
              <w:left w:w="144" w:type="dxa"/>
              <w:bottom w:w="72" w:type="dxa"/>
              <w:right w:w="144" w:type="dxa"/>
            </w:tcMar>
          </w:tcPr>
          <w:p w:rsidR="00DC207C" w:rsidRPr="00376AE6" w:rsidRDefault="00DC207C" w:rsidP="008D176A">
            <w:pPr>
              <w:rPr>
                <w:sz w:val="20"/>
                <w:szCs w:val="20"/>
              </w:rPr>
            </w:pPr>
            <w:bookmarkStart w:id="269" w:name="OLE_LINK1"/>
          </w:p>
        </w:tc>
        <w:tc>
          <w:tcPr>
            <w:tcW w:w="1320" w:type="dxa"/>
            <w:gridSpan w:val="3"/>
            <w:tcBorders>
              <w:top w:val="single" w:sz="4" w:space="0" w:color="auto"/>
              <w:left w:val="nil"/>
              <w:bottom w:val="single" w:sz="4" w:space="0" w:color="auto"/>
            </w:tcBorders>
            <w:tcMar>
              <w:top w:w="72" w:type="dxa"/>
              <w:left w:w="144" w:type="dxa"/>
              <w:bottom w:w="72" w:type="dxa"/>
              <w:right w:w="144" w:type="dxa"/>
            </w:tcMar>
          </w:tcPr>
          <w:p w:rsidR="00DC207C" w:rsidRPr="00376AE6" w:rsidRDefault="00DC207C" w:rsidP="008D176A">
            <w:pPr>
              <w:jc w:val="center"/>
              <w:rPr>
                <w:sz w:val="20"/>
                <w:szCs w:val="20"/>
              </w:rPr>
            </w:pPr>
            <w:r w:rsidRPr="00376AE6">
              <w:rPr>
                <w:bCs/>
                <w:color w:val="000000"/>
                <w:kern w:val="24"/>
                <w:sz w:val="20"/>
                <w:szCs w:val="20"/>
              </w:rPr>
              <w:t xml:space="preserve">Control </w:t>
            </w:r>
          </w:p>
        </w:tc>
        <w:tc>
          <w:tcPr>
            <w:tcW w:w="1320" w:type="dxa"/>
            <w:gridSpan w:val="3"/>
            <w:tcBorders>
              <w:top w:val="single" w:sz="4" w:space="0" w:color="auto"/>
              <w:bottom w:val="single" w:sz="4" w:space="0" w:color="auto"/>
            </w:tcBorders>
            <w:tcMar>
              <w:top w:w="72" w:type="dxa"/>
              <w:left w:w="144" w:type="dxa"/>
              <w:bottom w:w="72" w:type="dxa"/>
              <w:right w:w="144" w:type="dxa"/>
            </w:tcMar>
          </w:tcPr>
          <w:p w:rsidR="00DC207C" w:rsidRPr="00376AE6" w:rsidRDefault="00DC207C" w:rsidP="008D176A">
            <w:pPr>
              <w:jc w:val="center"/>
              <w:rPr>
                <w:sz w:val="20"/>
                <w:szCs w:val="20"/>
              </w:rPr>
            </w:pPr>
            <w:r w:rsidRPr="00376AE6">
              <w:rPr>
                <w:bCs/>
                <w:color w:val="000000"/>
                <w:kern w:val="24"/>
                <w:sz w:val="20"/>
                <w:szCs w:val="20"/>
              </w:rPr>
              <w:t>COMT2</w:t>
            </w:r>
          </w:p>
        </w:tc>
        <w:tc>
          <w:tcPr>
            <w:tcW w:w="1320" w:type="dxa"/>
            <w:gridSpan w:val="3"/>
            <w:tcBorders>
              <w:top w:val="single" w:sz="4" w:space="0" w:color="auto"/>
              <w:bottom w:val="single" w:sz="4" w:space="0" w:color="auto"/>
            </w:tcBorders>
            <w:tcMar>
              <w:top w:w="72" w:type="dxa"/>
              <w:left w:w="144" w:type="dxa"/>
              <w:bottom w:w="72" w:type="dxa"/>
              <w:right w:w="144" w:type="dxa"/>
            </w:tcMar>
          </w:tcPr>
          <w:p w:rsidR="00DC207C" w:rsidRPr="00376AE6" w:rsidRDefault="00DC207C" w:rsidP="008D176A">
            <w:pPr>
              <w:jc w:val="center"/>
              <w:rPr>
                <w:sz w:val="20"/>
                <w:szCs w:val="20"/>
              </w:rPr>
            </w:pPr>
            <w:r w:rsidRPr="00376AE6">
              <w:rPr>
                <w:bCs/>
                <w:color w:val="000000"/>
                <w:kern w:val="24"/>
                <w:sz w:val="20"/>
                <w:szCs w:val="20"/>
              </w:rPr>
              <w:t>Control</w:t>
            </w:r>
          </w:p>
        </w:tc>
        <w:tc>
          <w:tcPr>
            <w:tcW w:w="1320" w:type="dxa"/>
            <w:gridSpan w:val="3"/>
            <w:tcBorders>
              <w:top w:val="single" w:sz="4" w:space="0" w:color="auto"/>
              <w:bottom w:val="single" w:sz="4" w:space="0" w:color="auto"/>
              <w:right w:val="nil"/>
            </w:tcBorders>
            <w:tcMar>
              <w:top w:w="72" w:type="dxa"/>
              <w:left w:w="144" w:type="dxa"/>
              <w:bottom w:w="72" w:type="dxa"/>
              <w:right w:w="144" w:type="dxa"/>
            </w:tcMar>
          </w:tcPr>
          <w:p w:rsidR="00DC207C" w:rsidRPr="00376AE6" w:rsidRDefault="00DC207C" w:rsidP="008D176A">
            <w:pPr>
              <w:jc w:val="center"/>
              <w:rPr>
                <w:sz w:val="20"/>
                <w:szCs w:val="20"/>
              </w:rPr>
            </w:pPr>
            <w:r w:rsidRPr="00376AE6">
              <w:rPr>
                <w:bCs/>
                <w:color w:val="000000"/>
                <w:kern w:val="24"/>
                <w:sz w:val="20"/>
                <w:szCs w:val="20"/>
              </w:rPr>
              <w:t>COMT3</w:t>
            </w:r>
          </w:p>
        </w:tc>
      </w:tr>
      <w:tr w:rsidR="00DC207C" w:rsidRPr="00376AE6" w:rsidTr="00376AE6">
        <w:trPr>
          <w:trHeight w:val="138"/>
        </w:trPr>
        <w:tc>
          <w:tcPr>
            <w:tcW w:w="2970" w:type="dxa"/>
            <w:tcBorders>
              <w:top w:val="single" w:sz="4" w:space="0" w:color="auto"/>
              <w:left w:val="nil"/>
              <w:bottom w:val="nil"/>
              <w:right w:val="nil"/>
            </w:tcBorders>
            <w:tcMar>
              <w:top w:w="72" w:type="dxa"/>
              <w:left w:w="144" w:type="dxa"/>
              <w:bottom w:w="72" w:type="dxa"/>
              <w:right w:w="144" w:type="dxa"/>
            </w:tcMar>
          </w:tcPr>
          <w:p w:rsidR="00DC207C" w:rsidRPr="00376AE6" w:rsidRDefault="00DC207C" w:rsidP="00376AE6">
            <w:pPr>
              <w:rPr>
                <w:sz w:val="20"/>
                <w:szCs w:val="20"/>
              </w:rPr>
            </w:pPr>
            <w:r w:rsidRPr="00376AE6">
              <w:rPr>
                <w:bCs/>
                <w:color w:val="000000"/>
                <w:kern w:val="24"/>
                <w:sz w:val="20"/>
                <w:szCs w:val="20"/>
              </w:rPr>
              <w:t xml:space="preserve">Year 1 (2011) </w:t>
            </w:r>
          </w:p>
        </w:tc>
        <w:tc>
          <w:tcPr>
            <w:tcW w:w="400" w:type="dxa"/>
            <w:tcBorders>
              <w:top w:val="single" w:sz="4" w:space="0" w:color="auto"/>
              <w:left w:val="nil"/>
              <w:bottom w:val="nil"/>
              <w:right w:val="nil"/>
            </w:tcBorders>
            <w:tcMar>
              <w:top w:w="72" w:type="dxa"/>
              <w:left w:w="144" w:type="dxa"/>
              <w:bottom w:w="72" w:type="dxa"/>
              <w:right w:w="144" w:type="dxa"/>
            </w:tcMar>
          </w:tcPr>
          <w:p w:rsidR="00DC207C" w:rsidRPr="00376AE6" w:rsidRDefault="00DC207C" w:rsidP="00376AE6">
            <w:pPr>
              <w:rPr>
                <w:sz w:val="20"/>
                <w:szCs w:val="20"/>
              </w:rPr>
            </w:pPr>
          </w:p>
        </w:tc>
        <w:tc>
          <w:tcPr>
            <w:tcW w:w="320" w:type="dxa"/>
            <w:tcBorders>
              <w:top w:val="single" w:sz="4" w:space="0" w:color="auto"/>
              <w:left w:val="nil"/>
              <w:bottom w:val="nil"/>
              <w:right w:val="nil"/>
            </w:tcBorders>
            <w:tcMar>
              <w:top w:w="72" w:type="dxa"/>
              <w:left w:w="144" w:type="dxa"/>
              <w:bottom w:w="72" w:type="dxa"/>
              <w:right w:w="144" w:type="dxa"/>
            </w:tcMar>
          </w:tcPr>
          <w:p w:rsidR="00DC207C" w:rsidRPr="00376AE6" w:rsidRDefault="00DC207C" w:rsidP="00376AE6">
            <w:pPr>
              <w:rPr>
                <w:sz w:val="20"/>
                <w:szCs w:val="20"/>
              </w:rPr>
            </w:pPr>
          </w:p>
        </w:tc>
        <w:tc>
          <w:tcPr>
            <w:tcW w:w="600" w:type="dxa"/>
            <w:tcBorders>
              <w:top w:val="single" w:sz="4" w:space="0" w:color="auto"/>
              <w:left w:val="nil"/>
              <w:bottom w:val="nil"/>
              <w:right w:val="nil"/>
            </w:tcBorders>
            <w:tcMar>
              <w:top w:w="72" w:type="dxa"/>
              <w:left w:w="144" w:type="dxa"/>
              <w:bottom w:w="72" w:type="dxa"/>
              <w:right w:w="144" w:type="dxa"/>
            </w:tcMar>
          </w:tcPr>
          <w:p w:rsidR="00DC207C" w:rsidRPr="00376AE6" w:rsidRDefault="00DC207C" w:rsidP="00376AE6">
            <w:pPr>
              <w:rPr>
                <w:sz w:val="20"/>
                <w:szCs w:val="20"/>
              </w:rPr>
            </w:pPr>
          </w:p>
        </w:tc>
        <w:tc>
          <w:tcPr>
            <w:tcW w:w="400" w:type="dxa"/>
            <w:tcBorders>
              <w:top w:val="single" w:sz="4" w:space="0" w:color="auto"/>
              <w:left w:val="nil"/>
              <w:bottom w:val="nil"/>
              <w:right w:val="nil"/>
            </w:tcBorders>
            <w:tcMar>
              <w:top w:w="72" w:type="dxa"/>
              <w:left w:w="144" w:type="dxa"/>
              <w:bottom w:w="72" w:type="dxa"/>
              <w:right w:w="144" w:type="dxa"/>
            </w:tcMar>
          </w:tcPr>
          <w:p w:rsidR="00DC207C" w:rsidRPr="00376AE6" w:rsidRDefault="00DC207C" w:rsidP="00376AE6">
            <w:pPr>
              <w:rPr>
                <w:sz w:val="20"/>
                <w:szCs w:val="20"/>
              </w:rPr>
            </w:pPr>
          </w:p>
        </w:tc>
        <w:tc>
          <w:tcPr>
            <w:tcW w:w="320" w:type="dxa"/>
            <w:tcBorders>
              <w:top w:val="single" w:sz="4" w:space="0" w:color="auto"/>
              <w:left w:val="nil"/>
              <w:bottom w:val="nil"/>
              <w:right w:val="nil"/>
            </w:tcBorders>
            <w:tcMar>
              <w:top w:w="72" w:type="dxa"/>
              <w:left w:w="144" w:type="dxa"/>
              <w:bottom w:w="72" w:type="dxa"/>
              <w:right w:w="144" w:type="dxa"/>
            </w:tcMar>
          </w:tcPr>
          <w:p w:rsidR="00DC207C" w:rsidRPr="00376AE6" w:rsidRDefault="00DC207C" w:rsidP="00376AE6">
            <w:pPr>
              <w:rPr>
                <w:sz w:val="20"/>
                <w:szCs w:val="20"/>
              </w:rPr>
            </w:pPr>
          </w:p>
        </w:tc>
        <w:tc>
          <w:tcPr>
            <w:tcW w:w="600" w:type="dxa"/>
            <w:tcBorders>
              <w:top w:val="single" w:sz="4" w:space="0" w:color="auto"/>
              <w:left w:val="nil"/>
              <w:bottom w:val="nil"/>
              <w:right w:val="single" w:sz="4" w:space="0" w:color="auto"/>
            </w:tcBorders>
            <w:tcMar>
              <w:top w:w="72" w:type="dxa"/>
              <w:left w:w="144" w:type="dxa"/>
              <w:bottom w:w="72" w:type="dxa"/>
              <w:right w:w="144" w:type="dxa"/>
            </w:tcMar>
          </w:tcPr>
          <w:p w:rsidR="00DC207C" w:rsidRPr="00376AE6" w:rsidRDefault="00DC207C" w:rsidP="00376AE6">
            <w:pPr>
              <w:rPr>
                <w:sz w:val="20"/>
                <w:szCs w:val="20"/>
              </w:rPr>
            </w:pPr>
          </w:p>
        </w:tc>
        <w:tc>
          <w:tcPr>
            <w:tcW w:w="520" w:type="dxa"/>
            <w:tcBorders>
              <w:top w:val="single" w:sz="4" w:space="0" w:color="auto"/>
              <w:left w:val="single" w:sz="4" w:space="0" w:color="auto"/>
              <w:bottom w:val="nil"/>
              <w:right w:val="nil"/>
            </w:tcBorders>
            <w:tcMar>
              <w:top w:w="72" w:type="dxa"/>
              <w:left w:w="144" w:type="dxa"/>
              <w:bottom w:w="72" w:type="dxa"/>
              <w:right w:w="144" w:type="dxa"/>
            </w:tcMar>
          </w:tcPr>
          <w:p w:rsidR="00DC207C" w:rsidRPr="00376AE6" w:rsidRDefault="00DC207C" w:rsidP="00376AE6">
            <w:pPr>
              <w:rPr>
                <w:sz w:val="20"/>
                <w:szCs w:val="20"/>
              </w:rPr>
            </w:pPr>
          </w:p>
        </w:tc>
        <w:tc>
          <w:tcPr>
            <w:tcW w:w="320" w:type="dxa"/>
            <w:tcBorders>
              <w:top w:val="single" w:sz="4" w:space="0" w:color="auto"/>
              <w:left w:val="nil"/>
              <w:bottom w:val="nil"/>
              <w:right w:val="nil"/>
            </w:tcBorders>
            <w:tcMar>
              <w:top w:w="72" w:type="dxa"/>
              <w:left w:w="144" w:type="dxa"/>
              <w:bottom w:w="72" w:type="dxa"/>
              <w:right w:w="144" w:type="dxa"/>
            </w:tcMar>
          </w:tcPr>
          <w:p w:rsidR="00DC207C" w:rsidRPr="00376AE6" w:rsidRDefault="00DC207C" w:rsidP="00376AE6">
            <w:pPr>
              <w:rPr>
                <w:sz w:val="20"/>
                <w:szCs w:val="20"/>
              </w:rPr>
            </w:pPr>
          </w:p>
        </w:tc>
        <w:tc>
          <w:tcPr>
            <w:tcW w:w="480" w:type="dxa"/>
            <w:tcBorders>
              <w:top w:val="single" w:sz="4" w:space="0" w:color="auto"/>
              <w:left w:val="nil"/>
              <w:bottom w:val="nil"/>
              <w:right w:val="nil"/>
            </w:tcBorders>
            <w:tcMar>
              <w:top w:w="72" w:type="dxa"/>
              <w:left w:w="144" w:type="dxa"/>
              <w:bottom w:w="72" w:type="dxa"/>
              <w:right w:w="144" w:type="dxa"/>
            </w:tcMar>
          </w:tcPr>
          <w:p w:rsidR="00DC207C" w:rsidRPr="00376AE6" w:rsidRDefault="00DC207C" w:rsidP="00376AE6">
            <w:pPr>
              <w:rPr>
                <w:sz w:val="20"/>
                <w:szCs w:val="20"/>
              </w:rPr>
            </w:pPr>
          </w:p>
        </w:tc>
        <w:tc>
          <w:tcPr>
            <w:tcW w:w="1320" w:type="dxa"/>
            <w:gridSpan w:val="3"/>
            <w:tcBorders>
              <w:top w:val="single" w:sz="4" w:space="0" w:color="auto"/>
              <w:left w:val="nil"/>
              <w:bottom w:val="nil"/>
              <w:right w:val="nil"/>
            </w:tcBorders>
            <w:tcMar>
              <w:top w:w="72" w:type="dxa"/>
              <w:left w:w="144" w:type="dxa"/>
              <w:bottom w:w="72" w:type="dxa"/>
              <w:right w:w="144" w:type="dxa"/>
            </w:tcMar>
          </w:tcPr>
          <w:p w:rsidR="00DC207C" w:rsidRPr="00376AE6" w:rsidRDefault="00DC207C" w:rsidP="00376AE6">
            <w:pPr>
              <w:rPr>
                <w:sz w:val="20"/>
                <w:szCs w:val="20"/>
              </w:rPr>
            </w:pPr>
          </w:p>
        </w:tc>
      </w:tr>
      <w:tr w:rsidR="00DC207C" w:rsidRPr="00376AE6" w:rsidTr="00376AE6">
        <w:trPr>
          <w:trHeight w:val="20"/>
        </w:trPr>
        <w:tc>
          <w:tcPr>
            <w:tcW w:w="2970" w:type="dxa"/>
            <w:tcBorders>
              <w:top w:val="nil"/>
              <w:left w:val="nil"/>
              <w:bottom w:val="nil"/>
              <w:right w:val="nil"/>
            </w:tcBorders>
            <w:tcMar>
              <w:top w:w="72" w:type="dxa"/>
              <w:left w:w="144" w:type="dxa"/>
              <w:bottom w:w="72" w:type="dxa"/>
              <w:right w:w="144" w:type="dxa"/>
            </w:tcMar>
          </w:tcPr>
          <w:p w:rsidR="00DC207C" w:rsidRPr="00376AE6" w:rsidRDefault="00DC207C" w:rsidP="00376AE6">
            <w:pPr>
              <w:rPr>
                <w:sz w:val="20"/>
                <w:szCs w:val="20"/>
              </w:rPr>
            </w:pPr>
            <w:r w:rsidRPr="00376AE6">
              <w:rPr>
                <w:bCs/>
                <w:color w:val="000000"/>
                <w:kern w:val="24"/>
                <w:sz w:val="20"/>
                <w:szCs w:val="20"/>
              </w:rPr>
              <w:t xml:space="preserve">     Structural ash</w:t>
            </w:r>
          </w:p>
        </w:tc>
        <w:tc>
          <w:tcPr>
            <w:tcW w:w="400" w:type="dxa"/>
            <w:tcBorders>
              <w:top w:val="nil"/>
              <w:left w:val="nil"/>
              <w:bottom w:val="nil"/>
              <w:right w:val="nil"/>
            </w:tcBorders>
            <w:tcMar>
              <w:top w:w="9" w:type="dxa"/>
              <w:left w:w="9" w:type="dxa"/>
              <w:bottom w:w="0" w:type="dxa"/>
              <w:right w:w="9" w:type="dxa"/>
            </w:tcMar>
            <w:vAlign w:val="bottom"/>
          </w:tcPr>
          <w:p w:rsidR="00DC207C" w:rsidRPr="00376AE6" w:rsidRDefault="00DC207C" w:rsidP="00376AE6">
            <w:pPr>
              <w:jc w:val="right"/>
              <w:textAlignment w:val="bottom"/>
              <w:rPr>
                <w:sz w:val="20"/>
                <w:szCs w:val="20"/>
              </w:rPr>
            </w:pPr>
            <w:r w:rsidRPr="00376AE6">
              <w:rPr>
                <w:color w:val="000000"/>
                <w:kern w:val="24"/>
                <w:sz w:val="20"/>
                <w:szCs w:val="20"/>
              </w:rPr>
              <w:t xml:space="preserve">5.1 </w:t>
            </w:r>
          </w:p>
        </w:tc>
        <w:tc>
          <w:tcPr>
            <w:tcW w:w="320" w:type="dxa"/>
            <w:tcBorders>
              <w:top w:val="nil"/>
              <w:left w:val="nil"/>
              <w:bottom w:val="nil"/>
              <w:right w:val="nil"/>
            </w:tcBorders>
            <w:tcMar>
              <w:top w:w="9" w:type="dxa"/>
              <w:left w:w="9" w:type="dxa"/>
              <w:bottom w:w="0" w:type="dxa"/>
              <w:right w:w="9" w:type="dxa"/>
            </w:tcMar>
            <w:vAlign w:val="bottom"/>
          </w:tcPr>
          <w:p w:rsidR="00DC207C" w:rsidRPr="00376AE6" w:rsidRDefault="00DC207C" w:rsidP="00376AE6">
            <w:pPr>
              <w:jc w:val="center"/>
              <w:textAlignment w:val="bottom"/>
              <w:rPr>
                <w:sz w:val="20"/>
                <w:szCs w:val="20"/>
              </w:rPr>
            </w:pPr>
            <w:r w:rsidRPr="00376AE6">
              <w:rPr>
                <w:color w:val="000000"/>
                <w:kern w:val="24"/>
                <w:sz w:val="20"/>
                <w:szCs w:val="20"/>
              </w:rPr>
              <w:t xml:space="preserve">± </w:t>
            </w:r>
          </w:p>
        </w:tc>
        <w:tc>
          <w:tcPr>
            <w:tcW w:w="600" w:type="dxa"/>
            <w:tcBorders>
              <w:top w:val="nil"/>
              <w:left w:val="nil"/>
              <w:bottom w:val="nil"/>
              <w:right w:val="nil"/>
            </w:tcBorders>
            <w:tcMar>
              <w:top w:w="15" w:type="dxa"/>
              <w:left w:w="15" w:type="dxa"/>
              <w:bottom w:w="0" w:type="dxa"/>
              <w:right w:w="15" w:type="dxa"/>
            </w:tcMar>
            <w:vAlign w:val="bottom"/>
          </w:tcPr>
          <w:p w:rsidR="00DC207C" w:rsidRPr="00376AE6" w:rsidRDefault="00DC207C" w:rsidP="00376AE6">
            <w:pPr>
              <w:textAlignment w:val="bottom"/>
              <w:rPr>
                <w:sz w:val="20"/>
                <w:szCs w:val="20"/>
              </w:rPr>
            </w:pPr>
            <w:r w:rsidRPr="00376AE6">
              <w:rPr>
                <w:color w:val="000000"/>
                <w:kern w:val="24"/>
                <w:sz w:val="20"/>
                <w:szCs w:val="20"/>
              </w:rPr>
              <w:t>0.3</w:t>
            </w:r>
            <w:r w:rsidRPr="00376AE6">
              <w:rPr>
                <w:b/>
                <w:bCs/>
                <w:color w:val="000000"/>
                <w:kern w:val="24"/>
                <w:position w:val="5"/>
                <w:sz w:val="20"/>
                <w:szCs w:val="20"/>
                <w:vertAlign w:val="superscript"/>
              </w:rPr>
              <w:t xml:space="preserve"> </w:t>
            </w:r>
          </w:p>
        </w:tc>
        <w:tc>
          <w:tcPr>
            <w:tcW w:w="400" w:type="dxa"/>
            <w:tcBorders>
              <w:top w:val="nil"/>
              <w:left w:val="nil"/>
              <w:bottom w:val="nil"/>
              <w:right w:val="nil"/>
            </w:tcBorders>
            <w:tcMar>
              <w:top w:w="9" w:type="dxa"/>
              <w:left w:w="9" w:type="dxa"/>
              <w:bottom w:w="0" w:type="dxa"/>
              <w:right w:w="9" w:type="dxa"/>
            </w:tcMar>
            <w:vAlign w:val="bottom"/>
          </w:tcPr>
          <w:p w:rsidR="00DC207C" w:rsidRPr="00376AE6" w:rsidRDefault="00DC207C" w:rsidP="00376AE6">
            <w:pPr>
              <w:jc w:val="right"/>
              <w:textAlignment w:val="bottom"/>
              <w:rPr>
                <w:sz w:val="20"/>
                <w:szCs w:val="20"/>
              </w:rPr>
            </w:pPr>
            <w:r w:rsidRPr="00376AE6">
              <w:rPr>
                <w:color w:val="000000"/>
                <w:kern w:val="24"/>
                <w:sz w:val="20"/>
                <w:szCs w:val="20"/>
              </w:rPr>
              <w:t>5.3</w:t>
            </w:r>
          </w:p>
        </w:tc>
        <w:tc>
          <w:tcPr>
            <w:tcW w:w="320" w:type="dxa"/>
            <w:tcBorders>
              <w:top w:val="nil"/>
              <w:left w:val="nil"/>
              <w:bottom w:val="nil"/>
              <w:right w:val="nil"/>
            </w:tcBorders>
            <w:tcMar>
              <w:top w:w="9" w:type="dxa"/>
              <w:left w:w="9" w:type="dxa"/>
              <w:bottom w:w="0" w:type="dxa"/>
              <w:right w:w="9" w:type="dxa"/>
            </w:tcMar>
            <w:vAlign w:val="bottom"/>
          </w:tcPr>
          <w:p w:rsidR="00DC207C" w:rsidRPr="00376AE6" w:rsidRDefault="00DC207C" w:rsidP="00376AE6">
            <w:pPr>
              <w:jc w:val="center"/>
              <w:textAlignment w:val="bottom"/>
              <w:rPr>
                <w:sz w:val="20"/>
                <w:szCs w:val="20"/>
              </w:rPr>
            </w:pPr>
            <w:r w:rsidRPr="00376AE6">
              <w:rPr>
                <w:color w:val="000000"/>
                <w:kern w:val="24"/>
                <w:sz w:val="20"/>
                <w:szCs w:val="20"/>
              </w:rPr>
              <w:t xml:space="preserve">± </w:t>
            </w:r>
          </w:p>
        </w:tc>
        <w:tc>
          <w:tcPr>
            <w:tcW w:w="600" w:type="dxa"/>
            <w:tcBorders>
              <w:top w:val="nil"/>
              <w:left w:val="nil"/>
              <w:bottom w:val="nil"/>
              <w:right w:val="single" w:sz="4" w:space="0" w:color="auto"/>
            </w:tcBorders>
            <w:tcMar>
              <w:top w:w="15" w:type="dxa"/>
              <w:left w:w="15" w:type="dxa"/>
              <w:bottom w:w="0" w:type="dxa"/>
              <w:right w:w="15" w:type="dxa"/>
            </w:tcMar>
            <w:vAlign w:val="bottom"/>
          </w:tcPr>
          <w:p w:rsidR="00DC207C" w:rsidRPr="00376AE6" w:rsidRDefault="00DC207C" w:rsidP="00376AE6">
            <w:pPr>
              <w:textAlignment w:val="bottom"/>
              <w:rPr>
                <w:sz w:val="20"/>
                <w:szCs w:val="20"/>
              </w:rPr>
            </w:pPr>
            <w:r w:rsidRPr="00376AE6">
              <w:rPr>
                <w:color w:val="000000"/>
                <w:kern w:val="24"/>
                <w:sz w:val="20"/>
                <w:szCs w:val="20"/>
              </w:rPr>
              <w:t>0.2</w:t>
            </w:r>
          </w:p>
        </w:tc>
        <w:tc>
          <w:tcPr>
            <w:tcW w:w="520" w:type="dxa"/>
            <w:tcBorders>
              <w:top w:val="nil"/>
              <w:left w:val="single" w:sz="4" w:space="0" w:color="auto"/>
              <w:bottom w:val="nil"/>
              <w:right w:val="nil"/>
            </w:tcBorders>
            <w:tcMar>
              <w:top w:w="9" w:type="dxa"/>
              <w:left w:w="9" w:type="dxa"/>
              <w:bottom w:w="0" w:type="dxa"/>
              <w:right w:w="9" w:type="dxa"/>
            </w:tcMar>
            <w:vAlign w:val="bottom"/>
          </w:tcPr>
          <w:p w:rsidR="00DC207C" w:rsidRPr="00376AE6" w:rsidRDefault="00DC207C" w:rsidP="00376AE6">
            <w:pPr>
              <w:jc w:val="right"/>
              <w:textAlignment w:val="bottom"/>
              <w:rPr>
                <w:b/>
                <w:sz w:val="20"/>
                <w:szCs w:val="20"/>
              </w:rPr>
            </w:pPr>
            <w:r w:rsidRPr="00376AE6">
              <w:rPr>
                <w:b/>
                <w:color w:val="000000"/>
                <w:kern w:val="24"/>
                <w:sz w:val="20"/>
                <w:szCs w:val="20"/>
              </w:rPr>
              <w:t>4.6</w:t>
            </w:r>
          </w:p>
        </w:tc>
        <w:tc>
          <w:tcPr>
            <w:tcW w:w="320" w:type="dxa"/>
            <w:tcBorders>
              <w:top w:val="nil"/>
              <w:left w:val="nil"/>
              <w:bottom w:val="nil"/>
              <w:right w:val="nil"/>
            </w:tcBorders>
            <w:tcMar>
              <w:top w:w="9" w:type="dxa"/>
              <w:left w:w="9" w:type="dxa"/>
              <w:bottom w:w="0" w:type="dxa"/>
              <w:right w:w="9" w:type="dxa"/>
            </w:tcMar>
            <w:vAlign w:val="bottom"/>
          </w:tcPr>
          <w:p w:rsidR="00DC207C" w:rsidRPr="00376AE6" w:rsidRDefault="00DC207C" w:rsidP="00376AE6">
            <w:pPr>
              <w:jc w:val="center"/>
              <w:textAlignment w:val="bottom"/>
              <w:rPr>
                <w:b/>
                <w:sz w:val="20"/>
                <w:szCs w:val="20"/>
              </w:rPr>
            </w:pPr>
            <w:r w:rsidRPr="00376AE6">
              <w:rPr>
                <w:b/>
                <w:color w:val="000000"/>
                <w:kern w:val="24"/>
                <w:sz w:val="20"/>
                <w:szCs w:val="20"/>
              </w:rPr>
              <w:t xml:space="preserve">± </w:t>
            </w:r>
          </w:p>
        </w:tc>
        <w:tc>
          <w:tcPr>
            <w:tcW w:w="480" w:type="dxa"/>
            <w:tcBorders>
              <w:top w:val="nil"/>
              <w:left w:val="nil"/>
              <w:bottom w:val="nil"/>
              <w:right w:val="nil"/>
            </w:tcBorders>
            <w:tcMar>
              <w:top w:w="15" w:type="dxa"/>
              <w:left w:w="15" w:type="dxa"/>
              <w:bottom w:w="0" w:type="dxa"/>
              <w:right w:w="15" w:type="dxa"/>
            </w:tcMar>
            <w:vAlign w:val="bottom"/>
          </w:tcPr>
          <w:p w:rsidR="00DC207C" w:rsidRPr="00376AE6" w:rsidRDefault="00DC207C" w:rsidP="00376AE6">
            <w:pPr>
              <w:textAlignment w:val="bottom"/>
              <w:rPr>
                <w:b/>
                <w:sz w:val="20"/>
                <w:szCs w:val="20"/>
              </w:rPr>
            </w:pPr>
            <w:r w:rsidRPr="00376AE6">
              <w:rPr>
                <w:b/>
                <w:color w:val="000000"/>
                <w:kern w:val="24"/>
                <w:sz w:val="20"/>
                <w:szCs w:val="20"/>
              </w:rPr>
              <w:t xml:space="preserve">0.3 </w:t>
            </w:r>
          </w:p>
        </w:tc>
        <w:tc>
          <w:tcPr>
            <w:tcW w:w="480" w:type="dxa"/>
            <w:tcBorders>
              <w:top w:val="nil"/>
              <w:left w:val="nil"/>
              <w:bottom w:val="nil"/>
              <w:right w:val="nil"/>
            </w:tcBorders>
            <w:tcMar>
              <w:top w:w="9" w:type="dxa"/>
              <w:left w:w="9" w:type="dxa"/>
              <w:bottom w:w="0" w:type="dxa"/>
              <w:right w:w="9" w:type="dxa"/>
            </w:tcMar>
            <w:vAlign w:val="bottom"/>
          </w:tcPr>
          <w:p w:rsidR="00DC207C" w:rsidRPr="00376AE6" w:rsidRDefault="00DC207C" w:rsidP="00376AE6">
            <w:pPr>
              <w:jc w:val="right"/>
              <w:textAlignment w:val="bottom"/>
              <w:rPr>
                <w:b/>
                <w:sz w:val="20"/>
                <w:szCs w:val="20"/>
              </w:rPr>
            </w:pPr>
            <w:r w:rsidRPr="00376AE6">
              <w:rPr>
                <w:b/>
                <w:color w:val="000000"/>
                <w:kern w:val="24"/>
                <w:sz w:val="20"/>
                <w:szCs w:val="20"/>
              </w:rPr>
              <w:t>5.6</w:t>
            </w:r>
          </w:p>
        </w:tc>
        <w:tc>
          <w:tcPr>
            <w:tcW w:w="360" w:type="dxa"/>
            <w:tcBorders>
              <w:top w:val="nil"/>
              <w:left w:val="nil"/>
              <w:bottom w:val="nil"/>
              <w:right w:val="nil"/>
            </w:tcBorders>
            <w:tcMar>
              <w:top w:w="9" w:type="dxa"/>
              <w:left w:w="9" w:type="dxa"/>
              <w:bottom w:w="0" w:type="dxa"/>
              <w:right w:w="9" w:type="dxa"/>
            </w:tcMar>
            <w:vAlign w:val="bottom"/>
          </w:tcPr>
          <w:p w:rsidR="00DC207C" w:rsidRPr="00376AE6" w:rsidRDefault="00DC207C" w:rsidP="00376AE6">
            <w:pPr>
              <w:jc w:val="center"/>
              <w:textAlignment w:val="bottom"/>
              <w:rPr>
                <w:b/>
                <w:sz w:val="20"/>
                <w:szCs w:val="20"/>
              </w:rPr>
            </w:pPr>
            <w:r w:rsidRPr="00376AE6">
              <w:rPr>
                <w:b/>
                <w:color w:val="000000"/>
                <w:kern w:val="24"/>
                <w:sz w:val="20"/>
                <w:szCs w:val="20"/>
              </w:rPr>
              <w:t xml:space="preserve">± </w:t>
            </w:r>
          </w:p>
        </w:tc>
        <w:tc>
          <w:tcPr>
            <w:tcW w:w="480" w:type="dxa"/>
            <w:tcBorders>
              <w:top w:val="nil"/>
              <w:left w:val="nil"/>
              <w:bottom w:val="nil"/>
              <w:right w:val="nil"/>
            </w:tcBorders>
            <w:tcMar>
              <w:top w:w="15" w:type="dxa"/>
              <w:left w:w="15" w:type="dxa"/>
              <w:bottom w:w="0" w:type="dxa"/>
              <w:right w:w="15" w:type="dxa"/>
            </w:tcMar>
            <w:vAlign w:val="bottom"/>
          </w:tcPr>
          <w:p w:rsidR="00DC207C" w:rsidRPr="00376AE6" w:rsidRDefault="00DC207C" w:rsidP="00376AE6">
            <w:pPr>
              <w:textAlignment w:val="bottom"/>
              <w:rPr>
                <w:b/>
                <w:sz w:val="20"/>
                <w:szCs w:val="20"/>
              </w:rPr>
            </w:pPr>
            <w:r w:rsidRPr="00376AE6">
              <w:rPr>
                <w:b/>
                <w:color w:val="000000"/>
                <w:kern w:val="24"/>
                <w:sz w:val="20"/>
                <w:szCs w:val="20"/>
              </w:rPr>
              <w:t>0.2*</w:t>
            </w:r>
          </w:p>
        </w:tc>
      </w:tr>
      <w:tr w:rsidR="00DC207C" w:rsidRPr="00376AE6" w:rsidTr="00376AE6">
        <w:trPr>
          <w:trHeight w:val="20"/>
        </w:trPr>
        <w:tc>
          <w:tcPr>
            <w:tcW w:w="2970" w:type="dxa"/>
            <w:tcBorders>
              <w:top w:val="nil"/>
              <w:left w:val="nil"/>
              <w:bottom w:val="nil"/>
              <w:right w:val="nil"/>
            </w:tcBorders>
            <w:tcMar>
              <w:top w:w="72" w:type="dxa"/>
              <w:left w:w="144" w:type="dxa"/>
              <w:bottom w:w="72" w:type="dxa"/>
              <w:right w:w="144" w:type="dxa"/>
            </w:tcMar>
          </w:tcPr>
          <w:p w:rsidR="00DC207C" w:rsidRPr="00376AE6" w:rsidRDefault="00DC207C" w:rsidP="00376AE6">
            <w:pPr>
              <w:rPr>
                <w:sz w:val="20"/>
                <w:szCs w:val="20"/>
              </w:rPr>
            </w:pPr>
            <w:r w:rsidRPr="00376AE6">
              <w:rPr>
                <w:bCs/>
                <w:color w:val="000000"/>
                <w:kern w:val="24"/>
                <w:sz w:val="20"/>
                <w:szCs w:val="20"/>
              </w:rPr>
              <w:t xml:space="preserve">     Lignin </w:t>
            </w:r>
          </w:p>
        </w:tc>
        <w:tc>
          <w:tcPr>
            <w:tcW w:w="400" w:type="dxa"/>
            <w:tcBorders>
              <w:top w:val="nil"/>
              <w:left w:val="nil"/>
              <w:bottom w:val="nil"/>
              <w:right w:val="nil"/>
            </w:tcBorders>
            <w:tcMar>
              <w:top w:w="9" w:type="dxa"/>
              <w:left w:w="9" w:type="dxa"/>
              <w:bottom w:w="0" w:type="dxa"/>
              <w:right w:w="9" w:type="dxa"/>
            </w:tcMar>
            <w:vAlign w:val="bottom"/>
          </w:tcPr>
          <w:p w:rsidR="00DC207C" w:rsidRPr="00376AE6" w:rsidRDefault="00DC207C" w:rsidP="00376AE6">
            <w:pPr>
              <w:jc w:val="right"/>
              <w:textAlignment w:val="bottom"/>
              <w:rPr>
                <w:b/>
                <w:sz w:val="20"/>
                <w:szCs w:val="20"/>
              </w:rPr>
            </w:pPr>
            <w:r w:rsidRPr="00376AE6">
              <w:rPr>
                <w:b/>
                <w:color w:val="000000"/>
                <w:kern w:val="24"/>
                <w:sz w:val="20"/>
                <w:szCs w:val="20"/>
              </w:rPr>
              <w:t xml:space="preserve">22.2 </w:t>
            </w:r>
          </w:p>
        </w:tc>
        <w:tc>
          <w:tcPr>
            <w:tcW w:w="320" w:type="dxa"/>
            <w:tcBorders>
              <w:top w:val="nil"/>
              <w:left w:val="nil"/>
              <w:bottom w:val="nil"/>
              <w:right w:val="nil"/>
            </w:tcBorders>
            <w:tcMar>
              <w:top w:w="9" w:type="dxa"/>
              <w:left w:w="9" w:type="dxa"/>
              <w:bottom w:w="0" w:type="dxa"/>
              <w:right w:w="9" w:type="dxa"/>
            </w:tcMar>
            <w:vAlign w:val="bottom"/>
          </w:tcPr>
          <w:p w:rsidR="00DC207C" w:rsidRPr="00376AE6" w:rsidRDefault="00DC207C" w:rsidP="00376AE6">
            <w:pPr>
              <w:jc w:val="center"/>
              <w:textAlignment w:val="bottom"/>
              <w:rPr>
                <w:b/>
                <w:sz w:val="20"/>
                <w:szCs w:val="20"/>
              </w:rPr>
            </w:pPr>
            <w:r w:rsidRPr="00376AE6">
              <w:rPr>
                <w:b/>
                <w:color w:val="000000"/>
                <w:kern w:val="24"/>
                <w:sz w:val="20"/>
                <w:szCs w:val="20"/>
              </w:rPr>
              <w:t xml:space="preserve">± </w:t>
            </w:r>
          </w:p>
        </w:tc>
        <w:tc>
          <w:tcPr>
            <w:tcW w:w="600" w:type="dxa"/>
            <w:tcBorders>
              <w:top w:val="nil"/>
              <w:left w:val="nil"/>
              <w:bottom w:val="nil"/>
              <w:right w:val="nil"/>
            </w:tcBorders>
            <w:tcMar>
              <w:top w:w="15" w:type="dxa"/>
              <w:left w:w="15" w:type="dxa"/>
              <w:bottom w:w="0" w:type="dxa"/>
              <w:right w:w="15" w:type="dxa"/>
            </w:tcMar>
            <w:vAlign w:val="bottom"/>
          </w:tcPr>
          <w:p w:rsidR="00DC207C" w:rsidRPr="00376AE6" w:rsidRDefault="00DC207C" w:rsidP="00376AE6">
            <w:pPr>
              <w:textAlignment w:val="bottom"/>
              <w:rPr>
                <w:b/>
                <w:sz w:val="20"/>
                <w:szCs w:val="20"/>
              </w:rPr>
            </w:pPr>
            <w:r w:rsidRPr="00376AE6">
              <w:rPr>
                <w:b/>
                <w:color w:val="000000"/>
                <w:kern w:val="24"/>
                <w:sz w:val="20"/>
                <w:szCs w:val="20"/>
              </w:rPr>
              <w:t>0.4</w:t>
            </w:r>
          </w:p>
        </w:tc>
        <w:tc>
          <w:tcPr>
            <w:tcW w:w="400" w:type="dxa"/>
            <w:tcBorders>
              <w:top w:val="nil"/>
              <w:left w:val="nil"/>
              <w:bottom w:val="nil"/>
              <w:right w:val="nil"/>
            </w:tcBorders>
            <w:tcMar>
              <w:top w:w="9" w:type="dxa"/>
              <w:left w:w="9" w:type="dxa"/>
              <w:bottom w:w="0" w:type="dxa"/>
              <w:right w:w="9" w:type="dxa"/>
            </w:tcMar>
            <w:vAlign w:val="bottom"/>
          </w:tcPr>
          <w:p w:rsidR="00DC207C" w:rsidRPr="00376AE6" w:rsidRDefault="00DC207C" w:rsidP="00376AE6">
            <w:pPr>
              <w:jc w:val="right"/>
              <w:textAlignment w:val="bottom"/>
              <w:rPr>
                <w:b/>
                <w:sz w:val="20"/>
                <w:szCs w:val="20"/>
              </w:rPr>
            </w:pPr>
            <w:r w:rsidRPr="00376AE6">
              <w:rPr>
                <w:b/>
                <w:color w:val="000000"/>
                <w:kern w:val="24"/>
                <w:sz w:val="20"/>
                <w:szCs w:val="20"/>
              </w:rPr>
              <w:t>20.9</w:t>
            </w:r>
          </w:p>
        </w:tc>
        <w:tc>
          <w:tcPr>
            <w:tcW w:w="320" w:type="dxa"/>
            <w:tcBorders>
              <w:top w:val="nil"/>
              <w:left w:val="nil"/>
              <w:bottom w:val="nil"/>
              <w:right w:val="nil"/>
            </w:tcBorders>
            <w:tcMar>
              <w:top w:w="9" w:type="dxa"/>
              <w:left w:w="9" w:type="dxa"/>
              <w:bottom w:w="0" w:type="dxa"/>
              <w:right w:w="9" w:type="dxa"/>
            </w:tcMar>
            <w:vAlign w:val="bottom"/>
          </w:tcPr>
          <w:p w:rsidR="00DC207C" w:rsidRPr="00376AE6" w:rsidRDefault="00DC207C" w:rsidP="00376AE6">
            <w:pPr>
              <w:jc w:val="center"/>
              <w:textAlignment w:val="bottom"/>
              <w:rPr>
                <w:b/>
                <w:sz w:val="20"/>
                <w:szCs w:val="20"/>
              </w:rPr>
            </w:pPr>
            <w:r w:rsidRPr="00376AE6">
              <w:rPr>
                <w:b/>
                <w:color w:val="000000"/>
                <w:kern w:val="24"/>
                <w:sz w:val="20"/>
                <w:szCs w:val="20"/>
              </w:rPr>
              <w:t xml:space="preserve">± </w:t>
            </w:r>
          </w:p>
        </w:tc>
        <w:tc>
          <w:tcPr>
            <w:tcW w:w="600" w:type="dxa"/>
            <w:tcBorders>
              <w:top w:val="nil"/>
              <w:left w:val="nil"/>
              <w:bottom w:val="nil"/>
              <w:right w:val="single" w:sz="4" w:space="0" w:color="auto"/>
            </w:tcBorders>
            <w:tcMar>
              <w:top w:w="15" w:type="dxa"/>
              <w:left w:w="15" w:type="dxa"/>
              <w:bottom w:w="0" w:type="dxa"/>
              <w:right w:w="15" w:type="dxa"/>
            </w:tcMar>
            <w:vAlign w:val="bottom"/>
          </w:tcPr>
          <w:p w:rsidR="00DC207C" w:rsidRPr="00376AE6" w:rsidRDefault="00DC207C" w:rsidP="00376AE6">
            <w:pPr>
              <w:textAlignment w:val="bottom"/>
              <w:rPr>
                <w:b/>
                <w:sz w:val="20"/>
                <w:szCs w:val="20"/>
              </w:rPr>
            </w:pPr>
            <w:r w:rsidRPr="00376AE6">
              <w:rPr>
                <w:b/>
                <w:color w:val="000000"/>
                <w:kern w:val="24"/>
                <w:sz w:val="20"/>
                <w:szCs w:val="20"/>
              </w:rPr>
              <w:t>0.4*</w:t>
            </w:r>
          </w:p>
        </w:tc>
        <w:tc>
          <w:tcPr>
            <w:tcW w:w="520" w:type="dxa"/>
            <w:tcBorders>
              <w:top w:val="nil"/>
              <w:left w:val="single" w:sz="4" w:space="0" w:color="auto"/>
              <w:bottom w:val="nil"/>
              <w:right w:val="nil"/>
            </w:tcBorders>
            <w:tcMar>
              <w:top w:w="9" w:type="dxa"/>
              <w:left w:w="9" w:type="dxa"/>
              <w:bottom w:w="0" w:type="dxa"/>
              <w:right w:w="9" w:type="dxa"/>
            </w:tcMar>
            <w:vAlign w:val="bottom"/>
          </w:tcPr>
          <w:p w:rsidR="00DC207C" w:rsidRPr="00376AE6" w:rsidRDefault="00DC207C" w:rsidP="00376AE6">
            <w:pPr>
              <w:jc w:val="right"/>
              <w:textAlignment w:val="bottom"/>
              <w:rPr>
                <w:b/>
                <w:sz w:val="20"/>
                <w:szCs w:val="20"/>
              </w:rPr>
            </w:pPr>
            <w:r w:rsidRPr="00376AE6">
              <w:rPr>
                <w:b/>
                <w:color w:val="000000"/>
                <w:kern w:val="24"/>
                <w:sz w:val="20"/>
                <w:szCs w:val="20"/>
              </w:rPr>
              <w:t>22.4</w:t>
            </w:r>
          </w:p>
        </w:tc>
        <w:tc>
          <w:tcPr>
            <w:tcW w:w="320" w:type="dxa"/>
            <w:tcBorders>
              <w:top w:val="nil"/>
              <w:left w:val="nil"/>
              <w:bottom w:val="nil"/>
              <w:right w:val="nil"/>
            </w:tcBorders>
            <w:tcMar>
              <w:top w:w="9" w:type="dxa"/>
              <w:left w:w="9" w:type="dxa"/>
              <w:bottom w:w="0" w:type="dxa"/>
              <w:right w:w="9" w:type="dxa"/>
            </w:tcMar>
            <w:vAlign w:val="bottom"/>
          </w:tcPr>
          <w:p w:rsidR="00DC207C" w:rsidRPr="00376AE6" w:rsidRDefault="00DC207C" w:rsidP="00376AE6">
            <w:pPr>
              <w:jc w:val="center"/>
              <w:textAlignment w:val="bottom"/>
              <w:rPr>
                <w:b/>
                <w:sz w:val="20"/>
                <w:szCs w:val="20"/>
              </w:rPr>
            </w:pPr>
            <w:r w:rsidRPr="00376AE6">
              <w:rPr>
                <w:b/>
                <w:color w:val="000000"/>
                <w:kern w:val="24"/>
                <w:sz w:val="20"/>
                <w:szCs w:val="20"/>
              </w:rPr>
              <w:t xml:space="preserve">± </w:t>
            </w:r>
          </w:p>
        </w:tc>
        <w:tc>
          <w:tcPr>
            <w:tcW w:w="480" w:type="dxa"/>
            <w:tcBorders>
              <w:top w:val="nil"/>
              <w:left w:val="nil"/>
              <w:bottom w:val="nil"/>
              <w:right w:val="nil"/>
            </w:tcBorders>
            <w:tcMar>
              <w:top w:w="15" w:type="dxa"/>
              <w:left w:w="15" w:type="dxa"/>
              <w:bottom w:w="0" w:type="dxa"/>
              <w:right w:w="15" w:type="dxa"/>
            </w:tcMar>
            <w:vAlign w:val="bottom"/>
          </w:tcPr>
          <w:p w:rsidR="00DC207C" w:rsidRPr="00376AE6" w:rsidRDefault="00DC207C" w:rsidP="00376AE6">
            <w:pPr>
              <w:textAlignment w:val="bottom"/>
              <w:rPr>
                <w:b/>
                <w:sz w:val="20"/>
                <w:szCs w:val="20"/>
              </w:rPr>
            </w:pPr>
            <w:r w:rsidRPr="00376AE6">
              <w:rPr>
                <w:b/>
                <w:color w:val="000000"/>
                <w:kern w:val="24"/>
                <w:sz w:val="20"/>
                <w:szCs w:val="20"/>
              </w:rPr>
              <w:t>0.3*</w:t>
            </w:r>
          </w:p>
        </w:tc>
        <w:tc>
          <w:tcPr>
            <w:tcW w:w="480" w:type="dxa"/>
            <w:tcBorders>
              <w:top w:val="nil"/>
              <w:left w:val="nil"/>
              <w:bottom w:val="nil"/>
              <w:right w:val="nil"/>
            </w:tcBorders>
            <w:tcMar>
              <w:top w:w="9" w:type="dxa"/>
              <w:left w:w="9" w:type="dxa"/>
              <w:bottom w:w="0" w:type="dxa"/>
              <w:right w:w="9" w:type="dxa"/>
            </w:tcMar>
            <w:vAlign w:val="bottom"/>
          </w:tcPr>
          <w:p w:rsidR="00DC207C" w:rsidRPr="00376AE6" w:rsidRDefault="00DC207C" w:rsidP="00376AE6">
            <w:pPr>
              <w:jc w:val="right"/>
              <w:textAlignment w:val="bottom"/>
              <w:rPr>
                <w:b/>
                <w:sz w:val="20"/>
                <w:szCs w:val="20"/>
              </w:rPr>
            </w:pPr>
            <w:r w:rsidRPr="00376AE6">
              <w:rPr>
                <w:b/>
                <w:color w:val="000000"/>
                <w:kern w:val="24"/>
                <w:sz w:val="20"/>
                <w:szCs w:val="20"/>
              </w:rPr>
              <w:t>21.3</w:t>
            </w:r>
          </w:p>
        </w:tc>
        <w:tc>
          <w:tcPr>
            <w:tcW w:w="360" w:type="dxa"/>
            <w:tcBorders>
              <w:top w:val="nil"/>
              <w:left w:val="nil"/>
              <w:bottom w:val="nil"/>
              <w:right w:val="nil"/>
            </w:tcBorders>
            <w:tcMar>
              <w:top w:w="9" w:type="dxa"/>
              <w:left w:w="9" w:type="dxa"/>
              <w:bottom w:w="0" w:type="dxa"/>
              <w:right w:w="9" w:type="dxa"/>
            </w:tcMar>
            <w:vAlign w:val="bottom"/>
          </w:tcPr>
          <w:p w:rsidR="00DC207C" w:rsidRPr="00376AE6" w:rsidRDefault="00DC207C" w:rsidP="00376AE6">
            <w:pPr>
              <w:jc w:val="center"/>
              <w:textAlignment w:val="bottom"/>
              <w:rPr>
                <w:b/>
                <w:sz w:val="20"/>
                <w:szCs w:val="20"/>
              </w:rPr>
            </w:pPr>
            <w:r w:rsidRPr="00376AE6">
              <w:rPr>
                <w:b/>
                <w:color w:val="000000"/>
                <w:kern w:val="24"/>
                <w:sz w:val="20"/>
                <w:szCs w:val="20"/>
              </w:rPr>
              <w:t xml:space="preserve">± </w:t>
            </w:r>
          </w:p>
        </w:tc>
        <w:tc>
          <w:tcPr>
            <w:tcW w:w="480" w:type="dxa"/>
            <w:tcBorders>
              <w:top w:val="nil"/>
              <w:left w:val="nil"/>
              <w:bottom w:val="nil"/>
              <w:right w:val="nil"/>
            </w:tcBorders>
            <w:tcMar>
              <w:top w:w="15" w:type="dxa"/>
              <w:left w:w="15" w:type="dxa"/>
              <w:bottom w:w="0" w:type="dxa"/>
              <w:right w:w="15" w:type="dxa"/>
            </w:tcMar>
            <w:vAlign w:val="bottom"/>
          </w:tcPr>
          <w:p w:rsidR="00DC207C" w:rsidRPr="00376AE6" w:rsidRDefault="00DC207C" w:rsidP="00376AE6">
            <w:pPr>
              <w:textAlignment w:val="bottom"/>
              <w:rPr>
                <w:b/>
                <w:sz w:val="20"/>
                <w:szCs w:val="20"/>
              </w:rPr>
            </w:pPr>
            <w:r w:rsidRPr="00376AE6">
              <w:rPr>
                <w:b/>
                <w:color w:val="000000"/>
                <w:kern w:val="24"/>
                <w:sz w:val="20"/>
                <w:szCs w:val="20"/>
              </w:rPr>
              <w:t>0.2*</w:t>
            </w:r>
          </w:p>
        </w:tc>
      </w:tr>
      <w:tr w:rsidR="00DC207C" w:rsidRPr="00376AE6" w:rsidTr="00376AE6">
        <w:trPr>
          <w:trHeight w:val="20"/>
        </w:trPr>
        <w:tc>
          <w:tcPr>
            <w:tcW w:w="2970" w:type="dxa"/>
            <w:tcBorders>
              <w:top w:val="nil"/>
              <w:left w:val="nil"/>
              <w:bottom w:val="nil"/>
              <w:right w:val="nil"/>
            </w:tcBorders>
            <w:tcMar>
              <w:top w:w="72" w:type="dxa"/>
              <w:left w:w="144" w:type="dxa"/>
              <w:bottom w:w="72" w:type="dxa"/>
              <w:right w:w="144" w:type="dxa"/>
            </w:tcMar>
          </w:tcPr>
          <w:p w:rsidR="00DC207C" w:rsidRPr="00376AE6" w:rsidRDefault="00DC207C" w:rsidP="00376AE6">
            <w:pPr>
              <w:rPr>
                <w:sz w:val="20"/>
                <w:szCs w:val="20"/>
              </w:rPr>
            </w:pPr>
            <w:r w:rsidRPr="00376AE6">
              <w:rPr>
                <w:bCs/>
                <w:color w:val="000000"/>
                <w:kern w:val="24"/>
                <w:sz w:val="20"/>
                <w:szCs w:val="20"/>
              </w:rPr>
              <w:t xml:space="preserve">     Acetyl </w:t>
            </w:r>
          </w:p>
        </w:tc>
        <w:tc>
          <w:tcPr>
            <w:tcW w:w="400" w:type="dxa"/>
            <w:tcBorders>
              <w:top w:val="nil"/>
              <w:left w:val="nil"/>
              <w:bottom w:val="nil"/>
              <w:right w:val="nil"/>
            </w:tcBorders>
            <w:tcMar>
              <w:top w:w="9" w:type="dxa"/>
              <w:left w:w="9" w:type="dxa"/>
              <w:bottom w:w="0" w:type="dxa"/>
              <w:right w:w="9" w:type="dxa"/>
            </w:tcMar>
            <w:vAlign w:val="bottom"/>
          </w:tcPr>
          <w:p w:rsidR="00DC207C" w:rsidRPr="00376AE6" w:rsidRDefault="00DC207C" w:rsidP="00376AE6">
            <w:pPr>
              <w:jc w:val="right"/>
              <w:textAlignment w:val="bottom"/>
              <w:rPr>
                <w:sz w:val="20"/>
                <w:szCs w:val="20"/>
              </w:rPr>
            </w:pPr>
            <w:r w:rsidRPr="00376AE6">
              <w:rPr>
                <w:color w:val="000000"/>
                <w:kern w:val="24"/>
                <w:sz w:val="20"/>
                <w:szCs w:val="20"/>
              </w:rPr>
              <w:t xml:space="preserve">2.6 </w:t>
            </w:r>
          </w:p>
        </w:tc>
        <w:tc>
          <w:tcPr>
            <w:tcW w:w="320" w:type="dxa"/>
            <w:tcBorders>
              <w:top w:val="nil"/>
              <w:left w:val="nil"/>
              <w:bottom w:val="nil"/>
              <w:right w:val="nil"/>
            </w:tcBorders>
            <w:tcMar>
              <w:top w:w="9" w:type="dxa"/>
              <w:left w:w="9" w:type="dxa"/>
              <w:bottom w:w="0" w:type="dxa"/>
              <w:right w:w="9" w:type="dxa"/>
            </w:tcMar>
            <w:vAlign w:val="bottom"/>
          </w:tcPr>
          <w:p w:rsidR="00DC207C" w:rsidRPr="00376AE6" w:rsidRDefault="00DC207C" w:rsidP="00376AE6">
            <w:pPr>
              <w:jc w:val="center"/>
              <w:textAlignment w:val="bottom"/>
              <w:rPr>
                <w:sz w:val="20"/>
                <w:szCs w:val="20"/>
              </w:rPr>
            </w:pPr>
            <w:r w:rsidRPr="00376AE6">
              <w:rPr>
                <w:color w:val="000000"/>
                <w:kern w:val="24"/>
                <w:sz w:val="20"/>
                <w:szCs w:val="20"/>
              </w:rPr>
              <w:t xml:space="preserve">± </w:t>
            </w:r>
          </w:p>
        </w:tc>
        <w:tc>
          <w:tcPr>
            <w:tcW w:w="600" w:type="dxa"/>
            <w:tcBorders>
              <w:top w:val="nil"/>
              <w:left w:val="nil"/>
              <w:bottom w:val="nil"/>
              <w:right w:val="nil"/>
            </w:tcBorders>
            <w:tcMar>
              <w:top w:w="15" w:type="dxa"/>
              <w:left w:w="15" w:type="dxa"/>
              <w:bottom w:w="0" w:type="dxa"/>
              <w:right w:w="15" w:type="dxa"/>
            </w:tcMar>
            <w:vAlign w:val="bottom"/>
          </w:tcPr>
          <w:p w:rsidR="00DC207C" w:rsidRPr="00376AE6" w:rsidRDefault="00DC207C" w:rsidP="00376AE6">
            <w:pPr>
              <w:textAlignment w:val="bottom"/>
              <w:rPr>
                <w:sz w:val="20"/>
                <w:szCs w:val="20"/>
              </w:rPr>
            </w:pPr>
            <w:r w:rsidRPr="00376AE6">
              <w:rPr>
                <w:color w:val="000000"/>
                <w:kern w:val="24"/>
                <w:sz w:val="20"/>
                <w:szCs w:val="20"/>
              </w:rPr>
              <w:t>0.1</w:t>
            </w:r>
          </w:p>
        </w:tc>
        <w:tc>
          <w:tcPr>
            <w:tcW w:w="400" w:type="dxa"/>
            <w:tcBorders>
              <w:top w:val="nil"/>
              <w:left w:val="nil"/>
              <w:bottom w:val="nil"/>
              <w:right w:val="nil"/>
            </w:tcBorders>
            <w:tcMar>
              <w:top w:w="9" w:type="dxa"/>
              <w:left w:w="9" w:type="dxa"/>
              <w:bottom w:w="0" w:type="dxa"/>
              <w:right w:w="9" w:type="dxa"/>
            </w:tcMar>
            <w:vAlign w:val="bottom"/>
          </w:tcPr>
          <w:p w:rsidR="00DC207C" w:rsidRPr="00376AE6" w:rsidRDefault="00DC207C" w:rsidP="00376AE6">
            <w:pPr>
              <w:jc w:val="right"/>
              <w:textAlignment w:val="bottom"/>
              <w:rPr>
                <w:sz w:val="20"/>
                <w:szCs w:val="20"/>
              </w:rPr>
            </w:pPr>
            <w:r w:rsidRPr="00376AE6">
              <w:rPr>
                <w:color w:val="000000"/>
                <w:kern w:val="24"/>
                <w:sz w:val="20"/>
                <w:szCs w:val="20"/>
              </w:rPr>
              <w:t>2.4</w:t>
            </w:r>
          </w:p>
        </w:tc>
        <w:tc>
          <w:tcPr>
            <w:tcW w:w="320" w:type="dxa"/>
            <w:tcBorders>
              <w:top w:val="nil"/>
              <w:left w:val="nil"/>
              <w:bottom w:val="nil"/>
              <w:right w:val="nil"/>
            </w:tcBorders>
            <w:tcMar>
              <w:top w:w="9" w:type="dxa"/>
              <w:left w:w="9" w:type="dxa"/>
              <w:bottom w:w="0" w:type="dxa"/>
              <w:right w:w="9" w:type="dxa"/>
            </w:tcMar>
            <w:vAlign w:val="bottom"/>
          </w:tcPr>
          <w:p w:rsidR="00DC207C" w:rsidRPr="00376AE6" w:rsidRDefault="00DC207C" w:rsidP="00376AE6">
            <w:pPr>
              <w:jc w:val="center"/>
              <w:textAlignment w:val="bottom"/>
              <w:rPr>
                <w:sz w:val="20"/>
                <w:szCs w:val="20"/>
              </w:rPr>
            </w:pPr>
            <w:r w:rsidRPr="00376AE6">
              <w:rPr>
                <w:color w:val="000000"/>
                <w:kern w:val="24"/>
                <w:sz w:val="20"/>
                <w:szCs w:val="20"/>
              </w:rPr>
              <w:t xml:space="preserve">± </w:t>
            </w:r>
          </w:p>
        </w:tc>
        <w:tc>
          <w:tcPr>
            <w:tcW w:w="600" w:type="dxa"/>
            <w:tcBorders>
              <w:top w:val="nil"/>
              <w:left w:val="nil"/>
              <w:bottom w:val="nil"/>
              <w:right w:val="single" w:sz="4" w:space="0" w:color="auto"/>
            </w:tcBorders>
            <w:tcMar>
              <w:top w:w="15" w:type="dxa"/>
              <w:left w:w="15" w:type="dxa"/>
              <w:bottom w:w="0" w:type="dxa"/>
              <w:right w:w="15" w:type="dxa"/>
            </w:tcMar>
            <w:vAlign w:val="bottom"/>
          </w:tcPr>
          <w:p w:rsidR="00DC207C" w:rsidRPr="00376AE6" w:rsidRDefault="00DC207C" w:rsidP="00376AE6">
            <w:pPr>
              <w:textAlignment w:val="bottom"/>
              <w:rPr>
                <w:sz w:val="20"/>
                <w:szCs w:val="20"/>
              </w:rPr>
            </w:pPr>
            <w:r w:rsidRPr="00376AE6">
              <w:rPr>
                <w:color w:val="000000"/>
                <w:kern w:val="24"/>
                <w:sz w:val="20"/>
                <w:szCs w:val="20"/>
              </w:rPr>
              <w:t>0.1</w:t>
            </w:r>
          </w:p>
        </w:tc>
        <w:tc>
          <w:tcPr>
            <w:tcW w:w="520" w:type="dxa"/>
            <w:tcBorders>
              <w:top w:val="nil"/>
              <w:left w:val="single" w:sz="4" w:space="0" w:color="auto"/>
              <w:bottom w:val="nil"/>
              <w:right w:val="nil"/>
            </w:tcBorders>
            <w:tcMar>
              <w:top w:w="9" w:type="dxa"/>
              <w:left w:w="9" w:type="dxa"/>
              <w:bottom w:w="0" w:type="dxa"/>
              <w:right w:w="9" w:type="dxa"/>
            </w:tcMar>
            <w:vAlign w:val="bottom"/>
          </w:tcPr>
          <w:p w:rsidR="00DC207C" w:rsidRPr="00376AE6" w:rsidRDefault="00DC207C" w:rsidP="00376AE6">
            <w:pPr>
              <w:jc w:val="right"/>
              <w:textAlignment w:val="bottom"/>
              <w:rPr>
                <w:sz w:val="20"/>
                <w:szCs w:val="20"/>
              </w:rPr>
            </w:pPr>
            <w:r w:rsidRPr="00376AE6">
              <w:rPr>
                <w:color w:val="000000"/>
                <w:kern w:val="24"/>
                <w:sz w:val="20"/>
                <w:szCs w:val="20"/>
              </w:rPr>
              <w:t>2.7</w:t>
            </w:r>
          </w:p>
        </w:tc>
        <w:tc>
          <w:tcPr>
            <w:tcW w:w="320" w:type="dxa"/>
            <w:tcBorders>
              <w:top w:val="nil"/>
              <w:left w:val="nil"/>
              <w:bottom w:val="nil"/>
              <w:right w:val="nil"/>
            </w:tcBorders>
            <w:tcMar>
              <w:top w:w="9" w:type="dxa"/>
              <w:left w:w="9" w:type="dxa"/>
              <w:bottom w:w="0" w:type="dxa"/>
              <w:right w:w="9" w:type="dxa"/>
            </w:tcMar>
            <w:vAlign w:val="bottom"/>
          </w:tcPr>
          <w:p w:rsidR="00DC207C" w:rsidRPr="00376AE6" w:rsidRDefault="00DC207C" w:rsidP="00376AE6">
            <w:pPr>
              <w:jc w:val="center"/>
              <w:textAlignment w:val="bottom"/>
              <w:rPr>
                <w:sz w:val="20"/>
                <w:szCs w:val="20"/>
              </w:rPr>
            </w:pPr>
            <w:r w:rsidRPr="00376AE6">
              <w:rPr>
                <w:color w:val="000000"/>
                <w:kern w:val="24"/>
                <w:sz w:val="20"/>
                <w:szCs w:val="20"/>
              </w:rPr>
              <w:t xml:space="preserve">± </w:t>
            </w:r>
          </w:p>
        </w:tc>
        <w:tc>
          <w:tcPr>
            <w:tcW w:w="480" w:type="dxa"/>
            <w:tcBorders>
              <w:top w:val="nil"/>
              <w:left w:val="nil"/>
              <w:bottom w:val="nil"/>
              <w:right w:val="nil"/>
            </w:tcBorders>
            <w:tcMar>
              <w:top w:w="15" w:type="dxa"/>
              <w:left w:w="15" w:type="dxa"/>
              <w:bottom w:w="0" w:type="dxa"/>
              <w:right w:w="15" w:type="dxa"/>
            </w:tcMar>
            <w:vAlign w:val="bottom"/>
          </w:tcPr>
          <w:p w:rsidR="00DC207C" w:rsidRPr="00376AE6" w:rsidRDefault="00DC207C" w:rsidP="00376AE6">
            <w:pPr>
              <w:textAlignment w:val="bottom"/>
              <w:rPr>
                <w:sz w:val="20"/>
                <w:szCs w:val="20"/>
              </w:rPr>
            </w:pPr>
            <w:r w:rsidRPr="00376AE6">
              <w:rPr>
                <w:color w:val="000000"/>
                <w:kern w:val="24"/>
                <w:sz w:val="20"/>
                <w:szCs w:val="20"/>
              </w:rPr>
              <w:t>0.1</w:t>
            </w:r>
          </w:p>
        </w:tc>
        <w:tc>
          <w:tcPr>
            <w:tcW w:w="480" w:type="dxa"/>
            <w:tcBorders>
              <w:top w:val="nil"/>
              <w:left w:val="nil"/>
              <w:bottom w:val="nil"/>
              <w:right w:val="nil"/>
            </w:tcBorders>
            <w:tcMar>
              <w:top w:w="9" w:type="dxa"/>
              <w:left w:w="9" w:type="dxa"/>
              <w:bottom w:w="0" w:type="dxa"/>
              <w:right w:w="9" w:type="dxa"/>
            </w:tcMar>
            <w:vAlign w:val="bottom"/>
          </w:tcPr>
          <w:p w:rsidR="00DC207C" w:rsidRPr="00376AE6" w:rsidRDefault="00DC207C" w:rsidP="00376AE6">
            <w:pPr>
              <w:jc w:val="right"/>
              <w:textAlignment w:val="bottom"/>
              <w:rPr>
                <w:sz w:val="20"/>
                <w:szCs w:val="20"/>
              </w:rPr>
            </w:pPr>
            <w:r w:rsidRPr="00376AE6">
              <w:rPr>
                <w:color w:val="000000"/>
                <w:kern w:val="24"/>
                <w:sz w:val="20"/>
                <w:szCs w:val="20"/>
              </w:rPr>
              <w:t>2.6</w:t>
            </w:r>
          </w:p>
        </w:tc>
        <w:tc>
          <w:tcPr>
            <w:tcW w:w="360" w:type="dxa"/>
            <w:tcBorders>
              <w:top w:val="nil"/>
              <w:left w:val="nil"/>
              <w:bottom w:val="nil"/>
              <w:right w:val="nil"/>
            </w:tcBorders>
            <w:tcMar>
              <w:top w:w="9" w:type="dxa"/>
              <w:left w:w="9" w:type="dxa"/>
              <w:bottom w:w="0" w:type="dxa"/>
              <w:right w:w="9" w:type="dxa"/>
            </w:tcMar>
            <w:vAlign w:val="bottom"/>
          </w:tcPr>
          <w:p w:rsidR="00DC207C" w:rsidRPr="00376AE6" w:rsidRDefault="00DC207C" w:rsidP="00376AE6">
            <w:pPr>
              <w:jc w:val="center"/>
              <w:textAlignment w:val="bottom"/>
              <w:rPr>
                <w:sz w:val="20"/>
                <w:szCs w:val="20"/>
              </w:rPr>
            </w:pPr>
            <w:r w:rsidRPr="00376AE6">
              <w:rPr>
                <w:color w:val="000000"/>
                <w:kern w:val="24"/>
                <w:sz w:val="20"/>
                <w:szCs w:val="20"/>
              </w:rPr>
              <w:t xml:space="preserve">± </w:t>
            </w:r>
          </w:p>
        </w:tc>
        <w:tc>
          <w:tcPr>
            <w:tcW w:w="480" w:type="dxa"/>
            <w:tcBorders>
              <w:top w:val="nil"/>
              <w:left w:val="nil"/>
              <w:bottom w:val="nil"/>
              <w:right w:val="nil"/>
            </w:tcBorders>
            <w:tcMar>
              <w:top w:w="15" w:type="dxa"/>
              <w:left w:w="15" w:type="dxa"/>
              <w:bottom w:w="0" w:type="dxa"/>
              <w:right w:w="15" w:type="dxa"/>
            </w:tcMar>
            <w:vAlign w:val="bottom"/>
          </w:tcPr>
          <w:p w:rsidR="00DC207C" w:rsidRPr="00376AE6" w:rsidRDefault="00DC207C" w:rsidP="00376AE6">
            <w:pPr>
              <w:textAlignment w:val="bottom"/>
              <w:rPr>
                <w:sz w:val="20"/>
                <w:szCs w:val="20"/>
              </w:rPr>
            </w:pPr>
            <w:r w:rsidRPr="00376AE6">
              <w:rPr>
                <w:color w:val="000000"/>
                <w:kern w:val="24"/>
                <w:sz w:val="20"/>
                <w:szCs w:val="20"/>
              </w:rPr>
              <w:t>0.1</w:t>
            </w:r>
          </w:p>
        </w:tc>
      </w:tr>
      <w:tr w:rsidR="00DC207C" w:rsidRPr="00376AE6" w:rsidTr="00376AE6">
        <w:trPr>
          <w:trHeight w:val="20"/>
        </w:trPr>
        <w:tc>
          <w:tcPr>
            <w:tcW w:w="2970" w:type="dxa"/>
            <w:tcBorders>
              <w:top w:val="nil"/>
              <w:left w:val="nil"/>
              <w:bottom w:val="nil"/>
              <w:right w:val="nil"/>
            </w:tcBorders>
            <w:tcMar>
              <w:top w:w="72" w:type="dxa"/>
              <w:left w:w="144" w:type="dxa"/>
              <w:bottom w:w="72" w:type="dxa"/>
              <w:right w:w="144" w:type="dxa"/>
            </w:tcMar>
          </w:tcPr>
          <w:p w:rsidR="00DC207C" w:rsidRPr="00376AE6" w:rsidRDefault="00DC207C" w:rsidP="00376AE6">
            <w:pPr>
              <w:rPr>
                <w:sz w:val="20"/>
                <w:szCs w:val="20"/>
              </w:rPr>
            </w:pPr>
            <w:r w:rsidRPr="00376AE6">
              <w:rPr>
                <w:bCs/>
                <w:color w:val="000000"/>
                <w:kern w:val="24"/>
                <w:sz w:val="20"/>
                <w:szCs w:val="20"/>
              </w:rPr>
              <w:t xml:space="preserve">     Total carbohydrates </w:t>
            </w:r>
          </w:p>
        </w:tc>
        <w:tc>
          <w:tcPr>
            <w:tcW w:w="400" w:type="dxa"/>
            <w:tcBorders>
              <w:top w:val="nil"/>
              <w:left w:val="nil"/>
              <w:bottom w:val="nil"/>
              <w:right w:val="nil"/>
            </w:tcBorders>
            <w:tcMar>
              <w:top w:w="9" w:type="dxa"/>
              <w:left w:w="9" w:type="dxa"/>
              <w:bottom w:w="0" w:type="dxa"/>
              <w:right w:w="9" w:type="dxa"/>
            </w:tcMar>
            <w:vAlign w:val="bottom"/>
          </w:tcPr>
          <w:p w:rsidR="00DC207C" w:rsidRPr="00376AE6" w:rsidRDefault="00DC207C" w:rsidP="00376AE6">
            <w:pPr>
              <w:jc w:val="right"/>
              <w:textAlignment w:val="bottom"/>
              <w:rPr>
                <w:sz w:val="20"/>
                <w:szCs w:val="20"/>
              </w:rPr>
            </w:pPr>
            <w:r w:rsidRPr="00376AE6">
              <w:rPr>
                <w:color w:val="000000"/>
                <w:kern w:val="24"/>
                <w:sz w:val="20"/>
                <w:szCs w:val="20"/>
              </w:rPr>
              <w:t xml:space="preserve">67.0 </w:t>
            </w:r>
          </w:p>
        </w:tc>
        <w:tc>
          <w:tcPr>
            <w:tcW w:w="320" w:type="dxa"/>
            <w:tcBorders>
              <w:top w:val="nil"/>
              <w:left w:val="nil"/>
              <w:bottom w:val="nil"/>
              <w:right w:val="nil"/>
            </w:tcBorders>
            <w:tcMar>
              <w:top w:w="9" w:type="dxa"/>
              <w:left w:w="9" w:type="dxa"/>
              <w:bottom w:w="0" w:type="dxa"/>
              <w:right w:w="9" w:type="dxa"/>
            </w:tcMar>
            <w:vAlign w:val="bottom"/>
          </w:tcPr>
          <w:p w:rsidR="00DC207C" w:rsidRPr="00376AE6" w:rsidRDefault="00DC207C" w:rsidP="00376AE6">
            <w:pPr>
              <w:jc w:val="center"/>
              <w:textAlignment w:val="bottom"/>
              <w:rPr>
                <w:sz w:val="20"/>
                <w:szCs w:val="20"/>
              </w:rPr>
            </w:pPr>
            <w:r w:rsidRPr="00376AE6">
              <w:rPr>
                <w:color w:val="000000"/>
                <w:kern w:val="24"/>
                <w:sz w:val="20"/>
                <w:szCs w:val="20"/>
              </w:rPr>
              <w:t xml:space="preserve">± </w:t>
            </w:r>
          </w:p>
        </w:tc>
        <w:tc>
          <w:tcPr>
            <w:tcW w:w="600" w:type="dxa"/>
            <w:tcBorders>
              <w:top w:val="nil"/>
              <w:left w:val="nil"/>
              <w:bottom w:val="nil"/>
              <w:right w:val="nil"/>
            </w:tcBorders>
            <w:tcMar>
              <w:top w:w="15" w:type="dxa"/>
              <w:left w:w="15" w:type="dxa"/>
              <w:bottom w:w="0" w:type="dxa"/>
              <w:right w:w="15" w:type="dxa"/>
            </w:tcMar>
            <w:vAlign w:val="bottom"/>
          </w:tcPr>
          <w:p w:rsidR="00DC207C" w:rsidRPr="00376AE6" w:rsidRDefault="00DC207C" w:rsidP="00376AE6">
            <w:pPr>
              <w:textAlignment w:val="bottom"/>
              <w:rPr>
                <w:sz w:val="20"/>
                <w:szCs w:val="20"/>
              </w:rPr>
            </w:pPr>
            <w:r w:rsidRPr="00376AE6">
              <w:rPr>
                <w:color w:val="000000"/>
                <w:kern w:val="24"/>
                <w:sz w:val="20"/>
                <w:szCs w:val="20"/>
              </w:rPr>
              <w:t>1.4</w:t>
            </w:r>
          </w:p>
        </w:tc>
        <w:tc>
          <w:tcPr>
            <w:tcW w:w="400" w:type="dxa"/>
            <w:tcBorders>
              <w:top w:val="nil"/>
              <w:left w:val="nil"/>
              <w:bottom w:val="nil"/>
              <w:right w:val="nil"/>
            </w:tcBorders>
            <w:tcMar>
              <w:top w:w="9" w:type="dxa"/>
              <w:left w:w="9" w:type="dxa"/>
              <w:bottom w:w="0" w:type="dxa"/>
              <w:right w:w="9" w:type="dxa"/>
            </w:tcMar>
            <w:vAlign w:val="bottom"/>
          </w:tcPr>
          <w:p w:rsidR="00DC207C" w:rsidRPr="00376AE6" w:rsidRDefault="00DC207C" w:rsidP="00376AE6">
            <w:pPr>
              <w:jc w:val="right"/>
              <w:textAlignment w:val="bottom"/>
              <w:rPr>
                <w:sz w:val="20"/>
                <w:szCs w:val="20"/>
              </w:rPr>
            </w:pPr>
            <w:r w:rsidRPr="00376AE6">
              <w:rPr>
                <w:color w:val="000000"/>
                <w:kern w:val="24"/>
                <w:sz w:val="20"/>
                <w:szCs w:val="20"/>
              </w:rPr>
              <w:t>67.5</w:t>
            </w:r>
          </w:p>
        </w:tc>
        <w:tc>
          <w:tcPr>
            <w:tcW w:w="320" w:type="dxa"/>
            <w:tcBorders>
              <w:top w:val="nil"/>
              <w:left w:val="nil"/>
              <w:bottom w:val="nil"/>
              <w:right w:val="nil"/>
            </w:tcBorders>
            <w:tcMar>
              <w:top w:w="9" w:type="dxa"/>
              <w:left w:w="9" w:type="dxa"/>
              <w:bottom w:w="0" w:type="dxa"/>
              <w:right w:w="9" w:type="dxa"/>
            </w:tcMar>
            <w:vAlign w:val="bottom"/>
          </w:tcPr>
          <w:p w:rsidR="00DC207C" w:rsidRPr="00376AE6" w:rsidRDefault="00DC207C" w:rsidP="00376AE6">
            <w:pPr>
              <w:jc w:val="center"/>
              <w:textAlignment w:val="bottom"/>
              <w:rPr>
                <w:sz w:val="20"/>
                <w:szCs w:val="20"/>
              </w:rPr>
            </w:pPr>
            <w:r w:rsidRPr="00376AE6">
              <w:rPr>
                <w:color w:val="000000"/>
                <w:kern w:val="24"/>
                <w:sz w:val="20"/>
                <w:szCs w:val="20"/>
              </w:rPr>
              <w:t xml:space="preserve">± </w:t>
            </w:r>
          </w:p>
        </w:tc>
        <w:tc>
          <w:tcPr>
            <w:tcW w:w="600" w:type="dxa"/>
            <w:tcBorders>
              <w:top w:val="nil"/>
              <w:left w:val="nil"/>
              <w:bottom w:val="nil"/>
              <w:right w:val="single" w:sz="4" w:space="0" w:color="auto"/>
            </w:tcBorders>
            <w:tcMar>
              <w:top w:w="15" w:type="dxa"/>
              <w:left w:w="15" w:type="dxa"/>
              <w:bottom w:w="0" w:type="dxa"/>
              <w:right w:w="15" w:type="dxa"/>
            </w:tcMar>
            <w:vAlign w:val="bottom"/>
          </w:tcPr>
          <w:p w:rsidR="00DC207C" w:rsidRPr="00376AE6" w:rsidRDefault="00DC207C" w:rsidP="00376AE6">
            <w:pPr>
              <w:textAlignment w:val="bottom"/>
              <w:rPr>
                <w:sz w:val="20"/>
                <w:szCs w:val="20"/>
              </w:rPr>
            </w:pPr>
            <w:r w:rsidRPr="00376AE6">
              <w:rPr>
                <w:color w:val="000000"/>
                <w:kern w:val="24"/>
                <w:sz w:val="20"/>
                <w:szCs w:val="20"/>
              </w:rPr>
              <w:t>0.7</w:t>
            </w:r>
          </w:p>
        </w:tc>
        <w:tc>
          <w:tcPr>
            <w:tcW w:w="520" w:type="dxa"/>
            <w:tcBorders>
              <w:top w:val="nil"/>
              <w:left w:val="single" w:sz="4" w:space="0" w:color="auto"/>
              <w:bottom w:val="nil"/>
              <w:right w:val="nil"/>
            </w:tcBorders>
            <w:tcMar>
              <w:top w:w="9" w:type="dxa"/>
              <w:left w:w="9" w:type="dxa"/>
              <w:bottom w:w="0" w:type="dxa"/>
              <w:right w:w="9" w:type="dxa"/>
            </w:tcMar>
            <w:vAlign w:val="bottom"/>
          </w:tcPr>
          <w:p w:rsidR="00DC207C" w:rsidRPr="00376AE6" w:rsidRDefault="00DC207C" w:rsidP="00376AE6">
            <w:pPr>
              <w:jc w:val="right"/>
              <w:textAlignment w:val="bottom"/>
              <w:rPr>
                <w:sz w:val="20"/>
                <w:szCs w:val="20"/>
              </w:rPr>
            </w:pPr>
            <w:r w:rsidRPr="00376AE6">
              <w:rPr>
                <w:color w:val="000000"/>
                <w:kern w:val="24"/>
                <w:sz w:val="20"/>
                <w:szCs w:val="20"/>
              </w:rPr>
              <w:t>70.1</w:t>
            </w:r>
          </w:p>
        </w:tc>
        <w:tc>
          <w:tcPr>
            <w:tcW w:w="320" w:type="dxa"/>
            <w:tcBorders>
              <w:top w:val="nil"/>
              <w:left w:val="nil"/>
              <w:bottom w:val="nil"/>
              <w:right w:val="nil"/>
            </w:tcBorders>
            <w:tcMar>
              <w:top w:w="9" w:type="dxa"/>
              <w:left w:w="9" w:type="dxa"/>
              <w:bottom w:w="0" w:type="dxa"/>
              <w:right w:w="9" w:type="dxa"/>
            </w:tcMar>
            <w:vAlign w:val="bottom"/>
          </w:tcPr>
          <w:p w:rsidR="00DC207C" w:rsidRPr="00376AE6" w:rsidRDefault="00DC207C" w:rsidP="00376AE6">
            <w:pPr>
              <w:jc w:val="center"/>
              <w:textAlignment w:val="bottom"/>
              <w:rPr>
                <w:sz w:val="20"/>
                <w:szCs w:val="20"/>
              </w:rPr>
            </w:pPr>
            <w:r w:rsidRPr="00376AE6">
              <w:rPr>
                <w:color w:val="000000"/>
                <w:kern w:val="24"/>
                <w:sz w:val="20"/>
                <w:szCs w:val="20"/>
              </w:rPr>
              <w:t xml:space="preserve">± </w:t>
            </w:r>
          </w:p>
        </w:tc>
        <w:tc>
          <w:tcPr>
            <w:tcW w:w="480" w:type="dxa"/>
            <w:tcBorders>
              <w:top w:val="nil"/>
              <w:left w:val="nil"/>
              <w:bottom w:val="nil"/>
              <w:right w:val="nil"/>
            </w:tcBorders>
            <w:tcMar>
              <w:top w:w="15" w:type="dxa"/>
              <w:left w:w="15" w:type="dxa"/>
              <w:bottom w:w="0" w:type="dxa"/>
              <w:right w:w="15" w:type="dxa"/>
            </w:tcMar>
            <w:vAlign w:val="bottom"/>
          </w:tcPr>
          <w:p w:rsidR="00DC207C" w:rsidRPr="00376AE6" w:rsidRDefault="00DC207C" w:rsidP="00376AE6">
            <w:pPr>
              <w:textAlignment w:val="bottom"/>
              <w:rPr>
                <w:sz w:val="20"/>
                <w:szCs w:val="20"/>
              </w:rPr>
            </w:pPr>
            <w:r w:rsidRPr="00376AE6">
              <w:rPr>
                <w:color w:val="000000"/>
                <w:kern w:val="24"/>
                <w:sz w:val="20"/>
                <w:szCs w:val="20"/>
              </w:rPr>
              <w:t>0.5</w:t>
            </w:r>
          </w:p>
        </w:tc>
        <w:tc>
          <w:tcPr>
            <w:tcW w:w="480" w:type="dxa"/>
            <w:tcBorders>
              <w:top w:val="nil"/>
              <w:left w:val="nil"/>
              <w:bottom w:val="nil"/>
              <w:right w:val="nil"/>
            </w:tcBorders>
            <w:tcMar>
              <w:top w:w="9" w:type="dxa"/>
              <w:left w:w="9" w:type="dxa"/>
              <w:bottom w:w="0" w:type="dxa"/>
              <w:right w:w="9" w:type="dxa"/>
            </w:tcMar>
            <w:vAlign w:val="bottom"/>
          </w:tcPr>
          <w:p w:rsidR="00DC207C" w:rsidRPr="00376AE6" w:rsidRDefault="00DC207C" w:rsidP="00376AE6">
            <w:pPr>
              <w:jc w:val="right"/>
              <w:textAlignment w:val="bottom"/>
              <w:rPr>
                <w:sz w:val="20"/>
                <w:szCs w:val="20"/>
              </w:rPr>
            </w:pPr>
            <w:r w:rsidRPr="00376AE6">
              <w:rPr>
                <w:color w:val="000000"/>
                <w:kern w:val="24"/>
                <w:sz w:val="20"/>
                <w:szCs w:val="20"/>
              </w:rPr>
              <w:t>69.2</w:t>
            </w:r>
          </w:p>
        </w:tc>
        <w:tc>
          <w:tcPr>
            <w:tcW w:w="360" w:type="dxa"/>
            <w:tcBorders>
              <w:top w:val="nil"/>
              <w:left w:val="nil"/>
              <w:bottom w:val="nil"/>
              <w:right w:val="nil"/>
            </w:tcBorders>
            <w:tcMar>
              <w:top w:w="9" w:type="dxa"/>
              <w:left w:w="9" w:type="dxa"/>
              <w:bottom w:w="0" w:type="dxa"/>
              <w:right w:w="9" w:type="dxa"/>
            </w:tcMar>
            <w:vAlign w:val="bottom"/>
          </w:tcPr>
          <w:p w:rsidR="00DC207C" w:rsidRPr="00376AE6" w:rsidRDefault="00DC207C" w:rsidP="00376AE6">
            <w:pPr>
              <w:jc w:val="center"/>
              <w:textAlignment w:val="bottom"/>
              <w:rPr>
                <w:sz w:val="20"/>
                <w:szCs w:val="20"/>
              </w:rPr>
            </w:pPr>
            <w:r w:rsidRPr="00376AE6">
              <w:rPr>
                <w:color w:val="000000"/>
                <w:kern w:val="24"/>
                <w:sz w:val="20"/>
                <w:szCs w:val="20"/>
              </w:rPr>
              <w:t xml:space="preserve">± </w:t>
            </w:r>
          </w:p>
        </w:tc>
        <w:tc>
          <w:tcPr>
            <w:tcW w:w="480" w:type="dxa"/>
            <w:tcBorders>
              <w:top w:val="nil"/>
              <w:left w:val="nil"/>
              <w:bottom w:val="nil"/>
              <w:right w:val="nil"/>
            </w:tcBorders>
            <w:tcMar>
              <w:top w:w="15" w:type="dxa"/>
              <w:left w:w="15" w:type="dxa"/>
              <w:bottom w:w="0" w:type="dxa"/>
              <w:right w:w="15" w:type="dxa"/>
            </w:tcMar>
            <w:vAlign w:val="bottom"/>
          </w:tcPr>
          <w:p w:rsidR="00DC207C" w:rsidRPr="00376AE6" w:rsidRDefault="00DC207C" w:rsidP="00376AE6">
            <w:pPr>
              <w:textAlignment w:val="bottom"/>
              <w:rPr>
                <w:sz w:val="20"/>
                <w:szCs w:val="20"/>
              </w:rPr>
            </w:pPr>
            <w:r w:rsidRPr="00376AE6">
              <w:rPr>
                <w:color w:val="000000"/>
                <w:kern w:val="24"/>
                <w:sz w:val="20"/>
                <w:szCs w:val="20"/>
              </w:rPr>
              <w:t xml:space="preserve">1.0 </w:t>
            </w:r>
          </w:p>
        </w:tc>
      </w:tr>
      <w:tr w:rsidR="00DC207C" w:rsidRPr="00376AE6" w:rsidTr="00376AE6">
        <w:trPr>
          <w:trHeight w:val="20"/>
        </w:trPr>
        <w:tc>
          <w:tcPr>
            <w:tcW w:w="2970" w:type="dxa"/>
            <w:tcBorders>
              <w:top w:val="nil"/>
              <w:left w:val="nil"/>
              <w:bottom w:val="nil"/>
              <w:right w:val="nil"/>
            </w:tcBorders>
            <w:tcMar>
              <w:top w:w="72" w:type="dxa"/>
              <w:left w:w="144" w:type="dxa"/>
              <w:bottom w:w="72" w:type="dxa"/>
              <w:right w:w="144" w:type="dxa"/>
            </w:tcMar>
          </w:tcPr>
          <w:p w:rsidR="00DC207C" w:rsidRPr="00376AE6" w:rsidRDefault="00DC207C" w:rsidP="00376AE6">
            <w:pPr>
              <w:rPr>
                <w:sz w:val="20"/>
                <w:szCs w:val="20"/>
              </w:rPr>
            </w:pPr>
            <w:r w:rsidRPr="00376AE6">
              <w:rPr>
                <w:bCs/>
                <w:color w:val="000000"/>
                <w:kern w:val="24"/>
                <w:sz w:val="20"/>
                <w:szCs w:val="20"/>
              </w:rPr>
              <w:t xml:space="preserve">           Cellulose </w:t>
            </w:r>
          </w:p>
        </w:tc>
        <w:tc>
          <w:tcPr>
            <w:tcW w:w="400" w:type="dxa"/>
            <w:tcBorders>
              <w:top w:val="nil"/>
              <w:left w:val="nil"/>
              <w:bottom w:val="nil"/>
              <w:right w:val="nil"/>
            </w:tcBorders>
            <w:tcMar>
              <w:top w:w="9" w:type="dxa"/>
              <w:left w:w="9" w:type="dxa"/>
              <w:bottom w:w="0" w:type="dxa"/>
              <w:right w:w="9" w:type="dxa"/>
            </w:tcMar>
            <w:vAlign w:val="bottom"/>
          </w:tcPr>
          <w:p w:rsidR="00DC207C" w:rsidRPr="00376AE6" w:rsidRDefault="00DC207C" w:rsidP="00376AE6">
            <w:pPr>
              <w:jc w:val="right"/>
              <w:textAlignment w:val="bottom"/>
              <w:rPr>
                <w:sz w:val="20"/>
                <w:szCs w:val="20"/>
              </w:rPr>
            </w:pPr>
            <w:r w:rsidRPr="00376AE6">
              <w:rPr>
                <w:color w:val="000000"/>
                <w:kern w:val="24"/>
                <w:sz w:val="20"/>
                <w:szCs w:val="20"/>
              </w:rPr>
              <w:t xml:space="preserve">39.0 </w:t>
            </w:r>
          </w:p>
        </w:tc>
        <w:tc>
          <w:tcPr>
            <w:tcW w:w="320" w:type="dxa"/>
            <w:tcBorders>
              <w:top w:val="nil"/>
              <w:left w:val="nil"/>
              <w:bottom w:val="nil"/>
              <w:right w:val="nil"/>
            </w:tcBorders>
            <w:tcMar>
              <w:top w:w="9" w:type="dxa"/>
              <w:left w:w="9" w:type="dxa"/>
              <w:bottom w:w="0" w:type="dxa"/>
              <w:right w:w="9" w:type="dxa"/>
            </w:tcMar>
            <w:vAlign w:val="bottom"/>
          </w:tcPr>
          <w:p w:rsidR="00DC207C" w:rsidRPr="00376AE6" w:rsidRDefault="00DC207C" w:rsidP="00376AE6">
            <w:pPr>
              <w:jc w:val="center"/>
              <w:textAlignment w:val="bottom"/>
              <w:rPr>
                <w:sz w:val="20"/>
                <w:szCs w:val="20"/>
              </w:rPr>
            </w:pPr>
            <w:r w:rsidRPr="00376AE6">
              <w:rPr>
                <w:color w:val="000000"/>
                <w:kern w:val="24"/>
                <w:sz w:val="20"/>
                <w:szCs w:val="20"/>
              </w:rPr>
              <w:t xml:space="preserve">± </w:t>
            </w:r>
          </w:p>
        </w:tc>
        <w:tc>
          <w:tcPr>
            <w:tcW w:w="600" w:type="dxa"/>
            <w:tcBorders>
              <w:top w:val="nil"/>
              <w:left w:val="nil"/>
              <w:bottom w:val="nil"/>
              <w:right w:val="nil"/>
            </w:tcBorders>
            <w:tcMar>
              <w:top w:w="15" w:type="dxa"/>
              <w:left w:w="15" w:type="dxa"/>
              <w:bottom w:w="0" w:type="dxa"/>
              <w:right w:w="15" w:type="dxa"/>
            </w:tcMar>
            <w:vAlign w:val="bottom"/>
          </w:tcPr>
          <w:p w:rsidR="00DC207C" w:rsidRPr="00376AE6" w:rsidRDefault="00DC207C" w:rsidP="00376AE6">
            <w:pPr>
              <w:textAlignment w:val="bottom"/>
              <w:rPr>
                <w:sz w:val="20"/>
                <w:szCs w:val="20"/>
              </w:rPr>
            </w:pPr>
            <w:r w:rsidRPr="00376AE6">
              <w:rPr>
                <w:color w:val="000000"/>
                <w:kern w:val="24"/>
                <w:sz w:val="20"/>
                <w:szCs w:val="20"/>
              </w:rPr>
              <w:t>0.7</w:t>
            </w:r>
          </w:p>
        </w:tc>
        <w:tc>
          <w:tcPr>
            <w:tcW w:w="400" w:type="dxa"/>
            <w:tcBorders>
              <w:top w:val="nil"/>
              <w:left w:val="nil"/>
              <w:bottom w:val="nil"/>
              <w:right w:val="nil"/>
            </w:tcBorders>
            <w:tcMar>
              <w:top w:w="9" w:type="dxa"/>
              <w:left w:w="9" w:type="dxa"/>
              <w:bottom w:w="0" w:type="dxa"/>
              <w:right w:w="9" w:type="dxa"/>
            </w:tcMar>
            <w:vAlign w:val="bottom"/>
          </w:tcPr>
          <w:p w:rsidR="00DC207C" w:rsidRPr="00376AE6" w:rsidRDefault="00DC207C" w:rsidP="00376AE6">
            <w:pPr>
              <w:jc w:val="right"/>
              <w:textAlignment w:val="bottom"/>
              <w:rPr>
                <w:sz w:val="20"/>
                <w:szCs w:val="20"/>
              </w:rPr>
            </w:pPr>
            <w:r w:rsidRPr="00376AE6">
              <w:rPr>
                <w:color w:val="000000"/>
                <w:kern w:val="24"/>
                <w:sz w:val="20"/>
                <w:szCs w:val="20"/>
              </w:rPr>
              <w:t>39.4</w:t>
            </w:r>
          </w:p>
        </w:tc>
        <w:tc>
          <w:tcPr>
            <w:tcW w:w="320" w:type="dxa"/>
            <w:tcBorders>
              <w:top w:val="nil"/>
              <w:left w:val="nil"/>
              <w:bottom w:val="nil"/>
              <w:right w:val="nil"/>
            </w:tcBorders>
            <w:tcMar>
              <w:top w:w="9" w:type="dxa"/>
              <w:left w:w="9" w:type="dxa"/>
              <w:bottom w:w="0" w:type="dxa"/>
              <w:right w:w="9" w:type="dxa"/>
            </w:tcMar>
            <w:vAlign w:val="bottom"/>
          </w:tcPr>
          <w:p w:rsidR="00DC207C" w:rsidRPr="00376AE6" w:rsidRDefault="00DC207C" w:rsidP="00376AE6">
            <w:pPr>
              <w:jc w:val="center"/>
              <w:textAlignment w:val="bottom"/>
              <w:rPr>
                <w:sz w:val="20"/>
                <w:szCs w:val="20"/>
              </w:rPr>
            </w:pPr>
            <w:r w:rsidRPr="00376AE6">
              <w:rPr>
                <w:color w:val="000000"/>
                <w:kern w:val="24"/>
                <w:sz w:val="20"/>
                <w:szCs w:val="20"/>
              </w:rPr>
              <w:t xml:space="preserve">± </w:t>
            </w:r>
          </w:p>
        </w:tc>
        <w:tc>
          <w:tcPr>
            <w:tcW w:w="600" w:type="dxa"/>
            <w:tcBorders>
              <w:top w:val="nil"/>
              <w:left w:val="nil"/>
              <w:bottom w:val="nil"/>
              <w:right w:val="single" w:sz="4" w:space="0" w:color="auto"/>
            </w:tcBorders>
            <w:tcMar>
              <w:top w:w="15" w:type="dxa"/>
              <w:left w:w="15" w:type="dxa"/>
              <w:bottom w:w="0" w:type="dxa"/>
              <w:right w:w="15" w:type="dxa"/>
            </w:tcMar>
            <w:vAlign w:val="bottom"/>
          </w:tcPr>
          <w:p w:rsidR="00DC207C" w:rsidRPr="00376AE6" w:rsidRDefault="00DC207C" w:rsidP="00376AE6">
            <w:pPr>
              <w:textAlignment w:val="bottom"/>
              <w:rPr>
                <w:sz w:val="20"/>
                <w:szCs w:val="20"/>
              </w:rPr>
            </w:pPr>
            <w:r w:rsidRPr="00376AE6">
              <w:rPr>
                <w:color w:val="000000"/>
                <w:kern w:val="24"/>
                <w:sz w:val="20"/>
                <w:szCs w:val="20"/>
              </w:rPr>
              <w:t>0.4</w:t>
            </w:r>
          </w:p>
        </w:tc>
        <w:tc>
          <w:tcPr>
            <w:tcW w:w="520" w:type="dxa"/>
            <w:tcBorders>
              <w:top w:val="nil"/>
              <w:left w:val="single" w:sz="4" w:space="0" w:color="auto"/>
              <w:bottom w:val="nil"/>
              <w:right w:val="nil"/>
            </w:tcBorders>
            <w:tcMar>
              <w:top w:w="9" w:type="dxa"/>
              <w:left w:w="9" w:type="dxa"/>
              <w:bottom w:w="0" w:type="dxa"/>
              <w:right w:w="9" w:type="dxa"/>
            </w:tcMar>
            <w:vAlign w:val="bottom"/>
          </w:tcPr>
          <w:p w:rsidR="00DC207C" w:rsidRPr="00376AE6" w:rsidRDefault="00DC207C" w:rsidP="00376AE6">
            <w:pPr>
              <w:jc w:val="right"/>
              <w:textAlignment w:val="bottom"/>
              <w:rPr>
                <w:sz w:val="20"/>
                <w:szCs w:val="20"/>
              </w:rPr>
            </w:pPr>
            <w:r w:rsidRPr="00376AE6">
              <w:rPr>
                <w:color w:val="000000"/>
                <w:kern w:val="24"/>
                <w:sz w:val="20"/>
                <w:szCs w:val="20"/>
              </w:rPr>
              <w:t>39.7</w:t>
            </w:r>
          </w:p>
        </w:tc>
        <w:tc>
          <w:tcPr>
            <w:tcW w:w="320" w:type="dxa"/>
            <w:tcBorders>
              <w:top w:val="nil"/>
              <w:left w:val="nil"/>
              <w:bottom w:val="nil"/>
              <w:right w:val="nil"/>
            </w:tcBorders>
            <w:tcMar>
              <w:top w:w="9" w:type="dxa"/>
              <w:left w:w="9" w:type="dxa"/>
              <w:bottom w:w="0" w:type="dxa"/>
              <w:right w:w="9" w:type="dxa"/>
            </w:tcMar>
            <w:vAlign w:val="bottom"/>
          </w:tcPr>
          <w:p w:rsidR="00DC207C" w:rsidRPr="00376AE6" w:rsidRDefault="00DC207C" w:rsidP="00376AE6">
            <w:pPr>
              <w:jc w:val="center"/>
              <w:textAlignment w:val="bottom"/>
              <w:rPr>
                <w:sz w:val="20"/>
                <w:szCs w:val="20"/>
              </w:rPr>
            </w:pPr>
            <w:r w:rsidRPr="00376AE6">
              <w:rPr>
                <w:color w:val="000000"/>
                <w:kern w:val="24"/>
                <w:sz w:val="20"/>
                <w:szCs w:val="20"/>
              </w:rPr>
              <w:t xml:space="preserve">± </w:t>
            </w:r>
          </w:p>
        </w:tc>
        <w:tc>
          <w:tcPr>
            <w:tcW w:w="480" w:type="dxa"/>
            <w:tcBorders>
              <w:top w:val="nil"/>
              <w:left w:val="nil"/>
              <w:bottom w:val="nil"/>
              <w:right w:val="nil"/>
            </w:tcBorders>
            <w:tcMar>
              <w:top w:w="15" w:type="dxa"/>
              <w:left w:w="15" w:type="dxa"/>
              <w:bottom w:w="0" w:type="dxa"/>
              <w:right w:w="15" w:type="dxa"/>
            </w:tcMar>
            <w:vAlign w:val="bottom"/>
          </w:tcPr>
          <w:p w:rsidR="00DC207C" w:rsidRPr="00376AE6" w:rsidRDefault="00DC207C" w:rsidP="00376AE6">
            <w:pPr>
              <w:textAlignment w:val="bottom"/>
              <w:rPr>
                <w:sz w:val="20"/>
                <w:szCs w:val="20"/>
              </w:rPr>
            </w:pPr>
            <w:r w:rsidRPr="00376AE6">
              <w:rPr>
                <w:color w:val="000000"/>
                <w:kern w:val="24"/>
                <w:sz w:val="20"/>
                <w:szCs w:val="20"/>
              </w:rPr>
              <w:t>0.4</w:t>
            </w:r>
          </w:p>
        </w:tc>
        <w:tc>
          <w:tcPr>
            <w:tcW w:w="480" w:type="dxa"/>
            <w:tcBorders>
              <w:top w:val="nil"/>
              <w:left w:val="nil"/>
              <w:bottom w:val="nil"/>
              <w:right w:val="nil"/>
            </w:tcBorders>
            <w:tcMar>
              <w:top w:w="9" w:type="dxa"/>
              <w:left w:w="9" w:type="dxa"/>
              <w:bottom w:w="0" w:type="dxa"/>
              <w:right w:w="9" w:type="dxa"/>
            </w:tcMar>
            <w:vAlign w:val="bottom"/>
          </w:tcPr>
          <w:p w:rsidR="00DC207C" w:rsidRPr="00376AE6" w:rsidRDefault="00DC207C" w:rsidP="00376AE6">
            <w:pPr>
              <w:jc w:val="right"/>
              <w:textAlignment w:val="bottom"/>
              <w:rPr>
                <w:sz w:val="20"/>
                <w:szCs w:val="20"/>
              </w:rPr>
            </w:pPr>
            <w:r w:rsidRPr="00376AE6">
              <w:rPr>
                <w:color w:val="000000"/>
                <w:kern w:val="24"/>
                <w:sz w:val="20"/>
                <w:szCs w:val="20"/>
              </w:rPr>
              <w:t>39.3</w:t>
            </w:r>
          </w:p>
        </w:tc>
        <w:tc>
          <w:tcPr>
            <w:tcW w:w="360" w:type="dxa"/>
            <w:tcBorders>
              <w:top w:val="nil"/>
              <w:left w:val="nil"/>
              <w:bottom w:val="nil"/>
              <w:right w:val="nil"/>
            </w:tcBorders>
            <w:tcMar>
              <w:top w:w="9" w:type="dxa"/>
              <w:left w:w="9" w:type="dxa"/>
              <w:bottom w:w="0" w:type="dxa"/>
              <w:right w:w="9" w:type="dxa"/>
            </w:tcMar>
            <w:vAlign w:val="bottom"/>
          </w:tcPr>
          <w:p w:rsidR="00DC207C" w:rsidRPr="00376AE6" w:rsidRDefault="00DC207C" w:rsidP="00376AE6">
            <w:pPr>
              <w:jc w:val="center"/>
              <w:textAlignment w:val="bottom"/>
              <w:rPr>
                <w:sz w:val="20"/>
                <w:szCs w:val="20"/>
              </w:rPr>
            </w:pPr>
            <w:r w:rsidRPr="00376AE6">
              <w:rPr>
                <w:color w:val="000000"/>
                <w:kern w:val="24"/>
                <w:sz w:val="20"/>
                <w:szCs w:val="20"/>
              </w:rPr>
              <w:t xml:space="preserve">± </w:t>
            </w:r>
          </w:p>
        </w:tc>
        <w:tc>
          <w:tcPr>
            <w:tcW w:w="480" w:type="dxa"/>
            <w:tcBorders>
              <w:top w:val="nil"/>
              <w:left w:val="nil"/>
              <w:bottom w:val="nil"/>
              <w:right w:val="nil"/>
            </w:tcBorders>
            <w:tcMar>
              <w:top w:w="15" w:type="dxa"/>
              <w:left w:w="15" w:type="dxa"/>
              <w:bottom w:w="0" w:type="dxa"/>
              <w:right w:w="15" w:type="dxa"/>
            </w:tcMar>
            <w:vAlign w:val="bottom"/>
          </w:tcPr>
          <w:p w:rsidR="00DC207C" w:rsidRPr="00376AE6" w:rsidRDefault="00DC207C" w:rsidP="00376AE6">
            <w:pPr>
              <w:textAlignment w:val="bottom"/>
              <w:rPr>
                <w:sz w:val="20"/>
                <w:szCs w:val="20"/>
              </w:rPr>
            </w:pPr>
            <w:r w:rsidRPr="00376AE6">
              <w:rPr>
                <w:color w:val="000000"/>
                <w:kern w:val="24"/>
                <w:sz w:val="20"/>
                <w:szCs w:val="20"/>
              </w:rPr>
              <w:t>0.5</w:t>
            </w:r>
          </w:p>
        </w:tc>
      </w:tr>
      <w:tr w:rsidR="00DC207C" w:rsidRPr="00376AE6" w:rsidTr="00376AE6">
        <w:trPr>
          <w:trHeight w:val="20"/>
        </w:trPr>
        <w:tc>
          <w:tcPr>
            <w:tcW w:w="2970" w:type="dxa"/>
            <w:tcBorders>
              <w:top w:val="nil"/>
              <w:left w:val="nil"/>
              <w:bottom w:val="nil"/>
              <w:right w:val="nil"/>
            </w:tcBorders>
            <w:tcMar>
              <w:top w:w="72" w:type="dxa"/>
              <w:left w:w="144" w:type="dxa"/>
              <w:bottom w:w="72" w:type="dxa"/>
              <w:right w:w="144" w:type="dxa"/>
            </w:tcMar>
          </w:tcPr>
          <w:p w:rsidR="00DC207C" w:rsidRPr="00376AE6" w:rsidRDefault="00DC207C" w:rsidP="00376AE6">
            <w:pPr>
              <w:rPr>
                <w:sz w:val="20"/>
                <w:szCs w:val="20"/>
              </w:rPr>
            </w:pPr>
            <w:r w:rsidRPr="00376AE6">
              <w:rPr>
                <w:bCs/>
                <w:color w:val="000000"/>
                <w:kern w:val="24"/>
                <w:sz w:val="20"/>
                <w:szCs w:val="20"/>
              </w:rPr>
              <w:t xml:space="preserve">           Hemicellulose </w:t>
            </w:r>
          </w:p>
        </w:tc>
        <w:tc>
          <w:tcPr>
            <w:tcW w:w="400" w:type="dxa"/>
            <w:tcBorders>
              <w:top w:val="nil"/>
              <w:left w:val="nil"/>
              <w:bottom w:val="nil"/>
              <w:right w:val="nil"/>
            </w:tcBorders>
            <w:tcMar>
              <w:top w:w="9" w:type="dxa"/>
              <w:left w:w="9" w:type="dxa"/>
              <w:bottom w:w="0" w:type="dxa"/>
              <w:right w:w="9" w:type="dxa"/>
            </w:tcMar>
            <w:vAlign w:val="bottom"/>
          </w:tcPr>
          <w:p w:rsidR="00DC207C" w:rsidRPr="00376AE6" w:rsidRDefault="00DC207C" w:rsidP="00376AE6">
            <w:pPr>
              <w:jc w:val="right"/>
              <w:textAlignment w:val="bottom"/>
              <w:rPr>
                <w:sz w:val="20"/>
                <w:szCs w:val="20"/>
              </w:rPr>
            </w:pPr>
            <w:r w:rsidRPr="00376AE6">
              <w:rPr>
                <w:color w:val="000000"/>
                <w:kern w:val="24"/>
                <w:sz w:val="20"/>
                <w:szCs w:val="20"/>
              </w:rPr>
              <w:t xml:space="preserve">28.0 </w:t>
            </w:r>
          </w:p>
        </w:tc>
        <w:tc>
          <w:tcPr>
            <w:tcW w:w="320" w:type="dxa"/>
            <w:tcBorders>
              <w:top w:val="nil"/>
              <w:left w:val="nil"/>
              <w:bottom w:val="nil"/>
              <w:right w:val="nil"/>
            </w:tcBorders>
            <w:tcMar>
              <w:top w:w="9" w:type="dxa"/>
              <w:left w:w="9" w:type="dxa"/>
              <w:bottom w:w="0" w:type="dxa"/>
              <w:right w:w="9" w:type="dxa"/>
            </w:tcMar>
            <w:vAlign w:val="bottom"/>
          </w:tcPr>
          <w:p w:rsidR="00DC207C" w:rsidRPr="00376AE6" w:rsidRDefault="00DC207C" w:rsidP="00376AE6">
            <w:pPr>
              <w:jc w:val="center"/>
              <w:textAlignment w:val="bottom"/>
              <w:rPr>
                <w:sz w:val="20"/>
                <w:szCs w:val="20"/>
              </w:rPr>
            </w:pPr>
            <w:r w:rsidRPr="00376AE6">
              <w:rPr>
                <w:color w:val="000000"/>
                <w:kern w:val="24"/>
                <w:sz w:val="20"/>
                <w:szCs w:val="20"/>
              </w:rPr>
              <w:t xml:space="preserve">± </w:t>
            </w:r>
          </w:p>
        </w:tc>
        <w:tc>
          <w:tcPr>
            <w:tcW w:w="600" w:type="dxa"/>
            <w:tcBorders>
              <w:top w:val="nil"/>
              <w:left w:val="nil"/>
              <w:bottom w:val="nil"/>
              <w:right w:val="nil"/>
            </w:tcBorders>
            <w:tcMar>
              <w:top w:w="15" w:type="dxa"/>
              <w:left w:w="15" w:type="dxa"/>
              <w:bottom w:w="0" w:type="dxa"/>
              <w:right w:w="15" w:type="dxa"/>
            </w:tcMar>
            <w:vAlign w:val="bottom"/>
          </w:tcPr>
          <w:p w:rsidR="00DC207C" w:rsidRPr="00376AE6" w:rsidRDefault="00DC207C" w:rsidP="00376AE6">
            <w:pPr>
              <w:textAlignment w:val="bottom"/>
              <w:rPr>
                <w:sz w:val="20"/>
                <w:szCs w:val="20"/>
              </w:rPr>
            </w:pPr>
            <w:r w:rsidRPr="00376AE6">
              <w:rPr>
                <w:color w:val="000000"/>
                <w:kern w:val="24"/>
                <w:sz w:val="20"/>
                <w:szCs w:val="20"/>
              </w:rPr>
              <w:t>0.8</w:t>
            </w:r>
          </w:p>
        </w:tc>
        <w:tc>
          <w:tcPr>
            <w:tcW w:w="400" w:type="dxa"/>
            <w:tcBorders>
              <w:top w:val="nil"/>
              <w:left w:val="nil"/>
              <w:bottom w:val="nil"/>
              <w:right w:val="nil"/>
            </w:tcBorders>
            <w:tcMar>
              <w:top w:w="9" w:type="dxa"/>
              <w:left w:w="9" w:type="dxa"/>
              <w:bottom w:w="0" w:type="dxa"/>
              <w:right w:w="9" w:type="dxa"/>
            </w:tcMar>
            <w:vAlign w:val="bottom"/>
          </w:tcPr>
          <w:p w:rsidR="00DC207C" w:rsidRPr="00376AE6" w:rsidRDefault="00DC207C" w:rsidP="00376AE6">
            <w:pPr>
              <w:jc w:val="right"/>
              <w:textAlignment w:val="bottom"/>
              <w:rPr>
                <w:sz w:val="20"/>
                <w:szCs w:val="20"/>
              </w:rPr>
            </w:pPr>
            <w:r w:rsidRPr="00376AE6">
              <w:rPr>
                <w:color w:val="000000"/>
                <w:kern w:val="24"/>
                <w:sz w:val="20"/>
                <w:szCs w:val="20"/>
              </w:rPr>
              <w:t>28.1</w:t>
            </w:r>
          </w:p>
        </w:tc>
        <w:tc>
          <w:tcPr>
            <w:tcW w:w="320" w:type="dxa"/>
            <w:tcBorders>
              <w:top w:val="nil"/>
              <w:left w:val="nil"/>
              <w:bottom w:val="nil"/>
              <w:right w:val="nil"/>
            </w:tcBorders>
            <w:tcMar>
              <w:top w:w="9" w:type="dxa"/>
              <w:left w:w="9" w:type="dxa"/>
              <w:bottom w:w="0" w:type="dxa"/>
              <w:right w:w="9" w:type="dxa"/>
            </w:tcMar>
            <w:vAlign w:val="bottom"/>
          </w:tcPr>
          <w:p w:rsidR="00DC207C" w:rsidRPr="00376AE6" w:rsidRDefault="00DC207C" w:rsidP="00376AE6">
            <w:pPr>
              <w:jc w:val="center"/>
              <w:textAlignment w:val="bottom"/>
              <w:rPr>
                <w:sz w:val="20"/>
                <w:szCs w:val="20"/>
              </w:rPr>
            </w:pPr>
            <w:r w:rsidRPr="00376AE6">
              <w:rPr>
                <w:color w:val="000000"/>
                <w:kern w:val="24"/>
                <w:sz w:val="20"/>
                <w:szCs w:val="20"/>
              </w:rPr>
              <w:t xml:space="preserve">± </w:t>
            </w:r>
          </w:p>
        </w:tc>
        <w:tc>
          <w:tcPr>
            <w:tcW w:w="600" w:type="dxa"/>
            <w:tcBorders>
              <w:top w:val="nil"/>
              <w:left w:val="nil"/>
              <w:bottom w:val="nil"/>
              <w:right w:val="single" w:sz="4" w:space="0" w:color="auto"/>
            </w:tcBorders>
            <w:tcMar>
              <w:top w:w="15" w:type="dxa"/>
              <w:left w:w="15" w:type="dxa"/>
              <w:bottom w:w="0" w:type="dxa"/>
              <w:right w:w="15" w:type="dxa"/>
            </w:tcMar>
            <w:vAlign w:val="bottom"/>
          </w:tcPr>
          <w:p w:rsidR="00DC207C" w:rsidRPr="00376AE6" w:rsidRDefault="00DC207C" w:rsidP="00376AE6">
            <w:pPr>
              <w:textAlignment w:val="bottom"/>
              <w:rPr>
                <w:sz w:val="20"/>
                <w:szCs w:val="20"/>
              </w:rPr>
            </w:pPr>
            <w:r w:rsidRPr="00376AE6">
              <w:rPr>
                <w:color w:val="000000"/>
                <w:kern w:val="24"/>
                <w:sz w:val="20"/>
                <w:szCs w:val="20"/>
              </w:rPr>
              <w:t>0.5</w:t>
            </w:r>
          </w:p>
        </w:tc>
        <w:tc>
          <w:tcPr>
            <w:tcW w:w="520" w:type="dxa"/>
            <w:tcBorders>
              <w:top w:val="nil"/>
              <w:left w:val="single" w:sz="4" w:space="0" w:color="auto"/>
              <w:bottom w:val="nil"/>
              <w:right w:val="nil"/>
            </w:tcBorders>
            <w:tcMar>
              <w:top w:w="9" w:type="dxa"/>
              <w:left w:w="9" w:type="dxa"/>
              <w:bottom w:w="0" w:type="dxa"/>
              <w:right w:w="9" w:type="dxa"/>
            </w:tcMar>
            <w:vAlign w:val="bottom"/>
          </w:tcPr>
          <w:p w:rsidR="00DC207C" w:rsidRPr="00376AE6" w:rsidRDefault="00DC207C" w:rsidP="00376AE6">
            <w:pPr>
              <w:jc w:val="right"/>
              <w:textAlignment w:val="bottom"/>
              <w:rPr>
                <w:sz w:val="20"/>
                <w:szCs w:val="20"/>
              </w:rPr>
            </w:pPr>
            <w:r w:rsidRPr="00376AE6">
              <w:rPr>
                <w:color w:val="000000"/>
                <w:kern w:val="24"/>
                <w:sz w:val="20"/>
                <w:szCs w:val="20"/>
              </w:rPr>
              <w:t>30.4</w:t>
            </w:r>
          </w:p>
        </w:tc>
        <w:tc>
          <w:tcPr>
            <w:tcW w:w="320" w:type="dxa"/>
            <w:tcBorders>
              <w:top w:val="nil"/>
              <w:left w:val="nil"/>
              <w:bottom w:val="nil"/>
              <w:right w:val="nil"/>
            </w:tcBorders>
            <w:tcMar>
              <w:top w:w="9" w:type="dxa"/>
              <w:left w:w="9" w:type="dxa"/>
              <w:bottom w:w="0" w:type="dxa"/>
              <w:right w:w="9" w:type="dxa"/>
            </w:tcMar>
            <w:vAlign w:val="bottom"/>
          </w:tcPr>
          <w:p w:rsidR="00DC207C" w:rsidRPr="00376AE6" w:rsidRDefault="00DC207C" w:rsidP="00376AE6">
            <w:pPr>
              <w:jc w:val="center"/>
              <w:textAlignment w:val="bottom"/>
              <w:rPr>
                <w:sz w:val="20"/>
                <w:szCs w:val="20"/>
              </w:rPr>
            </w:pPr>
            <w:r w:rsidRPr="00376AE6">
              <w:rPr>
                <w:color w:val="000000"/>
                <w:kern w:val="24"/>
                <w:sz w:val="20"/>
                <w:szCs w:val="20"/>
              </w:rPr>
              <w:t xml:space="preserve">± </w:t>
            </w:r>
          </w:p>
        </w:tc>
        <w:tc>
          <w:tcPr>
            <w:tcW w:w="480" w:type="dxa"/>
            <w:tcBorders>
              <w:top w:val="nil"/>
              <w:left w:val="nil"/>
              <w:bottom w:val="nil"/>
              <w:right w:val="nil"/>
            </w:tcBorders>
            <w:tcMar>
              <w:top w:w="15" w:type="dxa"/>
              <w:left w:w="15" w:type="dxa"/>
              <w:bottom w:w="0" w:type="dxa"/>
              <w:right w:w="15" w:type="dxa"/>
            </w:tcMar>
            <w:vAlign w:val="bottom"/>
          </w:tcPr>
          <w:p w:rsidR="00DC207C" w:rsidRPr="00376AE6" w:rsidRDefault="00DC207C" w:rsidP="00376AE6">
            <w:pPr>
              <w:textAlignment w:val="bottom"/>
              <w:rPr>
                <w:sz w:val="20"/>
                <w:szCs w:val="20"/>
              </w:rPr>
            </w:pPr>
            <w:r w:rsidRPr="00376AE6">
              <w:rPr>
                <w:color w:val="000000"/>
                <w:kern w:val="24"/>
                <w:sz w:val="20"/>
                <w:szCs w:val="20"/>
              </w:rPr>
              <w:t xml:space="preserve">0.1 </w:t>
            </w:r>
          </w:p>
        </w:tc>
        <w:tc>
          <w:tcPr>
            <w:tcW w:w="480" w:type="dxa"/>
            <w:tcBorders>
              <w:top w:val="nil"/>
              <w:left w:val="nil"/>
              <w:bottom w:val="nil"/>
              <w:right w:val="nil"/>
            </w:tcBorders>
            <w:tcMar>
              <w:top w:w="9" w:type="dxa"/>
              <w:left w:w="9" w:type="dxa"/>
              <w:bottom w:w="0" w:type="dxa"/>
              <w:right w:w="9" w:type="dxa"/>
            </w:tcMar>
            <w:vAlign w:val="bottom"/>
          </w:tcPr>
          <w:p w:rsidR="00DC207C" w:rsidRPr="00376AE6" w:rsidRDefault="00DC207C" w:rsidP="00376AE6">
            <w:pPr>
              <w:jc w:val="right"/>
              <w:textAlignment w:val="bottom"/>
              <w:rPr>
                <w:sz w:val="20"/>
                <w:szCs w:val="20"/>
              </w:rPr>
            </w:pPr>
            <w:r w:rsidRPr="00376AE6">
              <w:rPr>
                <w:color w:val="000000"/>
                <w:kern w:val="24"/>
                <w:sz w:val="20"/>
                <w:szCs w:val="20"/>
              </w:rPr>
              <w:t>29.9</w:t>
            </w:r>
          </w:p>
        </w:tc>
        <w:tc>
          <w:tcPr>
            <w:tcW w:w="360" w:type="dxa"/>
            <w:tcBorders>
              <w:top w:val="nil"/>
              <w:left w:val="nil"/>
              <w:bottom w:val="nil"/>
              <w:right w:val="nil"/>
            </w:tcBorders>
            <w:tcMar>
              <w:top w:w="9" w:type="dxa"/>
              <w:left w:w="9" w:type="dxa"/>
              <w:bottom w:w="0" w:type="dxa"/>
              <w:right w:w="9" w:type="dxa"/>
            </w:tcMar>
            <w:vAlign w:val="bottom"/>
          </w:tcPr>
          <w:p w:rsidR="00DC207C" w:rsidRPr="00376AE6" w:rsidRDefault="00DC207C" w:rsidP="00376AE6">
            <w:pPr>
              <w:jc w:val="center"/>
              <w:textAlignment w:val="bottom"/>
              <w:rPr>
                <w:sz w:val="20"/>
                <w:szCs w:val="20"/>
              </w:rPr>
            </w:pPr>
            <w:r w:rsidRPr="00376AE6">
              <w:rPr>
                <w:color w:val="000000"/>
                <w:kern w:val="24"/>
                <w:sz w:val="20"/>
                <w:szCs w:val="20"/>
              </w:rPr>
              <w:t xml:space="preserve">± </w:t>
            </w:r>
          </w:p>
        </w:tc>
        <w:tc>
          <w:tcPr>
            <w:tcW w:w="480" w:type="dxa"/>
            <w:tcBorders>
              <w:top w:val="nil"/>
              <w:left w:val="nil"/>
              <w:bottom w:val="nil"/>
              <w:right w:val="nil"/>
            </w:tcBorders>
            <w:tcMar>
              <w:top w:w="15" w:type="dxa"/>
              <w:left w:w="15" w:type="dxa"/>
              <w:bottom w:w="0" w:type="dxa"/>
              <w:right w:w="15" w:type="dxa"/>
            </w:tcMar>
            <w:vAlign w:val="bottom"/>
          </w:tcPr>
          <w:p w:rsidR="00DC207C" w:rsidRPr="00376AE6" w:rsidRDefault="00DC207C" w:rsidP="00376AE6">
            <w:pPr>
              <w:textAlignment w:val="bottom"/>
              <w:rPr>
                <w:sz w:val="20"/>
                <w:szCs w:val="20"/>
              </w:rPr>
            </w:pPr>
            <w:r w:rsidRPr="00376AE6">
              <w:rPr>
                <w:color w:val="000000"/>
                <w:kern w:val="24"/>
                <w:sz w:val="20"/>
                <w:szCs w:val="20"/>
              </w:rPr>
              <w:t xml:space="preserve">0.6 </w:t>
            </w:r>
          </w:p>
        </w:tc>
      </w:tr>
      <w:tr w:rsidR="00DC207C" w:rsidRPr="00376AE6" w:rsidTr="00376AE6">
        <w:trPr>
          <w:trHeight w:val="20"/>
        </w:trPr>
        <w:tc>
          <w:tcPr>
            <w:tcW w:w="2970" w:type="dxa"/>
            <w:tcBorders>
              <w:top w:val="nil"/>
              <w:left w:val="nil"/>
              <w:bottom w:val="nil"/>
              <w:right w:val="nil"/>
            </w:tcBorders>
            <w:tcMar>
              <w:top w:w="72" w:type="dxa"/>
              <w:left w:w="144" w:type="dxa"/>
              <w:bottom w:w="72" w:type="dxa"/>
              <w:right w:w="144" w:type="dxa"/>
            </w:tcMar>
          </w:tcPr>
          <w:p w:rsidR="00DC207C" w:rsidRPr="00376AE6" w:rsidRDefault="00DC207C" w:rsidP="00376AE6">
            <w:pPr>
              <w:rPr>
                <w:sz w:val="20"/>
                <w:szCs w:val="20"/>
              </w:rPr>
            </w:pPr>
            <w:r w:rsidRPr="00376AE6">
              <w:rPr>
                <w:bCs/>
                <w:color w:val="000000"/>
                <w:kern w:val="24"/>
                <w:sz w:val="20"/>
                <w:szCs w:val="20"/>
              </w:rPr>
              <w:t xml:space="preserve">                 Xylan </w:t>
            </w:r>
          </w:p>
        </w:tc>
        <w:tc>
          <w:tcPr>
            <w:tcW w:w="400" w:type="dxa"/>
            <w:tcBorders>
              <w:top w:val="nil"/>
              <w:left w:val="nil"/>
              <w:bottom w:val="nil"/>
              <w:right w:val="nil"/>
            </w:tcBorders>
            <w:tcMar>
              <w:top w:w="9" w:type="dxa"/>
              <w:left w:w="9" w:type="dxa"/>
              <w:bottom w:w="0" w:type="dxa"/>
              <w:right w:w="9" w:type="dxa"/>
            </w:tcMar>
            <w:vAlign w:val="bottom"/>
          </w:tcPr>
          <w:p w:rsidR="00DC207C" w:rsidRPr="00376AE6" w:rsidRDefault="00DC207C" w:rsidP="00376AE6">
            <w:pPr>
              <w:jc w:val="right"/>
              <w:textAlignment w:val="bottom"/>
              <w:rPr>
                <w:sz w:val="20"/>
                <w:szCs w:val="20"/>
              </w:rPr>
            </w:pPr>
            <w:r w:rsidRPr="00376AE6">
              <w:rPr>
                <w:color w:val="000000"/>
                <w:kern w:val="24"/>
                <w:sz w:val="20"/>
                <w:szCs w:val="20"/>
              </w:rPr>
              <w:t xml:space="preserve">22.9 </w:t>
            </w:r>
          </w:p>
        </w:tc>
        <w:tc>
          <w:tcPr>
            <w:tcW w:w="320" w:type="dxa"/>
            <w:tcBorders>
              <w:top w:val="nil"/>
              <w:left w:val="nil"/>
              <w:bottom w:val="nil"/>
              <w:right w:val="nil"/>
            </w:tcBorders>
            <w:tcMar>
              <w:top w:w="9" w:type="dxa"/>
              <w:left w:w="9" w:type="dxa"/>
              <w:bottom w:w="0" w:type="dxa"/>
              <w:right w:w="9" w:type="dxa"/>
            </w:tcMar>
            <w:vAlign w:val="bottom"/>
          </w:tcPr>
          <w:p w:rsidR="00DC207C" w:rsidRPr="00376AE6" w:rsidRDefault="00DC207C" w:rsidP="00376AE6">
            <w:pPr>
              <w:jc w:val="center"/>
              <w:textAlignment w:val="bottom"/>
              <w:rPr>
                <w:sz w:val="20"/>
                <w:szCs w:val="20"/>
              </w:rPr>
            </w:pPr>
            <w:r w:rsidRPr="00376AE6">
              <w:rPr>
                <w:color w:val="000000"/>
                <w:kern w:val="24"/>
                <w:sz w:val="20"/>
                <w:szCs w:val="20"/>
              </w:rPr>
              <w:t xml:space="preserve">± </w:t>
            </w:r>
          </w:p>
        </w:tc>
        <w:tc>
          <w:tcPr>
            <w:tcW w:w="600" w:type="dxa"/>
            <w:tcBorders>
              <w:top w:val="nil"/>
              <w:left w:val="nil"/>
              <w:bottom w:val="nil"/>
              <w:right w:val="nil"/>
            </w:tcBorders>
            <w:tcMar>
              <w:top w:w="15" w:type="dxa"/>
              <w:left w:w="15" w:type="dxa"/>
              <w:bottom w:w="0" w:type="dxa"/>
              <w:right w:w="15" w:type="dxa"/>
            </w:tcMar>
            <w:vAlign w:val="bottom"/>
          </w:tcPr>
          <w:p w:rsidR="00DC207C" w:rsidRPr="00376AE6" w:rsidRDefault="00DC207C" w:rsidP="00376AE6">
            <w:pPr>
              <w:textAlignment w:val="bottom"/>
              <w:rPr>
                <w:sz w:val="20"/>
                <w:szCs w:val="20"/>
              </w:rPr>
            </w:pPr>
            <w:r w:rsidRPr="00376AE6">
              <w:rPr>
                <w:color w:val="000000"/>
                <w:kern w:val="24"/>
                <w:sz w:val="20"/>
                <w:szCs w:val="20"/>
              </w:rPr>
              <w:t xml:space="preserve">0.7 </w:t>
            </w:r>
          </w:p>
        </w:tc>
        <w:tc>
          <w:tcPr>
            <w:tcW w:w="400" w:type="dxa"/>
            <w:tcBorders>
              <w:top w:val="nil"/>
              <w:left w:val="nil"/>
              <w:bottom w:val="nil"/>
              <w:right w:val="nil"/>
            </w:tcBorders>
            <w:tcMar>
              <w:top w:w="9" w:type="dxa"/>
              <w:left w:w="9" w:type="dxa"/>
              <w:bottom w:w="0" w:type="dxa"/>
              <w:right w:w="9" w:type="dxa"/>
            </w:tcMar>
            <w:vAlign w:val="bottom"/>
          </w:tcPr>
          <w:p w:rsidR="00DC207C" w:rsidRPr="00376AE6" w:rsidRDefault="00DC207C" w:rsidP="00376AE6">
            <w:pPr>
              <w:jc w:val="right"/>
              <w:textAlignment w:val="bottom"/>
              <w:rPr>
                <w:sz w:val="20"/>
                <w:szCs w:val="20"/>
              </w:rPr>
            </w:pPr>
            <w:r w:rsidRPr="00376AE6">
              <w:rPr>
                <w:color w:val="000000"/>
                <w:kern w:val="24"/>
                <w:sz w:val="20"/>
                <w:szCs w:val="20"/>
              </w:rPr>
              <w:t>22.7</w:t>
            </w:r>
          </w:p>
        </w:tc>
        <w:tc>
          <w:tcPr>
            <w:tcW w:w="320" w:type="dxa"/>
            <w:tcBorders>
              <w:top w:val="nil"/>
              <w:left w:val="nil"/>
              <w:bottom w:val="nil"/>
              <w:right w:val="nil"/>
            </w:tcBorders>
            <w:tcMar>
              <w:top w:w="9" w:type="dxa"/>
              <w:left w:w="9" w:type="dxa"/>
              <w:bottom w:w="0" w:type="dxa"/>
              <w:right w:w="9" w:type="dxa"/>
            </w:tcMar>
            <w:vAlign w:val="bottom"/>
          </w:tcPr>
          <w:p w:rsidR="00DC207C" w:rsidRPr="00376AE6" w:rsidRDefault="00DC207C" w:rsidP="00376AE6">
            <w:pPr>
              <w:jc w:val="center"/>
              <w:textAlignment w:val="bottom"/>
              <w:rPr>
                <w:sz w:val="20"/>
                <w:szCs w:val="20"/>
              </w:rPr>
            </w:pPr>
            <w:r w:rsidRPr="00376AE6">
              <w:rPr>
                <w:color w:val="000000"/>
                <w:kern w:val="24"/>
                <w:sz w:val="20"/>
                <w:szCs w:val="20"/>
              </w:rPr>
              <w:t xml:space="preserve">± </w:t>
            </w:r>
          </w:p>
        </w:tc>
        <w:tc>
          <w:tcPr>
            <w:tcW w:w="600" w:type="dxa"/>
            <w:tcBorders>
              <w:top w:val="nil"/>
              <w:left w:val="nil"/>
              <w:bottom w:val="nil"/>
              <w:right w:val="single" w:sz="4" w:space="0" w:color="auto"/>
            </w:tcBorders>
            <w:tcMar>
              <w:top w:w="15" w:type="dxa"/>
              <w:left w:w="15" w:type="dxa"/>
              <w:bottom w:w="0" w:type="dxa"/>
              <w:right w:w="15" w:type="dxa"/>
            </w:tcMar>
            <w:vAlign w:val="bottom"/>
          </w:tcPr>
          <w:p w:rsidR="00DC207C" w:rsidRPr="00376AE6" w:rsidRDefault="00DC207C" w:rsidP="00376AE6">
            <w:pPr>
              <w:textAlignment w:val="bottom"/>
              <w:rPr>
                <w:sz w:val="20"/>
                <w:szCs w:val="20"/>
              </w:rPr>
            </w:pPr>
            <w:r w:rsidRPr="00376AE6">
              <w:rPr>
                <w:color w:val="000000"/>
                <w:kern w:val="24"/>
                <w:sz w:val="20"/>
                <w:szCs w:val="20"/>
              </w:rPr>
              <w:t>0.5</w:t>
            </w:r>
          </w:p>
        </w:tc>
        <w:tc>
          <w:tcPr>
            <w:tcW w:w="520" w:type="dxa"/>
            <w:tcBorders>
              <w:top w:val="nil"/>
              <w:left w:val="single" w:sz="4" w:space="0" w:color="auto"/>
              <w:bottom w:val="nil"/>
              <w:right w:val="nil"/>
            </w:tcBorders>
            <w:tcMar>
              <w:top w:w="9" w:type="dxa"/>
              <w:left w:w="9" w:type="dxa"/>
              <w:bottom w:w="0" w:type="dxa"/>
              <w:right w:w="9" w:type="dxa"/>
            </w:tcMar>
            <w:vAlign w:val="bottom"/>
          </w:tcPr>
          <w:p w:rsidR="00DC207C" w:rsidRPr="00376AE6" w:rsidRDefault="00DC207C" w:rsidP="00376AE6">
            <w:pPr>
              <w:jc w:val="right"/>
              <w:textAlignment w:val="bottom"/>
              <w:rPr>
                <w:sz w:val="20"/>
                <w:szCs w:val="20"/>
              </w:rPr>
            </w:pPr>
            <w:r w:rsidRPr="00376AE6">
              <w:rPr>
                <w:color w:val="000000"/>
                <w:kern w:val="24"/>
                <w:sz w:val="20"/>
                <w:szCs w:val="20"/>
              </w:rPr>
              <w:t>25.3</w:t>
            </w:r>
          </w:p>
        </w:tc>
        <w:tc>
          <w:tcPr>
            <w:tcW w:w="320" w:type="dxa"/>
            <w:tcBorders>
              <w:top w:val="nil"/>
              <w:left w:val="nil"/>
              <w:bottom w:val="nil"/>
              <w:right w:val="nil"/>
            </w:tcBorders>
            <w:tcMar>
              <w:top w:w="9" w:type="dxa"/>
              <w:left w:w="9" w:type="dxa"/>
              <w:bottom w:w="0" w:type="dxa"/>
              <w:right w:w="9" w:type="dxa"/>
            </w:tcMar>
            <w:vAlign w:val="bottom"/>
          </w:tcPr>
          <w:p w:rsidR="00DC207C" w:rsidRPr="00376AE6" w:rsidRDefault="00DC207C" w:rsidP="00376AE6">
            <w:pPr>
              <w:jc w:val="center"/>
              <w:textAlignment w:val="bottom"/>
              <w:rPr>
                <w:sz w:val="20"/>
                <w:szCs w:val="20"/>
              </w:rPr>
            </w:pPr>
            <w:r w:rsidRPr="00376AE6">
              <w:rPr>
                <w:color w:val="000000"/>
                <w:kern w:val="24"/>
                <w:sz w:val="20"/>
                <w:szCs w:val="20"/>
              </w:rPr>
              <w:t xml:space="preserve">± </w:t>
            </w:r>
          </w:p>
        </w:tc>
        <w:tc>
          <w:tcPr>
            <w:tcW w:w="480" w:type="dxa"/>
            <w:tcBorders>
              <w:top w:val="nil"/>
              <w:left w:val="nil"/>
              <w:bottom w:val="nil"/>
              <w:right w:val="nil"/>
            </w:tcBorders>
            <w:tcMar>
              <w:top w:w="15" w:type="dxa"/>
              <w:left w:w="15" w:type="dxa"/>
              <w:bottom w:w="0" w:type="dxa"/>
              <w:right w:w="15" w:type="dxa"/>
            </w:tcMar>
            <w:vAlign w:val="bottom"/>
          </w:tcPr>
          <w:p w:rsidR="00DC207C" w:rsidRPr="00376AE6" w:rsidRDefault="00DC207C" w:rsidP="00376AE6">
            <w:pPr>
              <w:textAlignment w:val="bottom"/>
              <w:rPr>
                <w:sz w:val="20"/>
                <w:szCs w:val="20"/>
              </w:rPr>
            </w:pPr>
            <w:r w:rsidRPr="00376AE6">
              <w:rPr>
                <w:color w:val="000000"/>
                <w:kern w:val="24"/>
                <w:sz w:val="20"/>
                <w:szCs w:val="20"/>
              </w:rPr>
              <w:t xml:space="preserve">0.1 </w:t>
            </w:r>
          </w:p>
        </w:tc>
        <w:tc>
          <w:tcPr>
            <w:tcW w:w="480" w:type="dxa"/>
            <w:tcBorders>
              <w:top w:val="nil"/>
              <w:left w:val="nil"/>
              <w:bottom w:val="nil"/>
              <w:right w:val="nil"/>
            </w:tcBorders>
            <w:tcMar>
              <w:top w:w="9" w:type="dxa"/>
              <w:left w:w="9" w:type="dxa"/>
              <w:bottom w:w="0" w:type="dxa"/>
              <w:right w:w="9" w:type="dxa"/>
            </w:tcMar>
            <w:vAlign w:val="bottom"/>
          </w:tcPr>
          <w:p w:rsidR="00DC207C" w:rsidRPr="00376AE6" w:rsidRDefault="00DC207C" w:rsidP="00376AE6">
            <w:pPr>
              <w:jc w:val="right"/>
              <w:textAlignment w:val="bottom"/>
              <w:rPr>
                <w:sz w:val="20"/>
                <w:szCs w:val="20"/>
              </w:rPr>
            </w:pPr>
            <w:r w:rsidRPr="00376AE6">
              <w:rPr>
                <w:color w:val="000000"/>
                <w:kern w:val="24"/>
                <w:sz w:val="20"/>
                <w:szCs w:val="20"/>
              </w:rPr>
              <w:t>24.4</w:t>
            </w:r>
          </w:p>
        </w:tc>
        <w:tc>
          <w:tcPr>
            <w:tcW w:w="360" w:type="dxa"/>
            <w:tcBorders>
              <w:top w:val="nil"/>
              <w:left w:val="nil"/>
              <w:bottom w:val="nil"/>
              <w:right w:val="nil"/>
            </w:tcBorders>
            <w:tcMar>
              <w:top w:w="9" w:type="dxa"/>
              <w:left w:w="9" w:type="dxa"/>
              <w:bottom w:w="0" w:type="dxa"/>
              <w:right w:w="9" w:type="dxa"/>
            </w:tcMar>
            <w:vAlign w:val="bottom"/>
          </w:tcPr>
          <w:p w:rsidR="00DC207C" w:rsidRPr="00376AE6" w:rsidRDefault="00DC207C" w:rsidP="00376AE6">
            <w:pPr>
              <w:jc w:val="center"/>
              <w:textAlignment w:val="bottom"/>
              <w:rPr>
                <w:sz w:val="20"/>
                <w:szCs w:val="20"/>
              </w:rPr>
            </w:pPr>
            <w:r w:rsidRPr="00376AE6">
              <w:rPr>
                <w:color w:val="000000"/>
                <w:kern w:val="24"/>
                <w:sz w:val="20"/>
                <w:szCs w:val="20"/>
              </w:rPr>
              <w:t xml:space="preserve">± </w:t>
            </w:r>
          </w:p>
        </w:tc>
        <w:tc>
          <w:tcPr>
            <w:tcW w:w="480" w:type="dxa"/>
            <w:tcBorders>
              <w:top w:val="nil"/>
              <w:left w:val="nil"/>
              <w:bottom w:val="nil"/>
              <w:right w:val="nil"/>
            </w:tcBorders>
            <w:tcMar>
              <w:top w:w="15" w:type="dxa"/>
              <w:left w:w="15" w:type="dxa"/>
              <w:bottom w:w="0" w:type="dxa"/>
              <w:right w:w="15" w:type="dxa"/>
            </w:tcMar>
            <w:vAlign w:val="bottom"/>
          </w:tcPr>
          <w:p w:rsidR="00DC207C" w:rsidRPr="00376AE6" w:rsidRDefault="00DC207C" w:rsidP="00376AE6">
            <w:pPr>
              <w:textAlignment w:val="bottom"/>
              <w:rPr>
                <w:sz w:val="20"/>
                <w:szCs w:val="20"/>
              </w:rPr>
            </w:pPr>
            <w:r w:rsidRPr="00376AE6">
              <w:rPr>
                <w:color w:val="000000"/>
                <w:kern w:val="24"/>
                <w:sz w:val="20"/>
                <w:szCs w:val="20"/>
              </w:rPr>
              <w:t xml:space="preserve">0.5 </w:t>
            </w:r>
          </w:p>
        </w:tc>
      </w:tr>
      <w:tr w:rsidR="00DC207C" w:rsidRPr="00376AE6" w:rsidTr="00376AE6">
        <w:trPr>
          <w:trHeight w:val="20"/>
        </w:trPr>
        <w:tc>
          <w:tcPr>
            <w:tcW w:w="2970" w:type="dxa"/>
            <w:tcBorders>
              <w:top w:val="nil"/>
              <w:left w:val="nil"/>
              <w:bottom w:val="nil"/>
              <w:right w:val="nil"/>
            </w:tcBorders>
            <w:tcMar>
              <w:top w:w="72" w:type="dxa"/>
              <w:left w:w="144" w:type="dxa"/>
              <w:bottom w:w="72" w:type="dxa"/>
              <w:right w:w="144" w:type="dxa"/>
            </w:tcMar>
          </w:tcPr>
          <w:p w:rsidR="00DC207C" w:rsidRPr="00376AE6" w:rsidRDefault="00DC207C" w:rsidP="00376AE6">
            <w:pPr>
              <w:rPr>
                <w:sz w:val="20"/>
                <w:szCs w:val="20"/>
              </w:rPr>
            </w:pPr>
            <w:r w:rsidRPr="00376AE6">
              <w:rPr>
                <w:bCs/>
                <w:color w:val="000000"/>
                <w:kern w:val="24"/>
                <w:sz w:val="20"/>
                <w:szCs w:val="20"/>
              </w:rPr>
              <w:t xml:space="preserve">                 Galactan </w:t>
            </w:r>
          </w:p>
        </w:tc>
        <w:tc>
          <w:tcPr>
            <w:tcW w:w="400" w:type="dxa"/>
            <w:tcBorders>
              <w:top w:val="nil"/>
              <w:left w:val="nil"/>
              <w:bottom w:val="nil"/>
              <w:right w:val="nil"/>
            </w:tcBorders>
            <w:tcMar>
              <w:top w:w="9" w:type="dxa"/>
              <w:left w:w="9" w:type="dxa"/>
              <w:bottom w:w="0" w:type="dxa"/>
              <w:right w:w="9" w:type="dxa"/>
            </w:tcMar>
            <w:vAlign w:val="bottom"/>
          </w:tcPr>
          <w:p w:rsidR="00DC207C" w:rsidRPr="00376AE6" w:rsidRDefault="00DC207C" w:rsidP="00376AE6">
            <w:pPr>
              <w:jc w:val="right"/>
              <w:textAlignment w:val="bottom"/>
              <w:rPr>
                <w:sz w:val="20"/>
                <w:szCs w:val="20"/>
              </w:rPr>
            </w:pPr>
            <w:r w:rsidRPr="00376AE6">
              <w:rPr>
                <w:color w:val="000000"/>
                <w:kern w:val="24"/>
                <w:sz w:val="20"/>
                <w:szCs w:val="20"/>
              </w:rPr>
              <w:t xml:space="preserve">1.9 </w:t>
            </w:r>
          </w:p>
        </w:tc>
        <w:tc>
          <w:tcPr>
            <w:tcW w:w="320" w:type="dxa"/>
            <w:tcBorders>
              <w:top w:val="nil"/>
              <w:left w:val="nil"/>
              <w:bottom w:val="nil"/>
              <w:right w:val="nil"/>
            </w:tcBorders>
            <w:tcMar>
              <w:top w:w="9" w:type="dxa"/>
              <w:left w:w="9" w:type="dxa"/>
              <w:bottom w:w="0" w:type="dxa"/>
              <w:right w:w="9" w:type="dxa"/>
            </w:tcMar>
            <w:vAlign w:val="bottom"/>
          </w:tcPr>
          <w:p w:rsidR="00DC207C" w:rsidRPr="00376AE6" w:rsidRDefault="00DC207C" w:rsidP="00376AE6">
            <w:pPr>
              <w:jc w:val="center"/>
              <w:textAlignment w:val="bottom"/>
              <w:rPr>
                <w:sz w:val="20"/>
                <w:szCs w:val="20"/>
              </w:rPr>
            </w:pPr>
            <w:r w:rsidRPr="00376AE6">
              <w:rPr>
                <w:color w:val="000000"/>
                <w:kern w:val="24"/>
                <w:sz w:val="20"/>
                <w:szCs w:val="20"/>
              </w:rPr>
              <w:t xml:space="preserve">± </w:t>
            </w:r>
          </w:p>
        </w:tc>
        <w:tc>
          <w:tcPr>
            <w:tcW w:w="600" w:type="dxa"/>
            <w:tcBorders>
              <w:top w:val="nil"/>
              <w:left w:val="nil"/>
              <w:bottom w:val="nil"/>
              <w:right w:val="nil"/>
            </w:tcBorders>
            <w:tcMar>
              <w:top w:w="15" w:type="dxa"/>
              <w:left w:w="15" w:type="dxa"/>
              <w:bottom w:w="0" w:type="dxa"/>
              <w:right w:w="15" w:type="dxa"/>
            </w:tcMar>
            <w:vAlign w:val="bottom"/>
          </w:tcPr>
          <w:p w:rsidR="00DC207C" w:rsidRPr="00376AE6" w:rsidRDefault="00DC207C" w:rsidP="00376AE6">
            <w:pPr>
              <w:textAlignment w:val="bottom"/>
              <w:rPr>
                <w:sz w:val="20"/>
                <w:szCs w:val="20"/>
              </w:rPr>
            </w:pPr>
            <w:r w:rsidRPr="00376AE6">
              <w:rPr>
                <w:color w:val="000000"/>
                <w:kern w:val="24"/>
                <w:sz w:val="20"/>
                <w:szCs w:val="20"/>
              </w:rPr>
              <w:t>0.1</w:t>
            </w:r>
          </w:p>
        </w:tc>
        <w:tc>
          <w:tcPr>
            <w:tcW w:w="400" w:type="dxa"/>
            <w:tcBorders>
              <w:top w:val="nil"/>
              <w:left w:val="nil"/>
              <w:bottom w:val="nil"/>
              <w:right w:val="nil"/>
            </w:tcBorders>
            <w:tcMar>
              <w:top w:w="9" w:type="dxa"/>
              <w:left w:w="9" w:type="dxa"/>
              <w:bottom w:w="0" w:type="dxa"/>
              <w:right w:w="9" w:type="dxa"/>
            </w:tcMar>
            <w:vAlign w:val="bottom"/>
          </w:tcPr>
          <w:p w:rsidR="00DC207C" w:rsidRPr="00376AE6" w:rsidRDefault="00DC207C" w:rsidP="00376AE6">
            <w:pPr>
              <w:jc w:val="right"/>
              <w:textAlignment w:val="bottom"/>
              <w:rPr>
                <w:sz w:val="20"/>
                <w:szCs w:val="20"/>
              </w:rPr>
            </w:pPr>
            <w:r w:rsidRPr="00376AE6">
              <w:rPr>
                <w:color w:val="000000"/>
                <w:kern w:val="24"/>
                <w:sz w:val="20"/>
                <w:szCs w:val="20"/>
              </w:rPr>
              <w:t>2.0</w:t>
            </w:r>
          </w:p>
        </w:tc>
        <w:tc>
          <w:tcPr>
            <w:tcW w:w="320" w:type="dxa"/>
            <w:tcBorders>
              <w:top w:val="nil"/>
              <w:left w:val="nil"/>
              <w:bottom w:val="nil"/>
              <w:right w:val="nil"/>
            </w:tcBorders>
            <w:tcMar>
              <w:top w:w="9" w:type="dxa"/>
              <w:left w:w="9" w:type="dxa"/>
              <w:bottom w:w="0" w:type="dxa"/>
              <w:right w:w="9" w:type="dxa"/>
            </w:tcMar>
            <w:vAlign w:val="bottom"/>
          </w:tcPr>
          <w:p w:rsidR="00DC207C" w:rsidRPr="00376AE6" w:rsidRDefault="00DC207C" w:rsidP="00376AE6">
            <w:pPr>
              <w:jc w:val="center"/>
              <w:textAlignment w:val="bottom"/>
              <w:rPr>
                <w:sz w:val="20"/>
                <w:szCs w:val="20"/>
              </w:rPr>
            </w:pPr>
            <w:r w:rsidRPr="00376AE6">
              <w:rPr>
                <w:color w:val="000000"/>
                <w:kern w:val="24"/>
                <w:sz w:val="20"/>
                <w:szCs w:val="20"/>
              </w:rPr>
              <w:t xml:space="preserve">± </w:t>
            </w:r>
          </w:p>
        </w:tc>
        <w:tc>
          <w:tcPr>
            <w:tcW w:w="600" w:type="dxa"/>
            <w:tcBorders>
              <w:top w:val="nil"/>
              <w:left w:val="nil"/>
              <w:bottom w:val="nil"/>
              <w:right w:val="single" w:sz="4" w:space="0" w:color="auto"/>
            </w:tcBorders>
            <w:tcMar>
              <w:top w:w="15" w:type="dxa"/>
              <w:left w:w="15" w:type="dxa"/>
              <w:bottom w:w="0" w:type="dxa"/>
              <w:right w:w="15" w:type="dxa"/>
            </w:tcMar>
            <w:vAlign w:val="bottom"/>
          </w:tcPr>
          <w:p w:rsidR="00DC207C" w:rsidRPr="00376AE6" w:rsidRDefault="00DC207C" w:rsidP="00376AE6">
            <w:pPr>
              <w:textAlignment w:val="bottom"/>
              <w:rPr>
                <w:sz w:val="20"/>
                <w:szCs w:val="20"/>
              </w:rPr>
            </w:pPr>
            <w:r w:rsidRPr="00376AE6">
              <w:rPr>
                <w:color w:val="000000"/>
                <w:kern w:val="24"/>
                <w:sz w:val="20"/>
                <w:szCs w:val="20"/>
              </w:rPr>
              <w:t>0.1</w:t>
            </w:r>
          </w:p>
        </w:tc>
        <w:tc>
          <w:tcPr>
            <w:tcW w:w="520" w:type="dxa"/>
            <w:tcBorders>
              <w:top w:val="nil"/>
              <w:left w:val="single" w:sz="4" w:space="0" w:color="auto"/>
              <w:bottom w:val="nil"/>
              <w:right w:val="nil"/>
            </w:tcBorders>
            <w:tcMar>
              <w:top w:w="9" w:type="dxa"/>
              <w:left w:w="9" w:type="dxa"/>
              <w:bottom w:w="0" w:type="dxa"/>
              <w:right w:w="9" w:type="dxa"/>
            </w:tcMar>
            <w:vAlign w:val="bottom"/>
          </w:tcPr>
          <w:p w:rsidR="00DC207C" w:rsidRPr="00376AE6" w:rsidRDefault="00DC207C" w:rsidP="00376AE6">
            <w:pPr>
              <w:jc w:val="right"/>
              <w:textAlignment w:val="bottom"/>
              <w:rPr>
                <w:b/>
                <w:sz w:val="20"/>
                <w:szCs w:val="20"/>
              </w:rPr>
            </w:pPr>
            <w:r w:rsidRPr="00376AE6">
              <w:rPr>
                <w:b/>
                <w:color w:val="000000"/>
                <w:kern w:val="24"/>
                <w:sz w:val="20"/>
                <w:szCs w:val="20"/>
              </w:rPr>
              <w:t>1.7</w:t>
            </w:r>
          </w:p>
        </w:tc>
        <w:tc>
          <w:tcPr>
            <w:tcW w:w="320" w:type="dxa"/>
            <w:tcBorders>
              <w:top w:val="nil"/>
              <w:left w:val="nil"/>
              <w:bottom w:val="nil"/>
              <w:right w:val="nil"/>
            </w:tcBorders>
            <w:tcMar>
              <w:top w:w="9" w:type="dxa"/>
              <w:left w:w="9" w:type="dxa"/>
              <w:bottom w:w="0" w:type="dxa"/>
              <w:right w:w="9" w:type="dxa"/>
            </w:tcMar>
            <w:vAlign w:val="bottom"/>
          </w:tcPr>
          <w:p w:rsidR="00DC207C" w:rsidRPr="00376AE6" w:rsidRDefault="00DC207C" w:rsidP="00376AE6">
            <w:pPr>
              <w:jc w:val="center"/>
              <w:textAlignment w:val="bottom"/>
              <w:rPr>
                <w:b/>
                <w:sz w:val="20"/>
                <w:szCs w:val="20"/>
              </w:rPr>
            </w:pPr>
            <w:r w:rsidRPr="00376AE6">
              <w:rPr>
                <w:b/>
                <w:color w:val="000000"/>
                <w:kern w:val="24"/>
                <w:sz w:val="20"/>
                <w:szCs w:val="20"/>
              </w:rPr>
              <w:t xml:space="preserve">± </w:t>
            </w:r>
          </w:p>
        </w:tc>
        <w:tc>
          <w:tcPr>
            <w:tcW w:w="480" w:type="dxa"/>
            <w:tcBorders>
              <w:top w:val="nil"/>
              <w:left w:val="nil"/>
              <w:bottom w:val="nil"/>
              <w:right w:val="nil"/>
            </w:tcBorders>
            <w:tcMar>
              <w:top w:w="15" w:type="dxa"/>
              <w:left w:w="15" w:type="dxa"/>
              <w:bottom w:w="0" w:type="dxa"/>
              <w:right w:w="15" w:type="dxa"/>
            </w:tcMar>
            <w:vAlign w:val="bottom"/>
          </w:tcPr>
          <w:p w:rsidR="00DC207C" w:rsidRPr="00376AE6" w:rsidRDefault="00DC207C" w:rsidP="00376AE6">
            <w:pPr>
              <w:textAlignment w:val="bottom"/>
              <w:rPr>
                <w:b/>
                <w:sz w:val="20"/>
                <w:szCs w:val="20"/>
              </w:rPr>
            </w:pPr>
            <w:r w:rsidRPr="00376AE6">
              <w:rPr>
                <w:b/>
                <w:color w:val="000000"/>
                <w:kern w:val="24"/>
                <w:sz w:val="20"/>
                <w:szCs w:val="20"/>
              </w:rPr>
              <w:t xml:space="preserve">0.0 </w:t>
            </w:r>
          </w:p>
        </w:tc>
        <w:tc>
          <w:tcPr>
            <w:tcW w:w="480" w:type="dxa"/>
            <w:tcBorders>
              <w:top w:val="nil"/>
              <w:left w:val="nil"/>
              <w:bottom w:val="nil"/>
              <w:right w:val="nil"/>
            </w:tcBorders>
            <w:tcMar>
              <w:top w:w="9" w:type="dxa"/>
              <w:left w:w="9" w:type="dxa"/>
              <w:bottom w:w="0" w:type="dxa"/>
              <w:right w:w="9" w:type="dxa"/>
            </w:tcMar>
            <w:vAlign w:val="bottom"/>
          </w:tcPr>
          <w:p w:rsidR="00DC207C" w:rsidRPr="00376AE6" w:rsidRDefault="00DC207C" w:rsidP="00376AE6">
            <w:pPr>
              <w:jc w:val="right"/>
              <w:textAlignment w:val="bottom"/>
              <w:rPr>
                <w:b/>
                <w:sz w:val="20"/>
                <w:szCs w:val="20"/>
              </w:rPr>
            </w:pPr>
            <w:r w:rsidRPr="00376AE6">
              <w:rPr>
                <w:b/>
                <w:color w:val="000000"/>
                <w:kern w:val="24"/>
                <w:sz w:val="20"/>
                <w:szCs w:val="20"/>
              </w:rPr>
              <w:t>2.1</w:t>
            </w:r>
          </w:p>
        </w:tc>
        <w:tc>
          <w:tcPr>
            <w:tcW w:w="360" w:type="dxa"/>
            <w:tcBorders>
              <w:top w:val="nil"/>
              <w:left w:val="nil"/>
              <w:bottom w:val="nil"/>
              <w:right w:val="nil"/>
            </w:tcBorders>
            <w:tcMar>
              <w:top w:w="9" w:type="dxa"/>
              <w:left w:w="9" w:type="dxa"/>
              <w:bottom w:w="0" w:type="dxa"/>
              <w:right w:w="9" w:type="dxa"/>
            </w:tcMar>
            <w:vAlign w:val="bottom"/>
          </w:tcPr>
          <w:p w:rsidR="00DC207C" w:rsidRPr="00376AE6" w:rsidRDefault="00DC207C" w:rsidP="00376AE6">
            <w:pPr>
              <w:jc w:val="center"/>
              <w:textAlignment w:val="bottom"/>
              <w:rPr>
                <w:b/>
                <w:sz w:val="20"/>
                <w:szCs w:val="20"/>
              </w:rPr>
            </w:pPr>
            <w:r w:rsidRPr="00376AE6">
              <w:rPr>
                <w:b/>
                <w:color w:val="000000"/>
                <w:kern w:val="24"/>
                <w:sz w:val="20"/>
                <w:szCs w:val="20"/>
              </w:rPr>
              <w:t xml:space="preserve">± </w:t>
            </w:r>
          </w:p>
        </w:tc>
        <w:tc>
          <w:tcPr>
            <w:tcW w:w="480" w:type="dxa"/>
            <w:tcBorders>
              <w:top w:val="nil"/>
              <w:left w:val="nil"/>
              <w:bottom w:val="nil"/>
              <w:right w:val="nil"/>
            </w:tcBorders>
            <w:tcMar>
              <w:top w:w="15" w:type="dxa"/>
              <w:left w:w="15" w:type="dxa"/>
              <w:bottom w:w="0" w:type="dxa"/>
              <w:right w:w="15" w:type="dxa"/>
            </w:tcMar>
            <w:vAlign w:val="bottom"/>
          </w:tcPr>
          <w:p w:rsidR="00DC207C" w:rsidRPr="00376AE6" w:rsidRDefault="00DC207C" w:rsidP="00376AE6">
            <w:pPr>
              <w:textAlignment w:val="bottom"/>
              <w:rPr>
                <w:b/>
                <w:sz w:val="20"/>
                <w:szCs w:val="20"/>
              </w:rPr>
            </w:pPr>
            <w:r w:rsidRPr="00376AE6">
              <w:rPr>
                <w:b/>
                <w:color w:val="000000"/>
                <w:kern w:val="24"/>
                <w:sz w:val="20"/>
                <w:szCs w:val="20"/>
              </w:rPr>
              <w:t xml:space="preserve">0.1* </w:t>
            </w:r>
          </w:p>
        </w:tc>
      </w:tr>
      <w:tr w:rsidR="00DC207C" w:rsidRPr="00376AE6" w:rsidTr="00376AE6">
        <w:trPr>
          <w:trHeight w:val="20"/>
        </w:trPr>
        <w:tc>
          <w:tcPr>
            <w:tcW w:w="2970" w:type="dxa"/>
            <w:tcBorders>
              <w:top w:val="nil"/>
              <w:left w:val="nil"/>
              <w:bottom w:val="nil"/>
              <w:right w:val="nil"/>
            </w:tcBorders>
            <w:tcMar>
              <w:top w:w="72" w:type="dxa"/>
              <w:left w:w="144" w:type="dxa"/>
              <w:bottom w:w="72" w:type="dxa"/>
              <w:right w:w="144" w:type="dxa"/>
            </w:tcMar>
          </w:tcPr>
          <w:p w:rsidR="00DC207C" w:rsidRPr="00376AE6" w:rsidRDefault="00DC207C" w:rsidP="00376AE6">
            <w:pPr>
              <w:rPr>
                <w:sz w:val="20"/>
                <w:szCs w:val="20"/>
              </w:rPr>
            </w:pPr>
            <w:r w:rsidRPr="00376AE6">
              <w:rPr>
                <w:bCs/>
                <w:color w:val="000000"/>
                <w:kern w:val="24"/>
                <w:sz w:val="20"/>
                <w:szCs w:val="20"/>
              </w:rPr>
              <w:t xml:space="preserve">                 Arabinan </w:t>
            </w:r>
          </w:p>
        </w:tc>
        <w:tc>
          <w:tcPr>
            <w:tcW w:w="400" w:type="dxa"/>
            <w:tcBorders>
              <w:top w:val="nil"/>
              <w:left w:val="nil"/>
              <w:bottom w:val="nil"/>
              <w:right w:val="nil"/>
            </w:tcBorders>
            <w:tcMar>
              <w:top w:w="9" w:type="dxa"/>
              <w:left w:w="9" w:type="dxa"/>
              <w:bottom w:w="0" w:type="dxa"/>
              <w:right w:w="9" w:type="dxa"/>
            </w:tcMar>
            <w:vAlign w:val="bottom"/>
          </w:tcPr>
          <w:p w:rsidR="00DC207C" w:rsidRPr="00376AE6" w:rsidRDefault="00DC207C" w:rsidP="00376AE6">
            <w:pPr>
              <w:jc w:val="right"/>
              <w:textAlignment w:val="bottom"/>
              <w:rPr>
                <w:sz w:val="20"/>
                <w:szCs w:val="20"/>
              </w:rPr>
            </w:pPr>
            <w:r w:rsidRPr="00376AE6">
              <w:rPr>
                <w:color w:val="000000"/>
                <w:kern w:val="24"/>
                <w:sz w:val="20"/>
                <w:szCs w:val="20"/>
              </w:rPr>
              <w:t xml:space="preserve">2.9 </w:t>
            </w:r>
          </w:p>
        </w:tc>
        <w:tc>
          <w:tcPr>
            <w:tcW w:w="320" w:type="dxa"/>
            <w:tcBorders>
              <w:top w:val="nil"/>
              <w:left w:val="nil"/>
              <w:bottom w:val="nil"/>
              <w:right w:val="nil"/>
            </w:tcBorders>
            <w:tcMar>
              <w:top w:w="9" w:type="dxa"/>
              <w:left w:w="9" w:type="dxa"/>
              <w:bottom w:w="0" w:type="dxa"/>
              <w:right w:w="9" w:type="dxa"/>
            </w:tcMar>
            <w:vAlign w:val="bottom"/>
          </w:tcPr>
          <w:p w:rsidR="00DC207C" w:rsidRPr="00376AE6" w:rsidRDefault="00DC207C" w:rsidP="00376AE6">
            <w:pPr>
              <w:jc w:val="center"/>
              <w:textAlignment w:val="bottom"/>
              <w:rPr>
                <w:sz w:val="20"/>
                <w:szCs w:val="20"/>
              </w:rPr>
            </w:pPr>
            <w:r w:rsidRPr="00376AE6">
              <w:rPr>
                <w:color w:val="000000"/>
                <w:kern w:val="24"/>
                <w:sz w:val="20"/>
                <w:szCs w:val="20"/>
              </w:rPr>
              <w:t xml:space="preserve">± </w:t>
            </w:r>
          </w:p>
        </w:tc>
        <w:tc>
          <w:tcPr>
            <w:tcW w:w="600" w:type="dxa"/>
            <w:tcBorders>
              <w:top w:val="nil"/>
              <w:left w:val="nil"/>
              <w:bottom w:val="nil"/>
              <w:right w:val="nil"/>
            </w:tcBorders>
            <w:tcMar>
              <w:top w:w="15" w:type="dxa"/>
              <w:left w:w="15" w:type="dxa"/>
              <w:bottom w:w="0" w:type="dxa"/>
              <w:right w:w="15" w:type="dxa"/>
            </w:tcMar>
            <w:vAlign w:val="bottom"/>
          </w:tcPr>
          <w:p w:rsidR="00DC207C" w:rsidRPr="00376AE6" w:rsidRDefault="00DC207C" w:rsidP="00376AE6">
            <w:pPr>
              <w:textAlignment w:val="bottom"/>
              <w:rPr>
                <w:sz w:val="20"/>
                <w:szCs w:val="20"/>
              </w:rPr>
            </w:pPr>
            <w:r w:rsidRPr="00376AE6">
              <w:rPr>
                <w:color w:val="000000"/>
                <w:kern w:val="24"/>
                <w:sz w:val="20"/>
                <w:szCs w:val="20"/>
              </w:rPr>
              <w:t xml:space="preserve">0.3 </w:t>
            </w:r>
          </w:p>
        </w:tc>
        <w:tc>
          <w:tcPr>
            <w:tcW w:w="400" w:type="dxa"/>
            <w:tcBorders>
              <w:top w:val="nil"/>
              <w:left w:val="nil"/>
              <w:bottom w:val="nil"/>
              <w:right w:val="nil"/>
            </w:tcBorders>
            <w:tcMar>
              <w:top w:w="9" w:type="dxa"/>
              <w:left w:w="9" w:type="dxa"/>
              <w:bottom w:w="0" w:type="dxa"/>
              <w:right w:w="9" w:type="dxa"/>
            </w:tcMar>
            <w:vAlign w:val="bottom"/>
          </w:tcPr>
          <w:p w:rsidR="00DC207C" w:rsidRPr="00376AE6" w:rsidRDefault="00DC207C" w:rsidP="00376AE6">
            <w:pPr>
              <w:jc w:val="right"/>
              <w:textAlignment w:val="bottom"/>
              <w:rPr>
                <w:sz w:val="20"/>
                <w:szCs w:val="20"/>
              </w:rPr>
            </w:pPr>
            <w:r w:rsidRPr="00376AE6">
              <w:rPr>
                <w:color w:val="000000"/>
                <w:kern w:val="24"/>
                <w:sz w:val="20"/>
                <w:szCs w:val="20"/>
              </w:rPr>
              <w:t>3.0</w:t>
            </w:r>
          </w:p>
        </w:tc>
        <w:tc>
          <w:tcPr>
            <w:tcW w:w="320" w:type="dxa"/>
            <w:tcBorders>
              <w:top w:val="nil"/>
              <w:left w:val="nil"/>
              <w:bottom w:val="nil"/>
              <w:right w:val="nil"/>
            </w:tcBorders>
            <w:tcMar>
              <w:top w:w="9" w:type="dxa"/>
              <w:left w:w="9" w:type="dxa"/>
              <w:bottom w:w="0" w:type="dxa"/>
              <w:right w:w="9" w:type="dxa"/>
            </w:tcMar>
            <w:vAlign w:val="bottom"/>
          </w:tcPr>
          <w:p w:rsidR="00DC207C" w:rsidRPr="00376AE6" w:rsidRDefault="00DC207C" w:rsidP="00376AE6">
            <w:pPr>
              <w:jc w:val="center"/>
              <w:textAlignment w:val="bottom"/>
              <w:rPr>
                <w:sz w:val="20"/>
                <w:szCs w:val="20"/>
              </w:rPr>
            </w:pPr>
            <w:r w:rsidRPr="00376AE6">
              <w:rPr>
                <w:color w:val="000000"/>
                <w:kern w:val="24"/>
                <w:sz w:val="20"/>
                <w:szCs w:val="20"/>
              </w:rPr>
              <w:t xml:space="preserve">± </w:t>
            </w:r>
          </w:p>
        </w:tc>
        <w:tc>
          <w:tcPr>
            <w:tcW w:w="600" w:type="dxa"/>
            <w:tcBorders>
              <w:top w:val="nil"/>
              <w:left w:val="nil"/>
              <w:bottom w:val="nil"/>
              <w:right w:val="single" w:sz="4" w:space="0" w:color="auto"/>
            </w:tcBorders>
            <w:tcMar>
              <w:top w:w="15" w:type="dxa"/>
              <w:left w:w="15" w:type="dxa"/>
              <w:bottom w:w="0" w:type="dxa"/>
              <w:right w:w="15" w:type="dxa"/>
            </w:tcMar>
            <w:vAlign w:val="bottom"/>
          </w:tcPr>
          <w:p w:rsidR="00DC207C" w:rsidRPr="00376AE6" w:rsidRDefault="00DC207C" w:rsidP="00376AE6">
            <w:pPr>
              <w:textAlignment w:val="bottom"/>
              <w:rPr>
                <w:sz w:val="20"/>
                <w:szCs w:val="20"/>
              </w:rPr>
            </w:pPr>
            <w:r w:rsidRPr="00376AE6">
              <w:rPr>
                <w:color w:val="000000"/>
                <w:kern w:val="24"/>
                <w:sz w:val="20"/>
                <w:szCs w:val="20"/>
              </w:rPr>
              <w:t>0.1</w:t>
            </w:r>
          </w:p>
        </w:tc>
        <w:tc>
          <w:tcPr>
            <w:tcW w:w="520" w:type="dxa"/>
            <w:tcBorders>
              <w:top w:val="nil"/>
              <w:left w:val="single" w:sz="4" w:space="0" w:color="auto"/>
              <w:bottom w:val="nil"/>
              <w:right w:val="nil"/>
            </w:tcBorders>
            <w:tcMar>
              <w:top w:w="9" w:type="dxa"/>
              <w:left w:w="9" w:type="dxa"/>
              <w:bottom w:w="0" w:type="dxa"/>
              <w:right w:w="9" w:type="dxa"/>
            </w:tcMar>
            <w:vAlign w:val="bottom"/>
          </w:tcPr>
          <w:p w:rsidR="00DC207C" w:rsidRPr="00376AE6" w:rsidRDefault="00DC207C" w:rsidP="00376AE6">
            <w:pPr>
              <w:jc w:val="right"/>
              <w:textAlignment w:val="bottom"/>
              <w:rPr>
                <w:sz w:val="20"/>
                <w:szCs w:val="20"/>
              </w:rPr>
            </w:pPr>
            <w:r w:rsidRPr="00376AE6">
              <w:rPr>
                <w:color w:val="000000"/>
                <w:kern w:val="24"/>
                <w:sz w:val="20"/>
                <w:szCs w:val="20"/>
              </w:rPr>
              <w:t>2.8</w:t>
            </w:r>
          </w:p>
        </w:tc>
        <w:tc>
          <w:tcPr>
            <w:tcW w:w="320" w:type="dxa"/>
            <w:tcBorders>
              <w:top w:val="nil"/>
              <w:left w:val="nil"/>
              <w:bottom w:val="nil"/>
              <w:right w:val="nil"/>
            </w:tcBorders>
            <w:tcMar>
              <w:top w:w="9" w:type="dxa"/>
              <w:left w:w="9" w:type="dxa"/>
              <w:bottom w:w="0" w:type="dxa"/>
              <w:right w:w="9" w:type="dxa"/>
            </w:tcMar>
            <w:vAlign w:val="bottom"/>
          </w:tcPr>
          <w:p w:rsidR="00DC207C" w:rsidRPr="00376AE6" w:rsidRDefault="00DC207C" w:rsidP="00376AE6">
            <w:pPr>
              <w:jc w:val="center"/>
              <w:textAlignment w:val="bottom"/>
              <w:rPr>
                <w:sz w:val="20"/>
                <w:szCs w:val="20"/>
              </w:rPr>
            </w:pPr>
            <w:r w:rsidRPr="00376AE6">
              <w:rPr>
                <w:color w:val="000000"/>
                <w:kern w:val="24"/>
                <w:sz w:val="20"/>
                <w:szCs w:val="20"/>
              </w:rPr>
              <w:t xml:space="preserve">± </w:t>
            </w:r>
          </w:p>
        </w:tc>
        <w:tc>
          <w:tcPr>
            <w:tcW w:w="480" w:type="dxa"/>
            <w:tcBorders>
              <w:top w:val="nil"/>
              <w:left w:val="nil"/>
              <w:bottom w:val="nil"/>
              <w:right w:val="nil"/>
            </w:tcBorders>
            <w:tcMar>
              <w:top w:w="15" w:type="dxa"/>
              <w:left w:w="15" w:type="dxa"/>
              <w:bottom w:w="0" w:type="dxa"/>
              <w:right w:w="15" w:type="dxa"/>
            </w:tcMar>
            <w:vAlign w:val="bottom"/>
          </w:tcPr>
          <w:p w:rsidR="00DC207C" w:rsidRPr="00376AE6" w:rsidRDefault="00DC207C" w:rsidP="00376AE6">
            <w:pPr>
              <w:textAlignment w:val="bottom"/>
              <w:rPr>
                <w:sz w:val="20"/>
                <w:szCs w:val="20"/>
              </w:rPr>
            </w:pPr>
            <w:r w:rsidRPr="00376AE6">
              <w:rPr>
                <w:color w:val="000000"/>
                <w:kern w:val="24"/>
                <w:sz w:val="20"/>
                <w:szCs w:val="20"/>
              </w:rPr>
              <w:t>0.3</w:t>
            </w:r>
          </w:p>
        </w:tc>
        <w:tc>
          <w:tcPr>
            <w:tcW w:w="480" w:type="dxa"/>
            <w:tcBorders>
              <w:top w:val="nil"/>
              <w:left w:val="nil"/>
              <w:bottom w:val="nil"/>
              <w:right w:val="nil"/>
            </w:tcBorders>
            <w:tcMar>
              <w:top w:w="9" w:type="dxa"/>
              <w:left w:w="9" w:type="dxa"/>
              <w:bottom w:w="0" w:type="dxa"/>
              <w:right w:w="9" w:type="dxa"/>
            </w:tcMar>
            <w:vAlign w:val="bottom"/>
          </w:tcPr>
          <w:p w:rsidR="00DC207C" w:rsidRPr="00376AE6" w:rsidRDefault="00DC207C" w:rsidP="00376AE6">
            <w:pPr>
              <w:jc w:val="right"/>
              <w:textAlignment w:val="bottom"/>
              <w:rPr>
                <w:sz w:val="20"/>
                <w:szCs w:val="20"/>
              </w:rPr>
            </w:pPr>
            <w:r w:rsidRPr="00376AE6">
              <w:rPr>
                <w:color w:val="000000"/>
                <w:kern w:val="24"/>
                <w:sz w:val="20"/>
                <w:szCs w:val="20"/>
              </w:rPr>
              <w:t>3.0</w:t>
            </w:r>
          </w:p>
        </w:tc>
        <w:tc>
          <w:tcPr>
            <w:tcW w:w="360" w:type="dxa"/>
            <w:tcBorders>
              <w:top w:val="nil"/>
              <w:left w:val="nil"/>
              <w:bottom w:val="nil"/>
              <w:right w:val="nil"/>
            </w:tcBorders>
            <w:tcMar>
              <w:top w:w="9" w:type="dxa"/>
              <w:left w:w="9" w:type="dxa"/>
              <w:bottom w:w="0" w:type="dxa"/>
              <w:right w:w="9" w:type="dxa"/>
            </w:tcMar>
            <w:vAlign w:val="bottom"/>
          </w:tcPr>
          <w:p w:rsidR="00DC207C" w:rsidRPr="00376AE6" w:rsidRDefault="00DC207C" w:rsidP="00376AE6">
            <w:pPr>
              <w:jc w:val="center"/>
              <w:textAlignment w:val="bottom"/>
              <w:rPr>
                <w:sz w:val="20"/>
                <w:szCs w:val="20"/>
              </w:rPr>
            </w:pPr>
            <w:r w:rsidRPr="00376AE6">
              <w:rPr>
                <w:color w:val="000000"/>
                <w:kern w:val="24"/>
                <w:sz w:val="20"/>
                <w:szCs w:val="20"/>
              </w:rPr>
              <w:t xml:space="preserve">± </w:t>
            </w:r>
          </w:p>
        </w:tc>
        <w:tc>
          <w:tcPr>
            <w:tcW w:w="480" w:type="dxa"/>
            <w:tcBorders>
              <w:top w:val="nil"/>
              <w:left w:val="nil"/>
              <w:bottom w:val="nil"/>
              <w:right w:val="nil"/>
            </w:tcBorders>
            <w:tcMar>
              <w:top w:w="15" w:type="dxa"/>
              <w:left w:w="15" w:type="dxa"/>
              <w:bottom w:w="0" w:type="dxa"/>
              <w:right w:w="15" w:type="dxa"/>
            </w:tcMar>
            <w:vAlign w:val="bottom"/>
          </w:tcPr>
          <w:p w:rsidR="00DC207C" w:rsidRPr="00376AE6" w:rsidRDefault="00DC207C" w:rsidP="00376AE6">
            <w:pPr>
              <w:textAlignment w:val="bottom"/>
              <w:rPr>
                <w:sz w:val="20"/>
                <w:szCs w:val="20"/>
              </w:rPr>
            </w:pPr>
            <w:r w:rsidRPr="00376AE6">
              <w:rPr>
                <w:color w:val="000000"/>
                <w:kern w:val="24"/>
                <w:sz w:val="20"/>
                <w:szCs w:val="20"/>
              </w:rPr>
              <w:t>0.2</w:t>
            </w:r>
          </w:p>
        </w:tc>
      </w:tr>
      <w:tr w:rsidR="00DC207C" w:rsidRPr="00376AE6" w:rsidTr="00376AE6">
        <w:trPr>
          <w:trHeight w:val="20"/>
        </w:trPr>
        <w:tc>
          <w:tcPr>
            <w:tcW w:w="2970" w:type="dxa"/>
            <w:tcBorders>
              <w:top w:val="nil"/>
              <w:left w:val="nil"/>
              <w:right w:val="nil"/>
            </w:tcBorders>
            <w:tcMar>
              <w:top w:w="72" w:type="dxa"/>
              <w:left w:w="144" w:type="dxa"/>
              <w:bottom w:w="72" w:type="dxa"/>
              <w:right w:w="144" w:type="dxa"/>
            </w:tcMar>
          </w:tcPr>
          <w:p w:rsidR="00DC207C" w:rsidRPr="00376AE6" w:rsidRDefault="00DC207C" w:rsidP="00376AE6">
            <w:pPr>
              <w:rPr>
                <w:sz w:val="20"/>
                <w:szCs w:val="20"/>
              </w:rPr>
            </w:pPr>
            <w:r w:rsidRPr="00376AE6">
              <w:rPr>
                <w:bCs/>
                <w:color w:val="000000"/>
                <w:kern w:val="24"/>
                <w:sz w:val="20"/>
                <w:szCs w:val="20"/>
              </w:rPr>
              <w:t xml:space="preserve">                 Mannan </w:t>
            </w:r>
          </w:p>
        </w:tc>
        <w:tc>
          <w:tcPr>
            <w:tcW w:w="400" w:type="dxa"/>
            <w:tcBorders>
              <w:top w:val="nil"/>
              <w:left w:val="nil"/>
              <w:right w:val="nil"/>
            </w:tcBorders>
            <w:tcMar>
              <w:top w:w="9" w:type="dxa"/>
              <w:left w:w="9" w:type="dxa"/>
              <w:bottom w:w="0" w:type="dxa"/>
              <w:right w:w="9" w:type="dxa"/>
            </w:tcMar>
            <w:vAlign w:val="bottom"/>
          </w:tcPr>
          <w:p w:rsidR="00DC207C" w:rsidRPr="00376AE6" w:rsidRDefault="00DC207C" w:rsidP="00376AE6">
            <w:pPr>
              <w:jc w:val="right"/>
              <w:textAlignment w:val="bottom"/>
              <w:rPr>
                <w:sz w:val="20"/>
                <w:szCs w:val="20"/>
              </w:rPr>
            </w:pPr>
            <w:r w:rsidRPr="00376AE6">
              <w:rPr>
                <w:color w:val="000000"/>
                <w:kern w:val="24"/>
                <w:sz w:val="20"/>
                <w:szCs w:val="20"/>
              </w:rPr>
              <w:t xml:space="preserve">0.3 </w:t>
            </w:r>
          </w:p>
        </w:tc>
        <w:tc>
          <w:tcPr>
            <w:tcW w:w="320" w:type="dxa"/>
            <w:tcBorders>
              <w:top w:val="nil"/>
              <w:left w:val="nil"/>
              <w:right w:val="nil"/>
            </w:tcBorders>
            <w:tcMar>
              <w:top w:w="9" w:type="dxa"/>
              <w:left w:w="9" w:type="dxa"/>
              <w:bottom w:w="0" w:type="dxa"/>
              <w:right w:w="9" w:type="dxa"/>
            </w:tcMar>
            <w:vAlign w:val="bottom"/>
          </w:tcPr>
          <w:p w:rsidR="00DC207C" w:rsidRPr="00376AE6" w:rsidRDefault="00DC207C" w:rsidP="00376AE6">
            <w:pPr>
              <w:jc w:val="center"/>
              <w:textAlignment w:val="bottom"/>
              <w:rPr>
                <w:sz w:val="20"/>
                <w:szCs w:val="20"/>
              </w:rPr>
            </w:pPr>
            <w:r w:rsidRPr="00376AE6">
              <w:rPr>
                <w:color w:val="000000"/>
                <w:kern w:val="24"/>
                <w:sz w:val="20"/>
                <w:szCs w:val="20"/>
              </w:rPr>
              <w:t xml:space="preserve">± </w:t>
            </w:r>
          </w:p>
        </w:tc>
        <w:tc>
          <w:tcPr>
            <w:tcW w:w="600" w:type="dxa"/>
            <w:tcBorders>
              <w:top w:val="nil"/>
              <w:left w:val="nil"/>
              <w:right w:val="nil"/>
            </w:tcBorders>
            <w:tcMar>
              <w:top w:w="15" w:type="dxa"/>
              <w:left w:w="15" w:type="dxa"/>
              <w:bottom w:w="0" w:type="dxa"/>
              <w:right w:w="15" w:type="dxa"/>
            </w:tcMar>
            <w:vAlign w:val="bottom"/>
          </w:tcPr>
          <w:p w:rsidR="00DC207C" w:rsidRPr="00376AE6" w:rsidRDefault="00DC207C" w:rsidP="00376AE6">
            <w:pPr>
              <w:textAlignment w:val="bottom"/>
              <w:rPr>
                <w:sz w:val="20"/>
                <w:szCs w:val="20"/>
              </w:rPr>
            </w:pPr>
            <w:r w:rsidRPr="00376AE6">
              <w:rPr>
                <w:color w:val="000000"/>
                <w:kern w:val="24"/>
                <w:sz w:val="20"/>
                <w:szCs w:val="20"/>
              </w:rPr>
              <w:t>0.0</w:t>
            </w:r>
          </w:p>
        </w:tc>
        <w:tc>
          <w:tcPr>
            <w:tcW w:w="400" w:type="dxa"/>
            <w:tcBorders>
              <w:top w:val="nil"/>
              <w:left w:val="nil"/>
              <w:right w:val="nil"/>
            </w:tcBorders>
            <w:tcMar>
              <w:top w:w="9" w:type="dxa"/>
              <w:left w:w="9" w:type="dxa"/>
              <w:bottom w:w="0" w:type="dxa"/>
              <w:right w:w="9" w:type="dxa"/>
            </w:tcMar>
            <w:vAlign w:val="bottom"/>
          </w:tcPr>
          <w:p w:rsidR="00DC207C" w:rsidRPr="00376AE6" w:rsidRDefault="00DC207C" w:rsidP="00376AE6">
            <w:pPr>
              <w:jc w:val="right"/>
              <w:textAlignment w:val="bottom"/>
              <w:rPr>
                <w:sz w:val="20"/>
                <w:szCs w:val="20"/>
              </w:rPr>
            </w:pPr>
            <w:r w:rsidRPr="00376AE6">
              <w:rPr>
                <w:color w:val="000000"/>
                <w:kern w:val="24"/>
                <w:sz w:val="20"/>
                <w:szCs w:val="20"/>
              </w:rPr>
              <w:t>0.4</w:t>
            </w:r>
          </w:p>
        </w:tc>
        <w:tc>
          <w:tcPr>
            <w:tcW w:w="320" w:type="dxa"/>
            <w:tcBorders>
              <w:top w:val="nil"/>
              <w:left w:val="nil"/>
              <w:right w:val="nil"/>
            </w:tcBorders>
            <w:tcMar>
              <w:top w:w="9" w:type="dxa"/>
              <w:left w:w="9" w:type="dxa"/>
              <w:bottom w:w="0" w:type="dxa"/>
              <w:right w:w="9" w:type="dxa"/>
            </w:tcMar>
            <w:vAlign w:val="bottom"/>
          </w:tcPr>
          <w:p w:rsidR="00DC207C" w:rsidRPr="00376AE6" w:rsidRDefault="00DC207C" w:rsidP="00376AE6">
            <w:pPr>
              <w:jc w:val="center"/>
              <w:textAlignment w:val="bottom"/>
              <w:rPr>
                <w:sz w:val="20"/>
                <w:szCs w:val="20"/>
              </w:rPr>
            </w:pPr>
            <w:r w:rsidRPr="00376AE6">
              <w:rPr>
                <w:color w:val="000000"/>
                <w:kern w:val="24"/>
                <w:sz w:val="20"/>
                <w:szCs w:val="20"/>
              </w:rPr>
              <w:t xml:space="preserve">± </w:t>
            </w:r>
          </w:p>
        </w:tc>
        <w:tc>
          <w:tcPr>
            <w:tcW w:w="600" w:type="dxa"/>
            <w:tcBorders>
              <w:top w:val="nil"/>
              <w:left w:val="nil"/>
              <w:right w:val="single" w:sz="4" w:space="0" w:color="auto"/>
            </w:tcBorders>
            <w:tcMar>
              <w:top w:w="15" w:type="dxa"/>
              <w:left w:w="15" w:type="dxa"/>
              <w:bottom w:w="0" w:type="dxa"/>
              <w:right w:w="15" w:type="dxa"/>
            </w:tcMar>
            <w:vAlign w:val="bottom"/>
          </w:tcPr>
          <w:p w:rsidR="00DC207C" w:rsidRPr="00376AE6" w:rsidRDefault="00DC207C" w:rsidP="00376AE6">
            <w:pPr>
              <w:textAlignment w:val="bottom"/>
              <w:rPr>
                <w:sz w:val="20"/>
                <w:szCs w:val="20"/>
              </w:rPr>
            </w:pPr>
            <w:r w:rsidRPr="00376AE6">
              <w:rPr>
                <w:color w:val="000000"/>
                <w:kern w:val="24"/>
                <w:sz w:val="20"/>
                <w:szCs w:val="20"/>
              </w:rPr>
              <w:t>0.0</w:t>
            </w:r>
          </w:p>
        </w:tc>
        <w:tc>
          <w:tcPr>
            <w:tcW w:w="520" w:type="dxa"/>
            <w:tcBorders>
              <w:top w:val="nil"/>
              <w:left w:val="single" w:sz="4" w:space="0" w:color="auto"/>
              <w:right w:val="nil"/>
            </w:tcBorders>
            <w:tcMar>
              <w:top w:w="9" w:type="dxa"/>
              <w:left w:w="9" w:type="dxa"/>
              <w:bottom w:w="0" w:type="dxa"/>
              <w:right w:w="9" w:type="dxa"/>
            </w:tcMar>
            <w:vAlign w:val="bottom"/>
          </w:tcPr>
          <w:p w:rsidR="00DC207C" w:rsidRPr="00376AE6" w:rsidRDefault="00DC207C" w:rsidP="00376AE6">
            <w:pPr>
              <w:jc w:val="right"/>
              <w:textAlignment w:val="bottom"/>
              <w:rPr>
                <w:sz w:val="20"/>
                <w:szCs w:val="20"/>
              </w:rPr>
            </w:pPr>
            <w:r w:rsidRPr="00376AE6">
              <w:rPr>
                <w:color w:val="000000"/>
                <w:kern w:val="24"/>
                <w:sz w:val="20"/>
                <w:szCs w:val="20"/>
              </w:rPr>
              <w:t>0.4</w:t>
            </w:r>
          </w:p>
        </w:tc>
        <w:tc>
          <w:tcPr>
            <w:tcW w:w="320" w:type="dxa"/>
            <w:tcBorders>
              <w:top w:val="nil"/>
              <w:left w:val="nil"/>
              <w:right w:val="nil"/>
            </w:tcBorders>
            <w:tcMar>
              <w:top w:w="9" w:type="dxa"/>
              <w:left w:w="9" w:type="dxa"/>
              <w:bottom w:w="0" w:type="dxa"/>
              <w:right w:w="9" w:type="dxa"/>
            </w:tcMar>
            <w:vAlign w:val="bottom"/>
          </w:tcPr>
          <w:p w:rsidR="00DC207C" w:rsidRPr="00376AE6" w:rsidRDefault="00DC207C" w:rsidP="00376AE6">
            <w:pPr>
              <w:jc w:val="center"/>
              <w:textAlignment w:val="bottom"/>
              <w:rPr>
                <w:sz w:val="20"/>
                <w:szCs w:val="20"/>
              </w:rPr>
            </w:pPr>
            <w:r w:rsidRPr="00376AE6">
              <w:rPr>
                <w:color w:val="000000"/>
                <w:kern w:val="24"/>
                <w:sz w:val="20"/>
                <w:szCs w:val="20"/>
              </w:rPr>
              <w:t xml:space="preserve">± </w:t>
            </w:r>
          </w:p>
        </w:tc>
        <w:tc>
          <w:tcPr>
            <w:tcW w:w="480" w:type="dxa"/>
            <w:tcBorders>
              <w:top w:val="nil"/>
              <w:left w:val="nil"/>
              <w:right w:val="nil"/>
            </w:tcBorders>
            <w:tcMar>
              <w:top w:w="15" w:type="dxa"/>
              <w:left w:w="15" w:type="dxa"/>
              <w:bottom w:w="0" w:type="dxa"/>
              <w:right w:w="15" w:type="dxa"/>
            </w:tcMar>
            <w:vAlign w:val="bottom"/>
          </w:tcPr>
          <w:p w:rsidR="00DC207C" w:rsidRPr="00376AE6" w:rsidRDefault="00DC207C" w:rsidP="00376AE6">
            <w:pPr>
              <w:textAlignment w:val="bottom"/>
              <w:rPr>
                <w:sz w:val="20"/>
                <w:szCs w:val="20"/>
              </w:rPr>
            </w:pPr>
            <w:r w:rsidRPr="00376AE6">
              <w:rPr>
                <w:color w:val="000000"/>
                <w:kern w:val="24"/>
                <w:sz w:val="20"/>
                <w:szCs w:val="20"/>
              </w:rPr>
              <w:t>0.0</w:t>
            </w:r>
          </w:p>
        </w:tc>
        <w:tc>
          <w:tcPr>
            <w:tcW w:w="480" w:type="dxa"/>
            <w:tcBorders>
              <w:top w:val="nil"/>
              <w:left w:val="nil"/>
              <w:right w:val="nil"/>
            </w:tcBorders>
            <w:tcMar>
              <w:top w:w="9" w:type="dxa"/>
              <w:left w:w="9" w:type="dxa"/>
              <w:bottom w:w="0" w:type="dxa"/>
              <w:right w:w="9" w:type="dxa"/>
            </w:tcMar>
            <w:vAlign w:val="bottom"/>
          </w:tcPr>
          <w:p w:rsidR="00DC207C" w:rsidRPr="00376AE6" w:rsidRDefault="00DC207C" w:rsidP="00376AE6">
            <w:pPr>
              <w:jc w:val="right"/>
              <w:textAlignment w:val="bottom"/>
              <w:rPr>
                <w:sz w:val="20"/>
                <w:szCs w:val="20"/>
              </w:rPr>
            </w:pPr>
            <w:r w:rsidRPr="00376AE6">
              <w:rPr>
                <w:color w:val="000000"/>
                <w:kern w:val="24"/>
                <w:sz w:val="20"/>
                <w:szCs w:val="20"/>
              </w:rPr>
              <w:t>0.3</w:t>
            </w:r>
          </w:p>
        </w:tc>
        <w:tc>
          <w:tcPr>
            <w:tcW w:w="360" w:type="dxa"/>
            <w:tcBorders>
              <w:top w:val="nil"/>
              <w:left w:val="nil"/>
              <w:right w:val="nil"/>
            </w:tcBorders>
            <w:tcMar>
              <w:top w:w="9" w:type="dxa"/>
              <w:left w:w="9" w:type="dxa"/>
              <w:bottom w:w="0" w:type="dxa"/>
              <w:right w:w="9" w:type="dxa"/>
            </w:tcMar>
            <w:vAlign w:val="bottom"/>
          </w:tcPr>
          <w:p w:rsidR="00DC207C" w:rsidRPr="00376AE6" w:rsidRDefault="00DC207C" w:rsidP="00376AE6">
            <w:pPr>
              <w:jc w:val="center"/>
              <w:textAlignment w:val="bottom"/>
              <w:rPr>
                <w:sz w:val="20"/>
                <w:szCs w:val="20"/>
              </w:rPr>
            </w:pPr>
            <w:r w:rsidRPr="00376AE6">
              <w:rPr>
                <w:color w:val="000000"/>
                <w:kern w:val="24"/>
                <w:sz w:val="20"/>
                <w:szCs w:val="20"/>
              </w:rPr>
              <w:t xml:space="preserve">± </w:t>
            </w:r>
          </w:p>
        </w:tc>
        <w:tc>
          <w:tcPr>
            <w:tcW w:w="480" w:type="dxa"/>
            <w:tcBorders>
              <w:top w:val="nil"/>
              <w:left w:val="nil"/>
              <w:right w:val="nil"/>
            </w:tcBorders>
            <w:tcMar>
              <w:top w:w="15" w:type="dxa"/>
              <w:left w:w="15" w:type="dxa"/>
              <w:bottom w:w="0" w:type="dxa"/>
              <w:right w:w="15" w:type="dxa"/>
            </w:tcMar>
            <w:vAlign w:val="bottom"/>
          </w:tcPr>
          <w:p w:rsidR="00DC207C" w:rsidRPr="00376AE6" w:rsidRDefault="00DC207C" w:rsidP="00376AE6">
            <w:pPr>
              <w:textAlignment w:val="bottom"/>
              <w:rPr>
                <w:sz w:val="20"/>
                <w:szCs w:val="20"/>
              </w:rPr>
            </w:pPr>
            <w:r w:rsidRPr="00376AE6">
              <w:rPr>
                <w:color w:val="000000"/>
                <w:kern w:val="24"/>
                <w:sz w:val="20"/>
                <w:szCs w:val="20"/>
              </w:rPr>
              <w:t xml:space="preserve">0.0 </w:t>
            </w:r>
          </w:p>
        </w:tc>
      </w:tr>
      <w:tr w:rsidR="00DC207C" w:rsidRPr="00376AE6" w:rsidTr="00376AE6">
        <w:trPr>
          <w:trHeight w:val="20"/>
        </w:trPr>
        <w:tc>
          <w:tcPr>
            <w:tcW w:w="2970" w:type="dxa"/>
            <w:tcBorders>
              <w:top w:val="nil"/>
              <w:left w:val="nil"/>
            </w:tcBorders>
            <w:tcMar>
              <w:top w:w="72" w:type="dxa"/>
              <w:left w:w="144" w:type="dxa"/>
              <w:bottom w:w="72" w:type="dxa"/>
              <w:right w:w="144" w:type="dxa"/>
            </w:tcMar>
          </w:tcPr>
          <w:p w:rsidR="00DC207C" w:rsidRPr="00376AE6" w:rsidRDefault="00DC207C" w:rsidP="008D176A">
            <w:pPr>
              <w:rPr>
                <w:bCs/>
                <w:color w:val="000000"/>
                <w:kern w:val="24"/>
                <w:sz w:val="20"/>
                <w:szCs w:val="20"/>
              </w:rPr>
            </w:pPr>
          </w:p>
        </w:tc>
        <w:tc>
          <w:tcPr>
            <w:tcW w:w="400" w:type="dxa"/>
            <w:tcBorders>
              <w:top w:val="nil"/>
            </w:tcBorders>
            <w:tcMar>
              <w:top w:w="9" w:type="dxa"/>
              <w:left w:w="9" w:type="dxa"/>
              <w:bottom w:w="0" w:type="dxa"/>
              <w:right w:w="9" w:type="dxa"/>
            </w:tcMar>
            <w:vAlign w:val="bottom"/>
          </w:tcPr>
          <w:p w:rsidR="00DC207C" w:rsidRPr="00376AE6" w:rsidRDefault="00DC207C" w:rsidP="008D176A">
            <w:pPr>
              <w:jc w:val="right"/>
              <w:textAlignment w:val="bottom"/>
              <w:rPr>
                <w:color w:val="000000"/>
                <w:kern w:val="24"/>
                <w:sz w:val="20"/>
                <w:szCs w:val="20"/>
              </w:rPr>
            </w:pPr>
          </w:p>
        </w:tc>
        <w:tc>
          <w:tcPr>
            <w:tcW w:w="320" w:type="dxa"/>
            <w:tcBorders>
              <w:top w:val="nil"/>
            </w:tcBorders>
            <w:tcMar>
              <w:top w:w="9" w:type="dxa"/>
              <w:left w:w="9" w:type="dxa"/>
              <w:bottom w:w="0" w:type="dxa"/>
              <w:right w:w="9" w:type="dxa"/>
            </w:tcMar>
            <w:vAlign w:val="bottom"/>
          </w:tcPr>
          <w:p w:rsidR="00DC207C" w:rsidRPr="00376AE6" w:rsidRDefault="00DC207C" w:rsidP="008D176A">
            <w:pPr>
              <w:jc w:val="center"/>
              <w:textAlignment w:val="bottom"/>
              <w:rPr>
                <w:color w:val="000000"/>
                <w:kern w:val="24"/>
                <w:sz w:val="20"/>
                <w:szCs w:val="20"/>
              </w:rPr>
            </w:pPr>
          </w:p>
        </w:tc>
        <w:tc>
          <w:tcPr>
            <w:tcW w:w="600" w:type="dxa"/>
            <w:tcBorders>
              <w:top w:val="nil"/>
            </w:tcBorders>
            <w:tcMar>
              <w:top w:w="15" w:type="dxa"/>
              <w:left w:w="15" w:type="dxa"/>
              <w:bottom w:w="0" w:type="dxa"/>
              <w:right w:w="15" w:type="dxa"/>
            </w:tcMar>
            <w:vAlign w:val="bottom"/>
          </w:tcPr>
          <w:p w:rsidR="00DC207C" w:rsidRPr="00376AE6" w:rsidRDefault="00DC207C" w:rsidP="008D176A">
            <w:pPr>
              <w:textAlignment w:val="bottom"/>
              <w:rPr>
                <w:color w:val="000000"/>
                <w:kern w:val="24"/>
                <w:sz w:val="20"/>
                <w:szCs w:val="20"/>
              </w:rPr>
            </w:pPr>
          </w:p>
        </w:tc>
        <w:tc>
          <w:tcPr>
            <w:tcW w:w="400" w:type="dxa"/>
            <w:tcBorders>
              <w:top w:val="nil"/>
            </w:tcBorders>
            <w:tcMar>
              <w:top w:w="9" w:type="dxa"/>
              <w:left w:w="9" w:type="dxa"/>
              <w:bottom w:w="0" w:type="dxa"/>
              <w:right w:w="9" w:type="dxa"/>
            </w:tcMar>
            <w:vAlign w:val="bottom"/>
          </w:tcPr>
          <w:p w:rsidR="00DC207C" w:rsidRPr="00376AE6" w:rsidRDefault="00DC207C" w:rsidP="008D176A">
            <w:pPr>
              <w:jc w:val="right"/>
              <w:textAlignment w:val="bottom"/>
              <w:rPr>
                <w:color w:val="000000"/>
                <w:kern w:val="24"/>
                <w:sz w:val="20"/>
                <w:szCs w:val="20"/>
              </w:rPr>
            </w:pPr>
          </w:p>
        </w:tc>
        <w:tc>
          <w:tcPr>
            <w:tcW w:w="320" w:type="dxa"/>
            <w:tcBorders>
              <w:top w:val="nil"/>
            </w:tcBorders>
            <w:tcMar>
              <w:top w:w="9" w:type="dxa"/>
              <w:left w:w="9" w:type="dxa"/>
              <w:bottom w:w="0" w:type="dxa"/>
              <w:right w:w="9" w:type="dxa"/>
            </w:tcMar>
            <w:vAlign w:val="bottom"/>
          </w:tcPr>
          <w:p w:rsidR="00DC207C" w:rsidRPr="00376AE6" w:rsidRDefault="00DC207C" w:rsidP="008D176A">
            <w:pPr>
              <w:jc w:val="center"/>
              <w:textAlignment w:val="bottom"/>
              <w:rPr>
                <w:color w:val="000000"/>
                <w:kern w:val="24"/>
                <w:sz w:val="20"/>
                <w:szCs w:val="20"/>
              </w:rPr>
            </w:pPr>
          </w:p>
        </w:tc>
        <w:tc>
          <w:tcPr>
            <w:tcW w:w="600" w:type="dxa"/>
            <w:tcBorders>
              <w:top w:val="nil"/>
              <w:right w:val="single" w:sz="4" w:space="0" w:color="auto"/>
            </w:tcBorders>
            <w:tcMar>
              <w:top w:w="15" w:type="dxa"/>
              <w:left w:w="15" w:type="dxa"/>
              <w:bottom w:w="0" w:type="dxa"/>
              <w:right w:w="15" w:type="dxa"/>
            </w:tcMar>
            <w:vAlign w:val="bottom"/>
          </w:tcPr>
          <w:p w:rsidR="00DC207C" w:rsidRPr="00376AE6" w:rsidRDefault="00DC207C" w:rsidP="008D176A">
            <w:pPr>
              <w:textAlignment w:val="bottom"/>
              <w:rPr>
                <w:color w:val="000000"/>
                <w:kern w:val="24"/>
                <w:sz w:val="20"/>
                <w:szCs w:val="20"/>
              </w:rPr>
            </w:pPr>
          </w:p>
        </w:tc>
        <w:tc>
          <w:tcPr>
            <w:tcW w:w="520" w:type="dxa"/>
            <w:tcBorders>
              <w:top w:val="nil"/>
              <w:left w:val="single" w:sz="4" w:space="0" w:color="auto"/>
            </w:tcBorders>
            <w:tcMar>
              <w:top w:w="9" w:type="dxa"/>
              <w:left w:w="9" w:type="dxa"/>
              <w:bottom w:w="0" w:type="dxa"/>
              <w:right w:w="9" w:type="dxa"/>
            </w:tcMar>
            <w:vAlign w:val="bottom"/>
          </w:tcPr>
          <w:p w:rsidR="00DC207C" w:rsidRPr="00376AE6" w:rsidRDefault="00DC207C" w:rsidP="008D176A">
            <w:pPr>
              <w:jc w:val="right"/>
              <w:textAlignment w:val="bottom"/>
              <w:rPr>
                <w:color w:val="000000"/>
                <w:kern w:val="24"/>
                <w:sz w:val="20"/>
                <w:szCs w:val="20"/>
              </w:rPr>
            </w:pPr>
          </w:p>
        </w:tc>
        <w:tc>
          <w:tcPr>
            <w:tcW w:w="320" w:type="dxa"/>
            <w:tcBorders>
              <w:top w:val="nil"/>
            </w:tcBorders>
            <w:tcMar>
              <w:top w:w="9" w:type="dxa"/>
              <w:left w:w="9" w:type="dxa"/>
              <w:bottom w:w="0" w:type="dxa"/>
              <w:right w:w="9" w:type="dxa"/>
            </w:tcMar>
            <w:vAlign w:val="bottom"/>
          </w:tcPr>
          <w:p w:rsidR="00DC207C" w:rsidRPr="00376AE6" w:rsidRDefault="00DC207C" w:rsidP="008D176A">
            <w:pPr>
              <w:jc w:val="center"/>
              <w:textAlignment w:val="bottom"/>
              <w:rPr>
                <w:color w:val="000000"/>
                <w:kern w:val="24"/>
                <w:sz w:val="20"/>
                <w:szCs w:val="20"/>
              </w:rPr>
            </w:pPr>
          </w:p>
        </w:tc>
        <w:tc>
          <w:tcPr>
            <w:tcW w:w="480" w:type="dxa"/>
            <w:tcBorders>
              <w:top w:val="nil"/>
            </w:tcBorders>
            <w:tcMar>
              <w:top w:w="15" w:type="dxa"/>
              <w:left w:w="15" w:type="dxa"/>
              <w:bottom w:w="0" w:type="dxa"/>
              <w:right w:w="15" w:type="dxa"/>
            </w:tcMar>
            <w:vAlign w:val="bottom"/>
          </w:tcPr>
          <w:p w:rsidR="00DC207C" w:rsidRPr="00376AE6" w:rsidRDefault="00DC207C" w:rsidP="008D176A">
            <w:pPr>
              <w:textAlignment w:val="bottom"/>
              <w:rPr>
                <w:color w:val="000000"/>
                <w:kern w:val="24"/>
                <w:sz w:val="20"/>
                <w:szCs w:val="20"/>
              </w:rPr>
            </w:pPr>
          </w:p>
        </w:tc>
        <w:tc>
          <w:tcPr>
            <w:tcW w:w="480" w:type="dxa"/>
            <w:tcBorders>
              <w:top w:val="nil"/>
            </w:tcBorders>
            <w:tcMar>
              <w:top w:w="9" w:type="dxa"/>
              <w:left w:w="9" w:type="dxa"/>
              <w:bottom w:w="0" w:type="dxa"/>
              <w:right w:w="9" w:type="dxa"/>
            </w:tcMar>
            <w:vAlign w:val="bottom"/>
          </w:tcPr>
          <w:p w:rsidR="00DC207C" w:rsidRPr="00376AE6" w:rsidRDefault="00DC207C" w:rsidP="008D176A">
            <w:pPr>
              <w:jc w:val="right"/>
              <w:textAlignment w:val="bottom"/>
              <w:rPr>
                <w:color w:val="000000"/>
                <w:kern w:val="24"/>
                <w:sz w:val="20"/>
                <w:szCs w:val="20"/>
              </w:rPr>
            </w:pPr>
          </w:p>
        </w:tc>
        <w:tc>
          <w:tcPr>
            <w:tcW w:w="360" w:type="dxa"/>
            <w:tcBorders>
              <w:top w:val="nil"/>
            </w:tcBorders>
            <w:tcMar>
              <w:top w:w="9" w:type="dxa"/>
              <w:left w:w="9" w:type="dxa"/>
              <w:bottom w:w="0" w:type="dxa"/>
              <w:right w:w="9" w:type="dxa"/>
            </w:tcMar>
            <w:vAlign w:val="bottom"/>
          </w:tcPr>
          <w:p w:rsidR="00DC207C" w:rsidRPr="00376AE6" w:rsidRDefault="00DC207C" w:rsidP="008D176A">
            <w:pPr>
              <w:jc w:val="center"/>
              <w:textAlignment w:val="bottom"/>
              <w:rPr>
                <w:color w:val="000000"/>
                <w:kern w:val="24"/>
                <w:sz w:val="20"/>
                <w:szCs w:val="20"/>
              </w:rPr>
            </w:pPr>
          </w:p>
        </w:tc>
        <w:tc>
          <w:tcPr>
            <w:tcW w:w="480" w:type="dxa"/>
            <w:tcBorders>
              <w:top w:val="nil"/>
              <w:right w:val="nil"/>
            </w:tcBorders>
            <w:tcMar>
              <w:top w:w="15" w:type="dxa"/>
              <w:left w:w="15" w:type="dxa"/>
              <w:bottom w:w="0" w:type="dxa"/>
              <w:right w:w="15" w:type="dxa"/>
            </w:tcMar>
            <w:vAlign w:val="bottom"/>
          </w:tcPr>
          <w:p w:rsidR="00DC207C" w:rsidRPr="00376AE6" w:rsidRDefault="00DC207C" w:rsidP="008D176A">
            <w:pPr>
              <w:textAlignment w:val="bottom"/>
              <w:rPr>
                <w:color w:val="000000"/>
                <w:kern w:val="24"/>
                <w:sz w:val="20"/>
                <w:szCs w:val="20"/>
              </w:rPr>
            </w:pPr>
          </w:p>
        </w:tc>
      </w:tr>
      <w:tr w:rsidR="00DC207C" w:rsidRPr="00376AE6" w:rsidTr="00376AE6">
        <w:trPr>
          <w:trHeight w:val="20"/>
        </w:trPr>
        <w:tc>
          <w:tcPr>
            <w:tcW w:w="2970" w:type="dxa"/>
            <w:tcBorders>
              <w:left w:val="nil"/>
            </w:tcBorders>
            <w:tcMar>
              <w:top w:w="72" w:type="dxa"/>
              <w:left w:w="144" w:type="dxa"/>
              <w:bottom w:w="72" w:type="dxa"/>
              <w:right w:w="144" w:type="dxa"/>
            </w:tcMar>
          </w:tcPr>
          <w:p w:rsidR="00DC207C" w:rsidRPr="00376AE6" w:rsidRDefault="00DC207C" w:rsidP="008D176A">
            <w:pPr>
              <w:rPr>
                <w:sz w:val="20"/>
                <w:szCs w:val="20"/>
              </w:rPr>
            </w:pPr>
            <w:r w:rsidRPr="00376AE6">
              <w:rPr>
                <w:bCs/>
                <w:color w:val="000000"/>
                <w:kern w:val="24"/>
                <w:sz w:val="20"/>
                <w:szCs w:val="20"/>
              </w:rPr>
              <w:t xml:space="preserve">Year 2 (2012) </w:t>
            </w:r>
          </w:p>
        </w:tc>
        <w:tc>
          <w:tcPr>
            <w:tcW w:w="400" w:type="dxa"/>
            <w:tcMar>
              <w:top w:w="72" w:type="dxa"/>
              <w:left w:w="144" w:type="dxa"/>
              <w:bottom w:w="72" w:type="dxa"/>
              <w:right w:w="144" w:type="dxa"/>
            </w:tcMar>
          </w:tcPr>
          <w:p w:rsidR="00DC207C" w:rsidRPr="00376AE6" w:rsidRDefault="00DC207C" w:rsidP="008D176A">
            <w:pPr>
              <w:rPr>
                <w:sz w:val="20"/>
                <w:szCs w:val="20"/>
              </w:rPr>
            </w:pPr>
          </w:p>
        </w:tc>
        <w:tc>
          <w:tcPr>
            <w:tcW w:w="320" w:type="dxa"/>
            <w:tcMar>
              <w:top w:w="72" w:type="dxa"/>
              <w:left w:w="144" w:type="dxa"/>
              <w:bottom w:w="72" w:type="dxa"/>
              <w:right w:w="144" w:type="dxa"/>
            </w:tcMar>
          </w:tcPr>
          <w:p w:rsidR="00DC207C" w:rsidRPr="00376AE6" w:rsidRDefault="00DC207C" w:rsidP="008D176A">
            <w:pPr>
              <w:rPr>
                <w:sz w:val="20"/>
                <w:szCs w:val="20"/>
              </w:rPr>
            </w:pPr>
          </w:p>
        </w:tc>
        <w:tc>
          <w:tcPr>
            <w:tcW w:w="600" w:type="dxa"/>
            <w:tcMar>
              <w:top w:w="72" w:type="dxa"/>
              <w:left w:w="144" w:type="dxa"/>
              <w:bottom w:w="72" w:type="dxa"/>
              <w:right w:w="144" w:type="dxa"/>
            </w:tcMar>
          </w:tcPr>
          <w:p w:rsidR="00DC207C" w:rsidRPr="00376AE6" w:rsidRDefault="00DC207C" w:rsidP="008D176A">
            <w:pPr>
              <w:rPr>
                <w:sz w:val="20"/>
                <w:szCs w:val="20"/>
              </w:rPr>
            </w:pPr>
          </w:p>
        </w:tc>
        <w:tc>
          <w:tcPr>
            <w:tcW w:w="400" w:type="dxa"/>
            <w:tcMar>
              <w:top w:w="72" w:type="dxa"/>
              <w:left w:w="144" w:type="dxa"/>
              <w:bottom w:w="72" w:type="dxa"/>
              <w:right w:w="144" w:type="dxa"/>
            </w:tcMar>
          </w:tcPr>
          <w:p w:rsidR="00DC207C" w:rsidRPr="00376AE6" w:rsidRDefault="00DC207C" w:rsidP="008D176A">
            <w:pPr>
              <w:rPr>
                <w:sz w:val="20"/>
                <w:szCs w:val="20"/>
              </w:rPr>
            </w:pPr>
          </w:p>
        </w:tc>
        <w:tc>
          <w:tcPr>
            <w:tcW w:w="320" w:type="dxa"/>
            <w:tcMar>
              <w:top w:w="72" w:type="dxa"/>
              <w:left w:w="144" w:type="dxa"/>
              <w:bottom w:w="72" w:type="dxa"/>
              <w:right w:w="144" w:type="dxa"/>
            </w:tcMar>
          </w:tcPr>
          <w:p w:rsidR="00DC207C" w:rsidRPr="00376AE6" w:rsidRDefault="00DC207C" w:rsidP="008D176A">
            <w:pPr>
              <w:rPr>
                <w:sz w:val="20"/>
                <w:szCs w:val="20"/>
              </w:rPr>
            </w:pPr>
          </w:p>
        </w:tc>
        <w:tc>
          <w:tcPr>
            <w:tcW w:w="600" w:type="dxa"/>
            <w:tcBorders>
              <w:right w:val="single" w:sz="4" w:space="0" w:color="auto"/>
            </w:tcBorders>
            <w:tcMar>
              <w:top w:w="72" w:type="dxa"/>
              <w:left w:w="144" w:type="dxa"/>
              <w:bottom w:w="72" w:type="dxa"/>
              <w:right w:w="144" w:type="dxa"/>
            </w:tcMar>
          </w:tcPr>
          <w:p w:rsidR="00DC207C" w:rsidRPr="00376AE6" w:rsidRDefault="00DC207C" w:rsidP="008D176A">
            <w:pPr>
              <w:rPr>
                <w:sz w:val="20"/>
                <w:szCs w:val="20"/>
              </w:rPr>
            </w:pPr>
          </w:p>
        </w:tc>
        <w:tc>
          <w:tcPr>
            <w:tcW w:w="520" w:type="dxa"/>
            <w:tcBorders>
              <w:left w:val="single" w:sz="4" w:space="0" w:color="auto"/>
              <w:bottom w:val="nil"/>
              <w:right w:val="nil"/>
            </w:tcBorders>
            <w:tcMar>
              <w:top w:w="72" w:type="dxa"/>
              <w:left w:w="144" w:type="dxa"/>
              <w:bottom w:w="72" w:type="dxa"/>
              <w:right w:w="144" w:type="dxa"/>
            </w:tcMar>
          </w:tcPr>
          <w:p w:rsidR="00DC207C" w:rsidRPr="00376AE6" w:rsidRDefault="00DC207C" w:rsidP="008D176A">
            <w:pPr>
              <w:rPr>
                <w:sz w:val="20"/>
                <w:szCs w:val="20"/>
              </w:rPr>
            </w:pPr>
          </w:p>
        </w:tc>
        <w:tc>
          <w:tcPr>
            <w:tcW w:w="320" w:type="dxa"/>
            <w:tcBorders>
              <w:left w:val="nil"/>
              <w:bottom w:val="single" w:sz="8" w:space="0" w:color="FFFFFF"/>
              <w:right w:val="single" w:sz="8" w:space="0" w:color="FFFFFF"/>
            </w:tcBorders>
            <w:tcMar>
              <w:top w:w="72" w:type="dxa"/>
              <w:left w:w="144" w:type="dxa"/>
              <w:bottom w:w="72" w:type="dxa"/>
              <w:right w:w="144" w:type="dxa"/>
            </w:tcMar>
          </w:tcPr>
          <w:p w:rsidR="00DC207C" w:rsidRPr="00376AE6" w:rsidRDefault="00DC207C" w:rsidP="008D176A">
            <w:pPr>
              <w:rPr>
                <w:sz w:val="20"/>
                <w:szCs w:val="20"/>
              </w:rPr>
            </w:pPr>
          </w:p>
        </w:tc>
        <w:tc>
          <w:tcPr>
            <w:tcW w:w="480" w:type="dxa"/>
            <w:tcBorders>
              <w:left w:val="single" w:sz="8" w:space="0" w:color="FFFFFF"/>
              <w:bottom w:val="single" w:sz="8" w:space="0" w:color="FFFFFF"/>
              <w:right w:val="single" w:sz="8" w:space="0" w:color="FFFFFF"/>
            </w:tcBorders>
            <w:tcMar>
              <w:top w:w="72" w:type="dxa"/>
              <w:left w:w="144" w:type="dxa"/>
              <w:bottom w:w="72" w:type="dxa"/>
              <w:right w:w="144" w:type="dxa"/>
            </w:tcMar>
          </w:tcPr>
          <w:p w:rsidR="00DC207C" w:rsidRPr="00376AE6" w:rsidRDefault="00DC207C" w:rsidP="008D176A">
            <w:pPr>
              <w:rPr>
                <w:sz w:val="20"/>
                <w:szCs w:val="20"/>
              </w:rPr>
            </w:pPr>
          </w:p>
        </w:tc>
        <w:tc>
          <w:tcPr>
            <w:tcW w:w="1320" w:type="dxa"/>
            <w:gridSpan w:val="3"/>
            <w:tcBorders>
              <w:left w:val="single" w:sz="8" w:space="0" w:color="FFFFFF"/>
              <w:bottom w:val="nil"/>
              <w:right w:val="nil"/>
            </w:tcBorders>
            <w:tcMar>
              <w:top w:w="72" w:type="dxa"/>
              <w:left w:w="144" w:type="dxa"/>
              <w:bottom w:w="72" w:type="dxa"/>
              <w:right w:w="144" w:type="dxa"/>
            </w:tcMar>
          </w:tcPr>
          <w:p w:rsidR="00DC207C" w:rsidRPr="00376AE6" w:rsidRDefault="00DC207C" w:rsidP="008D176A">
            <w:pPr>
              <w:rPr>
                <w:sz w:val="20"/>
                <w:szCs w:val="20"/>
              </w:rPr>
            </w:pPr>
          </w:p>
        </w:tc>
      </w:tr>
      <w:tr w:rsidR="00DC207C" w:rsidRPr="00376AE6" w:rsidTr="00376AE6">
        <w:trPr>
          <w:trHeight w:val="20"/>
        </w:trPr>
        <w:tc>
          <w:tcPr>
            <w:tcW w:w="2970" w:type="dxa"/>
            <w:tcBorders>
              <w:left w:val="nil"/>
            </w:tcBorders>
            <w:tcMar>
              <w:top w:w="72" w:type="dxa"/>
              <w:left w:w="144" w:type="dxa"/>
              <w:bottom w:w="72" w:type="dxa"/>
              <w:right w:w="144" w:type="dxa"/>
            </w:tcMar>
          </w:tcPr>
          <w:p w:rsidR="00DC207C" w:rsidRPr="00376AE6" w:rsidRDefault="00DC207C" w:rsidP="008D176A">
            <w:pPr>
              <w:rPr>
                <w:sz w:val="20"/>
                <w:szCs w:val="20"/>
              </w:rPr>
            </w:pPr>
            <w:r w:rsidRPr="00376AE6">
              <w:rPr>
                <w:bCs/>
                <w:color w:val="000000"/>
                <w:kern w:val="24"/>
                <w:sz w:val="20"/>
                <w:szCs w:val="20"/>
              </w:rPr>
              <w:t xml:space="preserve">     Structural ash</w:t>
            </w:r>
          </w:p>
        </w:tc>
        <w:tc>
          <w:tcPr>
            <w:tcW w:w="400" w:type="dxa"/>
            <w:tcMar>
              <w:top w:w="15" w:type="dxa"/>
              <w:left w:w="15" w:type="dxa"/>
              <w:bottom w:w="0" w:type="dxa"/>
              <w:right w:w="15" w:type="dxa"/>
            </w:tcMar>
            <w:vAlign w:val="bottom"/>
          </w:tcPr>
          <w:p w:rsidR="00DC207C" w:rsidRPr="00376AE6" w:rsidRDefault="00DC207C" w:rsidP="008D176A">
            <w:pPr>
              <w:jc w:val="right"/>
              <w:textAlignment w:val="bottom"/>
              <w:rPr>
                <w:sz w:val="20"/>
                <w:szCs w:val="20"/>
              </w:rPr>
            </w:pPr>
            <w:r w:rsidRPr="00376AE6">
              <w:rPr>
                <w:color w:val="000000"/>
                <w:kern w:val="24"/>
                <w:sz w:val="20"/>
                <w:szCs w:val="20"/>
              </w:rPr>
              <w:t>2.2</w:t>
            </w:r>
          </w:p>
        </w:tc>
        <w:tc>
          <w:tcPr>
            <w:tcW w:w="320" w:type="dxa"/>
            <w:tcMar>
              <w:top w:w="9" w:type="dxa"/>
              <w:left w:w="9" w:type="dxa"/>
              <w:bottom w:w="0" w:type="dxa"/>
              <w:right w:w="9" w:type="dxa"/>
            </w:tcMar>
            <w:vAlign w:val="bottom"/>
          </w:tcPr>
          <w:p w:rsidR="00DC207C" w:rsidRPr="00376AE6" w:rsidRDefault="00DC207C" w:rsidP="008D176A">
            <w:pPr>
              <w:jc w:val="center"/>
              <w:textAlignment w:val="bottom"/>
              <w:rPr>
                <w:sz w:val="20"/>
                <w:szCs w:val="20"/>
              </w:rPr>
            </w:pPr>
            <w:r w:rsidRPr="00376AE6">
              <w:rPr>
                <w:color w:val="000000"/>
                <w:kern w:val="24"/>
                <w:sz w:val="20"/>
                <w:szCs w:val="20"/>
              </w:rPr>
              <w:t xml:space="preserve">± </w:t>
            </w:r>
          </w:p>
        </w:tc>
        <w:tc>
          <w:tcPr>
            <w:tcW w:w="600" w:type="dxa"/>
            <w:tcMar>
              <w:top w:w="15" w:type="dxa"/>
              <w:left w:w="15" w:type="dxa"/>
              <w:bottom w:w="0" w:type="dxa"/>
              <w:right w:w="15" w:type="dxa"/>
            </w:tcMar>
            <w:vAlign w:val="bottom"/>
          </w:tcPr>
          <w:p w:rsidR="00DC207C" w:rsidRPr="00376AE6" w:rsidRDefault="00DC207C" w:rsidP="008D176A">
            <w:pPr>
              <w:textAlignment w:val="bottom"/>
              <w:rPr>
                <w:sz w:val="20"/>
                <w:szCs w:val="20"/>
              </w:rPr>
            </w:pPr>
            <w:r w:rsidRPr="00376AE6">
              <w:rPr>
                <w:color w:val="000000"/>
                <w:kern w:val="24"/>
                <w:sz w:val="20"/>
                <w:szCs w:val="20"/>
              </w:rPr>
              <w:t>0.2</w:t>
            </w:r>
          </w:p>
        </w:tc>
        <w:tc>
          <w:tcPr>
            <w:tcW w:w="400" w:type="dxa"/>
            <w:tcMar>
              <w:top w:w="15" w:type="dxa"/>
              <w:left w:w="15" w:type="dxa"/>
              <w:bottom w:w="0" w:type="dxa"/>
              <w:right w:w="15" w:type="dxa"/>
            </w:tcMar>
            <w:vAlign w:val="bottom"/>
          </w:tcPr>
          <w:p w:rsidR="00DC207C" w:rsidRPr="00376AE6" w:rsidRDefault="00DC207C" w:rsidP="008D176A">
            <w:pPr>
              <w:jc w:val="right"/>
              <w:textAlignment w:val="bottom"/>
              <w:rPr>
                <w:sz w:val="20"/>
                <w:szCs w:val="20"/>
              </w:rPr>
            </w:pPr>
            <w:r w:rsidRPr="00376AE6">
              <w:rPr>
                <w:color w:val="000000"/>
                <w:kern w:val="24"/>
                <w:sz w:val="20"/>
                <w:szCs w:val="20"/>
              </w:rPr>
              <w:t>2.4</w:t>
            </w:r>
          </w:p>
        </w:tc>
        <w:tc>
          <w:tcPr>
            <w:tcW w:w="320" w:type="dxa"/>
            <w:tcMar>
              <w:top w:w="9" w:type="dxa"/>
              <w:left w:w="9" w:type="dxa"/>
              <w:bottom w:w="0" w:type="dxa"/>
              <w:right w:w="9" w:type="dxa"/>
            </w:tcMar>
            <w:vAlign w:val="bottom"/>
          </w:tcPr>
          <w:p w:rsidR="00DC207C" w:rsidRPr="00376AE6" w:rsidRDefault="00DC207C" w:rsidP="008D176A">
            <w:pPr>
              <w:jc w:val="center"/>
              <w:textAlignment w:val="bottom"/>
              <w:rPr>
                <w:sz w:val="20"/>
                <w:szCs w:val="20"/>
              </w:rPr>
            </w:pPr>
            <w:r w:rsidRPr="00376AE6">
              <w:rPr>
                <w:color w:val="000000"/>
                <w:kern w:val="24"/>
                <w:sz w:val="20"/>
                <w:szCs w:val="20"/>
              </w:rPr>
              <w:t xml:space="preserve">± </w:t>
            </w:r>
          </w:p>
        </w:tc>
        <w:tc>
          <w:tcPr>
            <w:tcW w:w="600" w:type="dxa"/>
            <w:tcBorders>
              <w:right w:val="single" w:sz="4" w:space="0" w:color="auto"/>
            </w:tcBorders>
            <w:tcMar>
              <w:top w:w="15" w:type="dxa"/>
              <w:left w:w="15" w:type="dxa"/>
              <w:bottom w:w="0" w:type="dxa"/>
              <w:right w:w="15" w:type="dxa"/>
            </w:tcMar>
            <w:vAlign w:val="bottom"/>
          </w:tcPr>
          <w:p w:rsidR="00DC207C" w:rsidRPr="00376AE6" w:rsidRDefault="00DC207C" w:rsidP="008D176A">
            <w:pPr>
              <w:textAlignment w:val="bottom"/>
              <w:rPr>
                <w:sz w:val="20"/>
                <w:szCs w:val="20"/>
              </w:rPr>
            </w:pPr>
            <w:r w:rsidRPr="00376AE6">
              <w:rPr>
                <w:color w:val="000000"/>
                <w:kern w:val="24"/>
                <w:sz w:val="20"/>
                <w:szCs w:val="20"/>
              </w:rPr>
              <w:t>0.1</w:t>
            </w:r>
          </w:p>
        </w:tc>
        <w:tc>
          <w:tcPr>
            <w:tcW w:w="520" w:type="dxa"/>
            <w:tcBorders>
              <w:top w:val="nil"/>
              <w:left w:val="single" w:sz="4" w:space="0" w:color="auto"/>
              <w:bottom w:val="nil"/>
              <w:right w:val="nil"/>
            </w:tcBorders>
            <w:tcMar>
              <w:top w:w="15" w:type="dxa"/>
              <w:left w:w="15" w:type="dxa"/>
              <w:bottom w:w="0" w:type="dxa"/>
              <w:right w:w="15" w:type="dxa"/>
            </w:tcMar>
            <w:vAlign w:val="bottom"/>
          </w:tcPr>
          <w:p w:rsidR="00DC207C" w:rsidRPr="00376AE6" w:rsidRDefault="00DC207C" w:rsidP="008D176A">
            <w:pPr>
              <w:jc w:val="right"/>
              <w:textAlignment w:val="bottom"/>
              <w:rPr>
                <w:sz w:val="20"/>
                <w:szCs w:val="20"/>
              </w:rPr>
            </w:pPr>
            <w:r w:rsidRPr="00376AE6">
              <w:rPr>
                <w:color w:val="000000"/>
                <w:kern w:val="24"/>
                <w:sz w:val="20"/>
                <w:szCs w:val="20"/>
              </w:rPr>
              <w:t>2.6</w:t>
            </w:r>
          </w:p>
        </w:tc>
        <w:tc>
          <w:tcPr>
            <w:tcW w:w="320" w:type="dxa"/>
            <w:tcBorders>
              <w:top w:val="single" w:sz="8" w:space="0" w:color="FFFFFF"/>
              <w:left w:val="nil"/>
              <w:bottom w:val="single" w:sz="8" w:space="0" w:color="FFFFFF"/>
              <w:right w:val="single" w:sz="8" w:space="0" w:color="FFFFFF"/>
            </w:tcBorders>
            <w:tcMar>
              <w:top w:w="9" w:type="dxa"/>
              <w:left w:w="9" w:type="dxa"/>
              <w:bottom w:w="0" w:type="dxa"/>
              <w:right w:w="9" w:type="dxa"/>
            </w:tcMar>
            <w:vAlign w:val="bottom"/>
          </w:tcPr>
          <w:p w:rsidR="00DC207C" w:rsidRPr="00376AE6" w:rsidRDefault="00DC207C" w:rsidP="008D176A">
            <w:pPr>
              <w:jc w:val="center"/>
              <w:textAlignment w:val="bottom"/>
              <w:rPr>
                <w:sz w:val="20"/>
                <w:szCs w:val="20"/>
              </w:rPr>
            </w:pPr>
            <w:r w:rsidRPr="00376AE6">
              <w:rPr>
                <w:color w:val="000000"/>
                <w:kern w:val="24"/>
                <w:sz w:val="20"/>
                <w:szCs w:val="20"/>
              </w:rPr>
              <w:t xml:space="preserve">± </w:t>
            </w:r>
          </w:p>
        </w:tc>
        <w:tc>
          <w:tcPr>
            <w:tcW w:w="480"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tcPr>
          <w:p w:rsidR="00DC207C" w:rsidRPr="00376AE6" w:rsidRDefault="00DC207C" w:rsidP="008D176A">
            <w:pPr>
              <w:textAlignment w:val="bottom"/>
              <w:rPr>
                <w:sz w:val="20"/>
                <w:szCs w:val="20"/>
              </w:rPr>
            </w:pPr>
            <w:r w:rsidRPr="00376AE6">
              <w:rPr>
                <w:color w:val="000000"/>
                <w:kern w:val="24"/>
                <w:sz w:val="20"/>
                <w:szCs w:val="20"/>
              </w:rPr>
              <w:t>0.1</w:t>
            </w:r>
          </w:p>
        </w:tc>
        <w:tc>
          <w:tcPr>
            <w:tcW w:w="480" w:type="dxa"/>
            <w:tcBorders>
              <w:top w:val="nil"/>
              <w:left w:val="single" w:sz="8" w:space="0" w:color="FFFFFF"/>
              <w:bottom w:val="nil"/>
              <w:right w:val="nil"/>
            </w:tcBorders>
            <w:tcMar>
              <w:top w:w="15" w:type="dxa"/>
              <w:left w:w="15" w:type="dxa"/>
              <w:bottom w:w="0" w:type="dxa"/>
              <w:right w:w="15" w:type="dxa"/>
            </w:tcMar>
            <w:vAlign w:val="bottom"/>
          </w:tcPr>
          <w:p w:rsidR="00DC207C" w:rsidRPr="00376AE6" w:rsidRDefault="00DC207C" w:rsidP="008D176A">
            <w:pPr>
              <w:jc w:val="right"/>
              <w:textAlignment w:val="bottom"/>
              <w:rPr>
                <w:sz w:val="20"/>
                <w:szCs w:val="20"/>
              </w:rPr>
            </w:pPr>
            <w:r w:rsidRPr="00376AE6">
              <w:rPr>
                <w:color w:val="000000"/>
                <w:kern w:val="24"/>
                <w:sz w:val="20"/>
                <w:szCs w:val="20"/>
              </w:rPr>
              <w:t>2.3</w:t>
            </w:r>
          </w:p>
        </w:tc>
        <w:tc>
          <w:tcPr>
            <w:tcW w:w="360" w:type="dxa"/>
            <w:tcBorders>
              <w:top w:val="single" w:sz="8" w:space="0" w:color="FFFFFF"/>
              <w:left w:val="nil"/>
              <w:bottom w:val="single" w:sz="8" w:space="0" w:color="FFFFFF"/>
              <w:right w:val="single" w:sz="8" w:space="0" w:color="FFFFFF"/>
            </w:tcBorders>
            <w:tcMar>
              <w:top w:w="9" w:type="dxa"/>
              <w:left w:w="9" w:type="dxa"/>
              <w:bottom w:w="0" w:type="dxa"/>
              <w:right w:w="9" w:type="dxa"/>
            </w:tcMar>
            <w:vAlign w:val="bottom"/>
          </w:tcPr>
          <w:p w:rsidR="00DC207C" w:rsidRPr="00376AE6" w:rsidRDefault="00DC207C" w:rsidP="008D176A">
            <w:pPr>
              <w:jc w:val="center"/>
              <w:textAlignment w:val="bottom"/>
              <w:rPr>
                <w:sz w:val="20"/>
                <w:szCs w:val="20"/>
              </w:rPr>
            </w:pPr>
            <w:r w:rsidRPr="00376AE6">
              <w:rPr>
                <w:color w:val="000000"/>
                <w:kern w:val="24"/>
                <w:sz w:val="20"/>
                <w:szCs w:val="20"/>
              </w:rPr>
              <w:t xml:space="preserve">± </w:t>
            </w:r>
          </w:p>
        </w:tc>
        <w:tc>
          <w:tcPr>
            <w:tcW w:w="480"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tcPr>
          <w:p w:rsidR="00DC207C" w:rsidRPr="00376AE6" w:rsidRDefault="00DC207C" w:rsidP="008D176A">
            <w:pPr>
              <w:textAlignment w:val="bottom"/>
              <w:rPr>
                <w:sz w:val="20"/>
                <w:szCs w:val="20"/>
              </w:rPr>
            </w:pPr>
            <w:r w:rsidRPr="00376AE6">
              <w:rPr>
                <w:color w:val="000000"/>
                <w:kern w:val="24"/>
                <w:sz w:val="20"/>
                <w:szCs w:val="20"/>
              </w:rPr>
              <w:t>0.2</w:t>
            </w:r>
          </w:p>
        </w:tc>
      </w:tr>
      <w:tr w:rsidR="00DC207C" w:rsidRPr="00376AE6" w:rsidTr="00376AE6">
        <w:trPr>
          <w:trHeight w:val="20"/>
        </w:trPr>
        <w:tc>
          <w:tcPr>
            <w:tcW w:w="2970" w:type="dxa"/>
            <w:tcBorders>
              <w:left w:val="nil"/>
            </w:tcBorders>
            <w:tcMar>
              <w:top w:w="72" w:type="dxa"/>
              <w:left w:w="144" w:type="dxa"/>
              <w:bottom w:w="72" w:type="dxa"/>
              <w:right w:w="144" w:type="dxa"/>
            </w:tcMar>
          </w:tcPr>
          <w:p w:rsidR="00DC207C" w:rsidRPr="00376AE6" w:rsidRDefault="00DC207C" w:rsidP="008D176A">
            <w:pPr>
              <w:rPr>
                <w:sz w:val="20"/>
                <w:szCs w:val="20"/>
              </w:rPr>
            </w:pPr>
            <w:r w:rsidRPr="00376AE6">
              <w:rPr>
                <w:bCs/>
                <w:color w:val="000000"/>
                <w:kern w:val="24"/>
                <w:sz w:val="20"/>
                <w:szCs w:val="20"/>
              </w:rPr>
              <w:t xml:space="preserve">     Lignin </w:t>
            </w:r>
          </w:p>
        </w:tc>
        <w:tc>
          <w:tcPr>
            <w:tcW w:w="400" w:type="dxa"/>
            <w:tcMar>
              <w:top w:w="15" w:type="dxa"/>
              <w:left w:w="15" w:type="dxa"/>
              <w:bottom w:w="0" w:type="dxa"/>
              <w:right w:w="15" w:type="dxa"/>
            </w:tcMar>
            <w:vAlign w:val="bottom"/>
          </w:tcPr>
          <w:p w:rsidR="00DC207C" w:rsidRPr="00376AE6" w:rsidRDefault="00DC207C" w:rsidP="008D176A">
            <w:pPr>
              <w:jc w:val="right"/>
              <w:textAlignment w:val="bottom"/>
              <w:rPr>
                <w:b/>
                <w:sz w:val="20"/>
                <w:szCs w:val="20"/>
              </w:rPr>
            </w:pPr>
            <w:r w:rsidRPr="00376AE6">
              <w:rPr>
                <w:b/>
                <w:color w:val="000000"/>
                <w:kern w:val="24"/>
                <w:sz w:val="20"/>
                <w:szCs w:val="20"/>
              </w:rPr>
              <w:t>22.1</w:t>
            </w:r>
          </w:p>
        </w:tc>
        <w:tc>
          <w:tcPr>
            <w:tcW w:w="320" w:type="dxa"/>
            <w:tcMar>
              <w:top w:w="9" w:type="dxa"/>
              <w:left w:w="9" w:type="dxa"/>
              <w:bottom w:w="0" w:type="dxa"/>
              <w:right w:w="9" w:type="dxa"/>
            </w:tcMar>
            <w:vAlign w:val="bottom"/>
          </w:tcPr>
          <w:p w:rsidR="00DC207C" w:rsidRPr="00376AE6" w:rsidRDefault="00DC207C" w:rsidP="008D176A">
            <w:pPr>
              <w:jc w:val="center"/>
              <w:textAlignment w:val="bottom"/>
              <w:rPr>
                <w:b/>
                <w:sz w:val="20"/>
                <w:szCs w:val="20"/>
              </w:rPr>
            </w:pPr>
            <w:r w:rsidRPr="00376AE6">
              <w:rPr>
                <w:b/>
                <w:color w:val="000000"/>
                <w:kern w:val="24"/>
                <w:sz w:val="20"/>
                <w:szCs w:val="20"/>
              </w:rPr>
              <w:t xml:space="preserve">± </w:t>
            </w:r>
          </w:p>
        </w:tc>
        <w:tc>
          <w:tcPr>
            <w:tcW w:w="600" w:type="dxa"/>
            <w:tcMar>
              <w:top w:w="15" w:type="dxa"/>
              <w:left w:w="15" w:type="dxa"/>
              <w:bottom w:w="0" w:type="dxa"/>
              <w:right w:w="15" w:type="dxa"/>
            </w:tcMar>
            <w:vAlign w:val="bottom"/>
          </w:tcPr>
          <w:p w:rsidR="00DC207C" w:rsidRPr="00376AE6" w:rsidRDefault="00DC207C" w:rsidP="008D176A">
            <w:pPr>
              <w:textAlignment w:val="bottom"/>
              <w:rPr>
                <w:b/>
                <w:sz w:val="20"/>
                <w:szCs w:val="20"/>
              </w:rPr>
            </w:pPr>
            <w:r w:rsidRPr="00376AE6">
              <w:rPr>
                <w:b/>
                <w:color w:val="000000"/>
                <w:kern w:val="24"/>
                <w:sz w:val="20"/>
                <w:szCs w:val="20"/>
              </w:rPr>
              <w:t>0.1</w:t>
            </w:r>
          </w:p>
        </w:tc>
        <w:tc>
          <w:tcPr>
            <w:tcW w:w="400" w:type="dxa"/>
            <w:tcMar>
              <w:top w:w="15" w:type="dxa"/>
              <w:left w:w="15" w:type="dxa"/>
              <w:bottom w:w="0" w:type="dxa"/>
              <w:right w:w="15" w:type="dxa"/>
            </w:tcMar>
            <w:vAlign w:val="bottom"/>
          </w:tcPr>
          <w:p w:rsidR="00DC207C" w:rsidRPr="00376AE6" w:rsidRDefault="00DC207C" w:rsidP="008D176A">
            <w:pPr>
              <w:jc w:val="right"/>
              <w:textAlignment w:val="bottom"/>
              <w:rPr>
                <w:b/>
                <w:sz w:val="20"/>
                <w:szCs w:val="20"/>
              </w:rPr>
            </w:pPr>
            <w:r w:rsidRPr="00376AE6">
              <w:rPr>
                <w:b/>
                <w:color w:val="000000"/>
                <w:kern w:val="24"/>
                <w:sz w:val="20"/>
                <w:szCs w:val="20"/>
              </w:rPr>
              <w:t>20.5</w:t>
            </w:r>
          </w:p>
        </w:tc>
        <w:tc>
          <w:tcPr>
            <w:tcW w:w="320" w:type="dxa"/>
            <w:tcMar>
              <w:top w:w="9" w:type="dxa"/>
              <w:left w:w="9" w:type="dxa"/>
              <w:bottom w:w="0" w:type="dxa"/>
              <w:right w:w="9" w:type="dxa"/>
            </w:tcMar>
            <w:vAlign w:val="bottom"/>
          </w:tcPr>
          <w:p w:rsidR="00DC207C" w:rsidRPr="00376AE6" w:rsidRDefault="00DC207C" w:rsidP="008D176A">
            <w:pPr>
              <w:jc w:val="center"/>
              <w:textAlignment w:val="bottom"/>
              <w:rPr>
                <w:b/>
                <w:sz w:val="20"/>
                <w:szCs w:val="20"/>
              </w:rPr>
            </w:pPr>
            <w:r w:rsidRPr="00376AE6">
              <w:rPr>
                <w:b/>
                <w:color w:val="000000"/>
                <w:kern w:val="24"/>
                <w:sz w:val="20"/>
                <w:szCs w:val="20"/>
              </w:rPr>
              <w:t xml:space="preserve">± </w:t>
            </w:r>
          </w:p>
        </w:tc>
        <w:tc>
          <w:tcPr>
            <w:tcW w:w="600" w:type="dxa"/>
            <w:tcBorders>
              <w:right w:val="single" w:sz="4" w:space="0" w:color="auto"/>
            </w:tcBorders>
            <w:tcMar>
              <w:top w:w="15" w:type="dxa"/>
              <w:left w:w="15" w:type="dxa"/>
              <w:bottom w:w="0" w:type="dxa"/>
              <w:right w:w="15" w:type="dxa"/>
            </w:tcMar>
            <w:vAlign w:val="bottom"/>
          </w:tcPr>
          <w:p w:rsidR="00DC207C" w:rsidRPr="00376AE6" w:rsidRDefault="00DC207C" w:rsidP="008D176A">
            <w:pPr>
              <w:textAlignment w:val="bottom"/>
              <w:rPr>
                <w:b/>
                <w:sz w:val="20"/>
                <w:szCs w:val="20"/>
              </w:rPr>
            </w:pPr>
            <w:r w:rsidRPr="00376AE6">
              <w:rPr>
                <w:b/>
                <w:color w:val="000000"/>
                <w:kern w:val="24"/>
                <w:sz w:val="20"/>
                <w:szCs w:val="20"/>
              </w:rPr>
              <w:t>0.1*</w:t>
            </w:r>
          </w:p>
        </w:tc>
        <w:tc>
          <w:tcPr>
            <w:tcW w:w="520" w:type="dxa"/>
            <w:tcBorders>
              <w:top w:val="nil"/>
              <w:left w:val="single" w:sz="4" w:space="0" w:color="auto"/>
              <w:bottom w:val="nil"/>
              <w:right w:val="nil"/>
            </w:tcBorders>
            <w:tcMar>
              <w:top w:w="15" w:type="dxa"/>
              <w:left w:w="15" w:type="dxa"/>
              <w:bottom w:w="0" w:type="dxa"/>
              <w:right w:w="15" w:type="dxa"/>
            </w:tcMar>
            <w:vAlign w:val="bottom"/>
          </w:tcPr>
          <w:p w:rsidR="00DC207C" w:rsidRPr="00376AE6" w:rsidRDefault="00DC207C" w:rsidP="008D176A">
            <w:pPr>
              <w:jc w:val="right"/>
              <w:textAlignment w:val="bottom"/>
              <w:rPr>
                <w:b/>
                <w:sz w:val="20"/>
                <w:szCs w:val="20"/>
              </w:rPr>
            </w:pPr>
            <w:r w:rsidRPr="00376AE6">
              <w:rPr>
                <w:b/>
                <w:color w:val="000000"/>
                <w:kern w:val="24"/>
                <w:sz w:val="20"/>
                <w:szCs w:val="20"/>
              </w:rPr>
              <w:t>22.4</w:t>
            </w:r>
          </w:p>
        </w:tc>
        <w:tc>
          <w:tcPr>
            <w:tcW w:w="320" w:type="dxa"/>
            <w:tcBorders>
              <w:top w:val="single" w:sz="8" w:space="0" w:color="FFFFFF"/>
              <w:left w:val="nil"/>
              <w:bottom w:val="single" w:sz="8" w:space="0" w:color="FFFFFF"/>
              <w:right w:val="single" w:sz="8" w:space="0" w:color="FFFFFF"/>
            </w:tcBorders>
            <w:tcMar>
              <w:top w:w="9" w:type="dxa"/>
              <w:left w:w="9" w:type="dxa"/>
              <w:bottom w:w="0" w:type="dxa"/>
              <w:right w:w="9" w:type="dxa"/>
            </w:tcMar>
            <w:vAlign w:val="bottom"/>
          </w:tcPr>
          <w:p w:rsidR="00DC207C" w:rsidRPr="00376AE6" w:rsidRDefault="00DC207C" w:rsidP="008D176A">
            <w:pPr>
              <w:jc w:val="center"/>
              <w:textAlignment w:val="bottom"/>
              <w:rPr>
                <w:b/>
                <w:sz w:val="20"/>
                <w:szCs w:val="20"/>
              </w:rPr>
            </w:pPr>
            <w:r w:rsidRPr="00376AE6">
              <w:rPr>
                <w:b/>
                <w:color w:val="000000"/>
                <w:kern w:val="24"/>
                <w:sz w:val="20"/>
                <w:szCs w:val="20"/>
              </w:rPr>
              <w:t xml:space="preserve">± </w:t>
            </w:r>
          </w:p>
        </w:tc>
        <w:tc>
          <w:tcPr>
            <w:tcW w:w="480"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tcPr>
          <w:p w:rsidR="00DC207C" w:rsidRPr="00376AE6" w:rsidRDefault="00DC207C" w:rsidP="008D176A">
            <w:pPr>
              <w:textAlignment w:val="bottom"/>
              <w:rPr>
                <w:b/>
                <w:sz w:val="20"/>
                <w:szCs w:val="20"/>
              </w:rPr>
            </w:pPr>
            <w:r w:rsidRPr="00376AE6">
              <w:rPr>
                <w:b/>
                <w:color w:val="000000"/>
                <w:kern w:val="24"/>
                <w:sz w:val="20"/>
                <w:szCs w:val="20"/>
              </w:rPr>
              <w:t>0.3</w:t>
            </w:r>
          </w:p>
        </w:tc>
        <w:tc>
          <w:tcPr>
            <w:tcW w:w="480" w:type="dxa"/>
            <w:tcBorders>
              <w:top w:val="nil"/>
              <w:left w:val="single" w:sz="8" w:space="0" w:color="FFFFFF"/>
              <w:bottom w:val="nil"/>
              <w:right w:val="nil"/>
            </w:tcBorders>
            <w:tcMar>
              <w:top w:w="15" w:type="dxa"/>
              <w:left w:w="15" w:type="dxa"/>
              <w:bottom w:w="0" w:type="dxa"/>
              <w:right w:w="15" w:type="dxa"/>
            </w:tcMar>
            <w:vAlign w:val="bottom"/>
          </w:tcPr>
          <w:p w:rsidR="00DC207C" w:rsidRPr="00376AE6" w:rsidRDefault="00DC207C" w:rsidP="008D176A">
            <w:pPr>
              <w:jc w:val="right"/>
              <w:textAlignment w:val="bottom"/>
              <w:rPr>
                <w:b/>
                <w:sz w:val="20"/>
                <w:szCs w:val="20"/>
              </w:rPr>
            </w:pPr>
            <w:r w:rsidRPr="00376AE6">
              <w:rPr>
                <w:b/>
                <w:color w:val="000000"/>
                <w:kern w:val="24"/>
                <w:sz w:val="20"/>
                <w:szCs w:val="20"/>
              </w:rPr>
              <w:t>20.5</w:t>
            </w:r>
          </w:p>
        </w:tc>
        <w:tc>
          <w:tcPr>
            <w:tcW w:w="360" w:type="dxa"/>
            <w:tcBorders>
              <w:top w:val="single" w:sz="8" w:space="0" w:color="FFFFFF"/>
              <w:left w:val="nil"/>
              <w:bottom w:val="single" w:sz="8" w:space="0" w:color="FFFFFF"/>
              <w:right w:val="single" w:sz="8" w:space="0" w:color="FFFFFF"/>
            </w:tcBorders>
            <w:tcMar>
              <w:top w:w="9" w:type="dxa"/>
              <w:left w:w="9" w:type="dxa"/>
              <w:bottom w:w="0" w:type="dxa"/>
              <w:right w:w="9" w:type="dxa"/>
            </w:tcMar>
            <w:vAlign w:val="bottom"/>
          </w:tcPr>
          <w:p w:rsidR="00DC207C" w:rsidRPr="00376AE6" w:rsidRDefault="00DC207C" w:rsidP="008D176A">
            <w:pPr>
              <w:jc w:val="center"/>
              <w:textAlignment w:val="bottom"/>
              <w:rPr>
                <w:b/>
                <w:sz w:val="20"/>
                <w:szCs w:val="20"/>
              </w:rPr>
            </w:pPr>
            <w:r w:rsidRPr="00376AE6">
              <w:rPr>
                <w:b/>
                <w:color w:val="000000"/>
                <w:kern w:val="24"/>
                <w:sz w:val="20"/>
                <w:szCs w:val="20"/>
              </w:rPr>
              <w:t xml:space="preserve">± </w:t>
            </w:r>
          </w:p>
        </w:tc>
        <w:tc>
          <w:tcPr>
            <w:tcW w:w="480"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tcPr>
          <w:p w:rsidR="00DC207C" w:rsidRPr="00376AE6" w:rsidRDefault="00DC207C" w:rsidP="008D176A">
            <w:pPr>
              <w:textAlignment w:val="bottom"/>
              <w:rPr>
                <w:b/>
                <w:sz w:val="20"/>
                <w:szCs w:val="20"/>
              </w:rPr>
            </w:pPr>
            <w:r w:rsidRPr="00376AE6">
              <w:rPr>
                <w:b/>
                <w:color w:val="000000"/>
                <w:kern w:val="24"/>
                <w:sz w:val="20"/>
                <w:szCs w:val="20"/>
              </w:rPr>
              <w:t>0.1 *</w:t>
            </w:r>
          </w:p>
        </w:tc>
      </w:tr>
      <w:tr w:rsidR="00DC207C" w:rsidRPr="00376AE6" w:rsidTr="00376AE6">
        <w:trPr>
          <w:trHeight w:val="20"/>
        </w:trPr>
        <w:tc>
          <w:tcPr>
            <w:tcW w:w="2970" w:type="dxa"/>
            <w:tcBorders>
              <w:left w:val="nil"/>
            </w:tcBorders>
            <w:tcMar>
              <w:top w:w="72" w:type="dxa"/>
              <w:left w:w="144" w:type="dxa"/>
              <w:bottom w:w="72" w:type="dxa"/>
              <w:right w:w="144" w:type="dxa"/>
            </w:tcMar>
          </w:tcPr>
          <w:p w:rsidR="00DC207C" w:rsidRPr="00376AE6" w:rsidRDefault="00DC207C" w:rsidP="008D176A">
            <w:pPr>
              <w:rPr>
                <w:sz w:val="20"/>
                <w:szCs w:val="20"/>
              </w:rPr>
            </w:pPr>
            <w:r w:rsidRPr="00376AE6">
              <w:rPr>
                <w:bCs/>
                <w:color w:val="000000"/>
                <w:kern w:val="24"/>
                <w:sz w:val="20"/>
                <w:szCs w:val="20"/>
              </w:rPr>
              <w:t xml:space="preserve">     Acetyl </w:t>
            </w:r>
          </w:p>
        </w:tc>
        <w:tc>
          <w:tcPr>
            <w:tcW w:w="400" w:type="dxa"/>
            <w:tcMar>
              <w:top w:w="15" w:type="dxa"/>
              <w:left w:w="15" w:type="dxa"/>
              <w:bottom w:w="0" w:type="dxa"/>
              <w:right w:w="15" w:type="dxa"/>
            </w:tcMar>
            <w:vAlign w:val="bottom"/>
          </w:tcPr>
          <w:p w:rsidR="00DC207C" w:rsidRPr="00376AE6" w:rsidRDefault="00DC207C" w:rsidP="008D176A">
            <w:pPr>
              <w:jc w:val="right"/>
              <w:textAlignment w:val="bottom"/>
              <w:rPr>
                <w:sz w:val="20"/>
                <w:szCs w:val="20"/>
              </w:rPr>
            </w:pPr>
            <w:r w:rsidRPr="00376AE6">
              <w:rPr>
                <w:color w:val="000000"/>
                <w:kern w:val="24"/>
                <w:sz w:val="20"/>
                <w:szCs w:val="20"/>
              </w:rPr>
              <w:t>4.6</w:t>
            </w:r>
          </w:p>
        </w:tc>
        <w:tc>
          <w:tcPr>
            <w:tcW w:w="320" w:type="dxa"/>
            <w:tcMar>
              <w:top w:w="9" w:type="dxa"/>
              <w:left w:w="9" w:type="dxa"/>
              <w:bottom w:w="0" w:type="dxa"/>
              <w:right w:w="9" w:type="dxa"/>
            </w:tcMar>
            <w:vAlign w:val="bottom"/>
          </w:tcPr>
          <w:p w:rsidR="00DC207C" w:rsidRPr="00376AE6" w:rsidRDefault="00DC207C" w:rsidP="008D176A">
            <w:pPr>
              <w:jc w:val="center"/>
              <w:textAlignment w:val="bottom"/>
              <w:rPr>
                <w:sz w:val="20"/>
                <w:szCs w:val="20"/>
              </w:rPr>
            </w:pPr>
            <w:r w:rsidRPr="00376AE6">
              <w:rPr>
                <w:color w:val="000000"/>
                <w:kern w:val="24"/>
                <w:sz w:val="20"/>
                <w:szCs w:val="20"/>
              </w:rPr>
              <w:t xml:space="preserve">± </w:t>
            </w:r>
          </w:p>
        </w:tc>
        <w:tc>
          <w:tcPr>
            <w:tcW w:w="600" w:type="dxa"/>
            <w:tcMar>
              <w:top w:w="15" w:type="dxa"/>
              <w:left w:w="15" w:type="dxa"/>
              <w:bottom w:w="0" w:type="dxa"/>
              <w:right w:w="15" w:type="dxa"/>
            </w:tcMar>
            <w:vAlign w:val="bottom"/>
          </w:tcPr>
          <w:p w:rsidR="00DC207C" w:rsidRPr="00376AE6" w:rsidRDefault="00DC207C" w:rsidP="008D176A">
            <w:pPr>
              <w:textAlignment w:val="bottom"/>
              <w:rPr>
                <w:sz w:val="20"/>
                <w:szCs w:val="20"/>
              </w:rPr>
            </w:pPr>
            <w:r w:rsidRPr="00376AE6">
              <w:rPr>
                <w:color w:val="000000"/>
                <w:kern w:val="24"/>
                <w:sz w:val="20"/>
                <w:szCs w:val="20"/>
              </w:rPr>
              <w:t>0.1</w:t>
            </w:r>
          </w:p>
        </w:tc>
        <w:tc>
          <w:tcPr>
            <w:tcW w:w="400" w:type="dxa"/>
            <w:tcMar>
              <w:top w:w="15" w:type="dxa"/>
              <w:left w:w="15" w:type="dxa"/>
              <w:bottom w:w="0" w:type="dxa"/>
              <w:right w:w="15" w:type="dxa"/>
            </w:tcMar>
            <w:vAlign w:val="bottom"/>
          </w:tcPr>
          <w:p w:rsidR="00DC207C" w:rsidRPr="00376AE6" w:rsidRDefault="00DC207C" w:rsidP="008D176A">
            <w:pPr>
              <w:jc w:val="right"/>
              <w:textAlignment w:val="bottom"/>
              <w:rPr>
                <w:sz w:val="20"/>
                <w:szCs w:val="20"/>
              </w:rPr>
            </w:pPr>
            <w:r w:rsidRPr="00376AE6">
              <w:rPr>
                <w:color w:val="000000"/>
                <w:kern w:val="24"/>
                <w:sz w:val="20"/>
                <w:szCs w:val="20"/>
              </w:rPr>
              <w:t>4.6</w:t>
            </w:r>
          </w:p>
        </w:tc>
        <w:tc>
          <w:tcPr>
            <w:tcW w:w="320" w:type="dxa"/>
            <w:tcMar>
              <w:top w:w="9" w:type="dxa"/>
              <w:left w:w="9" w:type="dxa"/>
              <w:bottom w:w="0" w:type="dxa"/>
              <w:right w:w="9" w:type="dxa"/>
            </w:tcMar>
            <w:vAlign w:val="bottom"/>
          </w:tcPr>
          <w:p w:rsidR="00DC207C" w:rsidRPr="00376AE6" w:rsidRDefault="00DC207C" w:rsidP="008D176A">
            <w:pPr>
              <w:jc w:val="center"/>
              <w:textAlignment w:val="bottom"/>
              <w:rPr>
                <w:sz w:val="20"/>
                <w:szCs w:val="20"/>
              </w:rPr>
            </w:pPr>
            <w:r w:rsidRPr="00376AE6">
              <w:rPr>
                <w:color w:val="000000"/>
                <w:kern w:val="24"/>
                <w:sz w:val="20"/>
                <w:szCs w:val="20"/>
              </w:rPr>
              <w:t xml:space="preserve">± </w:t>
            </w:r>
          </w:p>
        </w:tc>
        <w:tc>
          <w:tcPr>
            <w:tcW w:w="600" w:type="dxa"/>
            <w:tcBorders>
              <w:right w:val="single" w:sz="4" w:space="0" w:color="auto"/>
            </w:tcBorders>
            <w:tcMar>
              <w:top w:w="15" w:type="dxa"/>
              <w:left w:w="15" w:type="dxa"/>
              <w:bottom w:w="0" w:type="dxa"/>
              <w:right w:w="15" w:type="dxa"/>
            </w:tcMar>
            <w:vAlign w:val="bottom"/>
          </w:tcPr>
          <w:p w:rsidR="00DC207C" w:rsidRPr="00376AE6" w:rsidRDefault="00DC207C" w:rsidP="008D176A">
            <w:pPr>
              <w:textAlignment w:val="bottom"/>
              <w:rPr>
                <w:sz w:val="20"/>
                <w:szCs w:val="20"/>
              </w:rPr>
            </w:pPr>
            <w:r w:rsidRPr="00376AE6">
              <w:rPr>
                <w:color w:val="000000"/>
                <w:kern w:val="24"/>
                <w:sz w:val="20"/>
                <w:szCs w:val="20"/>
              </w:rPr>
              <w:t>0.1</w:t>
            </w:r>
          </w:p>
        </w:tc>
        <w:tc>
          <w:tcPr>
            <w:tcW w:w="520" w:type="dxa"/>
            <w:tcBorders>
              <w:top w:val="nil"/>
              <w:left w:val="single" w:sz="4" w:space="0" w:color="auto"/>
              <w:bottom w:val="nil"/>
              <w:right w:val="nil"/>
            </w:tcBorders>
            <w:tcMar>
              <w:top w:w="15" w:type="dxa"/>
              <w:left w:w="15" w:type="dxa"/>
              <w:bottom w:w="0" w:type="dxa"/>
              <w:right w:w="15" w:type="dxa"/>
            </w:tcMar>
            <w:vAlign w:val="bottom"/>
          </w:tcPr>
          <w:p w:rsidR="00DC207C" w:rsidRPr="00376AE6" w:rsidRDefault="00DC207C" w:rsidP="008D176A">
            <w:pPr>
              <w:jc w:val="right"/>
              <w:textAlignment w:val="bottom"/>
              <w:rPr>
                <w:b/>
                <w:sz w:val="20"/>
                <w:szCs w:val="20"/>
              </w:rPr>
            </w:pPr>
            <w:r w:rsidRPr="00376AE6">
              <w:rPr>
                <w:b/>
                <w:color w:val="000000"/>
                <w:kern w:val="24"/>
                <w:sz w:val="20"/>
                <w:szCs w:val="20"/>
              </w:rPr>
              <w:t>4.3</w:t>
            </w:r>
          </w:p>
        </w:tc>
        <w:tc>
          <w:tcPr>
            <w:tcW w:w="320" w:type="dxa"/>
            <w:tcBorders>
              <w:top w:val="single" w:sz="8" w:space="0" w:color="FFFFFF"/>
              <w:left w:val="nil"/>
              <w:bottom w:val="single" w:sz="8" w:space="0" w:color="FFFFFF"/>
              <w:right w:val="single" w:sz="8" w:space="0" w:color="FFFFFF"/>
            </w:tcBorders>
            <w:tcMar>
              <w:top w:w="9" w:type="dxa"/>
              <w:left w:w="9" w:type="dxa"/>
              <w:bottom w:w="0" w:type="dxa"/>
              <w:right w:w="9" w:type="dxa"/>
            </w:tcMar>
            <w:vAlign w:val="bottom"/>
          </w:tcPr>
          <w:p w:rsidR="00DC207C" w:rsidRPr="00376AE6" w:rsidRDefault="00DC207C" w:rsidP="008D176A">
            <w:pPr>
              <w:jc w:val="center"/>
              <w:textAlignment w:val="bottom"/>
              <w:rPr>
                <w:b/>
                <w:sz w:val="20"/>
                <w:szCs w:val="20"/>
              </w:rPr>
            </w:pPr>
            <w:r w:rsidRPr="00376AE6">
              <w:rPr>
                <w:b/>
                <w:color w:val="000000"/>
                <w:kern w:val="24"/>
                <w:sz w:val="20"/>
                <w:szCs w:val="20"/>
              </w:rPr>
              <w:t xml:space="preserve">± </w:t>
            </w:r>
          </w:p>
        </w:tc>
        <w:tc>
          <w:tcPr>
            <w:tcW w:w="480"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tcPr>
          <w:p w:rsidR="00DC207C" w:rsidRPr="00376AE6" w:rsidRDefault="00DC207C" w:rsidP="008D176A">
            <w:pPr>
              <w:textAlignment w:val="bottom"/>
              <w:rPr>
                <w:b/>
                <w:sz w:val="20"/>
                <w:szCs w:val="20"/>
              </w:rPr>
            </w:pPr>
            <w:r w:rsidRPr="00376AE6">
              <w:rPr>
                <w:b/>
                <w:color w:val="000000"/>
                <w:kern w:val="24"/>
                <w:sz w:val="20"/>
                <w:szCs w:val="20"/>
              </w:rPr>
              <w:t>0.1</w:t>
            </w:r>
          </w:p>
        </w:tc>
        <w:tc>
          <w:tcPr>
            <w:tcW w:w="480" w:type="dxa"/>
            <w:tcBorders>
              <w:top w:val="nil"/>
              <w:left w:val="single" w:sz="8" w:space="0" w:color="FFFFFF"/>
              <w:bottom w:val="nil"/>
              <w:right w:val="nil"/>
            </w:tcBorders>
            <w:tcMar>
              <w:top w:w="15" w:type="dxa"/>
              <w:left w:w="15" w:type="dxa"/>
              <w:bottom w:w="0" w:type="dxa"/>
              <w:right w:w="15" w:type="dxa"/>
            </w:tcMar>
            <w:vAlign w:val="bottom"/>
          </w:tcPr>
          <w:p w:rsidR="00DC207C" w:rsidRPr="00376AE6" w:rsidRDefault="00DC207C" w:rsidP="008D176A">
            <w:pPr>
              <w:jc w:val="right"/>
              <w:textAlignment w:val="bottom"/>
              <w:rPr>
                <w:b/>
                <w:sz w:val="20"/>
                <w:szCs w:val="20"/>
              </w:rPr>
            </w:pPr>
            <w:r w:rsidRPr="00376AE6">
              <w:rPr>
                <w:b/>
                <w:color w:val="000000"/>
                <w:kern w:val="24"/>
                <w:sz w:val="20"/>
                <w:szCs w:val="20"/>
              </w:rPr>
              <w:t>4.8</w:t>
            </w:r>
          </w:p>
        </w:tc>
        <w:tc>
          <w:tcPr>
            <w:tcW w:w="360" w:type="dxa"/>
            <w:tcBorders>
              <w:top w:val="single" w:sz="8" w:space="0" w:color="FFFFFF"/>
              <w:left w:val="nil"/>
              <w:bottom w:val="single" w:sz="8" w:space="0" w:color="FFFFFF"/>
              <w:right w:val="single" w:sz="8" w:space="0" w:color="FFFFFF"/>
            </w:tcBorders>
            <w:tcMar>
              <w:top w:w="9" w:type="dxa"/>
              <w:left w:w="9" w:type="dxa"/>
              <w:bottom w:w="0" w:type="dxa"/>
              <w:right w:w="9" w:type="dxa"/>
            </w:tcMar>
            <w:vAlign w:val="bottom"/>
          </w:tcPr>
          <w:p w:rsidR="00DC207C" w:rsidRPr="00376AE6" w:rsidRDefault="00DC207C" w:rsidP="008D176A">
            <w:pPr>
              <w:jc w:val="center"/>
              <w:textAlignment w:val="bottom"/>
              <w:rPr>
                <w:b/>
                <w:sz w:val="20"/>
                <w:szCs w:val="20"/>
              </w:rPr>
            </w:pPr>
            <w:r w:rsidRPr="00376AE6">
              <w:rPr>
                <w:b/>
                <w:color w:val="000000"/>
                <w:kern w:val="24"/>
                <w:sz w:val="20"/>
                <w:szCs w:val="20"/>
              </w:rPr>
              <w:t xml:space="preserve">± </w:t>
            </w:r>
          </w:p>
        </w:tc>
        <w:tc>
          <w:tcPr>
            <w:tcW w:w="480"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tcPr>
          <w:p w:rsidR="00DC207C" w:rsidRPr="00376AE6" w:rsidRDefault="00DC207C" w:rsidP="008D176A">
            <w:pPr>
              <w:textAlignment w:val="bottom"/>
              <w:rPr>
                <w:b/>
                <w:sz w:val="20"/>
                <w:szCs w:val="20"/>
              </w:rPr>
            </w:pPr>
            <w:r w:rsidRPr="00376AE6">
              <w:rPr>
                <w:b/>
                <w:color w:val="000000"/>
                <w:kern w:val="24"/>
                <w:sz w:val="20"/>
                <w:szCs w:val="20"/>
              </w:rPr>
              <w:t>0.1*</w:t>
            </w:r>
          </w:p>
        </w:tc>
      </w:tr>
      <w:tr w:rsidR="00DC207C" w:rsidRPr="00376AE6" w:rsidTr="00376AE6">
        <w:trPr>
          <w:trHeight w:val="20"/>
        </w:trPr>
        <w:tc>
          <w:tcPr>
            <w:tcW w:w="2970" w:type="dxa"/>
            <w:tcBorders>
              <w:left w:val="nil"/>
            </w:tcBorders>
            <w:tcMar>
              <w:top w:w="72" w:type="dxa"/>
              <w:left w:w="144" w:type="dxa"/>
              <w:bottom w:w="72" w:type="dxa"/>
              <w:right w:w="144" w:type="dxa"/>
            </w:tcMar>
          </w:tcPr>
          <w:p w:rsidR="00DC207C" w:rsidRPr="00376AE6" w:rsidRDefault="00DC207C" w:rsidP="008D176A">
            <w:pPr>
              <w:rPr>
                <w:sz w:val="20"/>
                <w:szCs w:val="20"/>
              </w:rPr>
            </w:pPr>
            <w:r w:rsidRPr="00376AE6">
              <w:rPr>
                <w:bCs/>
                <w:color w:val="000000"/>
                <w:kern w:val="24"/>
                <w:sz w:val="20"/>
                <w:szCs w:val="20"/>
              </w:rPr>
              <w:t xml:space="preserve">     Total carbohydrates </w:t>
            </w:r>
          </w:p>
        </w:tc>
        <w:tc>
          <w:tcPr>
            <w:tcW w:w="400" w:type="dxa"/>
            <w:tcMar>
              <w:top w:w="15" w:type="dxa"/>
              <w:left w:w="15" w:type="dxa"/>
              <w:bottom w:w="0" w:type="dxa"/>
              <w:right w:w="15" w:type="dxa"/>
            </w:tcMar>
            <w:vAlign w:val="bottom"/>
          </w:tcPr>
          <w:p w:rsidR="00DC207C" w:rsidRPr="00376AE6" w:rsidRDefault="00DC207C" w:rsidP="008D176A">
            <w:pPr>
              <w:jc w:val="right"/>
              <w:textAlignment w:val="bottom"/>
              <w:rPr>
                <w:sz w:val="20"/>
                <w:szCs w:val="20"/>
              </w:rPr>
            </w:pPr>
            <w:r w:rsidRPr="00376AE6">
              <w:rPr>
                <w:color w:val="000000"/>
                <w:kern w:val="24"/>
                <w:sz w:val="20"/>
                <w:szCs w:val="20"/>
              </w:rPr>
              <w:t>68.9</w:t>
            </w:r>
          </w:p>
        </w:tc>
        <w:tc>
          <w:tcPr>
            <w:tcW w:w="320" w:type="dxa"/>
            <w:tcMar>
              <w:top w:w="9" w:type="dxa"/>
              <w:left w:w="9" w:type="dxa"/>
              <w:bottom w:w="0" w:type="dxa"/>
              <w:right w:w="9" w:type="dxa"/>
            </w:tcMar>
            <w:vAlign w:val="bottom"/>
          </w:tcPr>
          <w:p w:rsidR="00DC207C" w:rsidRPr="00376AE6" w:rsidRDefault="00DC207C" w:rsidP="008D176A">
            <w:pPr>
              <w:jc w:val="center"/>
              <w:textAlignment w:val="bottom"/>
              <w:rPr>
                <w:sz w:val="20"/>
                <w:szCs w:val="20"/>
              </w:rPr>
            </w:pPr>
            <w:r w:rsidRPr="00376AE6">
              <w:rPr>
                <w:color w:val="000000"/>
                <w:kern w:val="24"/>
                <w:sz w:val="20"/>
                <w:szCs w:val="20"/>
              </w:rPr>
              <w:t xml:space="preserve">± </w:t>
            </w:r>
          </w:p>
        </w:tc>
        <w:tc>
          <w:tcPr>
            <w:tcW w:w="600" w:type="dxa"/>
            <w:tcMar>
              <w:top w:w="15" w:type="dxa"/>
              <w:left w:w="15" w:type="dxa"/>
              <w:bottom w:w="0" w:type="dxa"/>
              <w:right w:w="15" w:type="dxa"/>
            </w:tcMar>
            <w:vAlign w:val="bottom"/>
          </w:tcPr>
          <w:p w:rsidR="00DC207C" w:rsidRPr="00376AE6" w:rsidRDefault="00DC207C" w:rsidP="008D176A">
            <w:pPr>
              <w:textAlignment w:val="bottom"/>
              <w:rPr>
                <w:sz w:val="20"/>
                <w:szCs w:val="20"/>
              </w:rPr>
            </w:pPr>
            <w:r w:rsidRPr="00376AE6">
              <w:rPr>
                <w:color w:val="000000"/>
                <w:kern w:val="24"/>
                <w:sz w:val="20"/>
                <w:szCs w:val="20"/>
              </w:rPr>
              <w:t>0.5</w:t>
            </w:r>
          </w:p>
        </w:tc>
        <w:tc>
          <w:tcPr>
            <w:tcW w:w="400" w:type="dxa"/>
            <w:tcMar>
              <w:top w:w="15" w:type="dxa"/>
              <w:left w:w="15" w:type="dxa"/>
              <w:bottom w:w="0" w:type="dxa"/>
              <w:right w:w="15" w:type="dxa"/>
            </w:tcMar>
            <w:vAlign w:val="bottom"/>
          </w:tcPr>
          <w:p w:rsidR="00DC207C" w:rsidRPr="00376AE6" w:rsidRDefault="00DC207C" w:rsidP="008D176A">
            <w:pPr>
              <w:jc w:val="right"/>
              <w:textAlignment w:val="bottom"/>
              <w:rPr>
                <w:sz w:val="20"/>
                <w:szCs w:val="20"/>
              </w:rPr>
            </w:pPr>
            <w:r w:rsidRPr="00376AE6">
              <w:rPr>
                <w:color w:val="000000"/>
                <w:kern w:val="24"/>
                <w:sz w:val="20"/>
                <w:szCs w:val="20"/>
              </w:rPr>
              <w:t>70.9</w:t>
            </w:r>
          </w:p>
        </w:tc>
        <w:tc>
          <w:tcPr>
            <w:tcW w:w="320" w:type="dxa"/>
            <w:tcMar>
              <w:top w:w="9" w:type="dxa"/>
              <w:left w:w="9" w:type="dxa"/>
              <w:bottom w:w="0" w:type="dxa"/>
              <w:right w:w="9" w:type="dxa"/>
            </w:tcMar>
            <w:vAlign w:val="bottom"/>
          </w:tcPr>
          <w:p w:rsidR="00DC207C" w:rsidRPr="00376AE6" w:rsidRDefault="00DC207C" w:rsidP="008D176A">
            <w:pPr>
              <w:jc w:val="center"/>
              <w:textAlignment w:val="bottom"/>
              <w:rPr>
                <w:sz w:val="20"/>
                <w:szCs w:val="20"/>
              </w:rPr>
            </w:pPr>
            <w:r w:rsidRPr="00376AE6">
              <w:rPr>
                <w:color w:val="000000"/>
                <w:kern w:val="24"/>
                <w:sz w:val="20"/>
                <w:szCs w:val="20"/>
              </w:rPr>
              <w:t xml:space="preserve">± </w:t>
            </w:r>
          </w:p>
        </w:tc>
        <w:tc>
          <w:tcPr>
            <w:tcW w:w="600" w:type="dxa"/>
            <w:tcBorders>
              <w:right w:val="single" w:sz="4" w:space="0" w:color="auto"/>
            </w:tcBorders>
            <w:tcMar>
              <w:top w:w="15" w:type="dxa"/>
              <w:left w:w="15" w:type="dxa"/>
              <w:bottom w:w="0" w:type="dxa"/>
              <w:right w:w="15" w:type="dxa"/>
            </w:tcMar>
            <w:vAlign w:val="bottom"/>
          </w:tcPr>
          <w:p w:rsidR="00DC207C" w:rsidRPr="00376AE6" w:rsidRDefault="00DC207C" w:rsidP="008D176A">
            <w:pPr>
              <w:textAlignment w:val="bottom"/>
              <w:rPr>
                <w:sz w:val="20"/>
                <w:szCs w:val="20"/>
              </w:rPr>
            </w:pPr>
            <w:r w:rsidRPr="00376AE6">
              <w:rPr>
                <w:color w:val="000000"/>
                <w:kern w:val="24"/>
                <w:sz w:val="20"/>
                <w:szCs w:val="20"/>
              </w:rPr>
              <w:t>0.8</w:t>
            </w:r>
          </w:p>
        </w:tc>
        <w:tc>
          <w:tcPr>
            <w:tcW w:w="520" w:type="dxa"/>
            <w:tcBorders>
              <w:top w:val="nil"/>
              <w:left w:val="single" w:sz="4" w:space="0" w:color="auto"/>
              <w:bottom w:val="nil"/>
              <w:right w:val="nil"/>
            </w:tcBorders>
            <w:tcMar>
              <w:top w:w="15" w:type="dxa"/>
              <w:left w:w="15" w:type="dxa"/>
              <w:bottom w:w="0" w:type="dxa"/>
              <w:right w:w="15" w:type="dxa"/>
            </w:tcMar>
            <w:vAlign w:val="bottom"/>
          </w:tcPr>
          <w:p w:rsidR="00DC207C" w:rsidRPr="00376AE6" w:rsidRDefault="00DC207C" w:rsidP="008D176A">
            <w:pPr>
              <w:jc w:val="right"/>
              <w:textAlignment w:val="bottom"/>
              <w:rPr>
                <w:b/>
                <w:sz w:val="20"/>
                <w:szCs w:val="20"/>
              </w:rPr>
            </w:pPr>
            <w:r w:rsidRPr="00376AE6">
              <w:rPr>
                <w:b/>
                <w:color w:val="000000"/>
                <w:kern w:val="24"/>
                <w:sz w:val="20"/>
                <w:szCs w:val="20"/>
              </w:rPr>
              <w:t>67.5</w:t>
            </w:r>
          </w:p>
        </w:tc>
        <w:tc>
          <w:tcPr>
            <w:tcW w:w="320" w:type="dxa"/>
            <w:tcBorders>
              <w:top w:val="single" w:sz="8" w:space="0" w:color="FFFFFF"/>
              <w:left w:val="nil"/>
              <w:bottom w:val="single" w:sz="8" w:space="0" w:color="FFFFFF"/>
              <w:right w:val="single" w:sz="8" w:space="0" w:color="FFFFFF"/>
            </w:tcBorders>
            <w:tcMar>
              <w:top w:w="9" w:type="dxa"/>
              <w:left w:w="9" w:type="dxa"/>
              <w:bottom w:w="0" w:type="dxa"/>
              <w:right w:w="9" w:type="dxa"/>
            </w:tcMar>
            <w:vAlign w:val="bottom"/>
          </w:tcPr>
          <w:p w:rsidR="00DC207C" w:rsidRPr="00376AE6" w:rsidRDefault="00DC207C" w:rsidP="008D176A">
            <w:pPr>
              <w:jc w:val="center"/>
              <w:textAlignment w:val="bottom"/>
              <w:rPr>
                <w:b/>
                <w:sz w:val="20"/>
                <w:szCs w:val="20"/>
              </w:rPr>
            </w:pPr>
            <w:r w:rsidRPr="00376AE6">
              <w:rPr>
                <w:b/>
                <w:color w:val="000000"/>
                <w:kern w:val="24"/>
                <w:sz w:val="20"/>
                <w:szCs w:val="20"/>
              </w:rPr>
              <w:t xml:space="preserve">± </w:t>
            </w:r>
          </w:p>
        </w:tc>
        <w:tc>
          <w:tcPr>
            <w:tcW w:w="480"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tcPr>
          <w:p w:rsidR="00DC207C" w:rsidRPr="00376AE6" w:rsidRDefault="00DC207C" w:rsidP="008D176A">
            <w:pPr>
              <w:textAlignment w:val="bottom"/>
              <w:rPr>
                <w:b/>
                <w:sz w:val="20"/>
                <w:szCs w:val="20"/>
              </w:rPr>
            </w:pPr>
            <w:r w:rsidRPr="00376AE6">
              <w:rPr>
                <w:b/>
                <w:color w:val="000000"/>
                <w:kern w:val="24"/>
                <w:sz w:val="20"/>
                <w:szCs w:val="20"/>
              </w:rPr>
              <w:t>0.9</w:t>
            </w:r>
          </w:p>
        </w:tc>
        <w:tc>
          <w:tcPr>
            <w:tcW w:w="480" w:type="dxa"/>
            <w:tcBorders>
              <w:top w:val="nil"/>
              <w:left w:val="single" w:sz="8" w:space="0" w:color="FFFFFF"/>
              <w:bottom w:val="nil"/>
              <w:right w:val="nil"/>
            </w:tcBorders>
            <w:tcMar>
              <w:top w:w="15" w:type="dxa"/>
              <w:left w:w="15" w:type="dxa"/>
              <w:bottom w:w="0" w:type="dxa"/>
              <w:right w:w="15" w:type="dxa"/>
            </w:tcMar>
            <w:vAlign w:val="bottom"/>
          </w:tcPr>
          <w:p w:rsidR="00DC207C" w:rsidRPr="00376AE6" w:rsidRDefault="00DC207C" w:rsidP="008D176A">
            <w:pPr>
              <w:jc w:val="right"/>
              <w:textAlignment w:val="bottom"/>
              <w:rPr>
                <w:b/>
                <w:sz w:val="20"/>
                <w:szCs w:val="20"/>
              </w:rPr>
            </w:pPr>
            <w:r w:rsidRPr="00376AE6">
              <w:rPr>
                <w:b/>
                <w:color w:val="000000"/>
                <w:kern w:val="24"/>
                <w:sz w:val="20"/>
                <w:szCs w:val="20"/>
              </w:rPr>
              <w:t>69.9</w:t>
            </w:r>
          </w:p>
        </w:tc>
        <w:tc>
          <w:tcPr>
            <w:tcW w:w="360" w:type="dxa"/>
            <w:tcBorders>
              <w:top w:val="single" w:sz="8" w:space="0" w:color="FFFFFF"/>
              <w:left w:val="nil"/>
              <w:bottom w:val="single" w:sz="8" w:space="0" w:color="FFFFFF"/>
              <w:right w:val="single" w:sz="8" w:space="0" w:color="FFFFFF"/>
            </w:tcBorders>
            <w:tcMar>
              <w:top w:w="9" w:type="dxa"/>
              <w:left w:w="9" w:type="dxa"/>
              <w:bottom w:w="0" w:type="dxa"/>
              <w:right w:w="9" w:type="dxa"/>
            </w:tcMar>
            <w:vAlign w:val="bottom"/>
          </w:tcPr>
          <w:p w:rsidR="00DC207C" w:rsidRPr="00376AE6" w:rsidRDefault="00DC207C" w:rsidP="008D176A">
            <w:pPr>
              <w:jc w:val="center"/>
              <w:textAlignment w:val="bottom"/>
              <w:rPr>
                <w:b/>
                <w:sz w:val="20"/>
                <w:szCs w:val="20"/>
              </w:rPr>
            </w:pPr>
            <w:r w:rsidRPr="00376AE6">
              <w:rPr>
                <w:b/>
                <w:color w:val="000000"/>
                <w:kern w:val="24"/>
                <w:sz w:val="20"/>
                <w:szCs w:val="20"/>
              </w:rPr>
              <w:t xml:space="preserve">± </w:t>
            </w:r>
          </w:p>
        </w:tc>
        <w:tc>
          <w:tcPr>
            <w:tcW w:w="480"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tcPr>
          <w:p w:rsidR="00DC207C" w:rsidRPr="00376AE6" w:rsidRDefault="00DC207C" w:rsidP="008D176A">
            <w:pPr>
              <w:textAlignment w:val="bottom"/>
              <w:rPr>
                <w:b/>
                <w:sz w:val="20"/>
                <w:szCs w:val="20"/>
              </w:rPr>
            </w:pPr>
            <w:r w:rsidRPr="00376AE6">
              <w:rPr>
                <w:b/>
                <w:color w:val="000000"/>
                <w:kern w:val="24"/>
                <w:sz w:val="20"/>
                <w:szCs w:val="20"/>
              </w:rPr>
              <w:t>0.5*</w:t>
            </w:r>
          </w:p>
        </w:tc>
      </w:tr>
      <w:tr w:rsidR="00DC207C" w:rsidRPr="00376AE6" w:rsidTr="00376AE6">
        <w:trPr>
          <w:trHeight w:val="20"/>
        </w:trPr>
        <w:tc>
          <w:tcPr>
            <w:tcW w:w="2970" w:type="dxa"/>
            <w:tcBorders>
              <w:left w:val="nil"/>
            </w:tcBorders>
            <w:tcMar>
              <w:top w:w="72" w:type="dxa"/>
              <w:left w:w="144" w:type="dxa"/>
              <w:bottom w:w="72" w:type="dxa"/>
              <w:right w:w="144" w:type="dxa"/>
            </w:tcMar>
          </w:tcPr>
          <w:p w:rsidR="00DC207C" w:rsidRPr="00376AE6" w:rsidRDefault="00DC207C" w:rsidP="008D176A">
            <w:pPr>
              <w:rPr>
                <w:sz w:val="20"/>
                <w:szCs w:val="20"/>
              </w:rPr>
            </w:pPr>
            <w:r w:rsidRPr="00376AE6">
              <w:rPr>
                <w:bCs/>
                <w:color w:val="000000"/>
                <w:kern w:val="24"/>
                <w:sz w:val="20"/>
                <w:szCs w:val="20"/>
              </w:rPr>
              <w:t xml:space="preserve">           Cellulose/Glucan </w:t>
            </w:r>
          </w:p>
        </w:tc>
        <w:tc>
          <w:tcPr>
            <w:tcW w:w="400" w:type="dxa"/>
            <w:tcMar>
              <w:top w:w="15" w:type="dxa"/>
              <w:left w:w="15" w:type="dxa"/>
              <w:bottom w:w="0" w:type="dxa"/>
              <w:right w:w="15" w:type="dxa"/>
            </w:tcMar>
            <w:vAlign w:val="bottom"/>
          </w:tcPr>
          <w:p w:rsidR="00DC207C" w:rsidRPr="00376AE6" w:rsidRDefault="00DC207C" w:rsidP="008D176A">
            <w:pPr>
              <w:jc w:val="right"/>
              <w:textAlignment w:val="bottom"/>
              <w:rPr>
                <w:sz w:val="20"/>
                <w:szCs w:val="20"/>
              </w:rPr>
            </w:pPr>
            <w:r w:rsidRPr="00376AE6">
              <w:rPr>
                <w:color w:val="000000"/>
                <w:kern w:val="24"/>
                <w:sz w:val="20"/>
                <w:szCs w:val="20"/>
              </w:rPr>
              <w:t>39.0</w:t>
            </w:r>
          </w:p>
        </w:tc>
        <w:tc>
          <w:tcPr>
            <w:tcW w:w="320" w:type="dxa"/>
            <w:tcMar>
              <w:top w:w="9" w:type="dxa"/>
              <w:left w:w="9" w:type="dxa"/>
              <w:bottom w:w="0" w:type="dxa"/>
              <w:right w:w="9" w:type="dxa"/>
            </w:tcMar>
            <w:vAlign w:val="bottom"/>
          </w:tcPr>
          <w:p w:rsidR="00DC207C" w:rsidRPr="00376AE6" w:rsidRDefault="00DC207C" w:rsidP="008D176A">
            <w:pPr>
              <w:jc w:val="center"/>
              <w:textAlignment w:val="bottom"/>
              <w:rPr>
                <w:sz w:val="20"/>
                <w:szCs w:val="20"/>
              </w:rPr>
            </w:pPr>
            <w:r w:rsidRPr="00376AE6">
              <w:rPr>
                <w:color w:val="000000"/>
                <w:kern w:val="24"/>
                <w:sz w:val="20"/>
                <w:szCs w:val="20"/>
              </w:rPr>
              <w:t xml:space="preserve">± </w:t>
            </w:r>
          </w:p>
        </w:tc>
        <w:tc>
          <w:tcPr>
            <w:tcW w:w="600" w:type="dxa"/>
            <w:tcMar>
              <w:top w:w="15" w:type="dxa"/>
              <w:left w:w="15" w:type="dxa"/>
              <w:bottom w:w="0" w:type="dxa"/>
              <w:right w:w="15" w:type="dxa"/>
            </w:tcMar>
            <w:vAlign w:val="bottom"/>
          </w:tcPr>
          <w:p w:rsidR="00DC207C" w:rsidRPr="00376AE6" w:rsidRDefault="00DC207C" w:rsidP="008D176A">
            <w:pPr>
              <w:textAlignment w:val="bottom"/>
              <w:rPr>
                <w:sz w:val="20"/>
                <w:szCs w:val="20"/>
              </w:rPr>
            </w:pPr>
            <w:r w:rsidRPr="00376AE6">
              <w:rPr>
                <w:color w:val="000000"/>
                <w:kern w:val="24"/>
                <w:sz w:val="20"/>
                <w:szCs w:val="20"/>
              </w:rPr>
              <w:t xml:space="preserve">0.4 </w:t>
            </w:r>
          </w:p>
        </w:tc>
        <w:tc>
          <w:tcPr>
            <w:tcW w:w="400" w:type="dxa"/>
            <w:tcMar>
              <w:top w:w="15" w:type="dxa"/>
              <w:left w:w="15" w:type="dxa"/>
              <w:bottom w:w="0" w:type="dxa"/>
              <w:right w:w="15" w:type="dxa"/>
            </w:tcMar>
            <w:vAlign w:val="bottom"/>
          </w:tcPr>
          <w:p w:rsidR="00DC207C" w:rsidRPr="00376AE6" w:rsidRDefault="00DC207C" w:rsidP="008D176A">
            <w:pPr>
              <w:jc w:val="right"/>
              <w:textAlignment w:val="bottom"/>
              <w:rPr>
                <w:sz w:val="20"/>
                <w:szCs w:val="20"/>
              </w:rPr>
            </w:pPr>
            <w:r w:rsidRPr="00376AE6">
              <w:rPr>
                <w:color w:val="000000"/>
                <w:kern w:val="24"/>
                <w:sz w:val="20"/>
                <w:szCs w:val="20"/>
              </w:rPr>
              <w:t>39.1</w:t>
            </w:r>
          </w:p>
        </w:tc>
        <w:tc>
          <w:tcPr>
            <w:tcW w:w="320" w:type="dxa"/>
            <w:tcMar>
              <w:top w:w="9" w:type="dxa"/>
              <w:left w:w="9" w:type="dxa"/>
              <w:bottom w:w="0" w:type="dxa"/>
              <w:right w:w="9" w:type="dxa"/>
            </w:tcMar>
            <w:vAlign w:val="bottom"/>
          </w:tcPr>
          <w:p w:rsidR="00DC207C" w:rsidRPr="00376AE6" w:rsidRDefault="00DC207C" w:rsidP="008D176A">
            <w:pPr>
              <w:jc w:val="center"/>
              <w:textAlignment w:val="bottom"/>
              <w:rPr>
                <w:sz w:val="20"/>
                <w:szCs w:val="20"/>
              </w:rPr>
            </w:pPr>
            <w:r w:rsidRPr="00376AE6">
              <w:rPr>
                <w:color w:val="000000"/>
                <w:kern w:val="24"/>
                <w:sz w:val="20"/>
                <w:szCs w:val="20"/>
              </w:rPr>
              <w:t xml:space="preserve">± </w:t>
            </w:r>
          </w:p>
        </w:tc>
        <w:tc>
          <w:tcPr>
            <w:tcW w:w="600" w:type="dxa"/>
            <w:tcBorders>
              <w:right w:val="single" w:sz="4" w:space="0" w:color="auto"/>
            </w:tcBorders>
            <w:tcMar>
              <w:top w:w="15" w:type="dxa"/>
              <w:left w:w="15" w:type="dxa"/>
              <w:bottom w:w="0" w:type="dxa"/>
              <w:right w:w="15" w:type="dxa"/>
            </w:tcMar>
            <w:vAlign w:val="bottom"/>
          </w:tcPr>
          <w:p w:rsidR="00DC207C" w:rsidRPr="00376AE6" w:rsidRDefault="00DC207C" w:rsidP="008D176A">
            <w:pPr>
              <w:textAlignment w:val="bottom"/>
              <w:rPr>
                <w:sz w:val="20"/>
                <w:szCs w:val="20"/>
              </w:rPr>
            </w:pPr>
            <w:r w:rsidRPr="00376AE6">
              <w:rPr>
                <w:color w:val="000000"/>
                <w:kern w:val="24"/>
                <w:sz w:val="20"/>
                <w:szCs w:val="20"/>
              </w:rPr>
              <w:t>0.4</w:t>
            </w:r>
          </w:p>
        </w:tc>
        <w:tc>
          <w:tcPr>
            <w:tcW w:w="520" w:type="dxa"/>
            <w:tcBorders>
              <w:top w:val="nil"/>
              <w:left w:val="single" w:sz="4" w:space="0" w:color="auto"/>
              <w:bottom w:val="nil"/>
              <w:right w:val="nil"/>
            </w:tcBorders>
            <w:tcMar>
              <w:top w:w="15" w:type="dxa"/>
              <w:left w:w="15" w:type="dxa"/>
              <w:bottom w:w="0" w:type="dxa"/>
              <w:right w:w="15" w:type="dxa"/>
            </w:tcMar>
            <w:vAlign w:val="bottom"/>
          </w:tcPr>
          <w:p w:rsidR="00DC207C" w:rsidRPr="00376AE6" w:rsidRDefault="00DC207C" w:rsidP="008D176A">
            <w:pPr>
              <w:jc w:val="right"/>
              <w:textAlignment w:val="bottom"/>
              <w:rPr>
                <w:sz w:val="20"/>
                <w:szCs w:val="20"/>
              </w:rPr>
            </w:pPr>
            <w:r w:rsidRPr="00376AE6">
              <w:rPr>
                <w:color w:val="000000"/>
                <w:kern w:val="24"/>
                <w:sz w:val="20"/>
                <w:szCs w:val="20"/>
              </w:rPr>
              <w:t>37.8</w:t>
            </w:r>
          </w:p>
        </w:tc>
        <w:tc>
          <w:tcPr>
            <w:tcW w:w="320" w:type="dxa"/>
            <w:tcBorders>
              <w:top w:val="single" w:sz="8" w:space="0" w:color="FFFFFF"/>
              <w:left w:val="nil"/>
              <w:bottom w:val="single" w:sz="8" w:space="0" w:color="FFFFFF"/>
              <w:right w:val="single" w:sz="8" w:space="0" w:color="FFFFFF"/>
            </w:tcBorders>
            <w:tcMar>
              <w:top w:w="9" w:type="dxa"/>
              <w:left w:w="9" w:type="dxa"/>
              <w:bottom w:w="0" w:type="dxa"/>
              <w:right w:w="9" w:type="dxa"/>
            </w:tcMar>
            <w:vAlign w:val="bottom"/>
          </w:tcPr>
          <w:p w:rsidR="00DC207C" w:rsidRPr="00376AE6" w:rsidRDefault="00DC207C" w:rsidP="008D176A">
            <w:pPr>
              <w:jc w:val="center"/>
              <w:textAlignment w:val="bottom"/>
              <w:rPr>
                <w:sz w:val="20"/>
                <w:szCs w:val="20"/>
              </w:rPr>
            </w:pPr>
            <w:r w:rsidRPr="00376AE6">
              <w:rPr>
                <w:color w:val="000000"/>
                <w:kern w:val="24"/>
                <w:sz w:val="20"/>
                <w:szCs w:val="20"/>
              </w:rPr>
              <w:t xml:space="preserve">± </w:t>
            </w:r>
          </w:p>
        </w:tc>
        <w:tc>
          <w:tcPr>
            <w:tcW w:w="480"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tcPr>
          <w:p w:rsidR="00DC207C" w:rsidRPr="00376AE6" w:rsidRDefault="00DC207C" w:rsidP="008D176A">
            <w:pPr>
              <w:textAlignment w:val="bottom"/>
              <w:rPr>
                <w:sz w:val="20"/>
                <w:szCs w:val="20"/>
              </w:rPr>
            </w:pPr>
            <w:r w:rsidRPr="00376AE6">
              <w:rPr>
                <w:color w:val="000000"/>
                <w:kern w:val="24"/>
                <w:sz w:val="20"/>
                <w:szCs w:val="20"/>
              </w:rPr>
              <w:t>0.6</w:t>
            </w:r>
          </w:p>
        </w:tc>
        <w:tc>
          <w:tcPr>
            <w:tcW w:w="480" w:type="dxa"/>
            <w:tcBorders>
              <w:top w:val="nil"/>
              <w:left w:val="single" w:sz="8" w:space="0" w:color="FFFFFF"/>
              <w:bottom w:val="nil"/>
              <w:right w:val="nil"/>
            </w:tcBorders>
            <w:tcMar>
              <w:top w:w="15" w:type="dxa"/>
              <w:left w:w="15" w:type="dxa"/>
              <w:bottom w:w="0" w:type="dxa"/>
              <w:right w:w="15" w:type="dxa"/>
            </w:tcMar>
            <w:vAlign w:val="bottom"/>
          </w:tcPr>
          <w:p w:rsidR="00DC207C" w:rsidRPr="00376AE6" w:rsidRDefault="00DC207C" w:rsidP="008D176A">
            <w:pPr>
              <w:jc w:val="right"/>
              <w:textAlignment w:val="bottom"/>
              <w:rPr>
                <w:sz w:val="20"/>
                <w:szCs w:val="20"/>
              </w:rPr>
            </w:pPr>
            <w:r w:rsidRPr="00376AE6">
              <w:rPr>
                <w:color w:val="000000"/>
                <w:kern w:val="24"/>
                <w:sz w:val="20"/>
                <w:szCs w:val="20"/>
              </w:rPr>
              <w:t>38.0</w:t>
            </w:r>
          </w:p>
        </w:tc>
        <w:tc>
          <w:tcPr>
            <w:tcW w:w="360" w:type="dxa"/>
            <w:tcBorders>
              <w:top w:val="single" w:sz="8" w:space="0" w:color="FFFFFF"/>
              <w:left w:val="nil"/>
              <w:bottom w:val="single" w:sz="8" w:space="0" w:color="FFFFFF"/>
              <w:right w:val="single" w:sz="8" w:space="0" w:color="FFFFFF"/>
            </w:tcBorders>
            <w:tcMar>
              <w:top w:w="9" w:type="dxa"/>
              <w:left w:w="9" w:type="dxa"/>
              <w:bottom w:w="0" w:type="dxa"/>
              <w:right w:w="9" w:type="dxa"/>
            </w:tcMar>
            <w:vAlign w:val="bottom"/>
          </w:tcPr>
          <w:p w:rsidR="00DC207C" w:rsidRPr="00376AE6" w:rsidRDefault="00DC207C" w:rsidP="008D176A">
            <w:pPr>
              <w:jc w:val="center"/>
              <w:textAlignment w:val="bottom"/>
              <w:rPr>
                <w:sz w:val="20"/>
                <w:szCs w:val="20"/>
              </w:rPr>
            </w:pPr>
            <w:r w:rsidRPr="00376AE6">
              <w:rPr>
                <w:color w:val="000000"/>
                <w:kern w:val="24"/>
                <w:sz w:val="20"/>
                <w:szCs w:val="20"/>
              </w:rPr>
              <w:t xml:space="preserve">± </w:t>
            </w:r>
          </w:p>
        </w:tc>
        <w:tc>
          <w:tcPr>
            <w:tcW w:w="480"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tcPr>
          <w:p w:rsidR="00DC207C" w:rsidRPr="00376AE6" w:rsidRDefault="00DC207C" w:rsidP="008D176A">
            <w:pPr>
              <w:textAlignment w:val="bottom"/>
              <w:rPr>
                <w:sz w:val="20"/>
                <w:szCs w:val="20"/>
              </w:rPr>
            </w:pPr>
            <w:r w:rsidRPr="00376AE6">
              <w:rPr>
                <w:color w:val="000000"/>
                <w:kern w:val="24"/>
                <w:sz w:val="20"/>
                <w:szCs w:val="20"/>
              </w:rPr>
              <w:t>0.4</w:t>
            </w:r>
          </w:p>
        </w:tc>
      </w:tr>
      <w:tr w:rsidR="00DC207C" w:rsidRPr="00376AE6" w:rsidTr="00376AE6">
        <w:trPr>
          <w:trHeight w:val="20"/>
        </w:trPr>
        <w:tc>
          <w:tcPr>
            <w:tcW w:w="2970" w:type="dxa"/>
            <w:tcBorders>
              <w:left w:val="nil"/>
            </w:tcBorders>
            <w:tcMar>
              <w:top w:w="72" w:type="dxa"/>
              <w:left w:w="144" w:type="dxa"/>
              <w:bottom w:w="72" w:type="dxa"/>
              <w:right w:w="144" w:type="dxa"/>
            </w:tcMar>
          </w:tcPr>
          <w:p w:rsidR="00DC207C" w:rsidRPr="00376AE6" w:rsidRDefault="00DC207C" w:rsidP="008D176A">
            <w:pPr>
              <w:rPr>
                <w:sz w:val="20"/>
                <w:szCs w:val="20"/>
              </w:rPr>
            </w:pPr>
            <w:r w:rsidRPr="00376AE6">
              <w:rPr>
                <w:bCs/>
                <w:color w:val="000000"/>
                <w:kern w:val="24"/>
                <w:sz w:val="20"/>
                <w:szCs w:val="20"/>
              </w:rPr>
              <w:t xml:space="preserve">           Hemicellulose </w:t>
            </w:r>
          </w:p>
        </w:tc>
        <w:tc>
          <w:tcPr>
            <w:tcW w:w="400" w:type="dxa"/>
            <w:tcMar>
              <w:top w:w="15" w:type="dxa"/>
              <w:left w:w="15" w:type="dxa"/>
              <w:bottom w:w="0" w:type="dxa"/>
              <w:right w:w="15" w:type="dxa"/>
            </w:tcMar>
            <w:vAlign w:val="bottom"/>
          </w:tcPr>
          <w:p w:rsidR="00DC207C" w:rsidRPr="00376AE6" w:rsidRDefault="00DC207C" w:rsidP="008D176A">
            <w:pPr>
              <w:jc w:val="right"/>
              <w:textAlignment w:val="bottom"/>
              <w:rPr>
                <w:b/>
                <w:sz w:val="20"/>
                <w:szCs w:val="20"/>
              </w:rPr>
            </w:pPr>
            <w:r w:rsidRPr="00376AE6">
              <w:rPr>
                <w:b/>
                <w:color w:val="000000"/>
                <w:kern w:val="24"/>
                <w:sz w:val="20"/>
                <w:szCs w:val="20"/>
              </w:rPr>
              <w:t>29.9</w:t>
            </w:r>
          </w:p>
        </w:tc>
        <w:tc>
          <w:tcPr>
            <w:tcW w:w="320" w:type="dxa"/>
            <w:tcMar>
              <w:top w:w="9" w:type="dxa"/>
              <w:left w:w="9" w:type="dxa"/>
              <w:bottom w:w="0" w:type="dxa"/>
              <w:right w:w="9" w:type="dxa"/>
            </w:tcMar>
            <w:vAlign w:val="bottom"/>
          </w:tcPr>
          <w:p w:rsidR="00DC207C" w:rsidRPr="00376AE6" w:rsidRDefault="00DC207C" w:rsidP="008D176A">
            <w:pPr>
              <w:jc w:val="center"/>
              <w:textAlignment w:val="bottom"/>
              <w:rPr>
                <w:b/>
                <w:sz w:val="20"/>
                <w:szCs w:val="20"/>
              </w:rPr>
            </w:pPr>
            <w:r w:rsidRPr="00376AE6">
              <w:rPr>
                <w:b/>
                <w:color w:val="000000"/>
                <w:kern w:val="24"/>
                <w:sz w:val="20"/>
                <w:szCs w:val="20"/>
              </w:rPr>
              <w:t xml:space="preserve">± </w:t>
            </w:r>
          </w:p>
        </w:tc>
        <w:tc>
          <w:tcPr>
            <w:tcW w:w="600" w:type="dxa"/>
            <w:tcMar>
              <w:top w:w="15" w:type="dxa"/>
              <w:left w:w="15" w:type="dxa"/>
              <w:bottom w:w="0" w:type="dxa"/>
              <w:right w:w="15" w:type="dxa"/>
            </w:tcMar>
            <w:vAlign w:val="bottom"/>
          </w:tcPr>
          <w:p w:rsidR="00DC207C" w:rsidRPr="00376AE6" w:rsidRDefault="00DC207C" w:rsidP="008D176A">
            <w:pPr>
              <w:textAlignment w:val="bottom"/>
              <w:rPr>
                <w:b/>
                <w:sz w:val="20"/>
                <w:szCs w:val="20"/>
              </w:rPr>
            </w:pPr>
            <w:r w:rsidRPr="00376AE6">
              <w:rPr>
                <w:b/>
                <w:color w:val="000000"/>
                <w:kern w:val="24"/>
                <w:sz w:val="20"/>
                <w:szCs w:val="20"/>
              </w:rPr>
              <w:t>0.2</w:t>
            </w:r>
          </w:p>
        </w:tc>
        <w:tc>
          <w:tcPr>
            <w:tcW w:w="400" w:type="dxa"/>
            <w:tcMar>
              <w:top w:w="15" w:type="dxa"/>
              <w:left w:w="15" w:type="dxa"/>
              <w:bottom w:w="0" w:type="dxa"/>
              <w:right w:w="15" w:type="dxa"/>
            </w:tcMar>
            <w:vAlign w:val="bottom"/>
          </w:tcPr>
          <w:p w:rsidR="00DC207C" w:rsidRPr="00376AE6" w:rsidRDefault="00DC207C" w:rsidP="008D176A">
            <w:pPr>
              <w:jc w:val="right"/>
              <w:textAlignment w:val="bottom"/>
              <w:rPr>
                <w:b/>
                <w:sz w:val="20"/>
                <w:szCs w:val="20"/>
              </w:rPr>
            </w:pPr>
            <w:r w:rsidRPr="00376AE6">
              <w:rPr>
                <w:b/>
                <w:color w:val="000000"/>
                <w:kern w:val="24"/>
                <w:sz w:val="20"/>
                <w:szCs w:val="20"/>
              </w:rPr>
              <w:t>31.8</w:t>
            </w:r>
          </w:p>
        </w:tc>
        <w:tc>
          <w:tcPr>
            <w:tcW w:w="320" w:type="dxa"/>
            <w:tcMar>
              <w:top w:w="9" w:type="dxa"/>
              <w:left w:w="9" w:type="dxa"/>
              <w:bottom w:w="0" w:type="dxa"/>
              <w:right w:w="9" w:type="dxa"/>
            </w:tcMar>
            <w:vAlign w:val="bottom"/>
          </w:tcPr>
          <w:p w:rsidR="00DC207C" w:rsidRPr="00376AE6" w:rsidRDefault="00DC207C" w:rsidP="008D176A">
            <w:pPr>
              <w:jc w:val="center"/>
              <w:textAlignment w:val="bottom"/>
              <w:rPr>
                <w:b/>
                <w:sz w:val="20"/>
                <w:szCs w:val="20"/>
              </w:rPr>
            </w:pPr>
            <w:r w:rsidRPr="00376AE6">
              <w:rPr>
                <w:b/>
                <w:color w:val="000000"/>
                <w:kern w:val="24"/>
                <w:sz w:val="20"/>
                <w:szCs w:val="20"/>
              </w:rPr>
              <w:t xml:space="preserve">± </w:t>
            </w:r>
          </w:p>
        </w:tc>
        <w:tc>
          <w:tcPr>
            <w:tcW w:w="600" w:type="dxa"/>
            <w:tcBorders>
              <w:right w:val="single" w:sz="4" w:space="0" w:color="auto"/>
            </w:tcBorders>
            <w:tcMar>
              <w:top w:w="15" w:type="dxa"/>
              <w:left w:w="15" w:type="dxa"/>
              <w:bottom w:w="0" w:type="dxa"/>
              <w:right w:w="15" w:type="dxa"/>
            </w:tcMar>
            <w:vAlign w:val="bottom"/>
          </w:tcPr>
          <w:p w:rsidR="00DC207C" w:rsidRPr="00376AE6" w:rsidRDefault="00DC207C" w:rsidP="008D176A">
            <w:pPr>
              <w:textAlignment w:val="bottom"/>
              <w:rPr>
                <w:b/>
                <w:sz w:val="20"/>
                <w:szCs w:val="20"/>
              </w:rPr>
            </w:pPr>
            <w:r w:rsidRPr="00376AE6">
              <w:rPr>
                <w:b/>
                <w:color w:val="000000"/>
                <w:kern w:val="24"/>
                <w:sz w:val="20"/>
                <w:szCs w:val="20"/>
              </w:rPr>
              <w:t>0.4*</w:t>
            </w:r>
          </w:p>
        </w:tc>
        <w:tc>
          <w:tcPr>
            <w:tcW w:w="520" w:type="dxa"/>
            <w:tcBorders>
              <w:top w:val="nil"/>
              <w:left w:val="single" w:sz="4" w:space="0" w:color="auto"/>
              <w:bottom w:val="nil"/>
              <w:right w:val="nil"/>
            </w:tcBorders>
            <w:tcMar>
              <w:top w:w="15" w:type="dxa"/>
              <w:left w:w="15" w:type="dxa"/>
              <w:bottom w:w="0" w:type="dxa"/>
              <w:right w:w="15" w:type="dxa"/>
            </w:tcMar>
            <w:vAlign w:val="bottom"/>
          </w:tcPr>
          <w:p w:rsidR="00DC207C" w:rsidRPr="00376AE6" w:rsidRDefault="00DC207C" w:rsidP="008D176A">
            <w:pPr>
              <w:jc w:val="right"/>
              <w:textAlignment w:val="bottom"/>
              <w:rPr>
                <w:b/>
                <w:sz w:val="20"/>
                <w:szCs w:val="20"/>
              </w:rPr>
            </w:pPr>
            <w:r w:rsidRPr="00376AE6">
              <w:rPr>
                <w:b/>
                <w:color w:val="000000"/>
                <w:kern w:val="24"/>
                <w:sz w:val="20"/>
                <w:szCs w:val="20"/>
              </w:rPr>
              <w:t>29.7</w:t>
            </w:r>
          </w:p>
        </w:tc>
        <w:tc>
          <w:tcPr>
            <w:tcW w:w="320" w:type="dxa"/>
            <w:tcBorders>
              <w:top w:val="single" w:sz="8" w:space="0" w:color="FFFFFF"/>
              <w:left w:val="nil"/>
              <w:bottom w:val="single" w:sz="8" w:space="0" w:color="FFFFFF"/>
              <w:right w:val="single" w:sz="8" w:space="0" w:color="FFFFFF"/>
            </w:tcBorders>
            <w:tcMar>
              <w:top w:w="9" w:type="dxa"/>
              <w:left w:w="9" w:type="dxa"/>
              <w:bottom w:w="0" w:type="dxa"/>
              <w:right w:w="9" w:type="dxa"/>
            </w:tcMar>
            <w:vAlign w:val="bottom"/>
          </w:tcPr>
          <w:p w:rsidR="00DC207C" w:rsidRPr="00376AE6" w:rsidRDefault="00DC207C" w:rsidP="008D176A">
            <w:pPr>
              <w:jc w:val="center"/>
              <w:textAlignment w:val="bottom"/>
              <w:rPr>
                <w:b/>
                <w:sz w:val="20"/>
                <w:szCs w:val="20"/>
              </w:rPr>
            </w:pPr>
            <w:r w:rsidRPr="00376AE6">
              <w:rPr>
                <w:b/>
                <w:color w:val="000000"/>
                <w:kern w:val="24"/>
                <w:sz w:val="20"/>
                <w:szCs w:val="20"/>
              </w:rPr>
              <w:t xml:space="preserve">± </w:t>
            </w:r>
          </w:p>
        </w:tc>
        <w:tc>
          <w:tcPr>
            <w:tcW w:w="480"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tcPr>
          <w:p w:rsidR="00DC207C" w:rsidRPr="00376AE6" w:rsidRDefault="00DC207C" w:rsidP="008D176A">
            <w:pPr>
              <w:textAlignment w:val="bottom"/>
              <w:rPr>
                <w:b/>
                <w:sz w:val="20"/>
                <w:szCs w:val="20"/>
              </w:rPr>
            </w:pPr>
            <w:r w:rsidRPr="00376AE6">
              <w:rPr>
                <w:b/>
                <w:color w:val="000000"/>
                <w:kern w:val="24"/>
                <w:sz w:val="20"/>
                <w:szCs w:val="20"/>
              </w:rPr>
              <w:t xml:space="preserve">0.4 </w:t>
            </w:r>
          </w:p>
        </w:tc>
        <w:tc>
          <w:tcPr>
            <w:tcW w:w="480" w:type="dxa"/>
            <w:tcBorders>
              <w:top w:val="nil"/>
              <w:left w:val="single" w:sz="8" w:space="0" w:color="FFFFFF"/>
              <w:bottom w:val="nil"/>
              <w:right w:val="nil"/>
            </w:tcBorders>
            <w:tcMar>
              <w:top w:w="15" w:type="dxa"/>
              <w:left w:w="15" w:type="dxa"/>
              <w:bottom w:w="0" w:type="dxa"/>
              <w:right w:w="15" w:type="dxa"/>
            </w:tcMar>
            <w:vAlign w:val="bottom"/>
          </w:tcPr>
          <w:p w:rsidR="00DC207C" w:rsidRPr="00376AE6" w:rsidRDefault="00DC207C" w:rsidP="008D176A">
            <w:pPr>
              <w:jc w:val="right"/>
              <w:textAlignment w:val="bottom"/>
              <w:rPr>
                <w:b/>
                <w:sz w:val="20"/>
                <w:szCs w:val="20"/>
              </w:rPr>
            </w:pPr>
            <w:r w:rsidRPr="00376AE6">
              <w:rPr>
                <w:b/>
                <w:color w:val="000000"/>
                <w:kern w:val="24"/>
                <w:sz w:val="20"/>
                <w:szCs w:val="20"/>
              </w:rPr>
              <w:t>31.9</w:t>
            </w:r>
          </w:p>
        </w:tc>
        <w:tc>
          <w:tcPr>
            <w:tcW w:w="360" w:type="dxa"/>
            <w:tcBorders>
              <w:top w:val="single" w:sz="8" w:space="0" w:color="FFFFFF"/>
              <w:left w:val="nil"/>
              <w:bottom w:val="single" w:sz="8" w:space="0" w:color="FFFFFF"/>
              <w:right w:val="single" w:sz="8" w:space="0" w:color="FFFFFF"/>
            </w:tcBorders>
            <w:tcMar>
              <w:top w:w="9" w:type="dxa"/>
              <w:left w:w="9" w:type="dxa"/>
              <w:bottom w:w="0" w:type="dxa"/>
              <w:right w:w="9" w:type="dxa"/>
            </w:tcMar>
            <w:vAlign w:val="bottom"/>
          </w:tcPr>
          <w:p w:rsidR="00DC207C" w:rsidRPr="00376AE6" w:rsidRDefault="00DC207C" w:rsidP="008D176A">
            <w:pPr>
              <w:jc w:val="center"/>
              <w:textAlignment w:val="bottom"/>
              <w:rPr>
                <w:b/>
                <w:sz w:val="20"/>
                <w:szCs w:val="20"/>
              </w:rPr>
            </w:pPr>
            <w:r w:rsidRPr="00376AE6">
              <w:rPr>
                <w:b/>
                <w:color w:val="000000"/>
                <w:kern w:val="24"/>
                <w:sz w:val="20"/>
                <w:szCs w:val="20"/>
              </w:rPr>
              <w:t xml:space="preserve">± </w:t>
            </w:r>
          </w:p>
        </w:tc>
        <w:tc>
          <w:tcPr>
            <w:tcW w:w="480"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tcPr>
          <w:p w:rsidR="00DC207C" w:rsidRPr="00376AE6" w:rsidRDefault="00DC207C" w:rsidP="008D176A">
            <w:pPr>
              <w:textAlignment w:val="bottom"/>
              <w:rPr>
                <w:b/>
                <w:sz w:val="20"/>
                <w:szCs w:val="20"/>
              </w:rPr>
            </w:pPr>
            <w:r w:rsidRPr="00376AE6">
              <w:rPr>
                <w:b/>
                <w:color w:val="000000"/>
                <w:kern w:val="24"/>
                <w:sz w:val="20"/>
                <w:szCs w:val="20"/>
              </w:rPr>
              <w:t>0.2*</w:t>
            </w:r>
          </w:p>
        </w:tc>
      </w:tr>
      <w:tr w:rsidR="00DC207C" w:rsidRPr="00376AE6" w:rsidTr="00376AE6">
        <w:trPr>
          <w:trHeight w:val="20"/>
        </w:trPr>
        <w:tc>
          <w:tcPr>
            <w:tcW w:w="2970" w:type="dxa"/>
            <w:tcBorders>
              <w:left w:val="nil"/>
            </w:tcBorders>
            <w:tcMar>
              <w:top w:w="72" w:type="dxa"/>
              <w:left w:w="144" w:type="dxa"/>
              <w:bottom w:w="72" w:type="dxa"/>
              <w:right w:w="144" w:type="dxa"/>
            </w:tcMar>
          </w:tcPr>
          <w:p w:rsidR="00DC207C" w:rsidRPr="00376AE6" w:rsidRDefault="00DC207C" w:rsidP="008D176A">
            <w:pPr>
              <w:rPr>
                <w:sz w:val="20"/>
                <w:szCs w:val="20"/>
              </w:rPr>
            </w:pPr>
            <w:r w:rsidRPr="00376AE6">
              <w:rPr>
                <w:bCs/>
                <w:color w:val="000000"/>
                <w:kern w:val="24"/>
                <w:sz w:val="20"/>
                <w:szCs w:val="20"/>
              </w:rPr>
              <w:t xml:space="preserve">                 Xylan </w:t>
            </w:r>
          </w:p>
        </w:tc>
        <w:tc>
          <w:tcPr>
            <w:tcW w:w="400" w:type="dxa"/>
            <w:tcMar>
              <w:top w:w="15" w:type="dxa"/>
              <w:left w:w="15" w:type="dxa"/>
              <w:bottom w:w="0" w:type="dxa"/>
              <w:right w:w="15" w:type="dxa"/>
            </w:tcMar>
            <w:vAlign w:val="bottom"/>
          </w:tcPr>
          <w:p w:rsidR="00DC207C" w:rsidRPr="00376AE6" w:rsidRDefault="00DC207C" w:rsidP="008D176A">
            <w:pPr>
              <w:jc w:val="right"/>
              <w:textAlignment w:val="bottom"/>
              <w:rPr>
                <w:b/>
                <w:sz w:val="20"/>
                <w:szCs w:val="20"/>
              </w:rPr>
            </w:pPr>
            <w:r w:rsidRPr="00376AE6">
              <w:rPr>
                <w:b/>
                <w:color w:val="000000"/>
                <w:kern w:val="24"/>
                <w:sz w:val="20"/>
                <w:szCs w:val="20"/>
              </w:rPr>
              <w:t>26.1</w:t>
            </w:r>
          </w:p>
        </w:tc>
        <w:tc>
          <w:tcPr>
            <w:tcW w:w="320" w:type="dxa"/>
            <w:tcMar>
              <w:top w:w="9" w:type="dxa"/>
              <w:left w:w="9" w:type="dxa"/>
              <w:bottom w:w="0" w:type="dxa"/>
              <w:right w:w="9" w:type="dxa"/>
            </w:tcMar>
            <w:vAlign w:val="bottom"/>
          </w:tcPr>
          <w:p w:rsidR="00DC207C" w:rsidRPr="00376AE6" w:rsidRDefault="00DC207C" w:rsidP="008D176A">
            <w:pPr>
              <w:jc w:val="center"/>
              <w:textAlignment w:val="bottom"/>
              <w:rPr>
                <w:b/>
                <w:sz w:val="20"/>
                <w:szCs w:val="20"/>
              </w:rPr>
            </w:pPr>
            <w:r w:rsidRPr="00376AE6">
              <w:rPr>
                <w:b/>
                <w:color w:val="000000"/>
                <w:kern w:val="24"/>
                <w:sz w:val="20"/>
                <w:szCs w:val="20"/>
              </w:rPr>
              <w:t xml:space="preserve">± </w:t>
            </w:r>
          </w:p>
        </w:tc>
        <w:tc>
          <w:tcPr>
            <w:tcW w:w="600" w:type="dxa"/>
            <w:tcMar>
              <w:top w:w="15" w:type="dxa"/>
              <w:left w:w="15" w:type="dxa"/>
              <w:bottom w:w="0" w:type="dxa"/>
              <w:right w:w="15" w:type="dxa"/>
            </w:tcMar>
            <w:vAlign w:val="bottom"/>
          </w:tcPr>
          <w:p w:rsidR="00DC207C" w:rsidRPr="00376AE6" w:rsidRDefault="00DC207C" w:rsidP="008D176A">
            <w:pPr>
              <w:textAlignment w:val="bottom"/>
              <w:rPr>
                <w:b/>
                <w:sz w:val="20"/>
                <w:szCs w:val="20"/>
              </w:rPr>
            </w:pPr>
            <w:r w:rsidRPr="00376AE6">
              <w:rPr>
                <w:b/>
                <w:color w:val="000000"/>
                <w:kern w:val="24"/>
                <w:sz w:val="20"/>
                <w:szCs w:val="20"/>
              </w:rPr>
              <w:t>0.3</w:t>
            </w:r>
          </w:p>
        </w:tc>
        <w:tc>
          <w:tcPr>
            <w:tcW w:w="400" w:type="dxa"/>
            <w:tcMar>
              <w:top w:w="15" w:type="dxa"/>
              <w:left w:w="15" w:type="dxa"/>
              <w:bottom w:w="0" w:type="dxa"/>
              <w:right w:w="15" w:type="dxa"/>
            </w:tcMar>
            <w:vAlign w:val="bottom"/>
          </w:tcPr>
          <w:p w:rsidR="00DC207C" w:rsidRPr="00376AE6" w:rsidRDefault="00DC207C" w:rsidP="008D176A">
            <w:pPr>
              <w:jc w:val="right"/>
              <w:textAlignment w:val="bottom"/>
              <w:rPr>
                <w:b/>
                <w:sz w:val="20"/>
                <w:szCs w:val="20"/>
              </w:rPr>
            </w:pPr>
            <w:r w:rsidRPr="00376AE6">
              <w:rPr>
                <w:b/>
                <w:color w:val="000000"/>
                <w:kern w:val="24"/>
                <w:sz w:val="20"/>
                <w:szCs w:val="20"/>
              </w:rPr>
              <w:t>27.8</w:t>
            </w:r>
          </w:p>
        </w:tc>
        <w:tc>
          <w:tcPr>
            <w:tcW w:w="320" w:type="dxa"/>
            <w:tcMar>
              <w:top w:w="9" w:type="dxa"/>
              <w:left w:w="9" w:type="dxa"/>
              <w:bottom w:w="0" w:type="dxa"/>
              <w:right w:w="9" w:type="dxa"/>
            </w:tcMar>
            <w:vAlign w:val="bottom"/>
          </w:tcPr>
          <w:p w:rsidR="00DC207C" w:rsidRPr="00376AE6" w:rsidRDefault="00DC207C" w:rsidP="008D176A">
            <w:pPr>
              <w:jc w:val="center"/>
              <w:textAlignment w:val="bottom"/>
              <w:rPr>
                <w:b/>
                <w:sz w:val="20"/>
                <w:szCs w:val="20"/>
              </w:rPr>
            </w:pPr>
            <w:r w:rsidRPr="00376AE6">
              <w:rPr>
                <w:b/>
                <w:color w:val="000000"/>
                <w:kern w:val="24"/>
                <w:sz w:val="20"/>
                <w:szCs w:val="20"/>
              </w:rPr>
              <w:t xml:space="preserve">± </w:t>
            </w:r>
          </w:p>
        </w:tc>
        <w:tc>
          <w:tcPr>
            <w:tcW w:w="600" w:type="dxa"/>
            <w:tcBorders>
              <w:right w:val="single" w:sz="4" w:space="0" w:color="auto"/>
            </w:tcBorders>
            <w:tcMar>
              <w:top w:w="15" w:type="dxa"/>
              <w:left w:w="15" w:type="dxa"/>
              <w:bottom w:w="0" w:type="dxa"/>
              <w:right w:w="15" w:type="dxa"/>
            </w:tcMar>
            <w:vAlign w:val="bottom"/>
          </w:tcPr>
          <w:p w:rsidR="00DC207C" w:rsidRPr="00376AE6" w:rsidRDefault="00DC207C" w:rsidP="008D176A">
            <w:pPr>
              <w:textAlignment w:val="bottom"/>
              <w:rPr>
                <w:b/>
                <w:sz w:val="20"/>
                <w:szCs w:val="20"/>
              </w:rPr>
            </w:pPr>
            <w:r w:rsidRPr="00376AE6">
              <w:rPr>
                <w:b/>
                <w:color w:val="000000"/>
                <w:kern w:val="24"/>
                <w:sz w:val="20"/>
                <w:szCs w:val="20"/>
              </w:rPr>
              <w:t>0.3*</w:t>
            </w:r>
          </w:p>
        </w:tc>
        <w:tc>
          <w:tcPr>
            <w:tcW w:w="520" w:type="dxa"/>
            <w:tcBorders>
              <w:top w:val="nil"/>
              <w:left w:val="single" w:sz="4" w:space="0" w:color="auto"/>
              <w:bottom w:val="nil"/>
              <w:right w:val="nil"/>
            </w:tcBorders>
            <w:tcMar>
              <w:top w:w="15" w:type="dxa"/>
              <w:left w:w="15" w:type="dxa"/>
              <w:bottom w:w="0" w:type="dxa"/>
              <w:right w:w="15" w:type="dxa"/>
            </w:tcMar>
            <w:vAlign w:val="bottom"/>
          </w:tcPr>
          <w:p w:rsidR="00DC207C" w:rsidRPr="00376AE6" w:rsidRDefault="00DC207C" w:rsidP="008D176A">
            <w:pPr>
              <w:jc w:val="right"/>
              <w:textAlignment w:val="bottom"/>
              <w:rPr>
                <w:b/>
                <w:sz w:val="20"/>
                <w:szCs w:val="20"/>
              </w:rPr>
            </w:pPr>
            <w:r w:rsidRPr="00376AE6">
              <w:rPr>
                <w:b/>
                <w:color w:val="000000"/>
                <w:kern w:val="24"/>
                <w:sz w:val="20"/>
                <w:szCs w:val="20"/>
              </w:rPr>
              <w:t>26.0</w:t>
            </w:r>
          </w:p>
        </w:tc>
        <w:tc>
          <w:tcPr>
            <w:tcW w:w="320" w:type="dxa"/>
            <w:tcBorders>
              <w:top w:val="single" w:sz="8" w:space="0" w:color="FFFFFF"/>
              <w:left w:val="nil"/>
              <w:bottom w:val="single" w:sz="8" w:space="0" w:color="FFFFFF"/>
              <w:right w:val="single" w:sz="8" w:space="0" w:color="FFFFFF"/>
            </w:tcBorders>
            <w:tcMar>
              <w:top w:w="9" w:type="dxa"/>
              <w:left w:w="9" w:type="dxa"/>
              <w:bottom w:w="0" w:type="dxa"/>
              <w:right w:w="9" w:type="dxa"/>
            </w:tcMar>
            <w:vAlign w:val="bottom"/>
          </w:tcPr>
          <w:p w:rsidR="00DC207C" w:rsidRPr="00376AE6" w:rsidRDefault="00DC207C" w:rsidP="008D176A">
            <w:pPr>
              <w:jc w:val="center"/>
              <w:textAlignment w:val="bottom"/>
              <w:rPr>
                <w:b/>
                <w:sz w:val="20"/>
                <w:szCs w:val="20"/>
              </w:rPr>
            </w:pPr>
            <w:r w:rsidRPr="00376AE6">
              <w:rPr>
                <w:b/>
                <w:color w:val="000000"/>
                <w:kern w:val="24"/>
                <w:sz w:val="20"/>
                <w:szCs w:val="20"/>
              </w:rPr>
              <w:t xml:space="preserve">± </w:t>
            </w:r>
          </w:p>
        </w:tc>
        <w:tc>
          <w:tcPr>
            <w:tcW w:w="480"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tcPr>
          <w:p w:rsidR="00DC207C" w:rsidRPr="00376AE6" w:rsidRDefault="00DC207C" w:rsidP="008D176A">
            <w:pPr>
              <w:textAlignment w:val="bottom"/>
              <w:rPr>
                <w:b/>
                <w:sz w:val="20"/>
                <w:szCs w:val="20"/>
              </w:rPr>
            </w:pPr>
            <w:r w:rsidRPr="00376AE6">
              <w:rPr>
                <w:b/>
                <w:color w:val="000000"/>
                <w:kern w:val="24"/>
                <w:sz w:val="20"/>
                <w:szCs w:val="20"/>
              </w:rPr>
              <w:t>0.3</w:t>
            </w:r>
          </w:p>
        </w:tc>
        <w:tc>
          <w:tcPr>
            <w:tcW w:w="480" w:type="dxa"/>
            <w:tcBorders>
              <w:top w:val="nil"/>
              <w:left w:val="single" w:sz="8" w:space="0" w:color="FFFFFF"/>
              <w:bottom w:val="nil"/>
              <w:right w:val="nil"/>
            </w:tcBorders>
            <w:tcMar>
              <w:top w:w="15" w:type="dxa"/>
              <w:left w:w="15" w:type="dxa"/>
              <w:bottom w:w="0" w:type="dxa"/>
              <w:right w:w="15" w:type="dxa"/>
            </w:tcMar>
            <w:vAlign w:val="bottom"/>
          </w:tcPr>
          <w:p w:rsidR="00DC207C" w:rsidRPr="00376AE6" w:rsidRDefault="00DC207C" w:rsidP="008D176A">
            <w:pPr>
              <w:jc w:val="right"/>
              <w:textAlignment w:val="bottom"/>
              <w:rPr>
                <w:b/>
                <w:sz w:val="20"/>
                <w:szCs w:val="20"/>
              </w:rPr>
            </w:pPr>
            <w:r w:rsidRPr="00376AE6">
              <w:rPr>
                <w:b/>
                <w:color w:val="000000"/>
                <w:kern w:val="24"/>
                <w:sz w:val="20"/>
                <w:szCs w:val="20"/>
              </w:rPr>
              <w:t>28.0</w:t>
            </w:r>
          </w:p>
        </w:tc>
        <w:tc>
          <w:tcPr>
            <w:tcW w:w="360" w:type="dxa"/>
            <w:tcBorders>
              <w:top w:val="single" w:sz="8" w:space="0" w:color="FFFFFF"/>
              <w:left w:val="nil"/>
              <w:bottom w:val="single" w:sz="8" w:space="0" w:color="FFFFFF"/>
              <w:right w:val="single" w:sz="8" w:space="0" w:color="FFFFFF"/>
            </w:tcBorders>
            <w:tcMar>
              <w:top w:w="9" w:type="dxa"/>
              <w:left w:w="9" w:type="dxa"/>
              <w:bottom w:w="0" w:type="dxa"/>
              <w:right w:w="9" w:type="dxa"/>
            </w:tcMar>
            <w:vAlign w:val="bottom"/>
          </w:tcPr>
          <w:p w:rsidR="00DC207C" w:rsidRPr="00376AE6" w:rsidRDefault="00DC207C" w:rsidP="008D176A">
            <w:pPr>
              <w:jc w:val="center"/>
              <w:textAlignment w:val="bottom"/>
              <w:rPr>
                <w:b/>
                <w:sz w:val="20"/>
                <w:szCs w:val="20"/>
              </w:rPr>
            </w:pPr>
            <w:r w:rsidRPr="00376AE6">
              <w:rPr>
                <w:b/>
                <w:color w:val="000000"/>
                <w:kern w:val="24"/>
                <w:sz w:val="20"/>
                <w:szCs w:val="20"/>
              </w:rPr>
              <w:t xml:space="preserve">± </w:t>
            </w:r>
          </w:p>
        </w:tc>
        <w:tc>
          <w:tcPr>
            <w:tcW w:w="480"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tcPr>
          <w:p w:rsidR="00DC207C" w:rsidRPr="00376AE6" w:rsidRDefault="00DC207C" w:rsidP="008D176A">
            <w:pPr>
              <w:textAlignment w:val="bottom"/>
              <w:rPr>
                <w:b/>
                <w:sz w:val="20"/>
                <w:szCs w:val="20"/>
              </w:rPr>
            </w:pPr>
            <w:r w:rsidRPr="00376AE6">
              <w:rPr>
                <w:b/>
                <w:color w:val="000000"/>
                <w:kern w:val="24"/>
                <w:sz w:val="20"/>
                <w:szCs w:val="20"/>
              </w:rPr>
              <w:t>0.2*</w:t>
            </w:r>
          </w:p>
        </w:tc>
      </w:tr>
      <w:tr w:rsidR="00DC207C" w:rsidRPr="00376AE6" w:rsidTr="00376AE6">
        <w:trPr>
          <w:trHeight w:val="20"/>
        </w:trPr>
        <w:tc>
          <w:tcPr>
            <w:tcW w:w="2970" w:type="dxa"/>
            <w:tcBorders>
              <w:left w:val="nil"/>
            </w:tcBorders>
            <w:tcMar>
              <w:top w:w="72" w:type="dxa"/>
              <w:left w:w="144" w:type="dxa"/>
              <w:bottom w:w="72" w:type="dxa"/>
              <w:right w:w="144" w:type="dxa"/>
            </w:tcMar>
          </w:tcPr>
          <w:p w:rsidR="00DC207C" w:rsidRPr="00376AE6" w:rsidRDefault="00DC207C" w:rsidP="008D176A">
            <w:pPr>
              <w:rPr>
                <w:sz w:val="20"/>
                <w:szCs w:val="20"/>
              </w:rPr>
            </w:pPr>
            <w:r w:rsidRPr="00376AE6">
              <w:rPr>
                <w:bCs/>
                <w:color w:val="000000"/>
                <w:kern w:val="24"/>
                <w:sz w:val="20"/>
                <w:szCs w:val="20"/>
              </w:rPr>
              <w:t xml:space="preserve">                 Galactan </w:t>
            </w:r>
          </w:p>
        </w:tc>
        <w:tc>
          <w:tcPr>
            <w:tcW w:w="400" w:type="dxa"/>
            <w:tcMar>
              <w:top w:w="15" w:type="dxa"/>
              <w:left w:w="15" w:type="dxa"/>
              <w:bottom w:w="0" w:type="dxa"/>
              <w:right w:w="15" w:type="dxa"/>
            </w:tcMar>
            <w:vAlign w:val="bottom"/>
          </w:tcPr>
          <w:p w:rsidR="00DC207C" w:rsidRPr="00376AE6" w:rsidRDefault="00DC207C" w:rsidP="008D176A">
            <w:pPr>
              <w:jc w:val="right"/>
              <w:textAlignment w:val="bottom"/>
              <w:rPr>
                <w:sz w:val="20"/>
                <w:szCs w:val="20"/>
              </w:rPr>
            </w:pPr>
            <w:r w:rsidRPr="00376AE6">
              <w:rPr>
                <w:color w:val="000000"/>
                <w:kern w:val="24"/>
                <w:sz w:val="20"/>
                <w:szCs w:val="20"/>
              </w:rPr>
              <w:t>0.9</w:t>
            </w:r>
          </w:p>
        </w:tc>
        <w:tc>
          <w:tcPr>
            <w:tcW w:w="320" w:type="dxa"/>
            <w:tcMar>
              <w:top w:w="9" w:type="dxa"/>
              <w:left w:w="9" w:type="dxa"/>
              <w:bottom w:w="0" w:type="dxa"/>
              <w:right w:w="9" w:type="dxa"/>
            </w:tcMar>
            <w:vAlign w:val="bottom"/>
          </w:tcPr>
          <w:p w:rsidR="00DC207C" w:rsidRPr="00376AE6" w:rsidRDefault="00DC207C" w:rsidP="008D176A">
            <w:pPr>
              <w:jc w:val="center"/>
              <w:textAlignment w:val="bottom"/>
              <w:rPr>
                <w:sz w:val="20"/>
                <w:szCs w:val="20"/>
              </w:rPr>
            </w:pPr>
            <w:r w:rsidRPr="00376AE6">
              <w:rPr>
                <w:color w:val="000000"/>
                <w:kern w:val="24"/>
                <w:sz w:val="20"/>
                <w:szCs w:val="20"/>
              </w:rPr>
              <w:t xml:space="preserve">± </w:t>
            </w:r>
          </w:p>
        </w:tc>
        <w:tc>
          <w:tcPr>
            <w:tcW w:w="600" w:type="dxa"/>
            <w:tcMar>
              <w:top w:w="15" w:type="dxa"/>
              <w:left w:w="15" w:type="dxa"/>
              <w:bottom w:w="0" w:type="dxa"/>
              <w:right w:w="15" w:type="dxa"/>
            </w:tcMar>
            <w:vAlign w:val="bottom"/>
          </w:tcPr>
          <w:p w:rsidR="00DC207C" w:rsidRPr="00376AE6" w:rsidRDefault="00DC207C" w:rsidP="008D176A">
            <w:pPr>
              <w:textAlignment w:val="bottom"/>
              <w:rPr>
                <w:sz w:val="20"/>
                <w:szCs w:val="20"/>
              </w:rPr>
            </w:pPr>
            <w:r w:rsidRPr="00376AE6">
              <w:rPr>
                <w:color w:val="000000"/>
                <w:kern w:val="24"/>
                <w:sz w:val="20"/>
                <w:szCs w:val="20"/>
              </w:rPr>
              <w:t>0.1</w:t>
            </w:r>
          </w:p>
        </w:tc>
        <w:tc>
          <w:tcPr>
            <w:tcW w:w="400" w:type="dxa"/>
            <w:tcMar>
              <w:top w:w="15" w:type="dxa"/>
              <w:left w:w="15" w:type="dxa"/>
              <w:bottom w:w="0" w:type="dxa"/>
              <w:right w:w="15" w:type="dxa"/>
            </w:tcMar>
            <w:vAlign w:val="bottom"/>
          </w:tcPr>
          <w:p w:rsidR="00DC207C" w:rsidRPr="00376AE6" w:rsidRDefault="00DC207C" w:rsidP="008D176A">
            <w:pPr>
              <w:jc w:val="right"/>
              <w:textAlignment w:val="bottom"/>
              <w:rPr>
                <w:sz w:val="20"/>
                <w:szCs w:val="20"/>
              </w:rPr>
            </w:pPr>
            <w:r w:rsidRPr="00376AE6">
              <w:rPr>
                <w:color w:val="000000"/>
                <w:kern w:val="24"/>
                <w:sz w:val="20"/>
                <w:szCs w:val="20"/>
              </w:rPr>
              <w:t>0.9</w:t>
            </w:r>
          </w:p>
        </w:tc>
        <w:tc>
          <w:tcPr>
            <w:tcW w:w="320" w:type="dxa"/>
            <w:tcMar>
              <w:top w:w="9" w:type="dxa"/>
              <w:left w:w="9" w:type="dxa"/>
              <w:bottom w:w="0" w:type="dxa"/>
              <w:right w:w="9" w:type="dxa"/>
            </w:tcMar>
            <w:vAlign w:val="bottom"/>
          </w:tcPr>
          <w:p w:rsidR="00DC207C" w:rsidRPr="00376AE6" w:rsidRDefault="00DC207C" w:rsidP="008D176A">
            <w:pPr>
              <w:jc w:val="center"/>
              <w:textAlignment w:val="bottom"/>
              <w:rPr>
                <w:sz w:val="20"/>
                <w:szCs w:val="20"/>
              </w:rPr>
            </w:pPr>
            <w:r w:rsidRPr="00376AE6">
              <w:rPr>
                <w:color w:val="000000"/>
                <w:kern w:val="24"/>
                <w:sz w:val="20"/>
                <w:szCs w:val="20"/>
              </w:rPr>
              <w:t xml:space="preserve">± </w:t>
            </w:r>
          </w:p>
        </w:tc>
        <w:tc>
          <w:tcPr>
            <w:tcW w:w="600" w:type="dxa"/>
            <w:tcBorders>
              <w:right w:val="single" w:sz="4" w:space="0" w:color="auto"/>
            </w:tcBorders>
            <w:tcMar>
              <w:top w:w="15" w:type="dxa"/>
              <w:left w:w="15" w:type="dxa"/>
              <w:bottom w:w="0" w:type="dxa"/>
              <w:right w:w="15" w:type="dxa"/>
            </w:tcMar>
            <w:vAlign w:val="bottom"/>
          </w:tcPr>
          <w:p w:rsidR="00DC207C" w:rsidRPr="00376AE6" w:rsidRDefault="00DC207C" w:rsidP="008D176A">
            <w:pPr>
              <w:textAlignment w:val="bottom"/>
              <w:rPr>
                <w:sz w:val="20"/>
                <w:szCs w:val="20"/>
              </w:rPr>
            </w:pPr>
            <w:r w:rsidRPr="00376AE6">
              <w:rPr>
                <w:color w:val="000000"/>
                <w:kern w:val="24"/>
                <w:sz w:val="20"/>
                <w:szCs w:val="20"/>
              </w:rPr>
              <w:t xml:space="preserve">0.1 </w:t>
            </w:r>
          </w:p>
        </w:tc>
        <w:tc>
          <w:tcPr>
            <w:tcW w:w="520" w:type="dxa"/>
            <w:tcBorders>
              <w:top w:val="nil"/>
              <w:left w:val="single" w:sz="4" w:space="0" w:color="auto"/>
              <w:bottom w:val="nil"/>
              <w:right w:val="nil"/>
            </w:tcBorders>
            <w:tcMar>
              <w:top w:w="15" w:type="dxa"/>
              <w:left w:w="15" w:type="dxa"/>
              <w:bottom w:w="0" w:type="dxa"/>
              <w:right w:w="15" w:type="dxa"/>
            </w:tcMar>
            <w:vAlign w:val="bottom"/>
          </w:tcPr>
          <w:p w:rsidR="00DC207C" w:rsidRPr="00376AE6" w:rsidRDefault="00DC207C" w:rsidP="008D176A">
            <w:pPr>
              <w:jc w:val="right"/>
              <w:textAlignment w:val="bottom"/>
              <w:rPr>
                <w:sz w:val="20"/>
                <w:szCs w:val="20"/>
              </w:rPr>
            </w:pPr>
            <w:r w:rsidRPr="00376AE6">
              <w:rPr>
                <w:color w:val="000000"/>
                <w:kern w:val="24"/>
                <w:sz w:val="20"/>
                <w:szCs w:val="20"/>
              </w:rPr>
              <w:t>0.9</w:t>
            </w:r>
          </w:p>
        </w:tc>
        <w:tc>
          <w:tcPr>
            <w:tcW w:w="320" w:type="dxa"/>
            <w:tcBorders>
              <w:top w:val="single" w:sz="8" w:space="0" w:color="FFFFFF"/>
              <w:left w:val="nil"/>
              <w:bottom w:val="single" w:sz="8" w:space="0" w:color="FFFFFF"/>
              <w:right w:val="single" w:sz="8" w:space="0" w:color="FFFFFF"/>
            </w:tcBorders>
            <w:tcMar>
              <w:top w:w="9" w:type="dxa"/>
              <w:left w:w="9" w:type="dxa"/>
              <w:bottom w:w="0" w:type="dxa"/>
              <w:right w:w="9" w:type="dxa"/>
            </w:tcMar>
            <w:vAlign w:val="bottom"/>
          </w:tcPr>
          <w:p w:rsidR="00DC207C" w:rsidRPr="00376AE6" w:rsidRDefault="00DC207C" w:rsidP="008D176A">
            <w:pPr>
              <w:jc w:val="center"/>
              <w:textAlignment w:val="bottom"/>
              <w:rPr>
                <w:sz w:val="20"/>
                <w:szCs w:val="20"/>
              </w:rPr>
            </w:pPr>
            <w:r w:rsidRPr="00376AE6">
              <w:rPr>
                <w:color w:val="000000"/>
                <w:kern w:val="24"/>
                <w:sz w:val="20"/>
                <w:szCs w:val="20"/>
              </w:rPr>
              <w:t xml:space="preserve">± </w:t>
            </w:r>
          </w:p>
        </w:tc>
        <w:tc>
          <w:tcPr>
            <w:tcW w:w="480"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tcPr>
          <w:p w:rsidR="00DC207C" w:rsidRPr="00376AE6" w:rsidRDefault="00DC207C" w:rsidP="008D176A">
            <w:pPr>
              <w:textAlignment w:val="bottom"/>
              <w:rPr>
                <w:sz w:val="20"/>
                <w:szCs w:val="20"/>
              </w:rPr>
            </w:pPr>
            <w:r w:rsidRPr="00376AE6">
              <w:rPr>
                <w:color w:val="000000"/>
                <w:kern w:val="24"/>
                <w:sz w:val="20"/>
                <w:szCs w:val="20"/>
              </w:rPr>
              <w:t>0.2</w:t>
            </w:r>
          </w:p>
        </w:tc>
        <w:tc>
          <w:tcPr>
            <w:tcW w:w="480" w:type="dxa"/>
            <w:tcBorders>
              <w:top w:val="nil"/>
              <w:left w:val="single" w:sz="8" w:space="0" w:color="FFFFFF"/>
              <w:bottom w:val="nil"/>
              <w:right w:val="nil"/>
            </w:tcBorders>
            <w:tcMar>
              <w:top w:w="15" w:type="dxa"/>
              <w:left w:w="15" w:type="dxa"/>
              <w:bottom w:w="0" w:type="dxa"/>
              <w:right w:w="15" w:type="dxa"/>
            </w:tcMar>
            <w:vAlign w:val="bottom"/>
          </w:tcPr>
          <w:p w:rsidR="00DC207C" w:rsidRPr="00376AE6" w:rsidRDefault="00DC207C" w:rsidP="008D176A">
            <w:pPr>
              <w:jc w:val="right"/>
              <w:textAlignment w:val="bottom"/>
              <w:rPr>
                <w:sz w:val="20"/>
                <w:szCs w:val="20"/>
              </w:rPr>
            </w:pPr>
            <w:r w:rsidRPr="00376AE6">
              <w:rPr>
                <w:color w:val="000000"/>
                <w:kern w:val="24"/>
                <w:sz w:val="20"/>
                <w:szCs w:val="20"/>
              </w:rPr>
              <w:t>0.8</w:t>
            </w:r>
          </w:p>
        </w:tc>
        <w:tc>
          <w:tcPr>
            <w:tcW w:w="360" w:type="dxa"/>
            <w:tcBorders>
              <w:top w:val="single" w:sz="8" w:space="0" w:color="FFFFFF"/>
              <w:left w:val="nil"/>
              <w:bottom w:val="single" w:sz="8" w:space="0" w:color="FFFFFF"/>
              <w:right w:val="single" w:sz="8" w:space="0" w:color="FFFFFF"/>
            </w:tcBorders>
            <w:tcMar>
              <w:top w:w="9" w:type="dxa"/>
              <w:left w:w="9" w:type="dxa"/>
              <w:bottom w:w="0" w:type="dxa"/>
              <w:right w:w="9" w:type="dxa"/>
            </w:tcMar>
            <w:vAlign w:val="bottom"/>
          </w:tcPr>
          <w:p w:rsidR="00DC207C" w:rsidRPr="00376AE6" w:rsidRDefault="00DC207C" w:rsidP="008D176A">
            <w:pPr>
              <w:jc w:val="center"/>
              <w:textAlignment w:val="bottom"/>
              <w:rPr>
                <w:sz w:val="20"/>
                <w:szCs w:val="20"/>
              </w:rPr>
            </w:pPr>
            <w:r w:rsidRPr="00376AE6">
              <w:rPr>
                <w:color w:val="000000"/>
                <w:kern w:val="24"/>
                <w:sz w:val="20"/>
                <w:szCs w:val="20"/>
              </w:rPr>
              <w:t xml:space="preserve">± </w:t>
            </w:r>
          </w:p>
        </w:tc>
        <w:tc>
          <w:tcPr>
            <w:tcW w:w="480"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tcPr>
          <w:p w:rsidR="00DC207C" w:rsidRPr="00376AE6" w:rsidRDefault="00DC207C" w:rsidP="008D176A">
            <w:pPr>
              <w:textAlignment w:val="bottom"/>
              <w:rPr>
                <w:sz w:val="20"/>
                <w:szCs w:val="20"/>
              </w:rPr>
            </w:pPr>
            <w:r w:rsidRPr="00376AE6">
              <w:rPr>
                <w:color w:val="000000"/>
                <w:kern w:val="24"/>
                <w:sz w:val="20"/>
                <w:szCs w:val="20"/>
              </w:rPr>
              <w:t>0.1</w:t>
            </w:r>
          </w:p>
        </w:tc>
      </w:tr>
      <w:tr w:rsidR="00DC207C" w:rsidRPr="00376AE6" w:rsidTr="00376AE6">
        <w:trPr>
          <w:trHeight w:val="20"/>
        </w:trPr>
        <w:tc>
          <w:tcPr>
            <w:tcW w:w="2970" w:type="dxa"/>
            <w:tcBorders>
              <w:left w:val="nil"/>
            </w:tcBorders>
            <w:tcMar>
              <w:top w:w="72" w:type="dxa"/>
              <w:left w:w="144" w:type="dxa"/>
              <w:bottom w:w="72" w:type="dxa"/>
              <w:right w:w="144" w:type="dxa"/>
            </w:tcMar>
          </w:tcPr>
          <w:p w:rsidR="00DC207C" w:rsidRPr="00376AE6" w:rsidRDefault="00DC207C" w:rsidP="008D176A">
            <w:pPr>
              <w:rPr>
                <w:sz w:val="20"/>
                <w:szCs w:val="20"/>
              </w:rPr>
            </w:pPr>
            <w:r w:rsidRPr="00376AE6">
              <w:rPr>
                <w:bCs/>
                <w:color w:val="000000"/>
                <w:kern w:val="24"/>
                <w:sz w:val="20"/>
                <w:szCs w:val="20"/>
              </w:rPr>
              <w:t xml:space="preserve">                 Arabinan </w:t>
            </w:r>
          </w:p>
        </w:tc>
        <w:tc>
          <w:tcPr>
            <w:tcW w:w="400" w:type="dxa"/>
            <w:tcMar>
              <w:top w:w="15" w:type="dxa"/>
              <w:left w:w="15" w:type="dxa"/>
              <w:bottom w:w="0" w:type="dxa"/>
              <w:right w:w="15" w:type="dxa"/>
            </w:tcMar>
            <w:vAlign w:val="bottom"/>
          </w:tcPr>
          <w:p w:rsidR="00DC207C" w:rsidRPr="00376AE6" w:rsidRDefault="00DC207C" w:rsidP="008D176A">
            <w:pPr>
              <w:jc w:val="right"/>
              <w:textAlignment w:val="bottom"/>
              <w:rPr>
                <w:sz w:val="20"/>
                <w:szCs w:val="20"/>
              </w:rPr>
            </w:pPr>
            <w:r w:rsidRPr="00376AE6">
              <w:rPr>
                <w:color w:val="000000"/>
                <w:kern w:val="24"/>
                <w:sz w:val="20"/>
                <w:szCs w:val="20"/>
              </w:rPr>
              <w:t>2.7</w:t>
            </w:r>
          </w:p>
        </w:tc>
        <w:tc>
          <w:tcPr>
            <w:tcW w:w="320" w:type="dxa"/>
            <w:tcMar>
              <w:top w:w="9" w:type="dxa"/>
              <w:left w:w="9" w:type="dxa"/>
              <w:bottom w:w="0" w:type="dxa"/>
              <w:right w:w="9" w:type="dxa"/>
            </w:tcMar>
            <w:vAlign w:val="bottom"/>
          </w:tcPr>
          <w:p w:rsidR="00DC207C" w:rsidRPr="00376AE6" w:rsidRDefault="00DC207C" w:rsidP="008D176A">
            <w:pPr>
              <w:jc w:val="center"/>
              <w:textAlignment w:val="bottom"/>
              <w:rPr>
                <w:sz w:val="20"/>
                <w:szCs w:val="20"/>
              </w:rPr>
            </w:pPr>
            <w:r w:rsidRPr="00376AE6">
              <w:rPr>
                <w:color w:val="000000"/>
                <w:kern w:val="24"/>
                <w:sz w:val="20"/>
                <w:szCs w:val="20"/>
              </w:rPr>
              <w:t xml:space="preserve">± </w:t>
            </w:r>
          </w:p>
        </w:tc>
        <w:tc>
          <w:tcPr>
            <w:tcW w:w="600" w:type="dxa"/>
            <w:tcMar>
              <w:top w:w="15" w:type="dxa"/>
              <w:left w:w="15" w:type="dxa"/>
              <w:bottom w:w="0" w:type="dxa"/>
              <w:right w:w="15" w:type="dxa"/>
            </w:tcMar>
            <w:vAlign w:val="bottom"/>
          </w:tcPr>
          <w:p w:rsidR="00DC207C" w:rsidRPr="00376AE6" w:rsidRDefault="00DC207C" w:rsidP="008D176A">
            <w:pPr>
              <w:textAlignment w:val="bottom"/>
              <w:rPr>
                <w:sz w:val="20"/>
                <w:szCs w:val="20"/>
              </w:rPr>
            </w:pPr>
            <w:r w:rsidRPr="00376AE6">
              <w:rPr>
                <w:color w:val="000000"/>
                <w:kern w:val="24"/>
                <w:sz w:val="20"/>
                <w:szCs w:val="20"/>
              </w:rPr>
              <w:t>0.1</w:t>
            </w:r>
          </w:p>
        </w:tc>
        <w:tc>
          <w:tcPr>
            <w:tcW w:w="400" w:type="dxa"/>
            <w:tcMar>
              <w:top w:w="15" w:type="dxa"/>
              <w:left w:w="15" w:type="dxa"/>
              <w:bottom w:w="0" w:type="dxa"/>
              <w:right w:w="15" w:type="dxa"/>
            </w:tcMar>
            <w:vAlign w:val="bottom"/>
          </w:tcPr>
          <w:p w:rsidR="00DC207C" w:rsidRPr="00376AE6" w:rsidRDefault="00DC207C" w:rsidP="008D176A">
            <w:pPr>
              <w:jc w:val="right"/>
              <w:textAlignment w:val="bottom"/>
              <w:rPr>
                <w:sz w:val="20"/>
                <w:szCs w:val="20"/>
              </w:rPr>
            </w:pPr>
            <w:r w:rsidRPr="00376AE6">
              <w:rPr>
                <w:color w:val="000000"/>
                <w:kern w:val="24"/>
                <w:sz w:val="20"/>
                <w:szCs w:val="20"/>
              </w:rPr>
              <w:t>2.9</w:t>
            </w:r>
          </w:p>
        </w:tc>
        <w:tc>
          <w:tcPr>
            <w:tcW w:w="320" w:type="dxa"/>
            <w:tcMar>
              <w:top w:w="9" w:type="dxa"/>
              <w:left w:w="9" w:type="dxa"/>
              <w:bottom w:w="0" w:type="dxa"/>
              <w:right w:w="9" w:type="dxa"/>
            </w:tcMar>
            <w:vAlign w:val="bottom"/>
          </w:tcPr>
          <w:p w:rsidR="00DC207C" w:rsidRPr="00376AE6" w:rsidRDefault="00DC207C" w:rsidP="008D176A">
            <w:pPr>
              <w:jc w:val="center"/>
              <w:textAlignment w:val="bottom"/>
              <w:rPr>
                <w:sz w:val="20"/>
                <w:szCs w:val="20"/>
              </w:rPr>
            </w:pPr>
            <w:r w:rsidRPr="00376AE6">
              <w:rPr>
                <w:color w:val="000000"/>
                <w:kern w:val="24"/>
                <w:sz w:val="20"/>
                <w:szCs w:val="20"/>
              </w:rPr>
              <w:t xml:space="preserve">± </w:t>
            </w:r>
          </w:p>
        </w:tc>
        <w:tc>
          <w:tcPr>
            <w:tcW w:w="600" w:type="dxa"/>
            <w:tcBorders>
              <w:right w:val="single" w:sz="4" w:space="0" w:color="auto"/>
            </w:tcBorders>
            <w:tcMar>
              <w:top w:w="15" w:type="dxa"/>
              <w:left w:w="15" w:type="dxa"/>
              <w:bottom w:w="0" w:type="dxa"/>
              <w:right w:w="15" w:type="dxa"/>
            </w:tcMar>
            <w:vAlign w:val="bottom"/>
          </w:tcPr>
          <w:p w:rsidR="00DC207C" w:rsidRPr="00376AE6" w:rsidRDefault="00DC207C" w:rsidP="008D176A">
            <w:pPr>
              <w:textAlignment w:val="bottom"/>
              <w:rPr>
                <w:sz w:val="20"/>
                <w:szCs w:val="20"/>
              </w:rPr>
            </w:pPr>
            <w:r w:rsidRPr="00376AE6">
              <w:rPr>
                <w:color w:val="000000"/>
                <w:kern w:val="24"/>
                <w:sz w:val="20"/>
                <w:szCs w:val="20"/>
              </w:rPr>
              <w:t>0.1</w:t>
            </w:r>
          </w:p>
        </w:tc>
        <w:tc>
          <w:tcPr>
            <w:tcW w:w="520" w:type="dxa"/>
            <w:tcBorders>
              <w:top w:val="nil"/>
              <w:left w:val="single" w:sz="4" w:space="0" w:color="auto"/>
              <w:bottom w:val="nil"/>
              <w:right w:val="nil"/>
            </w:tcBorders>
            <w:tcMar>
              <w:top w:w="15" w:type="dxa"/>
              <w:left w:w="15" w:type="dxa"/>
              <w:bottom w:w="0" w:type="dxa"/>
              <w:right w:w="15" w:type="dxa"/>
            </w:tcMar>
            <w:vAlign w:val="bottom"/>
          </w:tcPr>
          <w:p w:rsidR="00DC207C" w:rsidRPr="00376AE6" w:rsidRDefault="00DC207C" w:rsidP="008D176A">
            <w:pPr>
              <w:jc w:val="right"/>
              <w:textAlignment w:val="bottom"/>
              <w:rPr>
                <w:b/>
                <w:sz w:val="20"/>
                <w:szCs w:val="20"/>
              </w:rPr>
            </w:pPr>
            <w:r w:rsidRPr="00376AE6">
              <w:rPr>
                <w:b/>
                <w:color w:val="000000"/>
                <w:kern w:val="24"/>
                <w:sz w:val="20"/>
                <w:szCs w:val="20"/>
              </w:rPr>
              <w:t>2.6</w:t>
            </w:r>
          </w:p>
        </w:tc>
        <w:tc>
          <w:tcPr>
            <w:tcW w:w="320" w:type="dxa"/>
            <w:tcBorders>
              <w:top w:val="single" w:sz="8" w:space="0" w:color="FFFFFF"/>
              <w:left w:val="nil"/>
              <w:bottom w:val="single" w:sz="8" w:space="0" w:color="FFFFFF"/>
              <w:right w:val="single" w:sz="8" w:space="0" w:color="FFFFFF"/>
            </w:tcBorders>
            <w:tcMar>
              <w:top w:w="9" w:type="dxa"/>
              <w:left w:w="9" w:type="dxa"/>
              <w:bottom w:w="0" w:type="dxa"/>
              <w:right w:w="9" w:type="dxa"/>
            </w:tcMar>
            <w:vAlign w:val="bottom"/>
          </w:tcPr>
          <w:p w:rsidR="00DC207C" w:rsidRPr="00376AE6" w:rsidRDefault="00DC207C" w:rsidP="008D176A">
            <w:pPr>
              <w:jc w:val="center"/>
              <w:textAlignment w:val="bottom"/>
              <w:rPr>
                <w:b/>
                <w:sz w:val="20"/>
                <w:szCs w:val="20"/>
              </w:rPr>
            </w:pPr>
            <w:r w:rsidRPr="00376AE6">
              <w:rPr>
                <w:b/>
                <w:color w:val="000000"/>
                <w:kern w:val="24"/>
                <w:sz w:val="20"/>
                <w:szCs w:val="20"/>
              </w:rPr>
              <w:t xml:space="preserve">± </w:t>
            </w:r>
          </w:p>
        </w:tc>
        <w:tc>
          <w:tcPr>
            <w:tcW w:w="480"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tcPr>
          <w:p w:rsidR="00DC207C" w:rsidRPr="00376AE6" w:rsidRDefault="00DC207C" w:rsidP="008D176A">
            <w:pPr>
              <w:textAlignment w:val="bottom"/>
              <w:rPr>
                <w:b/>
                <w:sz w:val="20"/>
                <w:szCs w:val="20"/>
              </w:rPr>
            </w:pPr>
            <w:r w:rsidRPr="00376AE6">
              <w:rPr>
                <w:b/>
                <w:color w:val="000000"/>
                <w:kern w:val="24"/>
                <w:sz w:val="20"/>
                <w:szCs w:val="20"/>
              </w:rPr>
              <w:t>0.1</w:t>
            </w:r>
          </w:p>
        </w:tc>
        <w:tc>
          <w:tcPr>
            <w:tcW w:w="480" w:type="dxa"/>
            <w:tcBorders>
              <w:top w:val="nil"/>
              <w:left w:val="single" w:sz="8" w:space="0" w:color="FFFFFF"/>
              <w:bottom w:val="nil"/>
              <w:right w:val="nil"/>
            </w:tcBorders>
            <w:tcMar>
              <w:top w:w="15" w:type="dxa"/>
              <w:left w:w="15" w:type="dxa"/>
              <w:bottom w:w="0" w:type="dxa"/>
              <w:right w:w="15" w:type="dxa"/>
            </w:tcMar>
            <w:vAlign w:val="bottom"/>
          </w:tcPr>
          <w:p w:rsidR="00DC207C" w:rsidRPr="00376AE6" w:rsidRDefault="00DC207C" w:rsidP="008D176A">
            <w:pPr>
              <w:jc w:val="right"/>
              <w:textAlignment w:val="bottom"/>
              <w:rPr>
                <w:b/>
                <w:sz w:val="20"/>
                <w:szCs w:val="20"/>
              </w:rPr>
            </w:pPr>
            <w:r w:rsidRPr="00376AE6">
              <w:rPr>
                <w:b/>
                <w:color w:val="000000"/>
                <w:kern w:val="24"/>
                <w:sz w:val="20"/>
                <w:szCs w:val="20"/>
              </w:rPr>
              <w:t>2.9</w:t>
            </w:r>
          </w:p>
        </w:tc>
        <w:tc>
          <w:tcPr>
            <w:tcW w:w="360" w:type="dxa"/>
            <w:tcBorders>
              <w:top w:val="single" w:sz="8" w:space="0" w:color="FFFFFF"/>
              <w:left w:val="nil"/>
              <w:bottom w:val="single" w:sz="8" w:space="0" w:color="FFFFFF"/>
              <w:right w:val="single" w:sz="8" w:space="0" w:color="FFFFFF"/>
            </w:tcBorders>
            <w:tcMar>
              <w:top w:w="9" w:type="dxa"/>
              <w:left w:w="9" w:type="dxa"/>
              <w:bottom w:w="0" w:type="dxa"/>
              <w:right w:w="9" w:type="dxa"/>
            </w:tcMar>
            <w:vAlign w:val="bottom"/>
          </w:tcPr>
          <w:p w:rsidR="00DC207C" w:rsidRPr="00376AE6" w:rsidRDefault="00DC207C" w:rsidP="008D176A">
            <w:pPr>
              <w:jc w:val="center"/>
              <w:textAlignment w:val="bottom"/>
              <w:rPr>
                <w:b/>
                <w:sz w:val="20"/>
                <w:szCs w:val="20"/>
              </w:rPr>
            </w:pPr>
            <w:r w:rsidRPr="00376AE6">
              <w:rPr>
                <w:b/>
                <w:color w:val="000000"/>
                <w:kern w:val="24"/>
                <w:sz w:val="20"/>
                <w:szCs w:val="20"/>
              </w:rPr>
              <w:t xml:space="preserve">± </w:t>
            </w:r>
          </w:p>
        </w:tc>
        <w:tc>
          <w:tcPr>
            <w:tcW w:w="480" w:type="dxa"/>
            <w:tcBorders>
              <w:top w:val="single" w:sz="8" w:space="0" w:color="FFFFFF"/>
              <w:left w:val="single" w:sz="8" w:space="0" w:color="FFFFFF"/>
              <w:bottom w:val="single" w:sz="8" w:space="0" w:color="FFFFFF"/>
              <w:right w:val="single" w:sz="8" w:space="0" w:color="FFFFFF"/>
            </w:tcBorders>
            <w:tcMar>
              <w:top w:w="15" w:type="dxa"/>
              <w:left w:w="15" w:type="dxa"/>
              <w:bottom w:w="0" w:type="dxa"/>
              <w:right w:w="15" w:type="dxa"/>
            </w:tcMar>
            <w:vAlign w:val="bottom"/>
          </w:tcPr>
          <w:p w:rsidR="00DC207C" w:rsidRPr="00376AE6" w:rsidRDefault="00DC207C" w:rsidP="008D176A">
            <w:pPr>
              <w:textAlignment w:val="bottom"/>
              <w:rPr>
                <w:b/>
                <w:sz w:val="20"/>
                <w:szCs w:val="20"/>
              </w:rPr>
            </w:pPr>
            <w:r w:rsidRPr="00376AE6">
              <w:rPr>
                <w:b/>
                <w:color w:val="000000"/>
                <w:kern w:val="24"/>
                <w:sz w:val="20"/>
                <w:szCs w:val="20"/>
              </w:rPr>
              <w:t>0.1*</w:t>
            </w:r>
          </w:p>
        </w:tc>
      </w:tr>
      <w:tr w:rsidR="00DC207C" w:rsidRPr="00376AE6" w:rsidTr="00E64EF7">
        <w:trPr>
          <w:trHeight w:val="20"/>
        </w:trPr>
        <w:tc>
          <w:tcPr>
            <w:tcW w:w="2970" w:type="dxa"/>
            <w:tcBorders>
              <w:left w:val="nil"/>
              <w:bottom w:val="single" w:sz="4" w:space="0" w:color="auto"/>
            </w:tcBorders>
            <w:tcMar>
              <w:top w:w="72" w:type="dxa"/>
              <w:left w:w="144" w:type="dxa"/>
              <w:bottom w:w="72" w:type="dxa"/>
              <w:right w:w="144" w:type="dxa"/>
            </w:tcMar>
          </w:tcPr>
          <w:p w:rsidR="00DC207C" w:rsidRPr="00376AE6" w:rsidRDefault="00DC207C" w:rsidP="008D176A">
            <w:pPr>
              <w:rPr>
                <w:sz w:val="20"/>
                <w:szCs w:val="20"/>
              </w:rPr>
            </w:pPr>
            <w:r w:rsidRPr="00376AE6">
              <w:rPr>
                <w:bCs/>
                <w:color w:val="000000"/>
                <w:kern w:val="24"/>
                <w:sz w:val="20"/>
                <w:szCs w:val="20"/>
              </w:rPr>
              <w:t xml:space="preserve">                 Mannan </w:t>
            </w:r>
          </w:p>
        </w:tc>
        <w:tc>
          <w:tcPr>
            <w:tcW w:w="400" w:type="dxa"/>
            <w:tcBorders>
              <w:bottom w:val="single" w:sz="4" w:space="0" w:color="auto"/>
            </w:tcBorders>
            <w:tcMar>
              <w:top w:w="15" w:type="dxa"/>
              <w:left w:w="15" w:type="dxa"/>
              <w:bottom w:w="0" w:type="dxa"/>
              <w:right w:w="15" w:type="dxa"/>
            </w:tcMar>
            <w:vAlign w:val="bottom"/>
          </w:tcPr>
          <w:p w:rsidR="00DC207C" w:rsidRPr="00376AE6" w:rsidRDefault="00DC207C" w:rsidP="008D176A">
            <w:pPr>
              <w:jc w:val="right"/>
              <w:textAlignment w:val="bottom"/>
              <w:rPr>
                <w:sz w:val="20"/>
                <w:szCs w:val="20"/>
              </w:rPr>
            </w:pPr>
            <w:r w:rsidRPr="00376AE6">
              <w:rPr>
                <w:color w:val="000000"/>
                <w:kern w:val="24"/>
                <w:sz w:val="20"/>
                <w:szCs w:val="20"/>
              </w:rPr>
              <w:t>0.2</w:t>
            </w:r>
          </w:p>
        </w:tc>
        <w:tc>
          <w:tcPr>
            <w:tcW w:w="320" w:type="dxa"/>
            <w:tcBorders>
              <w:bottom w:val="single" w:sz="4" w:space="0" w:color="auto"/>
            </w:tcBorders>
            <w:tcMar>
              <w:top w:w="9" w:type="dxa"/>
              <w:left w:w="9" w:type="dxa"/>
              <w:bottom w:w="0" w:type="dxa"/>
              <w:right w:w="9" w:type="dxa"/>
            </w:tcMar>
            <w:vAlign w:val="bottom"/>
          </w:tcPr>
          <w:p w:rsidR="00DC207C" w:rsidRPr="00376AE6" w:rsidRDefault="00DC207C" w:rsidP="008D176A">
            <w:pPr>
              <w:jc w:val="center"/>
              <w:textAlignment w:val="bottom"/>
              <w:rPr>
                <w:sz w:val="20"/>
                <w:szCs w:val="20"/>
              </w:rPr>
            </w:pPr>
            <w:r w:rsidRPr="00376AE6">
              <w:rPr>
                <w:color w:val="000000"/>
                <w:kern w:val="24"/>
                <w:sz w:val="20"/>
                <w:szCs w:val="20"/>
              </w:rPr>
              <w:t xml:space="preserve">± </w:t>
            </w:r>
          </w:p>
        </w:tc>
        <w:tc>
          <w:tcPr>
            <w:tcW w:w="600" w:type="dxa"/>
            <w:tcBorders>
              <w:bottom w:val="single" w:sz="4" w:space="0" w:color="auto"/>
            </w:tcBorders>
            <w:tcMar>
              <w:top w:w="15" w:type="dxa"/>
              <w:left w:w="15" w:type="dxa"/>
              <w:bottom w:w="0" w:type="dxa"/>
              <w:right w:w="15" w:type="dxa"/>
            </w:tcMar>
            <w:vAlign w:val="bottom"/>
          </w:tcPr>
          <w:p w:rsidR="00DC207C" w:rsidRPr="00376AE6" w:rsidRDefault="00DC207C" w:rsidP="008D176A">
            <w:pPr>
              <w:textAlignment w:val="bottom"/>
              <w:rPr>
                <w:sz w:val="20"/>
                <w:szCs w:val="20"/>
              </w:rPr>
            </w:pPr>
            <w:r w:rsidRPr="00376AE6">
              <w:rPr>
                <w:color w:val="000000"/>
                <w:kern w:val="24"/>
                <w:sz w:val="20"/>
                <w:szCs w:val="20"/>
              </w:rPr>
              <w:t xml:space="preserve">0.1 </w:t>
            </w:r>
          </w:p>
        </w:tc>
        <w:tc>
          <w:tcPr>
            <w:tcW w:w="400" w:type="dxa"/>
            <w:tcBorders>
              <w:bottom w:val="single" w:sz="4" w:space="0" w:color="auto"/>
            </w:tcBorders>
            <w:tcMar>
              <w:top w:w="15" w:type="dxa"/>
              <w:left w:w="15" w:type="dxa"/>
              <w:bottom w:w="0" w:type="dxa"/>
              <w:right w:w="15" w:type="dxa"/>
            </w:tcMar>
            <w:vAlign w:val="bottom"/>
          </w:tcPr>
          <w:p w:rsidR="00DC207C" w:rsidRPr="00376AE6" w:rsidRDefault="00DC207C" w:rsidP="008D176A">
            <w:pPr>
              <w:jc w:val="right"/>
              <w:textAlignment w:val="bottom"/>
              <w:rPr>
                <w:sz w:val="20"/>
                <w:szCs w:val="20"/>
              </w:rPr>
            </w:pPr>
            <w:r w:rsidRPr="00376AE6">
              <w:rPr>
                <w:color w:val="000000"/>
                <w:kern w:val="24"/>
                <w:sz w:val="20"/>
                <w:szCs w:val="20"/>
              </w:rPr>
              <w:t>0.2</w:t>
            </w:r>
          </w:p>
        </w:tc>
        <w:tc>
          <w:tcPr>
            <w:tcW w:w="320" w:type="dxa"/>
            <w:tcBorders>
              <w:bottom w:val="single" w:sz="4" w:space="0" w:color="auto"/>
            </w:tcBorders>
            <w:tcMar>
              <w:top w:w="9" w:type="dxa"/>
              <w:left w:w="9" w:type="dxa"/>
              <w:bottom w:w="0" w:type="dxa"/>
              <w:right w:w="9" w:type="dxa"/>
            </w:tcMar>
            <w:vAlign w:val="bottom"/>
          </w:tcPr>
          <w:p w:rsidR="00DC207C" w:rsidRPr="00376AE6" w:rsidRDefault="00DC207C" w:rsidP="008D176A">
            <w:pPr>
              <w:jc w:val="center"/>
              <w:textAlignment w:val="bottom"/>
              <w:rPr>
                <w:sz w:val="20"/>
                <w:szCs w:val="20"/>
              </w:rPr>
            </w:pPr>
            <w:r w:rsidRPr="00376AE6">
              <w:rPr>
                <w:color w:val="000000"/>
                <w:kern w:val="24"/>
                <w:sz w:val="20"/>
                <w:szCs w:val="20"/>
              </w:rPr>
              <w:t xml:space="preserve">± </w:t>
            </w:r>
          </w:p>
        </w:tc>
        <w:tc>
          <w:tcPr>
            <w:tcW w:w="600" w:type="dxa"/>
            <w:tcBorders>
              <w:bottom w:val="single" w:sz="4" w:space="0" w:color="auto"/>
              <w:right w:val="single" w:sz="4" w:space="0" w:color="auto"/>
            </w:tcBorders>
            <w:tcMar>
              <w:top w:w="15" w:type="dxa"/>
              <w:left w:w="15" w:type="dxa"/>
              <w:bottom w:w="0" w:type="dxa"/>
              <w:right w:w="15" w:type="dxa"/>
            </w:tcMar>
            <w:vAlign w:val="bottom"/>
          </w:tcPr>
          <w:p w:rsidR="00DC207C" w:rsidRPr="00376AE6" w:rsidRDefault="00DC207C" w:rsidP="008D176A">
            <w:pPr>
              <w:textAlignment w:val="bottom"/>
              <w:rPr>
                <w:sz w:val="20"/>
                <w:szCs w:val="20"/>
              </w:rPr>
            </w:pPr>
            <w:r w:rsidRPr="00376AE6">
              <w:rPr>
                <w:color w:val="000000"/>
                <w:kern w:val="24"/>
                <w:sz w:val="20"/>
                <w:szCs w:val="20"/>
              </w:rPr>
              <w:t>0.0</w:t>
            </w:r>
          </w:p>
        </w:tc>
        <w:tc>
          <w:tcPr>
            <w:tcW w:w="520" w:type="dxa"/>
            <w:tcBorders>
              <w:top w:val="nil"/>
              <w:left w:val="single" w:sz="4" w:space="0" w:color="auto"/>
              <w:bottom w:val="single" w:sz="4" w:space="0" w:color="auto"/>
              <w:right w:val="nil"/>
            </w:tcBorders>
            <w:tcMar>
              <w:top w:w="15" w:type="dxa"/>
              <w:left w:w="15" w:type="dxa"/>
              <w:bottom w:w="0" w:type="dxa"/>
              <w:right w:w="15" w:type="dxa"/>
            </w:tcMar>
            <w:vAlign w:val="bottom"/>
          </w:tcPr>
          <w:p w:rsidR="00DC207C" w:rsidRPr="00376AE6" w:rsidRDefault="00DC207C" w:rsidP="008D176A">
            <w:pPr>
              <w:jc w:val="right"/>
              <w:textAlignment w:val="bottom"/>
              <w:rPr>
                <w:sz w:val="20"/>
                <w:szCs w:val="20"/>
              </w:rPr>
            </w:pPr>
            <w:r w:rsidRPr="00376AE6">
              <w:rPr>
                <w:color w:val="000000"/>
                <w:kern w:val="24"/>
                <w:sz w:val="20"/>
                <w:szCs w:val="20"/>
              </w:rPr>
              <w:t>0.2</w:t>
            </w:r>
          </w:p>
        </w:tc>
        <w:tc>
          <w:tcPr>
            <w:tcW w:w="320" w:type="dxa"/>
            <w:tcBorders>
              <w:top w:val="single" w:sz="8" w:space="0" w:color="FFFFFF"/>
              <w:left w:val="nil"/>
              <w:bottom w:val="single" w:sz="4" w:space="0" w:color="auto"/>
              <w:right w:val="single" w:sz="8" w:space="0" w:color="FFFFFF"/>
            </w:tcBorders>
            <w:tcMar>
              <w:top w:w="9" w:type="dxa"/>
              <w:left w:w="9" w:type="dxa"/>
              <w:bottom w:w="0" w:type="dxa"/>
              <w:right w:w="9" w:type="dxa"/>
            </w:tcMar>
            <w:vAlign w:val="bottom"/>
          </w:tcPr>
          <w:p w:rsidR="00DC207C" w:rsidRPr="00376AE6" w:rsidRDefault="00DC207C" w:rsidP="008D176A">
            <w:pPr>
              <w:jc w:val="center"/>
              <w:textAlignment w:val="bottom"/>
              <w:rPr>
                <w:sz w:val="20"/>
                <w:szCs w:val="20"/>
              </w:rPr>
            </w:pPr>
            <w:r w:rsidRPr="00376AE6">
              <w:rPr>
                <w:color w:val="000000"/>
                <w:kern w:val="24"/>
                <w:sz w:val="20"/>
                <w:szCs w:val="20"/>
              </w:rPr>
              <w:t xml:space="preserve">± </w:t>
            </w:r>
          </w:p>
        </w:tc>
        <w:tc>
          <w:tcPr>
            <w:tcW w:w="480" w:type="dxa"/>
            <w:tcBorders>
              <w:top w:val="single" w:sz="8" w:space="0" w:color="FFFFFF"/>
              <w:left w:val="single" w:sz="8" w:space="0" w:color="FFFFFF"/>
              <w:bottom w:val="single" w:sz="4" w:space="0" w:color="auto"/>
              <w:right w:val="single" w:sz="8" w:space="0" w:color="FFFFFF"/>
            </w:tcBorders>
            <w:tcMar>
              <w:top w:w="15" w:type="dxa"/>
              <w:left w:w="15" w:type="dxa"/>
              <w:bottom w:w="0" w:type="dxa"/>
              <w:right w:w="15" w:type="dxa"/>
            </w:tcMar>
            <w:vAlign w:val="bottom"/>
          </w:tcPr>
          <w:p w:rsidR="00DC207C" w:rsidRPr="00376AE6" w:rsidRDefault="00DC207C" w:rsidP="008D176A">
            <w:pPr>
              <w:textAlignment w:val="bottom"/>
              <w:rPr>
                <w:sz w:val="20"/>
                <w:szCs w:val="20"/>
              </w:rPr>
            </w:pPr>
            <w:r w:rsidRPr="00376AE6">
              <w:rPr>
                <w:color w:val="000000"/>
                <w:kern w:val="24"/>
                <w:sz w:val="20"/>
                <w:szCs w:val="20"/>
              </w:rPr>
              <w:t>0.1</w:t>
            </w:r>
          </w:p>
        </w:tc>
        <w:tc>
          <w:tcPr>
            <w:tcW w:w="480" w:type="dxa"/>
            <w:tcBorders>
              <w:top w:val="nil"/>
              <w:left w:val="single" w:sz="8" w:space="0" w:color="FFFFFF"/>
              <w:bottom w:val="single" w:sz="4" w:space="0" w:color="auto"/>
              <w:right w:val="nil"/>
            </w:tcBorders>
            <w:tcMar>
              <w:top w:w="15" w:type="dxa"/>
              <w:left w:w="15" w:type="dxa"/>
              <w:bottom w:w="0" w:type="dxa"/>
              <w:right w:w="15" w:type="dxa"/>
            </w:tcMar>
            <w:vAlign w:val="bottom"/>
          </w:tcPr>
          <w:p w:rsidR="00DC207C" w:rsidRPr="00376AE6" w:rsidRDefault="00DC207C" w:rsidP="008D176A">
            <w:pPr>
              <w:jc w:val="right"/>
              <w:textAlignment w:val="bottom"/>
              <w:rPr>
                <w:sz w:val="20"/>
                <w:szCs w:val="20"/>
              </w:rPr>
            </w:pPr>
            <w:r w:rsidRPr="00376AE6">
              <w:rPr>
                <w:color w:val="000000"/>
                <w:kern w:val="24"/>
                <w:sz w:val="20"/>
                <w:szCs w:val="20"/>
              </w:rPr>
              <w:t>0.3</w:t>
            </w:r>
          </w:p>
        </w:tc>
        <w:tc>
          <w:tcPr>
            <w:tcW w:w="360" w:type="dxa"/>
            <w:tcBorders>
              <w:top w:val="single" w:sz="8" w:space="0" w:color="FFFFFF"/>
              <w:left w:val="nil"/>
              <w:bottom w:val="single" w:sz="4" w:space="0" w:color="auto"/>
              <w:right w:val="single" w:sz="8" w:space="0" w:color="FFFFFF"/>
            </w:tcBorders>
            <w:tcMar>
              <w:top w:w="9" w:type="dxa"/>
              <w:left w:w="9" w:type="dxa"/>
              <w:bottom w:w="0" w:type="dxa"/>
              <w:right w:w="9" w:type="dxa"/>
            </w:tcMar>
            <w:vAlign w:val="bottom"/>
          </w:tcPr>
          <w:p w:rsidR="00DC207C" w:rsidRPr="00376AE6" w:rsidRDefault="00DC207C" w:rsidP="008D176A">
            <w:pPr>
              <w:jc w:val="center"/>
              <w:textAlignment w:val="bottom"/>
              <w:rPr>
                <w:sz w:val="20"/>
                <w:szCs w:val="20"/>
              </w:rPr>
            </w:pPr>
            <w:r w:rsidRPr="00376AE6">
              <w:rPr>
                <w:color w:val="000000"/>
                <w:kern w:val="24"/>
                <w:sz w:val="20"/>
                <w:szCs w:val="20"/>
              </w:rPr>
              <w:t xml:space="preserve">± </w:t>
            </w:r>
          </w:p>
        </w:tc>
        <w:tc>
          <w:tcPr>
            <w:tcW w:w="480" w:type="dxa"/>
            <w:tcBorders>
              <w:top w:val="single" w:sz="8" w:space="0" w:color="FFFFFF"/>
              <w:left w:val="single" w:sz="8" w:space="0" w:color="FFFFFF"/>
              <w:bottom w:val="single" w:sz="4" w:space="0" w:color="auto"/>
              <w:right w:val="single" w:sz="8" w:space="0" w:color="FFFFFF"/>
            </w:tcBorders>
            <w:tcMar>
              <w:top w:w="15" w:type="dxa"/>
              <w:left w:w="15" w:type="dxa"/>
              <w:bottom w:w="0" w:type="dxa"/>
              <w:right w:w="15" w:type="dxa"/>
            </w:tcMar>
            <w:vAlign w:val="bottom"/>
          </w:tcPr>
          <w:p w:rsidR="00DC207C" w:rsidRPr="00376AE6" w:rsidRDefault="00DC207C" w:rsidP="008D176A">
            <w:pPr>
              <w:textAlignment w:val="bottom"/>
              <w:rPr>
                <w:sz w:val="20"/>
                <w:szCs w:val="20"/>
              </w:rPr>
            </w:pPr>
            <w:r w:rsidRPr="00376AE6">
              <w:rPr>
                <w:color w:val="000000"/>
                <w:kern w:val="24"/>
                <w:sz w:val="20"/>
                <w:szCs w:val="20"/>
              </w:rPr>
              <w:t>0.0</w:t>
            </w:r>
          </w:p>
        </w:tc>
      </w:tr>
    </w:tbl>
    <w:bookmarkEnd w:id="269"/>
    <w:p w:rsidR="00DC207C" w:rsidRDefault="00DC207C" w:rsidP="00097A19">
      <w:pPr>
        <w:spacing w:line="480" w:lineRule="auto"/>
      </w:pPr>
      <w:r>
        <w:br w:type="textWrapping" w:clear="all"/>
      </w:r>
      <w:r w:rsidR="00376AE6">
        <w:rPr>
          <w:b/>
        </w:rPr>
        <w:t>Table</w:t>
      </w:r>
      <w:r w:rsidR="00376AE6" w:rsidRPr="00A50ECC">
        <w:rPr>
          <w:b/>
        </w:rPr>
        <w:t xml:space="preserve"> </w:t>
      </w:r>
      <w:r w:rsidR="00376AE6">
        <w:rPr>
          <w:b/>
        </w:rPr>
        <w:t>B.1</w:t>
      </w:r>
      <w:r w:rsidR="00376AE6" w:rsidRPr="00B225FC">
        <w:t xml:space="preserve">. </w:t>
      </w:r>
      <w:r w:rsidR="00376AE6">
        <w:t xml:space="preserve">Continued. </w:t>
      </w:r>
      <w:r>
        <w:t xml:space="preserve">Chemical composition data are presented on a percent dry weight basis. All five biological replicates from each control group, and all 10 biological </w:t>
      </w:r>
      <w:r>
        <w:lastRenderedPageBreak/>
        <w:t xml:space="preserve">replicates from each transgenic group, were used in the analyses. </w:t>
      </w:r>
      <w:r w:rsidRPr="00B225FC">
        <w:t xml:space="preserve">Values </w:t>
      </w:r>
      <w:r>
        <w:t xml:space="preserve">represent the average of the biological replicates within each group </w:t>
      </w:r>
      <w:r w:rsidRPr="00D93DCF">
        <w:t xml:space="preserve">± </w:t>
      </w:r>
      <w:r w:rsidR="00831D05">
        <w:t>standard error</w:t>
      </w:r>
      <w:r w:rsidRPr="00B225FC">
        <w:rPr>
          <w:color w:val="000000"/>
          <w:kern w:val="24"/>
        </w:rPr>
        <w:t xml:space="preserve">. </w:t>
      </w:r>
      <w:r w:rsidRPr="00B225FC">
        <w:t xml:space="preserve">Each transgenic </w:t>
      </w:r>
      <w:r>
        <w:t>event</w:t>
      </w:r>
      <w:r w:rsidRPr="00B225FC">
        <w:t xml:space="preserve"> was com</w:t>
      </w:r>
      <w:r>
        <w:t>pared to its respective control. An asterisk indicates a significant difference</w:t>
      </w:r>
      <w:r w:rsidRPr="00B225FC">
        <w:t xml:space="preserve"> </w:t>
      </w:r>
      <w:r>
        <w:t xml:space="preserve">as determined by a </w:t>
      </w:r>
      <w:r w:rsidRPr="004C3931">
        <w:rPr>
          <w:i/>
        </w:rPr>
        <w:t>t</w:t>
      </w:r>
      <w:r>
        <w:t xml:space="preserve">-test </w:t>
      </w:r>
      <w:r w:rsidRPr="00B225FC">
        <w:t>(P &lt; 0.05).</w:t>
      </w:r>
    </w:p>
    <w:p w:rsidR="008C1F64" w:rsidRDefault="008C1F64" w:rsidP="00097A19">
      <w:pPr>
        <w:tabs>
          <w:tab w:val="left" w:pos="5204"/>
        </w:tabs>
        <w:spacing w:line="480" w:lineRule="auto"/>
        <w:rPr>
          <w:b/>
        </w:rPr>
      </w:pPr>
      <w:r>
        <w:rPr>
          <w:b/>
        </w:rPr>
        <w:tab/>
      </w:r>
    </w:p>
    <w:p w:rsidR="00DC207C" w:rsidRPr="00A50ECC" w:rsidRDefault="00DC207C" w:rsidP="00097A19">
      <w:pPr>
        <w:spacing w:line="480" w:lineRule="auto"/>
      </w:pPr>
      <w:r w:rsidRPr="008C1F64">
        <w:br w:type="page"/>
      </w:r>
      <w:r>
        <w:rPr>
          <w:b/>
        </w:rPr>
        <w:lastRenderedPageBreak/>
        <w:t xml:space="preserve"> Table</w:t>
      </w:r>
      <w:r w:rsidRPr="00A50ECC">
        <w:rPr>
          <w:b/>
        </w:rPr>
        <w:t xml:space="preserve"> </w:t>
      </w:r>
      <w:r w:rsidR="008F29AA">
        <w:rPr>
          <w:b/>
        </w:rPr>
        <w:t>B.</w:t>
      </w:r>
      <w:r>
        <w:rPr>
          <w:b/>
        </w:rPr>
        <w:t>2</w:t>
      </w:r>
      <w:r w:rsidRPr="00A50ECC">
        <w:t xml:space="preserve">. </w:t>
      </w:r>
      <w:r>
        <w:t>Sugars released by enzymatic hydrolysis from</w:t>
      </w:r>
      <w:r w:rsidRPr="00A50ECC">
        <w:t xml:space="preserve"> green and senesced samples in 2011 and 2012.</w:t>
      </w:r>
    </w:p>
    <w:tbl>
      <w:tblPr>
        <w:tblW w:w="5000" w:type="pct"/>
        <w:jc w:val="center"/>
        <w:tblCellMar>
          <w:left w:w="0" w:type="dxa"/>
          <w:right w:w="0" w:type="dxa"/>
        </w:tblCellMar>
        <w:tblLook w:val="00A0" w:firstRow="1" w:lastRow="0" w:firstColumn="1" w:lastColumn="0" w:noHBand="0" w:noVBand="0"/>
      </w:tblPr>
      <w:tblGrid>
        <w:gridCol w:w="457"/>
        <w:gridCol w:w="126"/>
        <w:gridCol w:w="765"/>
        <w:gridCol w:w="427"/>
        <w:gridCol w:w="125"/>
        <w:gridCol w:w="635"/>
        <w:gridCol w:w="192"/>
        <w:gridCol w:w="235"/>
        <w:gridCol w:w="133"/>
        <w:gridCol w:w="703"/>
        <w:gridCol w:w="109"/>
        <w:gridCol w:w="318"/>
        <w:gridCol w:w="138"/>
        <w:gridCol w:w="650"/>
        <w:gridCol w:w="68"/>
        <w:gridCol w:w="427"/>
        <w:gridCol w:w="130"/>
        <w:gridCol w:w="631"/>
        <w:gridCol w:w="464"/>
        <w:gridCol w:w="149"/>
        <w:gridCol w:w="621"/>
        <w:gridCol w:w="427"/>
        <w:gridCol w:w="143"/>
        <w:gridCol w:w="567"/>
      </w:tblGrid>
      <w:tr w:rsidR="00DC207C" w:rsidRPr="00123353" w:rsidTr="00376AE6">
        <w:trPr>
          <w:trHeight w:val="288"/>
          <w:jc w:val="center"/>
        </w:trPr>
        <w:tc>
          <w:tcPr>
            <w:tcW w:w="636" w:type="dxa"/>
            <w:gridSpan w:val="2"/>
            <w:tcBorders>
              <w:top w:val="single" w:sz="8" w:space="0" w:color="000000"/>
              <w:left w:val="nil"/>
              <w:bottom w:val="nil"/>
              <w:right w:val="nil"/>
            </w:tcBorders>
            <w:tcMar>
              <w:top w:w="8" w:type="dxa"/>
              <w:left w:w="8" w:type="dxa"/>
              <w:bottom w:w="0" w:type="dxa"/>
              <w:right w:w="8" w:type="dxa"/>
            </w:tcMar>
          </w:tcPr>
          <w:p w:rsidR="00DC207C" w:rsidRPr="00123353" w:rsidRDefault="00DC207C" w:rsidP="008D176A">
            <w:pPr>
              <w:rPr>
                <w:sz w:val="20"/>
                <w:szCs w:val="36"/>
              </w:rPr>
            </w:pPr>
          </w:p>
        </w:tc>
        <w:tc>
          <w:tcPr>
            <w:tcW w:w="1001" w:type="dxa"/>
            <w:tcBorders>
              <w:top w:val="single" w:sz="8" w:space="0" w:color="000000"/>
              <w:left w:val="nil"/>
              <w:bottom w:val="nil"/>
              <w:right w:val="nil"/>
            </w:tcBorders>
            <w:tcMar>
              <w:top w:w="8" w:type="dxa"/>
              <w:left w:w="8" w:type="dxa"/>
              <w:bottom w:w="0" w:type="dxa"/>
              <w:right w:w="8" w:type="dxa"/>
            </w:tcMar>
          </w:tcPr>
          <w:p w:rsidR="00DC207C" w:rsidRPr="00123353" w:rsidRDefault="00DC207C" w:rsidP="008D176A">
            <w:pPr>
              <w:rPr>
                <w:sz w:val="20"/>
                <w:szCs w:val="36"/>
              </w:rPr>
            </w:pPr>
          </w:p>
        </w:tc>
        <w:tc>
          <w:tcPr>
            <w:tcW w:w="4094" w:type="dxa"/>
            <w:gridSpan w:val="11"/>
            <w:tcBorders>
              <w:top w:val="single" w:sz="8" w:space="0" w:color="000000"/>
              <w:left w:val="nil"/>
              <w:bottom w:val="single" w:sz="8" w:space="0" w:color="000000"/>
              <w:right w:val="nil"/>
            </w:tcBorders>
            <w:tcMar>
              <w:top w:w="8" w:type="dxa"/>
              <w:left w:w="8" w:type="dxa"/>
              <w:bottom w:w="0" w:type="dxa"/>
              <w:right w:w="8" w:type="dxa"/>
            </w:tcMar>
            <w:vAlign w:val="bottom"/>
          </w:tcPr>
          <w:p w:rsidR="00DC207C" w:rsidRPr="00123353" w:rsidRDefault="00DC207C" w:rsidP="008D176A">
            <w:pPr>
              <w:jc w:val="center"/>
              <w:textAlignment w:val="center"/>
              <w:rPr>
                <w:sz w:val="20"/>
                <w:szCs w:val="36"/>
              </w:rPr>
            </w:pPr>
            <w:r w:rsidRPr="00123353">
              <w:rPr>
                <w:color w:val="000000"/>
                <w:kern w:val="24"/>
                <w:sz w:val="20"/>
                <w:szCs w:val="18"/>
              </w:rPr>
              <w:t xml:space="preserve">Green tissue </w:t>
            </w:r>
          </w:p>
        </w:tc>
        <w:tc>
          <w:tcPr>
            <w:tcW w:w="105" w:type="dxa"/>
            <w:tcBorders>
              <w:top w:val="single" w:sz="8" w:space="0" w:color="000000"/>
              <w:left w:val="nil"/>
              <w:bottom w:val="nil"/>
              <w:right w:val="nil"/>
            </w:tcBorders>
            <w:tcMar>
              <w:top w:w="8" w:type="dxa"/>
              <w:left w:w="8" w:type="dxa"/>
              <w:bottom w:w="0" w:type="dxa"/>
              <w:right w:w="8" w:type="dxa"/>
            </w:tcMar>
            <w:vAlign w:val="bottom"/>
          </w:tcPr>
          <w:p w:rsidR="00DC207C" w:rsidRPr="00123353" w:rsidRDefault="00DC207C" w:rsidP="008D176A">
            <w:pPr>
              <w:rPr>
                <w:sz w:val="20"/>
                <w:szCs w:val="36"/>
              </w:rPr>
            </w:pPr>
          </w:p>
        </w:tc>
        <w:tc>
          <w:tcPr>
            <w:tcW w:w="3901" w:type="dxa"/>
            <w:gridSpan w:val="9"/>
            <w:tcBorders>
              <w:top w:val="single" w:sz="8" w:space="0" w:color="000000"/>
              <w:left w:val="nil"/>
              <w:bottom w:val="single" w:sz="8" w:space="0" w:color="000000"/>
              <w:right w:val="nil"/>
            </w:tcBorders>
            <w:tcMar>
              <w:top w:w="8" w:type="dxa"/>
              <w:left w:w="8" w:type="dxa"/>
              <w:bottom w:w="0" w:type="dxa"/>
              <w:right w:w="8" w:type="dxa"/>
            </w:tcMar>
            <w:vAlign w:val="bottom"/>
          </w:tcPr>
          <w:p w:rsidR="00DC207C" w:rsidRPr="00123353" w:rsidRDefault="00DC207C" w:rsidP="008D176A">
            <w:pPr>
              <w:jc w:val="center"/>
              <w:textAlignment w:val="center"/>
              <w:rPr>
                <w:sz w:val="20"/>
                <w:szCs w:val="36"/>
              </w:rPr>
            </w:pPr>
            <w:r w:rsidRPr="00123353">
              <w:rPr>
                <w:color w:val="000000"/>
                <w:kern w:val="24"/>
                <w:sz w:val="20"/>
                <w:szCs w:val="18"/>
              </w:rPr>
              <w:t xml:space="preserve">Senesced tissue </w:t>
            </w:r>
          </w:p>
        </w:tc>
      </w:tr>
      <w:tr w:rsidR="00DC207C" w:rsidRPr="00123353" w:rsidTr="00376AE6">
        <w:trPr>
          <w:trHeight w:val="288"/>
          <w:jc w:val="center"/>
        </w:trPr>
        <w:tc>
          <w:tcPr>
            <w:tcW w:w="497" w:type="dxa"/>
            <w:tcBorders>
              <w:top w:val="nil"/>
              <w:left w:val="nil"/>
              <w:bottom w:val="single" w:sz="8" w:space="0" w:color="000000"/>
              <w:right w:val="nil"/>
            </w:tcBorders>
            <w:tcMar>
              <w:top w:w="8" w:type="dxa"/>
              <w:left w:w="8" w:type="dxa"/>
              <w:bottom w:w="0" w:type="dxa"/>
              <w:right w:w="8" w:type="dxa"/>
            </w:tcMar>
            <w:vAlign w:val="bottom"/>
          </w:tcPr>
          <w:p w:rsidR="00DC207C" w:rsidRPr="00123353" w:rsidRDefault="00DC207C" w:rsidP="008D176A">
            <w:pPr>
              <w:textAlignment w:val="center"/>
              <w:rPr>
                <w:sz w:val="20"/>
                <w:szCs w:val="18"/>
              </w:rPr>
            </w:pPr>
            <w:r w:rsidRPr="00123353">
              <w:rPr>
                <w:color w:val="000000"/>
                <w:kern w:val="24"/>
                <w:sz w:val="20"/>
                <w:szCs w:val="18"/>
              </w:rPr>
              <w:t>Year</w:t>
            </w:r>
          </w:p>
        </w:tc>
        <w:tc>
          <w:tcPr>
            <w:tcW w:w="1140" w:type="dxa"/>
            <w:gridSpan w:val="2"/>
            <w:tcBorders>
              <w:top w:val="nil"/>
              <w:left w:val="nil"/>
              <w:bottom w:val="single" w:sz="8" w:space="0" w:color="000000"/>
              <w:right w:val="nil"/>
            </w:tcBorders>
            <w:tcMar>
              <w:top w:w="8" w:type="dxa"/>
              <w:left w:w="8" w:type="dxa"/>
              <w:bottom w:w="0" w:type="dxa"/>
              <w:right w:w="8" w:type="dxa"/>
            </w:tcMar>
            <w:vAlign w:val="bottom"/>
          </w:tcPr>
          <w:p w:rsidR="00DC207C" w:rsidRPr="00123353" w:rsidRDefault="00DC207C" w:rsidP="008D176A">
            <w:pPr>
              <w:rPr>
                <w:sz w:val="20"/>
                <w:szCs w:val="18"/>
              </w:rPr>
            </w:pPr>
          </w:p>
        </w:tc>
        <w:tc>
          <w:tcPr>
            <w:tcW w:w="1485" w:type="dxa"/>
            <w:gridSpan w:val="4"/>
            <w:tcBorders>
              <w:top w:val="single" w:sz="8" w:space="0" w:color="000000"/>
              <w:left w:val="nil"/>
              <w:bottom w:val="single" w:sz="8" w:space="0" w:color="000000"/>
              <w:right w:val="nil"/>
            </w:tcBorders>
            <w:tcMar>
              <w:top w:w="8" w:type="dxa"/>
              <w:left w:w="8" w:type="dxa"/>
              <w:bottom w:w="0" w:type="dxa"/>
              <w:right w:w="8" w:type="dxa"/>
            </w:tcMar>
            <w:vAlign w:val="bottom"/>
          </w:tcPr>
          <w:p w:rsidR="00DC207C" w:rsidRPr="00123353" w:rsidRDefault="00DC207C" w:rsidP="008D176A">
            <w:pPr>
              <w:jc w:val="center"/>
              <w:textAlignment w:val="center"/>
              <w:rPr>
                <w:color w:val="000000"/>
                <w:kern w:val="24"/>
                <w:sz w:val="20"/>
                <w:szCs w:val="18"/>
              </w:rPr>
            </w:pPr>
            <w:r w:rsidRPr="00123353">
              <w:rPr>
                <w:color w:val="000000"/>
                <w:kern w:val="24"/>
                <w:sz w:val="20"/>
                <w:szCs w:val="18"/>
              </w:rPr>
              <w:t xml:space="preserve">Glucose </w:t>
            </w:r>
          </w:p>
          <w:p w:rsidR="00DC207C" w:rsidRPr="00123353" w:rsidRDefault="00DC207C" w:rsidP="008D176A">
            <w:pPr>
              <w:jc w:val="center"/>
              <w:textAlignment w:val="center"/>
              <w:rPr>
                <w:color w:val="000000"/>
                <w:kern w:val="24"/>
                <w:sz w:val="20"/>
                <w:szCs w:val="18"/>
              </w:rPr>
            </w:pPr>
            <w:r w:rsidRPr="00123353">
              <w:rPr>
                <w:color w:val="000000"/>
                <w:kern w:val="24"/>
                <w:sz w:val="20"/>
                <w:szCs w:val="18"/>
              </w:rPr>
              <w:t xml:space="preserve">release </w:t>
            </w:r>
          </w:p>
          <w:p w:rsidR="00DC207C" w:rsidRPr="00123353" w:rsidRDefault="00DC207C" w:rsidP="008D176A">
            <w:pPr>
              <w:jc w:val="center"/>
              <w:textAlignment w:val="center"/>
              <w:rPr>
                <w:sz w:val="20"/>
                <w:szCs w:val="18"/>
              </w:rPr>
            </w:pPr>
            <w:r w:rsidRPr="00123353">
              <w:rPr>
                <w:color w:val="000000"/>
                <w:kern w:val="24"/>
                <w:sz w:val="20"/>
                <w:szCs w:val="18"/>
              </w:rPr>
              <w:t>(g/g CWR)</w:t>
            </w:r>
          </w:p>
        </w:tc>
        <w:tc>
          <w:tcPr>
            <w:tcW w:w="1361" w:type="dxa"/>
            <w:gridSpan w:val="4"/>
            <w:tcBorders>
              <w:top w:val="single" w:sz="8" w:space="0" w:color="000000"/>
              <w:left w:val="nil"/>
              <w:bottom w:val="single" w:sz="8" w:space="0" w:color="000000"/>
              <w:right w:val="nil"/>
            </w:tcBorders>
            <w:tcMar>
              <w:top w:w="8" w:type="dxa"/>
              <w:left w:w="8" w:type="dxa"/>
              <w:bottom w:w="0" w:type="dxa"/>
              <w:right w:w="8" w:type="dxa"/>
            </w:tcMar>
            <w:vAlign w:val="bottom"/>
          </w:tcPr>
          <w:p w:rsidR="00DC207C" w:rsidRPr="00123353" w:rsidRDefault="00DC207C" w:rsidP="008D176A">
            <w:pPr>
              <w:jc w:val="center"/>
              <w:textAlignment w:val="center"/>
              <w:rPr>
                <w:color w:val="000000"/>
                <w:kern w:val="24"/>
                <w:sz w:val="20"/>
                <w:szCs w:val="18"/>
              </w:rPr>
            </w:pPr>
            <w:r w:rsidRPr="00123353">
              <w:rPr>
                <w:color w:val="000000"/>
                <w:kern w:val="24"/>
                <w:sz w:val="20"/>
                <w:szCs w:val="18"/>
              </w:rPr>
              <w:t xml:space="preserve">Xylose </w:t>
            </w:r>
          </w:p>
          <w:p w:rsidR="00DC207C" w:rsidRPr="00123353" w:rsidRDefault="00DC207C" w:rsidP="008D176A">
            <w:pPr>
              <w:jc w:val="center"/>
              <w:textAlignment w:val="center"/>
              <w:rPr>
                <w:color w:val="000000"/>
                <w:kern w:val="24"/>
                <w:sz w:val="20"/>
                <w:szCs w:val="18"/>
              </w:rPr>
            </w:pPr>
            <w:r w:rsidRPr="00123353">
              <w:rPr>
                <w:color w:val="000000"/>
                <w:kern w:val="24"/>
                <w:sz w:val="20"/>
                <w:szCs w:val="18"/>
              </w:rPr>
              <w:t>release</w:t>
            </w:r>
          </w:p>
          <w:p w:rsidR="00DC207C" w:rsidRPr="00123353" w:rsidRDefault="00DC207C" w:rsidP="008D176A">
            <w:pPr>
              <w:jc w:val="center"/>
              <w:textAlignment w:val="center"/>
              <w:rPr>
                <w:sz w:val="20"/>
                <w:szCs w:val="18"/>
              </w:rPr>
            </w:pPr>
            <w:r w:rsidRPr="00123353">
              <w:rPr>
                <w:color w:val="000000"/>
                <w:kern w:val="24"/>
                <w:sz w:val="20"/>
                <w:szCs w:val="18"/>
              </w:rPr>
              <w:t xml:space="preserve"> (g/g CWR)</w:t>
            </w:r>
          </w:p>
        </w:tc>
        <w:tc>
          <w:tcPr>
            <w:tcW w:w="1248" w:type="dxa"/>
            <w:gridSpan w:val="3"/>
            <w:tcBorders>
              <w:top w:val="single" w:sz="8" w:space="0" w:color="000000"/>
              <w:left w:val="nil"/>
              <w:bottom w:val="single" w:sz="8" w:space="0" w:color="000000"/>
              <w:right w:val="nil"/>
            </w:tcBorders>
            <w:tcMar>
              <w:top w:w="8" w:type="dxa"/>
              <w:left w:w="8" w:type="dxa"/>
              <w:bottom w:w="0" w:type="dxa"/>
              <w:right w:w="8" w:type="dxa"/>
            </w:tcMar>
            <w:vAlign w:val="bottom"/>
          </w:tcPr>
          <w:p w:rsidR="00DC207C" w:rsidRPr="00123353" w:rsidRDefault="00DC207C" w:rsidP="008D176A">
            <w:pPr>
              <w:jc w:val="center"/>
              <w:textAlignment w:val="center"/>
              <w:rPr>
                <w:color w:val="000000"/>
                <w:kern w:val="24"/>
                <w:sz w:val="20"/>
                <w:szCs w:val="18"/>
              </w:rPr>
            </w:pPr>
            <w:r w:rsidRPr="00123353">
              <w:rPr>
                <w:color w:val="000000"/>
                <w:kern w:val="24"/>
                <w:sz w:val="20"/>
                <w:szCs w:val="18"/>
              </w:rPr>
              <w:t>Total</w:t>
            </w:r>
          </w:p>
          <w:p w:rsidR="00DC207C" w:rsidRPr="00123353" w:rsidRDefault="00DC207C" w:rsidP="008D176A">
            <w:pPr>
              <w:jc w:val="center"/>
              <w:textAlignment w:val="center"/>
              <w:rPr>
                <w:sz w:val="20"/>
                <w:szCs w:val="18"/>
              </w:rPr>
            </w:pPr>
            <w:r w:rsidRPr="00123353">
              <w:rPr>
                <w:color w:val="000000"/>
                <w:kern w:val="24"/>
                <w:sz w:val="20"/>
                <w:szCs w:val="18"/>
              </w:rPr>
              <w:t xml:space="preserve"> release</w:t>
            </w:r>
          </w:p>
          <w:p w:rsidR="00DC207C" w:rsidRPr="00123353" w:rsidRDefault="00DC207C" w:rsidP="008D176A">
            <w:pPr>
              <w:jc w:val="center"/>
              <w:textAlignment w:val="center"/>
              <w:rPr>
                <w:sz w:val="20"/>
                <w:szCs w:val="18"/>
              </w:rPr>
            </w:pPr>
            <w:r w:rsidRPr="00123353">
              <w:rPr>
                <w:color w:val="000000"/>
                <w:kern w:val="24"/>
                <w:sz w:val="20"/>
                <w:szCs w:val="18"/>
              </w:rPr>
              <w:t>(g/g CWR)</w:t>
            </w:r>
          </w:p>
        </w:tc>
        <w:tc>
          <w:tcPr>
            <w:tcW w:w="105" w:type="dxa"/>
            <w:tcBorders>
              <w:top w:val="nil"/>
              <w:left w:val="nil"/>
              <w:bottom w:val="single" w:sz="8" w:space="0" w:color="000000"/>
              <w:right w:val="nil"/>
            </w:tcBorders>
            <w:tcMar>
              <w:top w:w="8" w:type="dxa"/>
              <w:left w:w="8" w:type="dxa"/>
              <w:bottom w:w="0" w:type="dxa"/>
              <w:right w:w="8" w:type="dxa"/>
            </w:tcMar>
            <w:vAlign w:val="bottom"/>
          </w:tcPr>
          <w:p w:rsidR="00DC207C" w:rsidRPr="00123353" w:rsidRDefault="00DC207C" w:rsidP="008D176A">
            <w:pPr>
              <w:jc w:val="center"/>
              <w:rPr>
                <w:sz w:val="20"/>
                <w:szCs w:val="18"/>
              </w:rPr>
            </w:pPr>
          </w:p>
        </w:tc>
        <w:tc>
          <w:tcPr>
            <w:tcW w:w="1300" w:type="dxa"/>
            <w:gridSpan w:val="3"/>
            <w:tcBorders>
              <w:top w:val="single" w:sz="8" w:space="0" w:color="000000"/>
              <w:left w:val="nil"/>
              <w:bottom w:val="single" w:sz="8" w:space="0" w:color="000000"/>
              <w:right w:val="nil"/>
            </w:tcBorders>
            <w:tcMar>
              <w:top w:w="8" w:type="dxa"/>
              <w:left w:w="8" w:type="dxa"/>
              <w:bottom w:w="0" w:type="dxa"/>
              <w:right w:w="8" w:type="dxa"/>
            </w:tcMar>
            <w:vAlign w:val="bottom"/>
          </w:tcPr>
          <w:p w:rsidR="00DC207C" w:rsidRPr="00123353" w:rsidRDefault="00DC207C" w:rsidP="008D176A">
            <w:pPr>
              <w:jc w:val="center"/>
              <w:textAlignment w:val="center"/>
              <w:rPr>
                <w:color w:val="000000"/>
                <w:kern w:val="24"/>
                <w:sz w:val="20"/>
                <w:szCs w:val="18"/>
              </w:rPr>
            </w:pPr>
            <w:r w:rsidRPr="00123353">
              <w:rPr>
                <w:color w:val="000000"/>
                <w:kern w:val="24"/>
                <w:sz w:val="20"/>
                <w:szCs w:val="18"/>
              </w:rPr>
              <w:t>Glucose</w:t>
            </w:r>
          </w:p>
          <w:p w:rsidR="00DC207C" w:rsidRPr="00123353" w:rsidRDefault="00DC207C" w:rsidP="008D176A">
            <w:pPr>
              <w:jc w:val="center"/>
              <w:textAlignment w:val="center"/>
              <w:rPr>
                <w:color w:val="000000"/>
                <w:kern w:val="24"/>
                <w:sz w:val="20"/>
                <w:szCs w:val="18"/>
              </w:rPr>
            </w:pPr>
            <w:r w:rsidRPr="00123353">
              <w:rPr>
                <w:color w:val="000000"/>
                <w:kern w:val="24"/>
                <w:sz w:val="20"/>
                <w:szCs w:val="18"/>
              </w:rPr>
              <w:t xml:space="preserve"> release</w:t>
            </w:r>
          </w:p>
          <w:p w:rsidR="00DC207C" w:rsidRPr="00123353" w:rsidRDefault="00DC207C" w:rsidP="008D176A">
            <w:pPr>
              <w:jc w:val="center"/>
              <w:textAlignment w:val="center"/>
              <w:rPr>
                <w:sz w:val="20"/>
                <w:szCs w:val="18"/>
              </w:rPr>
            </w:pPr>
            <w:r w:rsidRPr="00123353">
              <w:rPr>
                <w:color w:val="000000"/>
                <w:kern w:val="24"/>
                <w:sz w:val="20"/>
                <w:szCs w:val="18"/>
              </w:rPr>
              <w:t xml:space="preserve"> (g/g CWR)</w:t>
            </w:r>
          </w:p>
        </w:tc>
        <w:tc>
          <w:tcPr>
            <w:tcW w:w="1400" w:type="dxa"/>
            <w:gridSpan w:val="3"/>
            <w:tcBorders>
              <w:top w:val="single" w:sz="8" w:space="0" w:color="000000"/>
              <w:left w:val="nil"/>
              <w:bottom w:val="single" w:sz="8" w:space="0" w:color="000000"/>
              <w:right w:val="nil"/>
            </w:tcBorders>
            <w:tcMar>
              <w:top w:w="8" w:type="dxa"/>
              <w:left w:w="8" w:type="dxa"/>
              <w:bottom w:w="0" w:type="dxa"/>
              <w:right w:w="8" w:type="dxa"/>
            </w:tcMar>
            <w:vAlign w:val="bottom"/>
          </w:tcPr>
          <w:p w:rsidR="00DC207C" w:rsidRPr="00123353" w:rsidRDefault="00DC207C" w:rsidP="008D176A">
            <w:pPr>
              <w:jc w:val="center"/>
              <w:textAlignment w:val="center"/>
              <w:rPr>
                <w:color w:val="000000"/>
                <w:kern w:val="24"/>
                <w:sz w:val="20"/>
                <w:szCs w:val="18"/>
              </w:rPr>
            </w:pPr>
            <w:r w:rsidRPr="00123353">
              <w:rPr>
                <w:color w:val="000000"/>
                <w:kern w:val="24"/>
                <w:sz w:val="20"/>
                <w:szCs w:val="18"/>
              </w:rPr>
              <w:t>Xylose</w:t>
            </w:r>
          </w:p>
          <w:p w:rsidR="00DC207C" w:rsidRPr="00123353" w:rsidRDefault="00DC207C" w:rsidP="008D176A">
            <w:pPr>
              <w:jc w:val="center"/>
              <w:textAlignment w:val="center"/>
              <w:rPr>
                <w:sz w:val="20"/>
                <w:szCs w:val="18"/>
              </w:rPr>
            </w:pPr>
            <w:r w:rsidRPr="00123353">
              <w:rPr>
                <w:color w:val="000000"/>
                <w:kern w:val="24"/>
                <w:sz w:val="20"/>
                <w:szCs w:val="18"/>
              </w:rPr>
              <w:t xml:space="preserve"> release</w:t>
            </w:r>
          </w:p>
          <w:p w:rsidR="00DC207C" w:rsidRPr="00123353" w:rsidRDefault="00DC207C" w:rsidP="008D176A">
            <w:pPr>
              <w:jc w:val="center"/>
              <w:textAlignment w:val="center"/>
              <w:rPr>
                <w:sz w:val="20"/>
                <w:szCs w:val="18"/>
              </w:rPr>
            </w:pPr>
            <w:r w:rsidRPr="00123353">
              <w:rPr>
                <w:color w:val="000000"/>
                <w:kern w:val="24"/>
                <w:sz w:val="20"/>
                <w:szCs w:val="18"/>
              </w:rPr>
              <w:t>(g/g CWR)</w:t>
            </w:r>
          </w:p>
        </w:tc>
        <w:tc>
          <w:tcPr>
            <w:tcW w:w="1201" w:type="dxa"/>
            <w:gridSpan w:val="3"/>
            <w:tcBorders>
              <w:top w:val="single" w:sz="8" w:space="0" w:color="000000"/>
              <w:left w:val="nil"/>
              <w:bottom w:val="single" w:sz="8" w:space="0" w:color="000000"/>
              <w:right w:val="nil"/>
            </w:tcBorders>
            <w:tcMar>
              <w:top w:w="8" w:type="dxa"/>
              <w:left w:w="8" w:type="dxa"/>
              <w:bottom w:w="0" w:type="dxa"/>
              <w:right w:w="8" w:type="dxa"/>
            </w:tcMar>
            <w:vAlign w:val="bottom"/>
          </w:tcPr>
          <w:p w:rsidR="00DC207C" w:rsidRPr="00123353" w:rsidRDefault="00DC207C" w:rsidP="008D176A">
            <w:pPr>
              <w:jc w:val="center"/>
              <w:textAlignment w:val="center"/>
              <w:rPr>
                <w:color w:val="000000"/>
                <w:kern w:val="24"/>
                <w:sz w:val="20"/>
                <w:szCs w:val="18"/>
              </w:rPr>
            </w:pPr>
            <w:r w:rsidRPr="00123353">
              <w:rPr>
                <w:color w:val="000000"/>
                <w:kern w:val="24"/>
                <w:sz w:val="20"/>
                <w:szCs w:val="18"/>
              </w:rPr>
              <w:t>Total</w:t>
            </w:r>
          </w:p>
          <w:p w:rsidR="00DC207C" w:rsidRPr="00123353" w:rsidRDefault="00DC207C" w:rsidP="008D176A">
            <w:pPr>
              <w:jc w:val="center"/>
              <w:textAlignment w:val="center"/>
              <w:rPr>
                <w:color w:val="000000"/>
                <w:kern w:val="24"/>
                <w:sz w:val="20"/>
                <w:szCs w:val="18"/>
              </w:rPr>
            </w:pPr>
            <w:r w:rsidRPr="00123353">
              <w:rPr>
                <w:color w:val="000000"/>
                <w:kern w:val="24"/>
                <w:sz w:val="20"/>
                <w:szCs w:val="18"/>
              </w:rPr>
              <w:t xml:space="preserve"> release </w:t>
            </w:r>
          </w:p>
          <w:p w:rsidR="00DC207C" w:rsidRPr="00123353" w:rsidRDefault="00DC207C" w:rsidP="008D176A">
            <w:pPr>
              <w:jc w:val="center"/>
              <w:textAlignment w:val="center"/>
              <w:rPr>
                <w:sz w:val="20"/>
                <w:szCs w:val="18"/>
              </w:rPr>
            </w:pPr>
            <w:r w:rsidRPr="00123353">
              <w:rPr>
                <w:color w:val="000000"/>
                <w:kern w:val="24"/>
                <w:sz w:val="20"/>
                <w:szCs w:val="18"/>
              </w:rPr>
              <w:t>(g/g CWR)</w:t>
            </w:r>
          </w:p>
        </w:tc>
      </w:tr>
      <w:tr w:rsidR="00DC207C" w:rsidRPr="00123353" w:rsidTr="00376AE6">
        <w:trPr>
          <w:trHeight w:val="288"/>
          <w:jc w:val="center"/>
        </w:trPr>
        <w:tc>
          <w:tcPr>
            <w:tcW w:w="497" w:type="dxa"/>
            <w:tcBorders>
              <w:top w:val="single" w:sz="8" w:space="0" w:color="000000"/>
              <w:left w:val="nil"/>
              <w:bottom w:val="nil"/>
              <w:right w:val="nil"/>
            </w:tcBorders>
            <w:tcMar>
              <w:top w:w="8" w:type="dxa"/>
              <w:left w:w="8" w:type="dxa"/>
              <w:bottom w:w="0" w:type="dxa"/>
              <w:right w:w="8" w:type="dxa"/>
            </w:tcMar>
            <w:vAlign w:val="center"/>
          </w:tcPr>
          <w:p w:rsidR="00DC207C" w:rsidRPr="00123353" w:rsidRDefault="00DC207C" w:rsidP="008D176A">
            <w:pPr>
              <w:textAlignment w:val="center"/>
              <w:rPr>
                <w:sz w:val="20"/>
                <w:szCs w:val="18"/>
              </w:rPr>
            </w:pPr>
            <w:r w:rsidRPr="00123353">
              <w:rPr>
                <w:color w:val="000000"/>
                <w:kern w:val="24"/>
                <w:sz w:val="20"/>
                <w:szCs w:val="18"/>
              </w:rPr>
              <w:t xml:space="preserve">2011 </w:t>
            </w:r>
          </w:p>
        </w:tc>
        <w:tc>
          <w:tcPr>
            <w:tcW w:w="1140" w:type="dxa"/>
            <w:gridSpan w:val="2"/>
            <w:tcBorders>
              <w:top w:val="single" w:sz="8" w:space="0" w:color="000000"/>
              <w:left w:val="nil"/>
              <w:bottom w:val="nil"/>
              <w:right w:val="nil"/>
            </w:tcBorders>
            <w:tcMar>
              <w:top w:w="8" w:type="dxa"/>
              <w:left w:w="8" w:type="dxa"/>
              <w:bottom w:w="0" w:type="dxa"/>
              <w:right w:w="8" w:type="dxa"/>
            </w:tcMar>
            <w:vAlign w:val="center"/>
          </w:tcPr>
          <w:p w:rsidR="00DC207C" w:rsidRPr="00C918EF" w:rsidRDefault="00DC207C" w:rsidP="00C918EF">
            <w:pPr>
              <w:jc w:val="center"/>
              <w:textAlignment w:val="center"/>
              <w:rPr>
                <w:sz w:val="18"/>
                <w:szCs w:val="18"/>
              </w:rPr>
            </w:pPr>
            <w:r w:rsidRPr="00C918EF">
              <w:rPr>
                <w:color w:val="000000"/>
                <w:kern w:val="24"/>
                <w:sz w:val="18"/>
                <w:szCs w:val="18"/>
              </w:rPr>
              <w:t>Control</w:t>
            </w:r>
          </w:p>
        </w:tc>
        <w:tc>
          <w:tcPr>
            <w:tcW w:w="416" w:type="dxa"/>
            <w:tcBorders>
              <w:top w:val="single" w:sz="8" w:space="0" w:color="000000"/>
              <w:left w:val="nil"/>
              <w:bottom w:val="nil"/>
              <w:right w:val="nil"/>
            </w:tcBorders>
            <w:tcMar>
              <w:top w:w="11" w:type="dxa"/>
              <w:left w:w="11" w:type="dxa"/>
              <w:bottom w:w="0" w:type="dxa"/>
              <w:right w:w="11" w:type="dxa"/>
            </w:tcMar>
            <w:vAlign w:val="center"/>
          </w:tcPr>
          <w:p w:rsidR="00DC207C" w:rsidRPr="00376AE6" w:rsidRDefault="00DC207C" w:rsidP="008D176A">
            <w:pPr>
              <w:jc w:val="right"/>
              <w:textAlignment w:val="bottom"/>
              <w:rPr>
                <w:b/>
                <w:sz w:val="18"/>
                <w:szCs w:val="18"/>
              </w:rPr>
            </w:pPr>
            <w:r w:rsidRPr="00376AE6">
              <w:rPr>
                <w:b/>
                <w:color w:val="000000"/>
                <w:kern w:val="24"/>
                <w:sz w:val="18"/>
                <w:szCs w:val="18"/>
              </w:rPr>
              <w:t xml:space="preserve">0.241 </w:t>
            </w:r>
          </w:p>
        </w:tc>
        <w:tc>
          <w:tcPr>
            <w:tcW w:w="137" w:type="dxa"/>
            <w:tcBorders>
              <w:top w:val="single" w:sz="8" w:space="0" w:color="000000"/>
              <w:left w:val="nil"/>
              <w:bottom w:val="nil"/>
              <w:right w:val="nil"/>
            </w:tcBorders>
            <w:tcMar>
              <w:top w:w="7" w:type="dxa"/>
              <w:left w:w="7" w:type="dxa"/>
              <w:bottom w:w="0" w:type="dxa"/>
              <w:right w:w="7" w:type="dxa"/>
            </w:tcMar>
            <w:vAlign w:val="center"/>
          </w:tcPr>
          <w:p w:rsidR="00DC207C" w:rsidRPr="00376AE6" w:rsidRDefault="00DC207C" w:rsidP="008D176A">
            <w:pPr>
              <w:jc w:val="center"/>
              <w:textAlignment w:val="bottom"/>
              <w:rPr>
                <w:b/>
                <w:sz w:val="18"/>
                <w:szCs w:val="18"/>
              </w:rPr>
            </w:pPr>
            <w:r w:rsidRPr="00376AE6">
              <w:rPr>
                <w:b/>
                <w:color w:val="000000"/>
                <w:kern w:val="24"/>
                <w:sz w:val="18"/>
                <w:szCs w:val="18"/>
              </w:rPr>
              <w:t xml:space="preserve">± </w:t>
            </w:r>
          </w:p>
        </w:tc>
        <w:tc>
          <w:tcPr>
            <w:tcW w:w="745" w:type="dxa"/>
            <w:tcBorders>
              <w:top w:val="single" w:sz="8" w:space="0" w:color="000000"/>
              <w:left w:val="nil"/>
              <w:bottom w:val="nil"/>
              <w:right w:val="nil"/>
            </w:tcBorders>
            <w:tcMar>
              <w:top w:w="11" w:type="dxa"/>
              <w:left w:w="11" w:type="dxa"/>
              <w:bottom w:w="0" w:type="dxa"/>
              <w:right w:w="11" w:type="dxa"/>
            </w:tcMar>
            <w:vAlign w:val="center"/>
          </w:tcPr>
          <w:p w:rsidR="00DC207C" w:rsidRPr="00376AE6" w:rsidRDefault="00DC207C" w:rsidP="008D176A">
            <w:pPr>
              <w:textAlignment w:val="bottom"/>
              <w:rPr>
                <w:b/>
                <w:sz w:val="18"/>
                <w:szCs w:val="18"/>
              </w:rPr>
            </w:pPr>
            <w:r w:rsidRPr="00376AE6">
              <w:rPr>
                <w:b/>
                <w:color w:val="000000"/>
                <w:kern w:val="24"/>
                <w:sz w:val="18"/>
                <w:szCs w:val="18"/>
              </w:rPr>
              <w:t>0.009</w:t>
            </w:r>
          </w:p>
        </w:tc>
        <w:tc>
          <w:tcPr>
            <w:tcW w:w="416" w:type="dxa"/>
            <w:gridSpan w:val="2"/>
            <w:tcBorders>
              <w:top w:val="single" w:sz="8" w:space="0" w:color="000000"/>
              <w:left w:val="nil"/>
              <w:bottom w:val="nil"/>
              <w:right w:val="nil"/>
            </w:tcBorders>
            <w:tcMar>
              <w:top w:w="11" w:type="dxa"/>
              <w:left w:w="11" w:type="dxa"/>
              <w:bottom w:w="0" w:type="dxa"/>
              <w:right w:w="11" w:type="dxa"/>
            </w:tcMar>
            <w:vAlign w:val="center"/>
          </w:tcPr>
          <w:p w:rsidR="00DC207C" w:rsidRPr="00376AE6" w:rsidRDefault="00DC207C" w:rsidP="008D176A">
            <w:pPr>
              <w:jc w:val="right"/>
              <w:textAlignment w:val="bottom"/>
              <w:rPr>
                <w:sz w:val="18"/>
                <w:szCs w:val="18"/>
              </w:rPr>
            </w:pPr>
            <w:r w:rsidRPr="00376AE6">
              <w:rPr>
                <w:color w:val="000000"/>
                <w:kern w:val="24"/>
                <w:sz w:val="18"/>
                <w:szCs w:val="18"/>
              </w:rPr>
              <w:t xml:space="preserve">0.181 </w:t>
            </w:r>
          </w:p>
        </w:tc>
        <w:tc>
          <w:tcPr>
            <w:tcW w:w="151" w:type="dxa"/>
            <w:tcBorders>
              <w:top w:val="single" w:sz="8" w:space="0" w:color="000000"/>
              <w:left w:val="nil"/>
              <w:bottom w:val="nil"/>
              <w:right w:val="nil"/>
            </w:tcBorders>
            <w:tcMar>
              <w:top w:w="7" w:type="dxa"/>
              <w:left w:w="7" w:type="dxa"/>
              <w:bottom w:w="0" w:type="dxa"/>
              <w:right w:w="7" w:type="dxa"/>
            </w:tcMar>
            <w:vAlign w:val="center"/>
          </w:tcPr>
          <w:p w:rsidR="00DC207C" w:rsidRPr="00376AE6" w:rsidRDefault="00DC207C" w:rsidP="008D176A">
            <w:pPr>
              <w:jc w:val="center"/>
              <w:textAlignment w:val="bottom"/>
              <w:rPr>
                <w:sz w:val="18"/>
                <w:szCs w:val="18"/>
              </w:rPr>
            </w:pPr>
            <w:r w:rsidRPr="00376AE6">
              <w:rPr>
                <w:color w:val="000000"/>
                <w:kern w:val="24"/>
                <w:sz w:val="18"/>
                <w:szCs w:val="18"/>
              </w:rPr>
              <w:t xml:space="preserve">± </w:t>
            </w:r>
          </w:p>
        </w:tc>
        <w:tc>
          <w:tcPr>
            <w:tcW w:w="877" w:type="dxa"/>
            <w:tcBorders>
              <w:top w:val="single" w:sz="8" w:space="0" w:color="000000"/>
              <w:left w:val="nil"/>
              <w:bottom w:val="nil"/>
              <w:right w:val="nil"/>
            </w:tcBorders>
            <w:tcMar>
              <w:top w:w="11" w:type="dxa"/>
              <w:left w:w="11" w:type="dxa"/>
              <w:bottom w:w="0" w:type="dxa"/>
              <w:right w:w="11" w:type="dxa"/>
            </w:tcMar>
            <w:vAlign w:val="center"/>
          </w:tcPr>
          <w:p w:rsidR="00DC207C" w:rsidRPr="00376AE6" w:rsidRDefault="00DC207C" w:rsidP="008D176A">
            <w:pPr>
              <w:textAlignment w:val="bottom"/>
              <w:rPr>
                <w:sz w:val="18"/>
                <w:szCs w:val="18"/>
              </w:rPr>
            </w:pPr>
            <w:r w:rsidRPr="00376AE6">
              <w:rPr>
                <w:color w:val="000000"/>
                <w:kern w:val="24"/>
                <w:sz w:val="18"/>
                <w:szCs w:val="18"/>
              </w:rPr>
              <w:t xml:space="preserve">0.008 </w:t>
            </w:r>
          </w:p>
        </w:tc>
        <w:tc>
          <w:tcPr>
            <w:tcW w:w="417" w:type="dxa"/>
            <w:gridSpan w:val="2"/>
            <w:tcBorders>
              <w:top w:val="single" w:sz="8" w:space="0" w:color="000000"/>
              <w:left w:val="nil"/>
              <w:bottom w:val="nil"/>
              <w:right w:val="nil"/>
            </w:tcBorders>
            <w:tcMar>
              <w:top w:w="11" w:type="dxa"/>
              <w:left w:w="11" w:type="dxa"/>
              <w:bottom w:w="0" w:type="dxa"/>
              <w:right w:w="11" w:type="dxa"/>
            </w:tcMar>
            <w:vAlign w:val="center"/>
          </w:tcPr>
          <w:p w:rsidR="00DC207C" w:rsidRPr="00376AE6" w:rsidRDefault="00DC207C" w:rsidP="008D176A">
            <w:pPr>
              <w:jc w:val="right"/>
              <w:textAlignment w:val="bottom"/>
              <w:rPr>
                <w:b/>
                <w:sz w:val="18"/>
                <w:szCs w:val="18"/>
              </w:rPr>
            </w:pPr>
            <w:r w:rsidRPr="00376AE6">
              <w:rPr>
                <w:b/>
                <w:color w:val="000000"/>
                <w:kern w:val="24"/>
                <w:sz w:val="18"/>
                <w:szCs w:val="18"/>
              </w:rPr>
              <w:t xml:space="preserve">0.421 </w:t>
            </w:r>
          </w:p>
        </w:tc>
        <w:tc>
          <w:tcPr>
            <w:tcW w:w="161" w:type="dxa"/>
            <w:tcBorders>
              <w:top w:val="single" w:sz="8" w:space="0" w:color="000000"/>
              <w:left w:val="nil"/>
              <w:bottom w:val="nil"/>
              <w:right w:val="nil"/>
            </w:tcBorders>
            <w:tcMar>
              <w:top w:w="7" w:type="dxa"/>
              <w:left w:w="7" w:type="dxa"/>
              <w:bottom w:w="0" w:type="dxa"/>
              <w:right w:w="7" w:type="dxa"/>
            </w:tcMar>
            <w:vAlign w:val="center"/>
          </w:tcPr>
          <w:p w:rsidR="00DC207C" w:rsidRPr="00376AE6" w:rsidRDefault="00DC207C" w:rsidP="008D176A">
            <w:pPr>
              <w:jc w:val="center"/>
              <w:textAlignment w:val="bottom"/>
              <w:rPr>
                <w:b/>
                <w:sz w:val="18"/>
                <w:szCs w:val="18"/>
              </w:rPr>
            </w:pPr>
            <w:r w:rsidRPr="00376AE6">
              <w:rPr>
                <w:b/>
                <w:color w:val="000000"/>
                <w:kern w:val="24"/>
                <w:sz w:val="18"/>
                <w:szCs w:val="18"/>
              </w:rPr>
              <w:t xml:space="preserve">± </w:t>
            </w:r>
          </w:p>
        </w:tc>
        <w:tc>
          <w:tcPr>
            <w:tcW w:w="774" w:type="dxa"/>
            <w:tcBorders>
              <w:top w:val="single" w:sz="8" w:space="0" w:color="000000"/>
              <w:left w:val="nil"/>
              <w:bottom w:val="nil"/>
              <w:right w:val="nil"/>
            </w:tcBorders>
            <w:tcMar>
              <w:top w:w="11" w:type="dxa"/>
              <w:left w:w="11" w:type="dxa"/>
              <w:bottom w:w="0" w:type="dxa"/>
              <w:right w:w="11" w:type="dxa"/>
            </w:tcMar>
            <w:vAlign w:val="center"/>
          </w:tcPr>
          <w:p w:rsidR="00DC207C" w:rsidRPr="00376AE6" w:rsidRDefault="00DC207C" w:rsidP="008D176A">
            <w:pPr>
              <w:textAlignment w:val="bottom"/>
              <w:rPr>
                <w:b/>
                <w:sz w:val="18"/>
                <w:szCs w:val="18"/>
              </w:rPr>
            </w:pPr>
            <w:r w:rsidRPr="00376AE6">
              <w:rPr>
                <w:b/>
                <w:color w:val="000000"/>
                <w:kern w:val="24"/>
                <w:sz w:val="18"/>
                <w:szCs w:val="18"/>
              </w:rPr>
              <w:t xml:space="preserve">0.018 </w:t>
            </w:r>
          </w:p>
        </w:tc>
        <w:tc>
          <w:tcPr>
            <w:tcW w:w="105" w:type="dxa"/>
            <w:tcBorders>
              <w:top w:val="single" w:sz="8" w:space="0" w:color="000000"/>
              <w:left w:val="nil"/>
              <w:bottom w:val="nil"/>
              <w:right w:val="nil"/>
            </w:tcBorders>
            <w:tcMar>
              <w:top w:w="11" w:type="dxa"/>
              <w:left w:w="11" w:type="dxa"/>
              <w:bottom w:w="0" w:type="dxa"/>
              <w:right w:w="11" w:type="dxa"/>
            </w:tcMar>
            <w:vAlign w:val="center"/>
          </w:tcPr>
          <w:p w:rsidR="00DC207C" w:rsidRPr="00376AE6" w:rsidRDefault="00DC207C" w:rsidP="008D176A">
            <w:pPr>
              <w:rPr>
                <w:sz w:val="18"/>
                <w:szCs w:val="18"/>
              </w:rPr>
            </w:pPr>
          </w:p>
        </w:tc>
        <w:tc>
          <w:tcPr>
            <w:tcW w:w="416" w:type="dxa"/>
            <w:tcBorders>
              <w:top w:val="single" w:sz="8" w:space="0" w:color="000000"/>
              <w:left w:val="nil"/>
              <w:bottom w:val="nil"/>
              <w:right w:val="nil"/>
            </w:tcBorders>
            <w:tcMar>
              <w:top w:w="11" w:type="dxa"/>
              <w:left w:w="11" w:type="dxa"/>
              <w:bottom w:w="0" w:type="dxa"/>
              <w:right w:w="11" w:type="dxa"/>
            </w:tcMar>
            <w:vAlign w:val="center"/>
          </w:tcPr>
          <w:p w:rsidR="00DC207C" w:rsidRPr="00376AE6" w:rsidRDefault="00DC207C" w:rsidP="008D176A">
            <w:pPr>
              <w:jc w:val="right"/>
              <w:textAlignment w:val="bottom"/>
              <w:rPr>
                <w:b/>
                <w:sz w:val="18"/>
                <w:szCs w:val="18"/>
              </w:rPr>
            </w:pPr>
            <w:r w:rsidRPr="00376AE6">
              <w:rPr>
                <w:b/>
                <w:color w:val="000000"/>
                <w:kern w:val="24"/>
                <w:sz w:val="18"/>
                <w:szCs w:val="18"/>
              </w:rPr>
              <w:t xml:space="preserve">0.234 </w:t>
            </w:r>
          </w:p>
        </w:tc>
        <w:tc>
          <w:tcPr>
            <w:tcW w:w="146" w:type="dxa"/>
            <w:tcBorders>
              <w:top w:val="single" w:sz="8" w:space="0" w:color="000000"/>
              <w:left w:val="nil"/>
              <w:bottom w:val="nil"/>
              <w:right w:val="nil"/>
            </w:tcBorders>
            <w:tcMar>
              <w:top w:w="7" w:type="dxa"/>
              <w:left w:w="7" w:type="dxa"/>
              <w:bottom w:w="0" w:type="dxa"/>
              <w:right w:w="7" w:type="dxa"/>
            </w:tcMar>
            <w:vAlign w:val="center"/>
          </w:tcPr>
          <w:p w:rsidR="00DC207C" w:rsidRPr="00376AE6" w:rsidRDefault="00DC207C" w:rsidP="008D176A">
            <w:pPr>
              <w:jc w:val="center"/>
              <w:textAlignment w:val="bottom"/>
              <w:rPr>
                <w:b/>
                <w:sz w:val="18"/>
                <w:szCs w:val="18"/>
              </w:rPr>
            </w:pPr>
            <w:r w:rsidRPr="00376AE6">
              <w:rPr>
                <w:b/>
                <w:color w:val="000000"/>
                <w:kern w:val="24"/>
                <w:sz w:val="18"/>
                <w:szCs w:val="18"/>
              </w:rPr>
              <w:t xml:space="preserve">± </w:t>
            </w:r>
          </w:p>
        </w:tc>
        <w:tc>
          <w:tcPr>
            <w:tcW w:w="738" w:type="dxa"/>
            <w:tcBorders>
              <w:top w:val="single" w:sz="8" w:space="0" w:color="000000"/>
              <w:left w:val="nil"/>
              <w:bottom w:val="nil"/>
              <w:right w:val="nil"/>
            </w:tcBorders>
            <w:tcMar>
              <w:top w:w="11" w:type="dxa"/>
              <w:left w:w="11" w:type="dxa"/>
              <w:bottom w:w="0" w:type="dxa"/>
              <w:right w:w="11" w:type="dxa"/>
            </w:tcMar>
            <w:vAlign w:val="center"/>
          </w:tcPr>
          <w:p w:rsidR="00DC207C" w:rsidRPr="00376AE6" w:rsidRDefault="00DC207C" w:rsidP="008D176A">
            <w:pPr>
              <w:textAlignment w:val="bottom"/>
              <w:rPr>
                <w:b/>
                <w:sz w:val="18"/>
                <w:szCs w:val="18"/>
              </w:rPr>
            </w:pPr>
            <w:r w:rsidRPr="00376AE6">
              <w:rPr>
                <w:b/>
                <w:color w:val="000000"/>
                <w:kern w:val="24"/>
                <w:sz w:val="18"/>
                <w:szCs w:val="18"/>
              </w:rPr>
              <w:t>0.007</w:t>
            </w:r>
          </w:p>
        </w:tc>
        <w:tc>
          <w:tcPr>
            <w:tcW w:w="498" w:type="dxa"/>
            <w:tcBorders>
              <w:top w:val="single" w:sz="8" w:space="0" w:color="000000"/>
              <w:left w:val="nil"/>
              <w:bottom w:val="nil"/>
              <w:right w:val="nil"/>
            </w:tcBorders>
            <w:tcMar>
              <w:top w:w="11" w:type="dxa"/>
              <w:left w:w="11" w:type="dxa"/>
              <w:bottom w:w="0" w:type="dxa"/>
              <w:right w:w="11" w:type="dxa"/>
            </w:tcMar>
            <w:vAlign w:val="center"/>
          </w:tcPr>
          <w:p w:rsidR="00DC207C" w:rsidRPr="00376AE6" w:rsidRDefault="00DC207C" w:rsidP="008D176A">
            <w:pPr>
              <w:jc w:val="right"/>
              <w:textAlignment w:val="bottom"/>
              <w:rPr>
                <w:sz w:val="18"/>
                <w:szCs w:val="18"/>
              </w:rPr>
            </w:pPr>
            <w:r w:rsidRPr="00376AE6">
              <w:rPr>
                <w:color w:val="000000"/>
                <w:kern w:val="24"/>
                <w:sz w:val="18"/>
                <w:szCs w:val="18"/>
              </w:rPr>
              <w:t xml:space="preserve">0.162 </w:t>
            </w:r>
          </w:p>
        </w:tc>
        <w:tc>
          <w:tcPr>
            <w:tcW w:w="183" w:type="dxa"/>
            <w:tcBorders>
              <w:top w:val="single" w:sz="8" w:space="0" w:color="000000"/>
              <w:left w:val="nil"/>
              <w:bottom w:val="nil"/>
              <w:right w:val="nil"/>
            </w:tcBorders>
            <w:tcMar>
              <w:top w:w="7" w:type="dxa"/>
              <w:left w:w="7" w:type="dxa"/>
              <w:bottom w:w="0" w:type="dxa"/>
              <w:right w:w="7" w:type="dxa"/>
            </w:tcMar>
            <w:vAlign w:val="center"/>
          </w:tcPr>
          <w:p w:rsidR="00DC207C" w:rsidRPr="00376AE6" w:rsidRDefault="00DC207C" w:rsidP="008D176A">
            <w:pPr>
              <w:jc w:val="center"/>
              <w:textAlignment w:val="bottom"/>
              <w:rPr>
                <w:sz w:val="18"/>
                <w:szCs w:val="18"/>
              </w:rPr>
            </w:pPr>
            <w:r w:rsidRPr="00376AE6">
              <w:rPr>
                <w:color w:val="000000"/>
                <w:kern w:val="24"/>
                <w:sz w:val="18"/>
                <w:szCs w:val="18"/>
              </w:rPr>
              <w:t xml:space="preserve">± </w:t>
            </w:r>
          </w:p>
        </w:tc>
        <w:tc>
          <w:tcPr>
            <w:tcW w:w="719" w:type="dxa"/>
            <w:tcBorders>
              <w:top w:val="single" w:sz="8" w:space="0" w:color="000000"/>
              <w:left w:val="nil"/>
              <w:bottom w:val="nil"/>
              <w:right w:val="nil"/>
            </w:tcBorders>
            <w:tcMar>
              <w:top w:w="11" w:type="dxa"/>
              <w:left w:w="11" w:type="dxa"/>
              <w:bottom w:w="0" w:type="dxa"/>
              <w:right w:w="11" w:type="dxa"/>
            </w:tcMar>
            <w:vAlign w:val="center"/>
          </w:tcPr>
          <w:p w:rsidR="00DC207C" w:rsidRPr="00376AE6" w:rsidRDefault="00DC207C" w:rsidP="008D176A">
            <w:pPr>
              <w:textAlignment w:val="bottom"/>
              <w:rPr>
                <w:sz w:val="18"/>
                <w:szCs w:val="18"/>
              </w:rPr>
            </w:pPr>
            <w:r w:rsidRPr="00376AE6">
              <w:rPr>
                <w:color w:val="000000"/>
                <w:kern w:val="24"/>
                <w:sz w:val="18"/>
                <w:szCs w:val="18"/>
              </w:rPr>
              <w:t>0.005</w:t>
            </w:r>
          </w:p>
        </w:tc>
        <w:tc>
          <w:tcPr>
            <w:tcW w:w="416" w:type="dxa"/>
            <w:tcBorders>
              <w:top w:val="single" w:sz="8" w:space="0" w:color="000000"/>
              <w:left w:val="nil"/>
              <w:bottom w:val="nil"/>
              <w:right w:val="nil"/>
            </w:tcBorders>
            <w:tcMar>
              <w:top w:w="11" w:type="dxa"/>
              <w:left w:w="11" w:type="dxa"/>
              <w:bottom w:w="0" w:type="dxa"/>
              <w:right w:w="11" w:type="dxa"/>
            </w:tcMar>
            <w:vAlign w:val="center"/>
          </w:tcPr>
          <w:p w:rsidR="00DC207C" w:rsidRPr="00376AE6" w:rsidRDefault="00DC207C" w:rsidP="008D176A">
            <w:pPr>
              <w:jc w:val="right"/>
              <w:textAlignment w:val="bottom"/>
              <w:rPr>
                <w:b/>
                <w:sz w:val="18"/>
                <w:szCs w:val="18"/>
              </w:rPr>
            </w:pPr>
            <w:r w:rsidRPr="00376AE6">
              <w:rPr>
                <w:b/>
                <w:color w:val="000000"/>
                <w:kern w:val="24"/>
                <w:sz w:val="18"/>
                <w:szCs w:val="18"/>
              </w:rPr>
              <w:t xml:space="preserve">0.396 </w:t>
            </w:r>
          </w:p>
        </w:tc>
        <w:tc>
          <w:tcPr>
            <w:tcW w:w="171" w:type="dxa"/>
            <w:tcBorders>
              <w:top w:val="single" w:sz="8" w:space="0" w:color="000000"/>
              <w:left w:val="nil"/>
              <w:bottom w:val="nil"/>
              <w:right w:val="nil"/>
            </w:tcBorders>
            <w:tcMar>
              <w:top w:w="7" w:type="dxa"/>
              <w:left w:w="7" w:type="dxa"/>
              <w:bottom w:w="0" w:type="dxa"/>
              <w:right w:w="7" w:type="dxa"/>
            </w:tcMar>
            <w:vAlign w:val="center"/>
          </w:tcPr>
          <w:p w:rsidR="00DC207C" w:rsidRPr="00376AE6" w:rsidRDefault="00DC207C" w:rsidP="008D176A">
            <w:pPr>
              <w:jc w:val="center"/>
              <w:textAlignment w:val="bottom"/>
              <w:rPr>
                <w:b/>
                <w:sz w:val="18"/>
                <w:szCs w:val="18"/>
              </w:rPr>
            </w:pPr>
            <w:r w:rsidRPr="00376AE6">
              <w:rPr>
                <w:b/>
                <w:color w:val="000000"/>
                <w:kern w:val="24"/>
                <w:sz w:val="18"/>
                <w:szCs w:val="18"/>
              </w:rPr>
              <w:t xml:space="preserve">± </w:t>
            </w:r>
          </w:p>
        </w:tc>
        <w:tc>
          <w:tcPr>
            <w:tcW w:w="614" w:type="dxa"/>
            <w:tcBorders>
              <w:top w:val="single" w:sz="8" w:space="0" w:color="000000"/>
              <w:left w:val="nil"/>
              <w:bottom w:val="nil"/>
              <w:right w:val="nil"/>
            </w:tcBorders>
            <w:tcMar>
              <w:top w:w="11" w:type="dxa"/>
              <w:left w:w="11" w:type="dxa"/>
              <w:bottom w:w="0" w:type="dxa"/>
              <w:right w:w="11" w:type="dxa"/>
            </w:tcMar>
            <w:vAlign w:val="center"/>
          </w:tcPr>
          <w:p w:rsidR="00DC207C" w:rsidRPr="00376AE6" w:rsidRDefault="00DC207C" w:rsidP="008D176A">
            <w:pPr>
              <w:textAlignment w:val="bottom"/>
              <w:rPr>
                <w:b/>
                <w:sz w:val="18"/>
                <w:szCs w:val="18"/>
              </w:rPr>
            </w:pPr>
            <w:r w:rsidRPr="00376AE6">
              <w:rPr>
                <w:b/>
                <w:color w:val="000000"/>
                <w:kern w:val="24"/>
                <w:sz w:val="18"/>
                <w:szCs w:val="18"/>
              </w:rPr>
              <w:t xml:space="preserve">0.010 </w:t>
            </w:r>
          </w:p>
        </w:tc>
      </w:tr>
      <w:tr w:rsidR="00DC207C" w:rsidRPr="00123353" w:rsidTr="00376AE6">
        <w:trPr>
          <w:trHeight w:val="288"/>
          <w:jc w:val="center"/>
        </w:trPr>
        <w:tc>
          <w:tcPr>
            <w:tcW w:w="497" w:type="dxa"/>
            <w:tcBorders>
              <w:top w:val="nil"/>
              <w:left w:val="nil"/>
              <w:bottom w:val="nil"/>
              <w:right w:val="nil"/>
            </w:tcBorders>
            <w:tcMar>
              <w:top w:w="8" w:type="dxa"/>
              <w:left w:w="8" w:type="dxa"/>
              <w:bottom w:w="0" w:type="dxa"/>
              <w:right w:w="8" w:type="dxa"/>
            </w:tcMar>
            <w:vAlign w:val="center"/>
          </w:tcPr>
          <w:p w:rsidR="00DC207C" w:rsidRPr="00123353" w:rsidRDefault="00DC207C" w:rsidP="008D176A">
            <w:pPr>
              <w:rPr>
                <w:sz w:val="20"/>
                <w:szCs w:val="18"/>
              </w:rPr>
            </w:pPr>
          </w:p>
        </w:tc>
        <w:tc>
          <w:tcPr>
            <w:tcW w:w="1140" w:type="dxa"/>
            <w:gridSpan w:val="2"/>
            <w:tcBorders>
              <w:top w:val="nil"/>
              <w:left w:val="nil"/>
              <w:bottom w:val="nil"/>
              <w:right w:val="nil"/>
            </w:tcBorders>
            <w:tcMar>
              <w:top w:w="8" w:type="dxa"/>
              <w:left w:w="8" w:type="dxa"/>
              <w:bottom w:w="0" w:type="dxa"/>
              <w:right w:w="8" w:type="dxa"/>
            </w:tcMar>
            <w:vAlign w:val="center"/>
          </w:tcPr>
          <w:p w:rsidR="00DC207C" w:rsidRPr="00C918EF" w:rsidRDefault="00DC207C" w:rsidP="00C918EF">
            <w:pPr>
              <w:jc w:val="center"/>
              <w:textAlignment w:val="center"/>
              <w:rPr>
                <w:sz w:val="18"/>
                <w:szCs w:val="18"/>
              </w:rPr>
            </w:pPr>
            <w:r w:rsidRPr="00C918EF">
              <w:rPr>
                <w:color w:val="000000"/>
                <w:kern w:val="24"/>
                <w:sz w:val="18"/>
                <w:szCs w:val="18"/>
              </w:rPr>
              <w:t>COMT2</w:t>
            </w:r>
          </w:p>
        </w:tc>
        <w:tc>
          <w:tcPr>
            <w:tcW w:w="416"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jc w:val="right"/>
              <w:textAlignment w:val="bottom"/>
              <w:rPr>
                <w:b/>
                <w:sz w:val="18"/>
                <w:szCs w:val="18"/>
              </w:rPr>
            </w:pPr>
            <w:r w:rsidRPr="00376AE6">
              <w:rPr>
                <w:b/>
                <w:color w:val="000000"/>
                <w:kern w:val="24"/>
                <w:sz w:val="18"/>
                <w:szCs w:val="18"/>
              </w:rPr>
              <w:t xml:space="preserve">0.277 </w:t>
            </w:r>
          </w:p>
        </w:tc>
        <w:tc>
          <w:tcPr>
            <w:tcW w:w="137" w:type="dxa"/>
            <w:tcBorders>
              <w:top w:val="nil"/>
              <w:left w:val="nil"/>
              <w:bottom w:val="nil"/>
              <w:right w:val="nil"/>
            </w:tcBorders>
            <w:tcMar>
              <w:top w:w="7" w:type="dxa"/>
              <w:left w:w="7" w:type="dxa"/>
              <w:bottom w:w="0" w:type="dxa"/>
              <w:right w:w="7" w:type="dxa"/>
            </w:tcMar>
            <w:vAlign w:val="center"/>
          </w:tcPr>
          <w:p w:rsidR="00DC207C" w:rsidRPr="00376AE6" w:rsidRDefault="00DC207C" w:rsidP="008D176A">
            <w:pPr>
              <w:jc w:val="center"/>
              <w:textAlignment w:val="bottom"/>
              <w:rPr>
                <w:b/>
                <w:sz w:val="18"/>
                <w:szCs w:val="18"/>
              </w:rPr>
            </w:pPr>
            <w:r w:rsidRPr="00376AE6">
              <w:rPr>
                <w:b/>
                <w:color w:val="000000"/>
                <w:kern w:val="24"/>
                <w:sz w:val="18"/>
                <w:szCs w:val="18"/>
              </w:rPr>
              <w:t xml:space="preserve">± </w:t>
            </w:r>
          </w:p>
        </w:tc>
        <w:tc>
          <w:tcPr>
            <w:tcW w:w="745"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textAlignment w:val="bottom"/>
              <w:rPr>
                <w:b/>
                <w:sz w:val="18"/>
                <w:szCs w:val="18"/>
              </w:rPr>
            </w:pPr>
            <w:r w:rsidRPr="00376AE6">
              <w:rPr>
                <w:b/>
                <w:color w:val="000000"/>
                <w:kern w:val="24"/>
                <w:sz w:val="18"/>
                <w:szCs w:val="18"/>
              </w:rPr>
              <w:t>0.003*</w:t>
            </w:r>
          </w:p>
        </w:tc>
        <w:tc>
          <w:tcPr>
            <w:tcW w:w="416" w:type="dxa"/>
            <w:gridSpan w:val="2"/>
            <w:tcBorders>
              <w:top w:val="nil"/>
              <w:left w:val="nil"/>
              <w:bottom w:val="nil"/>
              <w:right w:val="nil"/>
            </w:tcBorders>
            <w:tcMar>
              <w:top w:w="11" w:type="dxa"/>
              <w:left w:w="11" w:type="dxa"/>
              <w:bottom w:w="0" w:type="dxa"/>
              <w:right w:w="11" w:type="dxa"/>
            </w:tcMar>
            <w:vAlign w:val="center"/>
          </w:tcPr>
          <w:p w:rsidR="00DC207C" w:rsidRPr="00376AE6" w:rsidRDefault="00DC207C" w:rsidP="008D176A">
            <w:pPr>
              <w:jc w:val="right"/>
              <w:textAlignment w:val="bottom"/>
              <w:rPr>
                <w:sz w:val="18"/>
                <w:szCs w:val="18"/>
              </w:rPr>
            </w:pPr>
            <w:r w:rsidRPr="00376AE6">
              <w:rPr>
                <w:color w:val="000000"/>
                <w:kern w:val="24"/>
                <w:sz w:val="18"/>
                <w:szCs w:val="18"/>
              </w:rPr>
              <w:t xml:space="preserve">0.194 </w:t>
            </w:r>
          </w:p>
        </w:tc>
        <w:tc>
          <w:tcPr>
            <w:tcW w:w="151" w:type="dxa"/>
            <w:tcBorders>
              <w:top w:val="nil"/>
              <w:left w:val="nil"/>
              <w:bottom w:val="nil"/>
              <w:right w:val="nil"/>
            </w:tcBorders>
            <w:tcMar>
              <w:top w:w="7" w:type="dxa"/>
              <w:left w:w="7" w:type="dxa"/>
              <w:bottom w:w="0" w:type="dxa"/>
              <w:right w:w="7" w:type="dxa"/>
            </w:tcMar>
            <w:vAlign w:val="center"/>
          </w:tcPr>
          <w:p w:rsidR="00DC207C" w:rsidRPr="00376AE6" w:rsidRDefault="00DC207C" w:rsidP="008D176A">
            <w:pPr>
              <w:jc w:val="center"/>
              <w:textAlignment w:val="bottom"/>
              <w:rPr>
                <w:sz w:val="18"/>
                <w:szCs w:val="18"/>
              </w:rPr>
            </w:pPr>
            <w:r w:rsidRPr="00376AE6">
              <w:rPr>
                <w:color w:val="000000"/>
                <w:kern w:val="24"/>
                <w:sz w:val="18"/>
                <w:szCs w:val="18"/>
              </w:rPr>
              <w:t xml:space="preserve">± </w:t>
            </w:r>
          </w:p>
        </w:tc>
        <w:tc>
          <w:tcPr>
            <w:tcW w:w="877"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textAlignment w:val="bottom"/>
              <w:rPr>
                <w:sz w:val="18"/>
                <w:szCs w:val="18"/>
              </w:rPr>
            </w:pPr>
            <w:r w:rsidRPr="00376AE6">
              <w:rPr>
                <w:color w:val="000000"/>
                <w:kern w:val="24"/>
                <w:sz w:val="18"/>
                <w:szCs w:val="18"/>
              </w:rPr>
              <w:t xml:space="preserve">0.003 </w:t>
            </w:r>
          </w:p>
        </w:tc>
        <w:tc>
          <w:tcPr>
            <w:tcW w:w="417" w:type="dxa"/>
            <w:gridSpan w:val="2"/>
            <w:tcBorders>
              <w:top w:val="nil"/>
              <w:left w:val="nil"/>
              <w:bottom w:val="nil"/>
              <w:right w:val="nil"/>
            </w:tcBorders>
            <w:tcMar>
              <w:top w:w="11" w:type="dxa"/>
              <w:left w:w="11" w:type="dxa"/>
              <w:bottom w:w="0" w:type="dxa"/>
              <w:right w:w="11" w:type="dxa"/>
            </w:tcMar>
            <w:vAlign w:val="center"/>
          </w:tcPr>
          <w:p w:rsidR="00DC207C" w:rsidRPr="00376AE6" w:rsidRDefault="00DC207C" w:rsidP="008D176A">
            <w:pPr>
              <w:jc w:val="right"/>
              <w:textAlignment w:val="bottom"/>
              <w:rPr>
                <w:b/>
                <w:sz w:val="18"/>
                <w:szCs w:val="18"/>
              </w:rPr>
            </w:pPr>
            <w:r w:rsidRPr="00376AE6">
              <w:rPr>
                <w:b/>
                <w:color w:val="000000"/>
                <w:kern w:val="24"/>
                <w:sz w:val="18"/>
                <w:szCs w:val="18"/>
              </w:rPr>
              <w:t xml:space="preserve">0.471 </w:t>
            </w:r>
          </w:p>
        </w:tc>
        <w:tc>
          <w:tcPr>
            <w:tcW w:w="161" w:type="dxa"/>
            <w:tcBorders>
              <w:top w:val="nil"/>
              <w:left w:val="nil"/>
              <w:bottom w:val="nil"/>
              <w:right w:val="nil"/>
            </w:tcBorders>
            <w:tcMar>
              <w:top w:w="7" w:type="dxa"/>
              <w:left w:w="7" w:type="dxa"/>
              <w:bottom w:w="0" w:type="dxa"/>
              <w:right w:w="7" w:type="dxa"/>
            </w:tcMar>
            <w:vAlign w:val="center"/>
          </w:tcPr>
          <w:p w:rsidR="00DC207C" w:rsidRPr="00376AE6" w:rsidRDefault="00DC207C" w:rsidP="008D176A">
            <w:pPr>
              <w:jc w:val="center"/>
              <w:textAlignment w:val="bottom"/>
              <w:rPr>
                <w:b/>
                <w:sz w:val="18"/>
                <w:szCs w:val="18"/>
              </w:rPr>
            </w:pPr>
            <w:r w:rsidRPr="00376AE6">
              <w:rPr>
                <w:b/>
                <w:color w:val="000000"/>
                <w:kern w:val="24"/>
                <w:sz w:val="18"/>
                <w:szCs w:val="18"/>
              </w:rPr>
              <w:t xml:space="preserve">± </w:t>
            </w:r>
          </w:p>
        </w:tc>
        <w:tc>
          <w:tcPr>
            <w:tcW w:w="774"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textAlignment w:val="bottom"/>
              <w:rPr>
                <w:b/>
                <w:sz w:val="18"/>
                <w:szCs w:val="18"/>
              </w:rPr>
            </w:pPr>
            <w:r w:rsidRPr="00376AE6">
              <w:rPr>
                <w:b/>
                <w:color w:val="000000"/>
                <w:kern w:val="24"/>
                <w:sz w:val="18"/>
                <w:szCs w:val="18"/>
              </w:rPr>
              <w:t>0.004*</w:t>
            </w:r>
          </w:p>
        </w:tc>
        <w:tc>
          <w:tcPr>
            <w:tcW w:w="105"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rPr>
                <w:sz w:val="18"/>
                <w:szCs w:val="18"/>
              </w:rPr>
            </w:pPr>
          </w:p>
        </w:tc>
        <w:tc>
          <w:tcPr>
            <w:tcW w:w="416"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jc w:val="right"/>
              <w:textAlignment w:val="bottom"/>
              <w:rPr>
                <w:b/>
                <w:sz w:val="18"/>
                <w:szCs w:val="18"/>
              </w:rPr>
            </w:pPr>
            <w:r w:rsidRPr="00376AE6">
              <w:rPr>
                <w:b/>
                <w:color w:val="000000"/>
                <w:kern w:val="24"/>
                <w:sz w:val="18"/>
                <w:szCs w:val="18"/>
              </w:rPr>
              <w:t xml:space="preserve">0.255 </w:t>
            </w:r>
          </w:p>
        </w:tc>
        <w:tc>
          <w:tcPr>
            <w:tcW w:w="146" w:type="dxa"/>
            <w:tcBorders>
              <w:top w:val="nil"/>
              <w:left w:val="nil"/>
              <w:bottom w:val="nil"/>
              <w:right w:val="nil"/>
            </w:tcBorders>
            <w:tcMar>
              <w:top w:w="7" w:type="dxa"/>
              <w:left w:w="7" w:type="dxa"/>
              <w:bottom w:w="0" w:type="dxa"/>
              <w:right w:w="7" w:type="dxa"/>
            </w:tcMar>
            <w:vAlign w:val="center"/>
          </w:tcPr>
          <w:p w:rsidR="00DC207C" w:rsidRPr="00376AE6" w:rsidRDefault="00DC207C" w:rsidP="008D176A">
            <w:pPr>
              <w:jc w:val="center"/>
              <w:textAlignment w:val="bottom"/>
              <w:rPr>
                <w:b/>
                <w:sz w:val="18"/>
                <w:szCs w:val="18"/>
              </w:rPr>
            </w:pPr>
            <w:r w:rsidRPr="00376AE6">
              <w:rPr>
                <w:b/>
                <w:color w:val="000000"/>
                <w:kern w:val="24"/>
                <w:sz w:val="18"/>
                <w:szCs w:val="18"/>
              </w:rPr>
              <w:t xml:space="preserve">± </w:t>
            </w:r>
          </w:p>
        </w:tc>
        <w:tc>
          <w:tcPr>
            <w:tcW w:w="738"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textAlignment w:val="bottom"/>
              <w:rPr>
                <w:b/>
                <w:sz w:val="18"/>
                <w:szCs w:val="18"/>
              </w:rPr>
            </w:pPr>
            <w:r w:rsidRPr="00376AE6">
              <w:rPr>
                <w:b/>
                <w:color w:val="000000"/>
                <w:kern w:val="24"/>
                <w:sz w:val="18"/>
                <w:szCs w:val="18"/>
              </w:rPr>
              <w:t>0.004*</w:t>
            </w:r>
          </w:p>
        </w:tc>
        <w:tc>
          <w:tcPr>
            <w:tcW w:w="498"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jc w:val="right"/>
              <w:textAlignment w:val="bottom"/>
              <w:rPr>
                <w:sz w:val="18"/>
                <w:szCs w:val="18"/>
              </w:rPr>
            </w:pPr>
            <w:r w:rsidRPr="00376AE6">
              <w:rPr>
                <w:color w:val="000000"/>
                <w:kern w:val="24"/>
                <w:sz w:val="18"/>
                <w:szCs w:val="18"/>
              </w:rPr>
              <w:t xml:space="preserve">0.163 </w:t>
            </w:r>
          </w:p>
        </w:tc>
        <w:tc>
          <w:tcPr>
            <w:tcW w:w="183" w:type="dxa"/>
            <w:tcBorders>
              <w:top w:val="nil"/>
              <w:left w:val="nil"/>
              <w:bottom w:val="nil"/>
              <w:right w:val="nil"/>
            </w:tcBorders>
            <w:tcMar>
              <w:top w:w="7" w:type="dxa"/>
              <w:left w:w="7" w:type="dxa"/>
              <w:bottom w:w="0" w:type="dxa"/>
              <w:right w:w="7" w:type="dxa"/>
            </w:tcMar>
            <w:vAlign w:val="center"/>
          </w:tcPr>
          <w:p w:rsidR="00DC207C" w:rsidRPr="00376AE6" w:rsidRDefault="00DC207C" w:rsidP="008D176A">
            <w:pPr>
              <w:jc w:val="center"/>
              <w:textAlignment w:val="bottom"/>
              <w:rPr>
                <w:sz w:val="18"/>
                <w:szCs w:val="18"/>
              </w:rPr>
            </w:pPr>
            <w:r w:rsidRPr="00376AE6">
              <w:rPr>
                <w:color w:val="000000"/>
                <w:kern w:val="24"/>
                <w:sz w:val="18"/>
                <w:szCs w:val="18"/>
              </w:rPr>
              <w:t xml:space="preserve">± </w:t>
            </w:r>
          </w:p>
        </w:tc>
        <w:tc>
          <w:tcPr>
            <w:tcW w:w="719"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textAlignment w:val="bottom"/>
              <w:rPr>
                <w:sz w:val="18"/>
                <w:szCs w:val="18"/>
              </w:rPr>
            </w:pPr>
            <w:r w:rsidRPr="00376AE6">
              <w:rPr>
                <w:color w:val="000000"/>
                <w:kern w:val="24"/>
                <w:sz w:val="18"/>
                <w:szCs w:val="18"/>
              </w:rPr>
              <w:t xml:space="preserve">0.003 </w:t>
            </w:r>
          </w:p>
        </w:tc>
        <w:tc>
          <w:tcPr>
            <w:tcW w:w="416"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jc w:val="right"/>
              <w:textAlignment w:val="bottom"/>
              <w:rPr>
                <w:b/>
                <w:sz w:val="18"/>
                <w:szCs w:val="18"/>
              </w:rPr>
            </w:pPr>
            <w:r w:rsidRPr="00376AE6">
              <w:rPr>
                <w:b/>
                <w:color w:val="000000"/>
                <w:kern w:val="24"/>
                <w:sz w:val="18"/>
                <w:szCs w:val="18"/>
              </w:rPr>
              <w:t xml:space="preserve">0.418 </w:t>
            </w:r>
          </w:p>
        </w:tc>
        <w:tc>
          <w:tcPr>
            <w:tcW w:w="171" w:type="dxa"/>
            <w:tcBorders>
              <w:top w:val="nil"/>
              <w:left w:val="nil"/>
              <w:bottom w:val="nil"/>
              <w:right w:val="nil"/>
            </w:tcBorders>
            <w:tcMar>
              <w:top w:w="7" w:type="dxa"/>
              <w:left w:w="7" w:type="dxa"/>
              <w:bottom w:w="0" w:type="dxa"/>
              <w:right w:w="7" w:type="dxa"/>
            </w:tcMar>
            <w:vAlign w:val="center"/>
          </w:tcPr>
          <w:p w:rsidR="00DC207C" w:rsidRPr="00376AE6" w:rsidRDefault="00DC207C" w:rsidP="008D176A">
            <w:pPr>
              <w:jc w:val="center"/>
              <w:textAlignment w:val="bottom"/>
              <w:rPr>
                <w:b/>
                <w:sz w:val="18"/>
                <w:szCs w:val="18"/>
              </w:rPr>
            </w:pPr>
            <w:r w:rsidRPr="00376AE6">
              <w:rPr>
                <w:b/>
                <w:color w:val="000000"/>
                <w:kern w:val="24"/>
                <w:sz w:val="18"/>
                <w:szCs w:val="18"/>
              </w:rPr>
              <w:t xml:space="preserve">± </w:t>
            </w:r>
          </w:p>
        </w:tc>
        <w:tc>
          <w:tcPr>
            <w:tcW w:w="614"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textAlignment w:val="bottom"/>
              <w:rPr>
                <w:b/>
                <w:sz w:val="18"/>
                <w:szCs w:val="18"/>
              </w:rPr>
            </w:pPr>
            <w:r w:rsidRPr="00376AE6">
              <w:rPr>
                <w:b/>
                <w:color w:val="000000"/>
                <w:kern w:val="24"/>
                <w:sz w:val="18"/>
                <w:szCs w:val="18"/>
              </w:rPr>
              <w:t>0.004*</w:t>
            </w:r>
          </w:p>
        </w:tc>
      </w:tr>
      <w:tr w:rsidR="00DC207C" w:rsidRPr="00123353" w:rsidTr="00376AE6">
        <w:trPr>
          <w:trHeight w:val="288"/>
          <w:jc w:val="center"/>
        </w:trPr>
        <w:tc>
          <w:tcPr>
            <w:tcW w:w="497" w:type="dxa"/>
            <w:tcBorders>
              <w:top w:val="nil"/>
              <w:left w:val="nil"/>
              <w:bottom w:val="nil"/>
              <w:right w:val="nil"/>
            </w:tcBorders>
            <w:tcMar>
              <w:top w:w="8" w:type="dxa"/>
              <w:left w:w="8" w:type="dxa"/>
              <w:bottom w:w="0" w:type="dxa"/>
              <w:right w:w="8" w:type="dxa"/>
            </w:tcMar>
            <w:vAlign w:val="center"/>
          </w:tcPr>
          <w:p w:rsidR="00DC207C" w:rsidRPr="00123353" w:rsidRDefault="00DC207C" w:rsidP="008D176A">
            <w:pPr>
              <w:rPr>
                <w:sz w:val="20"/>
                <w:szCs w:val="18"/>
              </w:rPr>
            </w:pPr>
          </w:p>
        </w:tc>
        <w:tc>
          <w:tcPr>
            <w:tcW w:w="1140" w:type="dxa"/>
            <w:gridSpan w:val="2"/>
            <w:tcBorders>
              <w:top w:val="nil"/>
              <w:left w:val="nil"/>
              <w:bottom w:val="nil"/>
              <w:right w:val="nil"/>
            </w:tcBorders>
            <w:tcMar>
              <w:top w:w="8" w:type="dxa"/>
              <w:left w:w="8" w:type="dxa"/>
              <w:bottom w:w="0" w:type="dxa"/>
              <w:right w:w="8" w:type="dxa"/>
            </w:tcMar>
            <w:vAlign w:val="center"/>
          </w:tcPr>
          <w:p w:rsidR="00DC207C" w:rsidRPr="00C918EF" w:rsidRDefault="00DC207C" w:rsidP="00C918EF">
            <w:pPr>
              <w:jc w:val="center"/>
              <w:rPr>
                <w:sz w:val="18"/>
                <w:szCs w:val="18"/>
              </w:rPr>
            </w:pPr>
          </w:p>
        </w:tc>
        <w:tc>
          <w:tcPr>
            <w:tcW w:w="416"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rPr>
                <w:sz w:val="18"/>
                <w:szCs w:val="18"/>
              </w:rPr>
            </w:pPr>
          </w:p>
        </w:tc>
        <w:tc>
          <w:tcPr>
            <w:tcW w:w="137" w:type="dxa"/>
            <w:tcBorders>
              <w:top w:val="nil"/>
              <w:left w:val="nil"/>
              <w:bottom w:val="nil"/>
              <w:right w:val="nil"/>
            </w:tcBorders>
            <w:tcMar>
              <w:top w:w="7" w:type="dxa"/>
              <w:left w:w="7" w:type="dxa"/>
              <w:bottom w:w="0" w:type="dxa"/>
              <w:right w:w="7" w:type="dxa"/>
            </w:tcMar>
            <w:vAlign w:val="center"/>
          </w:tcPr>
          <w:p w:rsidR="00DC207C" w:rsidRPr="00376AE6" w:rsidRDefault="00DC207C" w:rsidP="008D176A">
            <w:pPr>
              <w:rPr>
                <w:sz w:val="18"/>
                <w:szCs w:val="18"/>
              </w:rPr>
            </w:pPr>
          </w:p>
        </w:tc>
        <w:tc>
          <w:tcPr>
            <w:tcW w:w="745"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rPr>
                <w:sz w:val="18"/>
                <w:szCs w:val="18"/>
              </w:rPr>
            </w:pPr>
          </w:p>
        </w:tc>
        <w:tc>
          <w:tcPr>
            <w:tcW w:w="416" w:type="dxa"/>
            <w:gridSpan w:val="2"/>
            <w:tcBorders>
              <w:top w:val="nil"/>
              <w:left w:val="nil"/>
              <w:bottom w:val="nil"/>
              <w:right w:val="nil"/>
            </w:tcBorders>
            <w:tcMar>
              <w:top w:w="11" w:type="dxa"/>
              <w:left w:w="11" w:type="dxa"/>
              <w:bottom w:w="0" w:type="dxa"/>
              <w:right w:w="11" w:type="dxa"/>
            </w:tcMar>
            <w:vAlign w:val="center"/>
          </w:tcPr>
          <w:p w:rsidR="00DC207C" w:rsidRPr="00376AE6" w:rsidRDefault="00DC207C" w:rsidP="008D176A">
            <w:pPr>
              <w:rPr>
                <w:sz w:val="18"/>
                <w:szCs w:val="18"/>
              </w:rPr>
            </w:pPr>
          </w:p>
        </w:tc>
        <w:tc>
          <w:tcPr>
            <w:tcW w:w="151" w:type="dxa"/>
            <w:tcBorders>
              <w:top w:val="nil"/>
              <w:left w:val="nil"/>
              <w:bottom w:val="nil"/>
              <w:right w:val="nil"/>
            </w:tcBorders>
            <w:tcMar>
              <w:top w:w="7" w:type="dxa"/>
              <w:left w:w="7" w:type="dxa"/>
              <w:bottom w:w="0" w:type="dxa"/>
              <w:right w:w="7" w:type="dxa"/>
            </w:tcMar>
            <w:vAlign w:val="center"/>
          </w:tcPr>
          <w:p w:rsidR="00DC207C" w:rsidRPr="00376AE6" w:rsidRDefault="00DC207C" w:rsidP="008D176A">
            <w:pPr>
              <w:rPr>
                <w:sz w:val="18"/>
                <w:szCs w:val="18"/>
              </w:rPr>
            </w:pPr>
          </w:p>
        </w:tc>
        <w:tc>
          <w:tcPr>
            <w:tcW w:w="877"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rPr>
                <w:sz w:val="18"/>
                <w:szCs w:val="18"/>
              </w:rPr>
            </w:pPr>
          </w:p>
        </w:tc>
        <w:tc>
          <w:tcPr>
            <w:tcW w:w="417" w:type="dxa"/>
            <w:gridSpan w:val="2"/>
            <w:tcBorders>
              <w:top w:val="nil"/>
              <w:left w:val="nil"/>
              <w:bottom w:val="nil"/>
              <w:right w:val="nil"/>
            </w:tcBorders>
            <w:tcMar>
              <w:top w:w="11" w:type="dxa"/>
              <w:left w:w="11" w:type="dxa"/>
              <w:bottom w:w="0" w:type="dxa"/>
              <w:right w:w="11" w:type="dxa"/>
            </w:tcMar>
            <w:vAlign w:val="center"/>
          </w:tcPr>
          <w:p w:rsidR="00DC207C" w:rsidRPr="00376AE6" w:rsidRDefault="00DC207C" w:rsidP="008D176A">
            <w:pPr>
              <w:rPr>
                <w:sz w:val="18"/>
                <w:szCs w:val="18"/>
              </w:rPr>
            </w:pPr>
          </w:p>
        </w:tc>
        <w:tc>
          <w:tcPr>
            <w:tcW w:w="161" w:type="dxa"/>
            <w:tcBorders>
              <w:top w:val="nil"/>
              <w:left w:val="nil"/>
              <w:bottom w:val="nil"/>
              <w:right w:val="nil"/>
            </w:tcBorders>
            <w:tcMar>
              <w:top w:w="7" w:type="dxa"/>
              <w:left w:w="7" w:type="dxa"/>
              <w:bottom w:w="0" w:type="dxa"/>
              <w:right w:w="7" w:type="dxa"/>
            </w:tcMar>
            <w:vAlign w:val="center"/>
          </w:tcPr>
          <w:p w:rsidR="00DC207C" w:rsidRPr="00376AE6" w:rsidRDefault="00DC207C" w:rsidP="008D176A">
            <w:pPr>
              <w:rPr>
                <w:sz w:val="18"/>
                <w:szCs w:val="18"/>
              </w:rPr>
            </w:pPr>
          </w:p>
        </w:tc>
        <w:tc>
          <w:tcPr>
            <w:tcW w:w="774"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rPr>
                <w:sz w:val="18"/>
                <w:szCs w:val="18"/>
              </w:rPr>
            </w:pPr>
          </w:p>
        </w:tc>
        <w:tc>
          <w:tcPr>
            <w:tcW w:w="105"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rPr>
                <w:sz w:val="18"/>
                <w:szCs w:val="18"/>
              </w:rPr>
            </w:pPr>
          </w:p>
        </w:tc>
        <w:tc>
          <w:tcPr>
            <w:tcW w:w="416"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rPr>
                <w:sz w:val="18"/>
                <w:szCs w:val="18"/>
              </w:rPr>
            </w:pPr>
          </w:p>
        </w:tc>
        <w:tc>
          <w:tcPr>
            <w:tcW w:w="146" w:type="dxa"/>
            <w:tcBorders>
              <w:top w:val="nil"/>
              <w:left w:val="nil"/>
              <w:bottom w:val="nil"/>
              <w:right w:val="nil"/>
            </w:tcBorders>
            <w:tcMar>
              <w:top w:w="7" w:type="dxa"/>
              <w:left w:w="7" w:type="dxa"/>
              <w:bottom w:w="0" w:type="dxa"/>
              <w:right w:w="7" w:type="dxa"/>
            </w:tcMar>
            <w:vAlign w:val="center"/>
          </w:tcPr>
          <w:p w:rsidR="00DC207C" w:rsidRPr="00376AE6" w:rsidRDefault="00DC207C" w:rsidP="008D176A">
            <w:pPr>
              <w:rPr>
                <w:sz w:val="18"/>
                <w:szCs w:val="18"/>
              </w:rPr>
            </w:pPr>
          </w:p>
        </w:tc>
        <w:tc>
          <w:tcPr>
            <w:tcW w:w="738"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rPr>
                <w:sz w:val="18"/>
                <w:szCs w:val="18"/>
              </w:rPr>
            </w:pPr>
          </w:p>
        </w:tc>
        <w:tc>
          <w:tcPr>
            <w:tcW w:w="498"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rPr>
                <w:sz w:val="18"/>
                <w:szCs w:val="18"/>
              </w:rPr>
            </w:pPr>
          </w:p>
        </w:tc>
        <w:tc>
          <w:tcPr>
            <w:tcW w:w="183" w:type="dxa"/>
            <w:tcBorders>
              <w:top w:val="nil"/>
              <w:left w:val="nil"/>
              <w:bottom w:val="nil"/>
              <w:right w:val="nil"/>
            </w:tcBorders>
            <w:tcMar>
              <w:top w:w="7" w:type="dxa"/>
              <w:left w:w="7" w:type="dxa"/>
              <w:bottom w:w="0" w:type="dxa"/>
              <w:right w:w="7" w:type="dxa"/>
            </w:tcMar>
            <w:vAlign w:val="center"/>
          </w:tcPr>
          <w:p w:rsidR="00DC207C" w:rsidRPr="00376AE6" w:rsidRDefault="00DC207C" w:rsidP="008D176A">
            <w:pPr>
              <w:rPr>
                <w:sz w:val="18"/>
                <w:szCs w:val="18"/>
              </w:rPr>
            </w:pPr>
          </w:p>
        </w:tc>
        <w:tc>
          <w:tcPr>
            <w:tcW w:w="719"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rPr>
                <w:sz w:val="18"/>
                <w:szCs w:val="18"/>
              </w:rPr>
            </w:pPr>
          </w:p>
        </w:tc>
        <w:tc>
          <w:tcPr>
            <w:tcW w:w="416"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rPr>
                <w:sz w:val="18"/>
                <w:szCs w:val="18"/>
              </w:rPr>
            </w:pPr>
          </w:p>
        </w:tc>
        <w:tc>
          <w:tcPr>
            <w:tcW w:w="171" w:type="dxa"/>
            <w:tcBorders>
              <w:top w:val="nil"/>
              <w:left w:val="nil"/>
              <w:bottom w:val="nil"/>
              <w:right w:val="nil"/>
            </w:tcBorders>
            <w:tcMar>
              <w:top w:w="7" w:type="dxa"/>
              <w:left w:w="7" w:type="dxa"/>
              <w:bottom w:w="0" w:type="dxa"/>
              <w:right w:w="7" w:type="dxa"/>
            </w:tcMar>
            <w:vAlign w:val="center"/>
          </w:tcPr>
          <w:p w:rsidR="00DC207C" w:rsidRPr="00376AE6" w:rsidRDefault="00DC207C" w:rsidP="008D176A">
            <w:pPr>
              <w:rPr>
                <w:sz w:val="18"/>
                <w:szCs w:val="18"/>
              </w:rPr>
            </w:pPr>
          </w:p>
        </w:tc>
        <w:tc>
          <w:tcPr>
            <w:tcW w:w="614"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rPr>
                <w:sz w:val="18"/>
                <w:szCs w:val="18"/>
              </w:rPr>
            </w:pPr>
          </w:p>
        </w:tc>
      </w:tr>
      <w:tr w:rsidR="00DC207C" w:rsidRPr="00123353" w:rsidTr="00376AE6">
        <w:trPr>
          <w:trHeight w:val="288"/>
          <w:jc w:val="center"/>
        </w:trPr>
        <w:tc>
          <w:tcPr>
            <w:tcW w:w="497" w:type="dxa"/>
            <w:tcBorders>
              <w:top w:val="nil"/>
              <w:left w:val="nil"/>
              <w:bottom w:val="nil"/>
              <w:right w:val="nil"/>
            </w:tcBorders>
            <w:tcMar>
              <w:top w:w="8" w:type="dxa"/>
              <w:left w:w="8" w:type="dxa"/>
              <w:bottom w:w="0" w:type="dxa"/>
              <w:right w:w="8" w:type="dxa"/>
            </w:tcMar>
            <w:vAlign w:val="center"/>
          </w:tcPr>
          <w:p w:rsidR="00DC207C" w:rsidRPr="00123353" w:rsidRDefault="00DC207C" w:rsidP="008D176A">
            <w:pPr>
              <w:rPr>
                <w:sz w:val="20"/>
                <w:szCs w:val="18"/>
              </w:rPr>
            </w:pPr>
          </w:p>
        </w:tc>
        <w:tc>
          <w:tcPr>
            <w:tcW w:w="1140" w:type="dxa"/>
            <w:gridSpan w:val="2"/>
            <w:tcBorders>
              <w:top w:val="nil"/>
              <w:left w:val="nil"/>
              <w:bottom w:val="nil"/>
              <w:right w:val="nil"/>
            </w:tcBorders>
            <w:tcMar>
              <w:top w:w="8" w:type="dxa"/>
              <w:left w:w="8" w:type="dxa"/>
              <w:bottom w:w="0" w:type="dxa"/>
              <w:right w:w="8" w:type="dxa"/>
            </w:tcMar>
            <w:vAlign w:val="center"/>
          </w:tcPr>
          <w:p w:rsidR="00DC207C" w:rsidRPr="00C918EF" w:rsidRDefault="00DC207C" w:rsidP="00C918EF">
            <w:pPr>
              <w:jc w:val="center"/>
              <w:textAlignment w:val="center"/>
              <w:rPr>
                <w:sz w:val="18"/>
                <w:szCs w:val="18"/>
              </w:rPr>
            </w:pPr>
            <w:r w:rsidRPr="00C918EF">
              <w:rPr>
                <w:color w:val="000000"/>
                <w:kern w:val="24"/>
                <w:sz w:val="18"/>
                <w:szCs w:val="18"/>
              </w:rPr>
              <w:t>Control</w:t>
            </w:r>
          </w:p>
        </w:tc>
        <w:tc>
          <w:tcPr>
            <w:tcW w:w="416"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jc w:val="right"/>
              <w:textAlignment w:val="bottom"/>
              <w:rPr>
                <w:sz w:val="18"/>
                <w:szCs w:val="18"/>
              </w:rPr>
            </w:pPr>
            <w:r w:rsidRPr="00376AE6">
              <w:rPr>
                <w:color w:val="000000"/>
                <w:kern w:val="24"/>
                <w:sz w:val="18"/>
                <w:szCs w:val="18"/>
              </w:rPr>
              <w:t xml:space="preserve">0.249 </w:t>
            </w:r>
          </w:p>
        </w:tc>
        <w:tc>
          <w:tcPr>
            <w:tcW w:w="137" w:type="dxa"/>
            <w:tcBorders>
              <w:top w:val="nil"/>
              <w:left w:val="nil"/>
              <w:bottom w:val="nil"/>
              <w:right w:val="nil"/>
            </w:tcBorders>
            <w:tcMar>
              <w:top w:w="7" w:type="dxa"/>
              <w:left w:w="7" w:type="dxa"/>
              <w:bottom w:w="0" w:type="dxa"/>
              <w:right w:w="7" w:type="dxa"/>
            </w:tcMar>
            <w:vAlign w:val="center"/>
          </w:tcPr>
          <w:p w:rsidR="00DC207C" w:rsidRPr="00376AE6" w:rsidRDefault="00DC207C" w:rsidP="008D176A">
            <w:pPr>
              <w:jc w:val="center"/>
              <w:textAlignment w:val="bottom"/>
              <w:rPr>
                <w:sz w:val="18"/>
                <w:szCs w:val="18"/>
              </w:rPr>
            </w:pPr>
            <w:r w:rsidRPr="00376AE6">
              <w:rPr>
                <w:color w:val="000000"/>
                <w:kern w:val="24"/>
                <w:sz w:val="18"/>
                <w:szCs w:val="18"/>
              </w:rPr>
              <w:t xml:space="preserve">± </w:t>
            </w:r>
          </w:p>
        </w:tc>
        <w:tc>
          <w:tcPr>
            <w:tcW w:w="745"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textAlignment w:val="bottom"/>
              <w:rPr>
                <w:sz w:val="18"/>
                <w:szCs w:val="18"/>
              </w:rPr>
            </w:pPr>
            <w:r w:rsidRPr="00376AE6">
              <w:rPr>
                <w:color w:val="000000"/>
                <w:kern w:val="24"/>
                <w:sz w:val="18"/>
                <w:szCs w:val="18"/>
              </w:rPr>
              <w:t xml:space="preserve">0.006 </w:t>
            </w:r>
          </w:p>
        </w:tc>
        <w:tc>
          <w:tcPr>
            <w:tcW w:w="416" w:type="dxa"/>
            <w:gridSpan w:val="2"/>
            <w:tcBorders>
              <w:top w:val="nil"/>
              <w:left w:val="nil"/>
              <w:bottom w:val="nil"/>
              <w:right w:val="nil"/>
            </w:tcBorders>
            <w:tcMar>
              <w:top w:w="11" w:type="dxa"/>
              <w:left w:w="11" w:type="dxa"/>
              <w:bottom w:w="0" w:type="dxa"/>
              <w:right w:w="11" w:type="dxa"/>
            </w:tcMar>
            <w:vAlign w:val="center"/>
          </w:tcPr>
          <w:p w:rsidR="00DC207C" w:rsidRPr="00376AE6" w:rsidRDefault="00DC207C" w:rsidP="008D176A">
            <w:pPr>
              <w:jc w:val="right"/>
              <w:textAlignment w:val="bottom"/>
              <w:rPr>
                <w:sz w:val="18"/>
                <w:szCs w:val="18"/>
              </w:rPr>
            </w:pPr>
            <w:r w:rsidRPr="00376AE6">
              <w:rPr>
                <w:color w:val="000000"/>
                <w:kern w:val="24"/>
                <w:sz w:val="18"/>
                <w:szCs w:val="18"/>
              </w:rPr>
              <w:t xml:space="preserve">0.183 </w:t>
            </w:r>
          </w:p>
        </w:tc>
        <w:tc>
          <w:tcPr>
            <w:tcW w:w="151" w:type="dxa"/>
            <w:tcBorders>
              <w:top w:val="nil"/>
              <w:left w:val="nil"/>
              <w:bottom w:val="nil"/>
              <w:right w:val="nil"/>
            </w:tcBorders>
            <w:tcMar>
              <w:top w:w="7" w:type="dxa"/>
              <w:left w:w="7" w:type="dxa"/>
              <w:bottom w:w="0" w:type="dxa"/>
              <w:right w:w="7" w:type="dxa"/>
            </w:tcMar>
            <w:vAlign w:val="center"/>
          </w:tcPr>
          <w:p w:rsidR="00DC207C" w:rsidRPr="00376AE6" w:rsidRDefault="00DC207C" w:rsidP="008D176A">
            <w:pPr>
              <w:jc w:val="center"/>
              <w:textAlignment w:val="bottom"/>
              <w:rPr>
                <w:sz w:val="18"/>
                <w:szCs w:val="18"/>
              </w:rPr>
            </w:pPr>
            <w:r w:rsidRPr="00376AE6">
              <w:rPr>
                <w:color w:val="000000"/>
                <w:kern w:val="24"/>
                <w:sz w:val="18"/>
                <w:szCs w:val="18"/>
              </w:rPr>
              <w:t xml:space="preserve">± </w:t>
            </w:r>
          </w:p>
        </w:tc>
        <w:tc>
          <w:tcPr>
            <w:tcW w:w="877"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textAlignment w:val="bottom"/>
              <w:rPr>
                <w:sz w:val="18"/>
                <w:szCs w:val="18"/>
              </w:rPr>
            </w:pPr>
            <w:r w:rsidRPr="00376AE6">
              <w:rPr>
                <w:color w:val="000000"/>
                <w:kern w:val="24"/>
                <w:sz w:val="18"/>
                <w:szCs w:val="18"/>
              </w:rPr>
              <w:t xml:space="preserve">0.006 </w:t>
            </w:r>
          </w:p>
        </w:tc>
        <w:tc>
          <w:tcPr>
            <w:tcW w:w="417" w:type="dxa"/>
            <w:gridSpan w:val="2"/>
            <w:tcBorders>
              <w:top w:val="nil"/>
              <w:left w:val="nil"/>
              <w:bottom w:val="nil"/>
              <w:right w:val="nil"/>
            </w:tcBorders>
            <w:tcMar>
              <w:top w:w="11" w:type="dxa"/>
              <w:left w:w="11" w:type="dxa"/>
              <w:bottom w:w="0" w:type="dxa"/>
              <w:right w:w="11" w:type="dxa"/>
            </w:tcMar>
            <w:vAlign w:val="center"/>
          </w:tcPr>
          <w:p w:rsidR="00DC207C" w:rsidRPr="00376AE6" w:rsidRDefault="00DC207C" w:rsidP="008D176A">
            <w:pPr>
              <w:jc w:val="right"/>
              <w:textAlignment w:val="bottom"/>
              <w:rPr>
                <w:b/>
                <w:sz w:val="18"/>
                <w:szCs w:val="18"/>
              </w:rPr>
            </w:pPr>
            <w:r w:rsidRPr="00376AE6">
              <w:rPr>
                <w:b/>
                <w:color w:val="000000"/>
                <w:kern w:val="24"/>
                <w:sz w:val="18"/>
                <w:szCs w:val="18"/>
              </w:rPr>
              <w:t xml:space="preserve">0.432 </w:t>
            </w:r>
          </w:p>
        </w:tc>
        <w:tc>
          <w:tcPr>
            <w:tcW w:w="161" w:type="dxa"/>
            <w:tcBorders>
              <w:top w:val="nil"/>
              <w:left w:val="nil"/>
              <w:bottom w:val="nil"/>
              <w:right w:val="nil"/>
            </w:tcBorders>
            <w:tcMar>
              <w:top w:w="7" w:type="dxa"/>
              <w:left w:w="7" w:type="dxa"/>
              <w:bottom w:w="0" w:type="dxa"/>
              <w:right w:w="7" w:type="dxa"/>
            </w:tcMar>
            <w:vAlign w:val="center"/>
          </w:tcPr>
          <w:p w:rsidR="00DC207C" w:rsidRPr="00376AE6" w:rsidRDefault="00DC207C" w:rsidP="008D176A">
            <w:pPr>
              <w:jc w:val="center"/>
              <w:textAlignment w:val="bottom"/>
              <w:rPr>
                <w:b/>
                <w:sz w:val="18"/>
                <w:szCs w:val="18"/>
              </w:rPr>
            </w:pPr>
            <w:r w:rsidRPr="00376AE6">
              <w:rPr>
                <w:b/>
                <w:color w:val="000000"/>
                <w:kern w:val="24"/>
                <w:sz w:val="18"/>
                <w:szCs w:val="18"/>
              </w:rPr>
              <w:t xml:space="preserve">± </w:t>
            </w:r>
          </w:p>
        </w:tc>
        <w:tc>
          <w:tcPr>
            <w:tcW w:w="774"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textAlignment w:val="bottom"/>
              <w:rPr>
                <w:b/>
                <w:sz w:val="18"/>
                <w:szCs w:val="18"/>
              </w:rPr>
            </w:pPr>
            <w:r w:rsidRPr="00376AE6">
              <w:rPr>
                <w:b/>
                <w:color w:val="000000"/>
                <w:kern w:val="24"/>
                <w:sz w:val="18"/>
                <w:szCs w:val="18"/>
              </w:rPr>
              <w:t xml:space="preserve">0.011 </w:t>
            </w:r>
          </w:p>
        </w:tc>
        <w:tc>
          <w:tcPr>
            <w:tcW w:w="105"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rPr>
                <w:sz w:val="18"/>
                <w:szCs w:val="18"/>
              </w:rPr>
            </w:pPr>
          </w:p>
        </w:tc>
        <w:tc>
          <w:tcPr>
            <w:tcW w:w="416"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jc w:val="right"/>
              <w:textAlignment w:val="bottom"/>
              <w:rPr>
                <w:sz w:val="18"/>
                <w:szCs w:val="18"/>
              </w:rPr>
            </w:pPr>
            <w:r w:rsidRPr="00376AE6">
              <w:rPr>
                <w:color w:val="000000"/>
                <w:kern w:val="24"/>
                <w:sz w:val="18"/>
                <w:szCs w:val="18"/>
              </w:rPr>
              <w:t xml:space="preserve">0.230 </w:t>
            </w:r>
          </w:p>
        </w:tc>
        <w:tc>
          <w:tcPr>
            <w:tcW w:w="146" w:type="dxa"/>
            <w:tcBorders>
              <w:top w:val="nil"/>
              <w:left w:val="nil"/>
              <w:bottom w:val="nil"/>
              <w:right w:val="nil"/>
            </w:tcBorders>
            <w:tcMar>
              <w:top w:w="7" w:type="dxa"/>
              <w:left w:w="7" w:type="dxa"/>
              <w:bottom w:w="0" w:type="dxa"/>
              <w:right w:w="7" w:type="dxa"/>
            </w:tcMar>
            <w:vAlign w:val="center"/>
          </w:tcPr>
          <w:p w:rsidR="00DC207C" w:rsidRPr="00376AE6" w:rsidRDefault="00DC207C" w:rsidP="008D176A">
            <w:pPr>
              <w:jc w:val="center"/>
              <w:textAlignment w:val="bottom"/>
              <w:rPr>
                <w:sz w:val="18"/>
                <w:szCs w:val="18"/>
              </w:rPr>
            </w:pPr>
            <w:r w:rsidRPr="00376AE6">
              <w:rPr>
                <w:color w:val="000000"/>
                <w:kern w:val="24"/>
                <w:sz w:val="18"/>
                <w:szCs w:val="18"/>
              </w:rPr>
              <w:t xml:space="preserve">± </w:t>
            </w:r>
          </w:p>
        </w:tc>
        <w:tc>
          <w:tcPr>
            <w:tcW w:w="738"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textAlignment w:val="bottom"/>
              <w:rPr>
                <w:sz w:val="18"/>
                <w:szCs w:val="18"/>
              </w:rPr>
            </w:pPr>
            <w:r w:rsidRPr="00376AE6">
              <w:rPr>
                <w:color w:val="000000"/>
                <w:kern w:val="24"/>
                <w:sz w:val="18"/>
                <w:szCs w:val="18"/>
              </w:rPr>
              <w:t>0.012</w:t>
            </w:r>
          </w:p>
        </w:tc>
        <w:tc>
          <w:tcPr>
            <w:tcW w:w="498"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jc w:val="right"/>
              <w:textAlignment w:val="bottom"/>
              <w:rPr>
                <w:sz w:val="18"/>
                <w:szCs w:val="18"/>
              </w:rPr>
            </w:pPr>
            <w:r w:rsidRPr="00376AE6">
              <w:rPr>
                <w:color w:val="000000"/>
                <w:kern w:val="24"/>
                <w:sz w:val="18"/>
                <w:szCs w:val="18"/>
              </w:rPr>
              <w:t xml:space="preserve">0.163 </w:t>
            </w:r>
          </w:p>
        </w:tc>
        <w:tc>
          <w:tcPr>
            <w:tcW w:w="183" w:type="dxa"/>
            <w:tcBorders>
              <w:top w:val="nil"/>
              <w:left w:val="nil"/>
              <w:bottom w:val="nil"/>
              <w:right w:val="nil"/>
            </w:tcBorders>
            <w:tcMar>
              <w:top w:w="7" w:type="dxa"/>
              <w:left w:w="7" w:type="dxa"/>
              <w:bottom w:w="0" w:type="dxa"/>
              <w:right w:w="7" w:type="dxa"/>
            </w:tcMar>
            <w:vAlign w:val="center"/>
          </w:tcPr>
          <w:p w:rsidR="00DC207C" w:rsidRPr="00376AE6" w:rsidRDefault="00DC207C" w:rsidP="008D176A">
            <w:pPr>
              <w:jc w:val="center"/>
              <w:textAlignment w:val="bottom"/>
              <w:rPr>
                <w:sz w:val="18"/>
                <w:szCs w:val="18"/>
              </w:rPr>
            </w:pPr>
            <w:r w:rsidRPr="00376AE6">
              <w:rPr>
                <w:color w:val="000000"/>
                <w:kern w:val="24"/>
                <w:sz w:val="18"/>
                <w:szCs w:val="18"/>
              </w:rPr>
              <w:t xml:space="preserve">± </w:t>
            </w:r>
          </w:p>
        </w:tc>
        <w:tc>
          <w:tcPr>
            <w:tcW w:w="719"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textAlignment w:val="bottom"/>
              <w:rPr>
                <w:sz w:val="18"/>
                <w:szCs w:val="18"/>
              </w:rPr>
            </w:pPr>
            <w:r w:rsidRPr="00376AE6">
              <w:rPr>
                <w:color w:val="000000"/>
                <w:kern w:val="24"/>
                <w:sz w:val="18"/>
                <w:szCs w:val="18"/>
              </w:rPr>
              <w:t>0.005</w:t>
            </w:r>
          </w:p>
        </w:tc>
        <w:tc>
          <w:tcPr>
            <w:tcW w:w="416"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jc w:val="right"/>
              <w:textAlignment w:val="bottom"/>
              <w:rPr>
                <w:sz w:val="18"/>
                <w:szCs w:val="18"/>
              </w:rPr>
            </w:pPr>
            <w:r w:rsidRPr="00376AE6">
              <w:rPr>
                <w:color w:val="000000"/>
                <w:kern w:val="24"/>
                <w:sz w:val="18"/>
                <w:szCs w:val="18"/>
              </w:rPr>
              <w:t xml:space="preserve">0.393 </w:t>
            </w:r>
          </w:p>
        </w:tc>
        <w:tc>
          <w:tcPr>
            <w:tcW w:w="171" w:type="dxa"/>
            <w:tcBorders>
              <w:top w:val="nil"/>
              <w:left w:val="nil"/>
              <w:bottom w:val="nil"/>
              <w:right w:val="nil"/>
            </w:tcBorders>
            <w:tcMar>
              <w:top w:w="7" w:type="dxa"/>
              <w:left w:w="7" w:type="dxa"/>
              <w:bottom w:w="0" w:type="dxa"/>
              <w:right w:w="7" w:type="dxa"/>
            </w:tcMar>
            <w:vAlign w:val="center"/>
          </w:tcPr>
          <w:p w:rsidR="00DC207C" w:rsidRPr="00376AE6" w:rsidRDefault="00DC207C" w:rsidP="008D176A">
            <w:pPr>
              <w:jc w:val="center"/>
              <w:textAlignment w:val="bottom"/>
              <w:rPr>
                <w:sz w:val="18"/>
                <w:szCs w:val="18"/>
              </w:rPr>
            </w:pPr>
            <w:r w:rsidRPr="00376AE6">
              <w:rPr>
                <w:color w:val="000000"/>
                <w:kern w:val="24"/>
                <w:sz w:val="18"/>
                <w:szCs w:val="18"/>
              </w:rPr>
              <w:t xml:space="preserve">± </w:t>
            </w:r>
          </w:p>
        </w:tc>
        <w:tc>
          <w:tcPr>
            <w:tcW w:w="614"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textAlignment w:val="bottom"/>
              <w:rPr>
                <w:sz w:val="18"/>
                <w:szCs w:val="18"/>
              </w:rPr>
            </w:pPr>
            <w:r w:rsidRPr="00376AE6">
              <w:rPr>
                <w:color w:val="000000"/>
                <w:kern w:val="24"/>
                <w:sz w:val="18"/>
                <w:szCs w:val="18"/>
              </w:rPr>
              <w:t>0.015</w:t>
            </w:r>
          </w:p>
        </w:tc>
      </w:tr>
      <w:tr w:rsidR="00DC207C" w:rsidRPr="00123353" w:rsidTr="00376AE6">
        <w:trPr>
          <w:trHeight w:val="288"/>
          <w:jc w:val="center"/>
        </w:trPr>
        <w:tc>
          <w:tcPr>
            <w:tcW w:w="497" w:type="dxa"/>
            <w:tcBorders>
              <w:top w:val="nil"/>
              <w:left w:val="nil"/>
              <w:bottom w:val="nil"/>
              <w:right w:val="nil"/>
            </w:tcBorders>
            <w:tcMar>
              <w:top w:w="8" w:type="dxa"/>
              <w:left w:w="8" w:type="dxa"/>
              <w:bottom w:w="0" w:type="dxa"/>
              <w:right w:w="8" w:type="dxa"/>
            </w:tcMar>
            <w:vAlign w:val="center"/>
          </w:tcPr>
          <w:p w:rsidR="00DC207C" w:rsidRPr="00123353" w:rsidRDefault="00DC207C" w:rsidP="008D176A">
            <w:pPr>
              <w:rPr>
                <w:sz w:val="20"/>
                <w:szCs w:val="18"/>
              </w:rPr>
            </w:pPr>
          </w:p>
        </w:tc>
        <w:tc>
          <w:tcPr>
            <w:tcW w:w="1140" w:type="dxa"/>
            <w:gridSpan w:val="2"/>
            <w:tcBorders>
              <w:top w:val="nil"/>
              <w:left w:val="nil"/>
              <w:bottom w:val="nil"/>
              <w:right w:val="nil"/>
            </w:tcBorders>
            <w:tcMar>
              <w:top w:w="8" w:type="dxa"/>
              <w:left w:w="8" w:type="dxa"/>
              <w:bottom w:w="0" w:type="dxa"/>
              <w:right w:w="8" w:type="dxa"/>
            </w:tcMar>
            <w:vAlign w:val="center"/>
          </w:tcPr>
          <w:p w:rsidR="00DC207C" w:rsidRPr="00C918EF" w:rsidRDefault="00DC207C" w:rsidP="00C918EF">
            <w:pPr>
              <w:jc w:val="center"/>
              <w:textAlignment w:val="center"/>
              <w:rPr>
                <w:sz w:val="18"/>
                <w:szCs w:val="18"/>
              </w:rPr>
            </w:pPr>
            <w:r w:rsidRPr="00C918EF">
              <w:rPr>
                <w:color w:val="000000"/>
                <w:kern w:val="24"/>
                <w:sz w:val="18"/>
                <w:szCs w:val="18"/>
              </w:rPr>
              <w:t>COMT3</w:t>
            </w:r>
          </w:p>
        </w:tc>
        <w:tc>
          <w:tcPr>
            <w:tcW w:w="416"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jc w:val="right"/>
              <w:textAlignment w:val="bottom"/>
              <w:rPr>
                <w:sz w:val="18"/>
                <w:szCs w:val="18"/>
              </w:rPr>
            </w:pPr>
            <w:r w:rsidRPr="00376AE6">
              <w:rPr>
                <w:color w:val="000000"/>
                <w:kern w:val="24"/>
                <w:sz w:val="18"/>
                <w:szCs w:val="18"/>
              </w:rPr>
              <w:t xml:space="preserve">0.269 </w:t>
            </w:r>
          </w:p>
        </w:tc>
        <w:tc>
          <w:tcPr>
            <w:tcW w:w="137" w:type="dxa"/>
            <w:tcBorders>
              <w:top w:val="nil"/>
              <w:left w:val="nil"/>
              <w:bottom w:val="nil"/>
              <w:right w:val="nil"/>
            </w:tcBorders>
            <w:tcMar>
              <w:top w:w="7" w:type="dxa"/>
              <w:left w:w="7" w:type="dxa"/>
              <w:bottom w:w="0" w:type="dxa"/>
              <w:right w:w="7" w:type="dxa"/>
            </w:tcMar>
            <w:vAlign w:val="center"/>
          </w:tcPr>
          <w:p w:rsidR="00DC207C" w:rsidRPr="00376AE6" w:rsidRDefault="00DC207C" w:rsidP="008D176A">
            <w:pPr>
              <w:jc w:val="center"/>
              <w:textAlignment w:val="bottom"/>
              <w:rPr>
                <w:sz w:val="18"/>
                <w:szCs w:val="18"/>
              </w:rPr>
            </w:pPr>
            <w:r w:rsidRPr="00376AE6">
              <w:rPr>
                <w:color w:val="000000"/>
                <w:kern w:val="24"/>
                <w:sz w:val="18"/>
                <w:szCs w:val="18"/>
              </w:rPr>
              <w:t xml:space="preserve">± </w:t>
            </w:r>
          </w:p>
        </w:tc>
        <w:tc>
          <w:tcPr>
            <w:tcW w:w="745"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textAlignment w:val="bottom"/>
              <w:rPr>
                <w:sz w:val="18"/>
                <w:szCs w:val="18"/>
              </w:rPr>
            </w:pPr>
            <w:r w:rsidRPr="00376AE6">
              <w:rPr>
                <w:color w:val="000000"/>
                <w:kern w:val="24"/>
                <w:sz w:val="18"/>
                <w:szCs w:val="18"/>
              </w:rPr>
              <w:t xml:space="preserve">0.006 </w:t>
            </w:r>
          </w:p>
        </w:tc>
        <w:tc>
          <w:tcPr>
            <w:tcW w:w="416" w:type="dxa"/>
            <w:gridSpan w:val="2"/>
            <w:tcBorders>
              <w:top w:val="nil"/>
              <w:left w:val="nil"/>
              <w:bottom w:val="nil"/>
              <w:right w:val="nil"/>
            </w:tcBorders>
            <w:tcMar>
              <w:top w:w="11" w:type="dxa"/>
              <w:left w:w="11" w:type="dxa"/>
              <w:bottom w:w="0" w:type="dxa"/>
              <w:right w:w="11" w:type="dxa"/>
            </w:tcMar>
            <w:vAlign w:val="center"/>
          </w:tcPr>
          <w:p w:rsidR="00DC207C" w:rsidRPr="00376AE6" w:rsidRDefault="00DC207C" w:rsidP="008D176A">
            <w:pPr>
              <w:jc w:val="right"/>
              <w:textAlignment w:val="bottom"/>
              <w:rPr>
                <w:sz w:val="18"/>
                <w:szCs w:val="18"/>
              </w:rPr>
            </w:pPr>
            <w:r w:rsidRPr="00376AE6">
              <w:rPr>
                <w:color w:val="000000"/>
                <w:kern w:val="24"/>
                <w:sz w:val="18"/>
                <w:szCs w:val="18"/>
              </w:rPr>
              <w:t xml:space="preserve">0.201 </w:t>
            </w:r>
          </w:p>
        </w:tc>
        <w:tc>
          <w:tcPr>
            <w:tcW w:w="151" w:type="dxa"/>
            <w:tcBorders>
              <w:top w:val="nil"/>
              <w:left w:val="nil"/>
              <w:bottom w:val="nil"/>
              <w:right w:val="nil"/>
            </w:tcBorders>
            <w:tcMar>
              <w:top w:w="7" w:type="dxa"/>
              <w:left w:w="7" w:type="dxa"/>
              <w:bottom w:w="0" w:type="dxa"/>
              <w:right w:w="7" w:type="dxa"/>
            </w:tcMar>
            <w:vAlign w:val="center"/>
          </w:tcPr>
          <w:p w:rsidR="00DC207C" w:rsidRPr="00376AE6" w:rsidRDefault="00DC207C" w:rsidP="008D176A">
            <w:pPr>
              <w:jc w:val="center"/>
              <w:textAlignment w:val="bottom"/>
              <w:rPr>
                <w:sz w:val="18"/>
                <w:szCs w:val="18"/>
              </w:rPr>
            </w:pPr>
            <w:r w:rsidRPr="00376AE6">
              <w:rPr>
                <w:color w:val="000000"/>
                <w:kern w:val="24"/>
                <w:sz w:val="18"/>
                <w:szCs w:val="18"/>
              </w:rPr>
              <w:t xml:space="preserve">± </w:t>
            </w:r>
          </w:p>
        </w:tc>
        <w:tc>
          <w:tcPr>
            <w:tcW w:w="877"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textAlignment w:val="bottom"/>
              <w:rPr>
                <w:sz w:val="18"/>
                <w:szCs w:val="18"/>
              </w:rPr>
            </w:pPr>
            <w:r w:rsidRPr="00376AE6">
              <w:rPr>
                <w:color w:val="000000"/>
                <w:kern w:val="24"/>
                <w:sz w:val="18"/>
                <w:szCs w:val="18"/>
              </w:rPr>
              <w:t xml:space="preserve">0.005 </w:t>
            </w:r>
          </w:p>
        </w:tc>
        <w:tc>
          <w:tcPr>
            <w:tcW w:w="417" w:type="dxa"/>
            <w:gridSpan w:val="2"/>
            <w:tcBorders>
              <w:top w:val="nil"/>
              <w:left w:val="nil"/>
              <w:bottom w:val="nil"/>
              <w:right w:val="nil"/>
            </w:tcBorders>
            <w:tcMar>
              <w:top w:w="11" w:type="dxa"/>
              <w:left w:w="11" w:type="dxa"/>
              <w:bottom w:w="0" w:type="dxa"/>
              <w:right w:w="11" w:type="dxa"/>
            </w:tcMar>
            <w:vAlign w:val="center"/>
          </w:tcPr>
          <w:p w:rsidR="00DC207C" w:rsidRPr="00376AE6" w:rsidRDefault="00DC207C" w:rsidP="008D176A">
            <w:pPr>
              <w:jc w:val="right"/>
              <w:textAlignment w:val="bottom"/>
              <w:rPr>
                <w:b/>
                <w:sz w:val="18"/>
                <w:szCs w:val="18"/>
              </w:rPr>
            </w:pPr>
            <w:r w:rsidRPr="00376AE6">
              <w:rPr>
                <w:b/>
                <w:color w:val="000000"/>
                <w:kern w:val="24"/>
                <w:sz w:val="18"/>
                <w:szCs w:val="18"/>
              </w:rPr>
              <w:t xml:space="preserve">0.471 </w:t>
            </w:r>
          </w:p>
        </w:tc>
        <w:tc>
          <w:tcPr>
            <w:tcW w:w="161" w:type="dxa"/>
            <w:tcBorders>
              <w:top w:val="nil"/>
              <w:left w:val="nil"/>
              <w:bottom w:val="nil"/>
              <w:right w:val="nil"/>
            </w:tcBorders>
            <w:tcMar>
              <w:top w:w="7" w:type="dxa"/>
              <w:left w:w="7" w:type="dxa"/>
              <w:bottom w:w="0" w:type="dxa"/>
              <w:right w:w="7" w:type="dxa"/>
            </w:tcMar>
            <w:vAlign w:val="center"/>
          </w:tcPr>
          <w:p w:rsidR="00DC207C" w:rsidRPr="00376AE6" w:rsidRDefault="00DC207C" w:rsidP="008D176A">
            <w:pPr>
              <w:jc w:val="center"/>
              <w:textAlignment w:val="bottom"/>
              <w:rPr>
                <w:b/>
                <w:sz w:val="18"/>
                <w:szCs w:val="18"/>
              </w:rPr>
            </w:pPr>
            <w:r w:rsidRPr="00376AE6">
              <w:rPr>
                <w:b/>
                <w:color w:val="000000"/>
                <w:kern w:val="24"/>
                <w:sz w:val="18"/>
                <w:szCs w:val="18"/>
              </w:rPr>
              <w:t xml:space="preserve">± </w:t>
            </w:r>
          </w:p>
        </w:tc>
        <w:tc>
          <w:tcPr>
            <w:tcW w:w="774"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textAlignment w:val="bottom"/>
              <w:rPr>
                <w:b/>
                <w:sz w:val="18"/>
                <w:szCs w:val="18"/>
              </w:rPr>
            </w:pPr>
            <w:r w:rsidRPr="00376AE6">
              <w:rPr>
                <w:b/>
                <w:color w:val="000000"/>
                <w:kern w:val="24"/>
                <w:sz w:val="18"/>
                <w:szCs w:val="18"/>
              </w:rPr>
              <w:t>0.010*</w:t>
            </w:r>
          </w:p>
        </w:tc>
        <w:tc>
          <w:tcPr>
            <w:tcW w:w="105"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rPr>
                <w:sz w:val="18"/>
                <w:szCs w:val="18"/>
              </w:rPr>
            </w:pPr>
          </w:p>
        </w:tc>
        <w:tc>
          <w:tcPr>
            <w:tcW w:w="416"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jc w:val="right"/>
              <w:textAlignment w:val="bottom"/>
              <w:rPr>
                <w:sz w:val="18"/>
                <w:szCs w:val="18"/>
              </w:rPr>
            </w:pPr>
            <w:r w:rsidRPr="00376AE6">
              <w:rPr>
                <w:color w:val="000000"/>
                <w:kern w:val="24"/>
                <w:sz w:val="18"/>
                <w:szCs w:val="18"/>
              </w:rPr>
              <w:t xml:space="preserve">0.243 </w:t>
            </w:r>
          </w:p>
        </w:tc>
        <w:tc>
          <w:tcPr>
            <w:tcW w:w="146" w:type="dxa"/>
            <w:tcBorders>
              <w:top w:val="nil"/>
              <w:left w:val="nil"/>
              <w:bottom w:val="nil"/>
              <w:right w:val="nil"/>
            </w:tcBorders>
            <w:tcMar>
              <w:top w:w="7" w:type="dxa"/>
              <w:left w:w="7" w:type="dxa"/>
              <w:bottom w:w="0" w:type="dxa"/>
              <w:right w:w="7" w:type="dxa"/>
            </w:tcMar>
            <w:vAlign w:val="center"/>
          </w:tcPr>
          <w:p w:rsidR="00DC207C" w:rsidRPr="00376AE6" w:rsidRDefault="00DC207C" w:rsidP="008D176A">
            <w:pPr>
              <w:jc w:val="center"/>
              <w:textAlignment w:val="bottom"/>
              <w:rPr>
                <w:sz w:val="18"/>
                <w:szCs w:val="18"/>
              </w:rPr>
            </w:pPr>
            <w:r w:rsidRPr="00376AE6">
              <w:rPr>
                <w:color w:val="000000"/>
                <w:kern w:val="24"/>
                <w:sz w:val="18"/>
                <w:szCs w:val="18"/>
              </w:rPr>
              <w:t xml:space="preserve">± </w:t>
            </w:r>
          </w:p>
        </w:tc>
        <w:tc>
          <w:tcPr>
            <w:tcW w:w="738"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textAlignment w:val="bottom"/>
              <w:rPr>
                <w:sz w:val="18"/>
                <w:szCs w:val="18"/>
              </w:rPr>
            </w:pPr>
            <w:r w:rsidRPr="00376AE6">
              <w:rPr>
                <w:color w:val="000000"/>
                <w:kern w:val="24"/>
                <w:sz w:val="18"/>
                <w:szCs w:val="18"/>
              </w:rPr>
              <w:t>0.005</w:t>
            </w:r>
          </w:p>
        </w:tc>
        <w:tc>
          <w:tcPr>
            <w:tcW w:w="498"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jc w:val="right"/>
              <w:textAlignment w:val="bottom"/>
              <w:rPr>
                <w:sz w:val="18"/>
                <w:szCs w:val="18"/>
              </w:rPr>
            </w:pPr>
            <w:r w:rsidRPr="00376AE6">
              <w:rPr>
                <w:color w:val="000000"/>
                <w:kern w:val="24"/>
                <w:sz w:val="18"/>
                <w:szCs w:val="18"/>
              </w:rPr>
              <w:t xml:space="preserve">0.170 </w:t>
            </w:r>
          </w:p>
        </w:tc>
        <w:tc>
          <w:tcPr>
            <w:tcW w:w="183" w:type="dxa"/>
            <w:tcBorders>
              <w:top w:val="nil"/>
              <w:left w:val="nil"/>
              <w:bottom w:val="nil"/>
              <w:right w:val="nil"/>
            </w:tcBorders>
            <w:tcMar>
              <w:top w:w="7" w:type="dxa"/>
              <w:left w:w="7" w:type="dxa"/>
              <w:bottom w:w="0" w:type="dxa"/>
              <w:right w:w="7" w:type="dxa"/>
            </w:tcMar>
            <w:vAlign w:val="center"/>
          </w:tcPr>
          <w:p w:rsidR="00DC207C" w:rsidRPr="00376AE6" w:rsidRDefault="00DC207C" w:rsidP="008D176A">
            <w:pPr>
              <w:jc w:val="center"/>
              <w:textAlignment w:val="bottom"/>
              <w:rPr>
                <w:sz w:val="18"/>
                <w:szCs w:val="18"/>
              </w:rPr>
            </w:pPr>
            <w:r w:rsidRPr="00376AE6">
              <w:rPr>
                <w:color w:val="000000"/>
                <w:kern w:val="24"/>
                <w:sz w:val="18"/>
                <w:szCs w:val="18"/>
              </w:rPr>
              <w:t xml:space="preserve">± </w:t>
            </w:r>
          </w:p>
        </w:tc>
        <w:tc>
          <w:tcPr>
            <w:tcW w:w="719"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textAlignment w:val="bottom"/>
              <w:rPr>
                <w:sz w:val="18"/>
                <w:szCs w:val="18"/>
              </w:rPr>
            </w:pPr>
            <w:r w:rsidRPr="00376AE6">
              <w:rPr>
                <w:color w:val="000000"/>
                <w:kern w:val="24"/>
                <w:sz w:val="18"/>
                <w:szCs w:val="18"/>
              </w:rPr>
              <w:t>0.002</w:t>
            </w:r>
          </w:p>
        </w:tc>
        <w:tc>
          <w:tcPr>
            <w:tcW w:w="416"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jc w:val="right"/>
              <w:textAlignment w:val="bottom"/>
              <w:rPr>
                <w:sz w:val="18"/>
                <w:szCs w:val="18"/>
              </w:rPr>
            </w:pPr>
            <w:r w:rsidRPr="00376AE6">
              <w:rPr>
                <w:color w:val="000000"/>
                <w:kern w:val="24"/>
                <w:sz w:val="18"/>
                <w:szCs w:val="18"/>
              </w:rPr>
              <w:t xml:space="preserve">0.413 </w:t>
            </w:r>
          </w:p>
        </w:tc>
        <w:tc>
          <w:tcPr>
            <w:tcW w:w="171" w:type="dxa"/>
            <w:tcBorders>
              <w:top w:val="nil"/>
              <w:left w:val="nil"/>
              <w:bottom w:val="nil"/>
              <w:right w:val="nil"/>
            </w:tcBorders>
            <w:tcMar>
              <w:top w:w="7" w:type="dxa"/>
              <w:left w:w="7" w:type="dxa"/>
              <w:bottom w:w="0" w:type="dxa"/>
              <w:right w:w="7" w:type="dxa"/>
            </w:tcMar>
            <w:vAlign w:val="center"/>
          </w:tcPr>
          <w:p w:rsidR="00DC207C" w:rsidRPr="00376AE6" w:rsidRDefault="00DC207C" w:rsidP="008D176A">
            <w:pPr>
              <w:jc w:val="center"/>
              <w:textAlignment w:val="bottom"/>
              <w:rPr>
                <w:sz w:val="18"/>
                <w:szCs w:val="18"/>
              </w:rPr>
            </w:pPr>
            <w:r w:rsidRPr="00376AE6">
              <w:rPr>
                <w:color w:val="000000"/>
                <w:kern w:val="24"/>
                <w:sz w:val="18"/>
                <w:szCs w:val="18"/>
              </w:rPr>
              <w:t xml:space="preserve">± </w:t>
            </w:r>
          </w:p>
        </w:tc>
        <w:tc>
          <w:tcPr>
            <w:tcW w:w="614"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textAlignment w:val="bottom"/>
              <w:rPr>
                <w:sz w:val="18"/>
                <w:szCs w:val="18"/>
              </w:rPr>
            </w:pPr>
            <w:r w:rsidRPr="00376AE6">
              <w:rPr>
                <w:color w:val="000000"/>
                <w:kern w:val="24"/>
                <w:sz w:val="18"/>
                <w:szCs w:val="18"/>
              </w:rPr>
              <w:t>0.006</w:t>
            </w:r>
          </w:p>
        </w:tc>
      </w:tr>
      <w:tr w:rsidR="00DC207C" w:rsidRPr="00123353" w:rsidTr="00376AE6">
        <w:trPr>
          <w:trHeight w:val="288"/>
          <w:jc w:val="center"/>
        </w:trPr>
        <w:tc>
          <w:tcPr>
            <w:tcW w:w="497" w:type="dxa"/>
            <w:tcBorders>
              <w:top w:val="nil"/>
              <w:left w:val="nil"/>
              <w:bottom w:val="nil"/>
              <w:right w:val="nil"/>
            </w:tcBorders>
            <w:tcMar>
              <w:top w:w="8" w:type="dxa"/>
              <w:left w:w="8" w:type="dxa"/>
              <w:bottom w:w="0" w:type="dxa"/>
              <w:right w:w="8" w:type="dxa"/>
            </w:tcMar>
            <w:vAlign w:val="center"/>
          </w:tcPr>
          <w:p w:rsidR="00DC207C" w:rsidRPr="00123353" w:rsidRDefault="00DC207C" w:rsidP="008D176A">
            <w:pPr>
              <w:rPr>
                <w:sz w:val="20"/>
                <w:szCs w:val="18"/>
              </w:rPr>
            </w:pPr>
          </w:p>
        </w:tc>
        <w:tc>
          <w:tcPr>
            <w:tcW w:w="1140" w:type="dxa"/>
            <w:gridSpan w:val="2"/>
            <w:tcBorders>
              <w:top w:val="nil"/>
              <w:left w:val="nil"/>
              <w:bottom w:val="nil"/>
              <w:right w:val="nil"/>
            </w:tcBorders>
            <w:tcMar>
              <w:top w:w="8" w:type="dxa"/>
              <w:left w:w="8" w:type="dxa"/>
              <w:bottom w:w="0" w:type="dxa"/>
              <w:right w:w="8" w:type="dxa"/>
            </w:tcMar>
            <w:vAlign w:val="center"/>
          </w:tcPr>
          <w:p w:rsidR="00DC207C" w:rsidRPr="00C918EF" w:rsidRDefault="00DC207C" w:rsidP="00C918EF">
            <w:pPr>
              <w:jc w:val="center"/>
              <w:rPr>
                <w:sz w:val="18"/>
                <w:szCs w:val="18"/>
              </w:rPr>
            </w:pPr>
          </w:p>
        </w:tc>
        <w:tc>
          <w:tcPr>
            <w:tcW w:w="416" w:type="dxa"/>
            <w:tcBorders>
              <w:top w:val="nil"/>
              <w:left w:val="nil"/>
              <w:bottom w:val="nil"/>
              <w:right w:val="nil"/>
            </w:tcBorders>
            <w:tcMar>
              <w:top w:w="8" w:type="dxa"/>
              <w:left w:w="8" w:type="dxa"/>
              <w:bottom w:w="0" w:type="dxa"/>
              <w:right w:w="8" w:type="dxa"/>
            </w:tcMar>
            <w:vAlign w:val="center"/>
          </w:tcPr>
          <w:p w:rsidR="00DC207C" w:rsidRPr="00376AE6" w:rsidRDefault="00DC207C" w:rsidP="008D176A">
            <w:pPr>
              <w:rPr>
                <w:sz w:val="18"/>
                <w:szCs w:val="18"/>
              </w:rPr>
            </w:pPr>
          </w:p>
        </w:tc>
        <w:tc>
          <w:tcPr>
            <w:tcW w:w="137" w:type="dxa"/>
            <w:tcBorders>
              <w:top w:val="nil"/>
              <w:left w:val="nil"/>
              <w:bottom w:val="nil"/>
              <w:right w:val="nil"/>
            </w:tcBorders>
            <w:tcMar>
              <w:top w:w="7" w:type="dxa"/>
              <w:left w:w="7" w:type="dxa"/>
              <w:bottom w:w="0" w:type="dxa"/>
              <w:right w:w="7" w:type="dxa"/>
            </w:tcMar>
            <w:vAlign w:val="center"/>
          </w:tcPr>
          <w:p w:rsidR="00DC207C" w:rsidRPr="00376AE6" w:rsidRDefault="00DC207C" w:rsidP="008D176A">
            <w:pPr>
              <w:rPr>
                <w:sz w:val="18"/>
                <w:szCs w:val="18"/>
              </w:rPr>
            </w:pPr>
          </w:p>
        </w:tc>
        <w:tc>
          <w:tcPr>
            <w:tcW w:w="745"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rPr>
                <w:sz w:val="18"/>
                <w:szCs w:val="18"/>
              </w:rPr>
            </w:pPr>
          </w:p>
        </w:tc>
        <w:tc>
          <w:tcPr>
            <w:tcW w:w="416" w:type="dxa"/>
            <w:gridSpan w:val="2"/>
            <w:tcBorders>
              <w:top w:val="nil"/>
              <w:left w:val="nil"/>
              <w:bottom w:val="nil"/>
              <w:right w:val="nil"/>
            </w:tcBorders>
            <w:tcMar>
              <w:top w:w="8" w:type="dxa"/>
              <w:left w:w="8" w:type="dxa"/>
              <w:bottom w:w="0" w:type="dxa"/>
              <w:right w:w="8" w:type="dxa"/>
            </w:tcMar>
            <w:vAlign w:val="center"/>
          </w:tcPr>
          <w:p w:rsidR="00DC207C" w:rsidRPr="00376AE6" w:rsidRDefault="00DC207C" w:rsidP="008D176A">
            <w:pPr>
              <w:rPr>
                <w:sz w:val="18"/>
                <w:szCs w:val="18"/>
              </w:rPr>
            </w:pPr>
          </w:p>
        </w:tc>
        <w:tc>
          <w:tcPr>
            <w:tcW w:w="151" w:type="dxa"/>
            <w:tcBorders>
              <w:top w:val="nil"/>
              <w:left w:val="nil"/>
              <w:bottom w:val="nil"/>
              <w:right w:val="nil"/>
            </w:tcBorders>
            <w:tcMar>
              <w:top w:w="7" w:type="dxa"/>
              <w:left w:w="7" w:type="dxa"/>
              <w:bottom w:w="0" w:type="dxa"/>
              <w:right w:w="7" w:type="dxa"/>
            </w:tcMar>
            <w:vAlign w:val="center"/>
          </w:tcPr>
          <w:p w:rsidR="00DC207C" w:rsidRPr="00376AE6" w:rsidRDefault="00DC207C" w:rsidP="008D176A">
            <w:pPr>
              <w:rPr>
                <w:sz w:val="18"/>
                <w:szCs w:val="18"/>
              </w:rPr>
            </w:pPr>
          </w:p>
        </w:tc>
        <w:tc>
          <w:tcPr>
            <w:tcW w:w="877"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rPr>
                <w:sz w:val="18"/>
                <w:szCs w:val="18"/>
              </w:rPr>
            </w:pPr>
          </w:p>
        </w:tc>
        <w:tc>
          <w:tcPr>
            <w:tcW w:w="417" w:type="dxa"/>
            <w:gridSpan w:val="2"/>
            <w:tcBorders>
              <w:top w:val="nil"/>
              <w:left w:val="nil"/>
              <w:bottom w:val="nil"/>
              <w:right w:val="nil"/>
            </w:tcBorders>
            <w:tcMar>
              <w:top w:w="8" w:type="dxa"/>
              <w:left w:w="8" w:type="dxa"/>
              <w:bottom w:w="0" w:type="dxa"/>
              <w:right w:w="8" w:type="dxa"/>
            </w:tcMar>
            <w:vAlign w:val="center"/>
          </w:tcPr>
          <w:p w:rsidR="00DC207C" w:rsidRPr="00376AE6" w:rsidRDefault="00DC207C" w:rsidP="008D176A">
            <w:pPr>
              <w:rPr>
                <w:sz w:val="18"/>
                <w:szCs w:val="18"/>
              </w:rPr>
            </w:pPr>
          </w:p>
        </w:tc>
        <w:tc>
          <w:tcPr>
            <w:tcW w:w="161" w:type="dxa"/>
            <w:tcBorders>
              <w:top w:val="nil"/>
              <w:left w:val="nil"/>
              <w:bottom w:val="nil"/>
              <w:right w:val="nil"/>
            </w:tcBorders>
            <w:tcMar>
              <w:top w:w="7" w:type="dxa"/>
              <w:left w:w="7" w:type="dxa"/>
              <w:bottom w:w="0" w:type="dxa"/>
              <w:right w:w="7" w:type="dxa"/>
            </w:tcMar>
            <w:vAlign w:val="center"/>
          </w:tcPr>
          <w:p w:rsidR="00DC207C" w:rsidRPr="00376AE6" w:rsidRDefault="00DC207C" w:rsidP="008D176A">
            <w:pPr>
              <w:rPr>
                <w:sz w:val="18"/>
                <w:szCs w:val="18"/>
              </w:rPr>
            </w:pPr>
          </w:p>
        </w:tc>
        <w:tc>
          <w:tcPr>
            <w:tcW w:w="774"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rPr>
                <w:sz w:val="18"/>
                <w:szCs w:val="18"/>
              </w:rPr>
            </w:pPr>
          </w:p>
        </w:tc>
        <w:tc>
          <w:tcPr>
            <w:tcW w:w="105"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rPr>
                <w:sz w:val="18"/>
                <w:szCs w:val="18"/>
              </w:rPr>
            </w:pPr>
          </w:p>
        </w:tc>
        <w:tc>
          <w:tcPr>
            <w:tcW w:w="416" w:type="dxa"/>
            <w:tcBorders>
              <w:top w:val="nil"/>
              <w:left w:val="nil"/>
              <w:bottom w:val="nil"/>
              <w:right w:val="nil"/>
            </w:tcBorders>
            <w:tcMar>
              <w:top w:w="8" w:type="dxa"/>
              <w:left w:w="8" w:type="dxa"/>
              <w:bottom w:w="0" w:type="dxa"/>
              <w:right w:w="8" w:type="dxa"/>
            </w:tcMar>
            <w:vAlign w:val="center"/>
          </w:tcPr>
          <w:p w:rsidR="00DC207C" w:rsidRPr="00376AE6" w:rsidRDefault="00DC207C" w:rsidP="008D176A">
            <w:pPr>
              <w:rPr>
                <w:sz w:val="18"/>
                <w:szCs w:val="18"/>
              </w:rPr>
            </w:pPr>
          </w:p>
        </w:tc>
        <w:tc>
          <w:tcPr>
            <w:tcW w:w="146" w:type="dxa"/>
            <w:tcBorders>
              <w:top w:val="nil"/>
              <w:left w:val="nil"/>
              <w:bottom w:val="nil"/>
              <w:right w:val="nil"/>
            </w:tcBorders>
            <w:tcMar>
              <w:top w:w="7" w:type="dxa"/>
              <w:left w:w="7" w:type="dxa"/>
              <w:bottom w:w="0" w:type="dxa"/>
              <w:right w:w="7" w:type="dxa"/>
            </w:tcMar>
            <w:vAlign w:val="center"/>
          </w:tcPr>
          <w:p w:rsidR="00DC207C" w:rsidRPr="00376AE6" w:rsidRDefault="00DC207C" w:rsidP="008D176A">
            <w:pPr>
              <w:rPr>
                <w:sz w:val="18"/>
                <w:szCs w:val="18"/>
              </w:rPr>
            </w:pPr>
          </w:p>
        </w:tc>
        <w:tc>
          <w:tcPr>
            <w:tcW w:w="738"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rPr>
                <w:sz w:val="18"/>
                <w:szCs w:val="18"/>
              </w:rPr>
            </w:pPr>
          </w:p>
        </w:tc>
        <w:tc>
          <w:tcPr>
            <w:tcW w:w="498"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rPr>
                <w:sz w:val="18"/>
                <w:szCs w:val="18"/>
              </w:rPr>
            </w:pPr>
          </w:p>
        </w:tc>
        <w:tc>
          <w:tcPr>
            <w:tcW w:w="183" w:type="dxa"/>
            <w:tcBorders>
              <w:top w:val="nil"/>
              <w:left w:val="nil"/>
              <w:bottom w:val="nil"/>
              <w:right w:val="nil"/>
            </w:tcBorders>
            <w:tcMar>
              <w:top w:w="7" w:type="dxa"/>
              <w:left w:w="7" w:type="dxa"/>
              <w:bottom w:w="0" w:type="dxa"/>
              <w:right w:w="7" w:type="dxa"/>
            </w:tcMar>
            <w:vAlign w:val="center"/>
          </w:tcPr>
          <w:p w:rsidR="00DC207C" w:rsidRPr="00376AE6" w:rsidRDefault="00DC207C" w:rsidP="008D176A">
            <w:pPr>
              <w:rPr>
                <w:sz w:val="18"/>
                <w:szCs w:val="18"/>
              </w:rPr>
            </w:pPr>
          </w:p>
        </w:tc>
        <w:tc>
          <w:tcPr>
            <w:tcW w:w="719"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rPr>
                <w:sz w:val="18"/>
                <w:szCs w:val="18"/>
              </w:rPr>
            </w:pPr>
          </w:p>
        </w:tc>
        <w:tc>
          <w:tcPr>
            <w:tcW w:w="416"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rPr>
                <w:sz w:val="18"/>
                <w:szCs w:val="18"/>
              </w:rPr>
            </w:pPr>
          </w:p>
        </w:tc>
        <w:tc>
          <w:tcPr>
            <w:tcW w:w="171" w:type="dxa"/>
            <w:tcBorders>
              <w:top w:val="nil"/>
              <w:left w:val="nil"/>
              <w:bottom w:val="nil"/>
              <w:right w:val="nil"/>
            </w:tcBorders>
            <w:tcMar>
              <w:top w:w="7" w:type="dxa"/>
              <w:left w:w="7" w:type="dxa"/>
              <w:bottom w:w="0" w:type="dxa"/>
              <w:right w:w="7" w:type="dxa"/>
            </w:tcMar>
            <w:vAlign w:val="center"/>
          </w:tcPr>
          <w:p w:rsidR="00DC207C" w:rsidRPr="00376AE6" w:rsidRDefault="00DC207C" w:rsidP="008D176A">
            <w:pPr>
              <w:rPr>
                <w:sz w:val="18"/>
                <w:szCs w:val="18"/>
              </w:rPr>
            </w:pPr>
          </w:p>
        </w:tc>
        <w:tc>
          <w:tcPr>
            <w:tcW w:w="614"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rPr>
                <w:sz w:val="18"/>
                <w:szCs w:val="18"/>
              </w:rPr>
            </w:pPr>
          </w:p>
        </w:tc>
      </w:tr>
      <w:tr w:rsidR="00DC207C" w:rsidRPr="00123353" w:rsidTr="00376AE6">
        <w:trPr>
          <w:trHeight w:val="288"/>
          <w:jc w:val="center"/>
        </w:trPr>
        <w:tc>
          <w:tcPr>
            <w:tcW w:w="497" w:type="dxa"/>
            <w:tcBorders>
              <w:top w:val="nil"/>
              <w:left w:val="nil"/>
              <w:bottom w:val="nil"/>
              <w:right w:val="nil"/>
            </w:tcBorders>
            <w:tcMar>
              <w:top w:w="8" w:type="dxa"/>
              <w:left w:w="8" w:type="dxa"/>
              <w:bottom w:w="0" w:type="dxa"/>
              <w:right w:w="8" w:type="dxa"/>
            </w:tcMar>
            <w:vAlign w:val="center"/>
          </w:tcPr>
          <w:p w:rsidR="00DC207C" w:rsidRPr="00123353" w:rsidRDefault="00DC207C" w:rsidP="008D176A">
            <w:pPr>
              <w:textAlignment w:val="center"/>
              <w:rPr>
                <w:sz w:val="20"/>
                <w:szCs w:val="18"/>
              </w:rPr>
            </w:pPr>
            <w:r w:rsidRPr="00123353">
              <w:rPr>
                <w:color w:val="000000"/>
                <w:kern w:val="24"/>
                <w:sz w:val="20"/>
                <w:szCs w:val="18"/>
              </w:rPr>
              <w:t xml:space="preserve">2012 </w:t>
            </w:r>
          </w:p>
        </w:tc>
        <w:tc>
          <w:tcPr>
            <w:tcW w:w="1140" w:type="dxa"/>
            <w:gridSpan w:val="2"/>
            <w:tcBorders>
              <w:top w:val="nil"/>
              <w:left w:val="nil"/>
              <w:bottom w:val="nil"/>
              <w:right w:val="nil"/>
            </w:tcBorders>
            <w:tcMar>
              <w:top w:w="8" w:type="dxa"/>
              <w:left w:w="8" w:type="dxa"/>
              <w:bottom w:w="0" w:type="dxa"/>
              <w:right w:w="8" w:type="dxa"/>
            </w:tcMar>
            <w:vAlign w:val="center"/>
          </w:tcPr>
          <w:p w:rsidR="00DC207C" w:rsidRPr="00C918EF" w:rsidRDefault="00DC207C" w:rsidP="00C918EF">
            <w:pPr>
              <w:jc w:val="center"/>
              <w:textAlignment w:val="center"/>
              <w:rPr>
                <w:sz w:val="18"/>
                <w:szCs w:val="18"/>
              </w:rPr>
            </w:pPr>
            <w:r w:rsidRPr="00C918EF">
              <w:rPr>
                <w:color w:val="000000"/>
                <w:kern w:val="24"/>
                <w:sz w:val="18"/>
                <w:szCs w:val="18"/>
              </w:rPr>
              <w:t>Control</w:t>
            </w:r>
          </w:p>
        </w:tc>
        <w:tc>
          <w:tcPr>
            <w:tcW w:w="416"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jc w:val="right"/>
              <w:textAlignment w:val="bottom"/>
              <w:rPr>
                <w:b/>
                <w:sz w:val="18"/>
                <w:szCs w:val="18"/>
              </w:rPr>
            </w:pPr>
            <w:r w:rsidRPr="00376AE6">
              <w:rPr>
                <w:b/>
                <w:color w:val="000000"/>
                <w:kern w:val="24"/>
                <w:sz w:val="18"/>
                <w:szCs w:val="18"/>
              </w:rPr>
              <w:t xml:space="preserve">0.151 </w:t>
            </w:r>
          </w:p>
        </w:tc>
        <w:tc>
          <w:tcPr>
            <w:tcW w:w="137" w:type="dxa"/>
            <w:tcBorders>
              <w:top w:val="nil"/>
              <w:left w:val="nil"/>
              <w:bottom w:val="nil"/>
              <w:right w:val="nil"/>
            </w:tcBorders>
            <w:tcMar>
              <w:top w:w="7" w:type="dxa"/>
              <w:left w:w="7" w:type="dxa"/>
              <w:bottom w:w="0" w:type="dxa"/>
              <w:right w:w="7" w:type="dxa"/>
            </w:tcMar>
            <w:vAlign w:val="center"/>
          </w:tcPr>
          <w:p w:rsidR="00DC207C" w:rsidRPr="00376AE6" w:rsidRDefault="00DC207C" w:rsidP="008D176A">
            <w:pPr>
              <w:jc w:val="center"/>
              <w:textAlignment w:val="bottom"/>
              <w:rPr>
                <w:b/>
                <w:sz w:val="18"/>
                <w:szCs w:val="18"/>
              </w:rPr>
            </w:pPr>
            <w:r w:rsidRPr="00376AE6">
              <w:rPr>
                <w:b/>
                <w:color w:val="000000"/>
                <w:kern w:val="24"/>
                <w:sz w:val="18"/>
                <w:szCs w:val="18"/>
              </w:rPr>
              <w:t xml:space="preserve">± </w:t>
            </w:r>
          </w:p>
        </w:tc>
        <w:tc>
          <w:tcPr>
            <w:tcW w:w="745"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textAlignment w:val="bottom"/>
              <w:rPr>
                <w:b/>
                <w:sz w:val="18"/>
                <w:szCs w:val="18"/>
              </w:rPr>
            </w:pPr>
            <w:r w:rsidRPr="00376AE6">
              <w:rPr>
                <w:b/>
                <w:color w:val="000000"/>
                <w:kern w:val="24"/>
                <w:sz w:val="18"/>
                <w:szCs w:val="18"/>
              </w:rPr>
              <w:t>0.007</w:t>
            </w:r>
          </w:p>
        </w:tc>
        <w:tc>
          <w:tcPr>
            <w:tcW w:w="416" w:type="dxa"/>
            <w:gridSpan w:val="2"/>
            <w:tcBorders>
              <w:top w:val="nil"/>
              <w:left w:val="nil"/>
              <w:bottom w:val="nil"/>
              <w:right w:val="nil"/>
            </w:tcBorders>
            <w:tcMar>
              <w:top w:w="11" w:type="dxa"/>
              <w:left w:w="11" w:type="dxa"/>
              <w:bottom w:w="0" w:type="dxa"/>
              <w:right w:w="11" w:type="dxa"/>
            </w:tcMar>
            <w:vAlign w:val="center"/>
          </w:tcPr>
          <w:p w:rsidR="00DC207C" w:rsidRPr="00376AE6" w:rsidRDefault="00DC207C" w:rsidP="008D176A">
            <w:pPr>
              <w:jc w:val="right"/>
              <w:textAlignment w:val="bottom"/>
              <w:rPr>
                <w:b/>
                <w:sz w:val="18"/>
                <w:szCs w:val="18"/>
              </w:rPr>
            </w:pPr>
            <w:r w:rsidRPr="00376AE6">
              <w:rPr>
                <w:b/>
                <w:color w:val="000000"/>
                <w:kern w:val="24"/>
                <w:sz w:val="18"/>
                <w:szCs w:val="18"/>
              </w:rPr>
              <w:t xml:space="preserve">0.158 </w:t>
            </w:r>
          </w:p>
        </w:tc>
        <w:tc>
          <w:tcPr>
            <w:tcW w:w="151" w:type="dxa"/>
            <w:tcBorders>
              <w:top w:val="nil"/>
              <w:left w:val="nil"/>
              <w:bottom w:val="nil"/>
              <w:right w:val="nil"/>
            </w:tcBorders>
            <w:tcMar>
              <w:top w:w="7" w:type="dxa"/>
              <w:left w:w="7" w:type="dxa"/>
              <w:bottom w:w="0" w:type="dxa"/>
              <w:right w:w="7" w:type="dxa"/>
            </w:tcMar>
            <w:vAlign w:val="center"/>
          </w:tcPr>
          <w:p w:rsidR="00DC207C" w:rsidRPr="00376AE6" w:rsidRDefault="00DC207C" w:rsidP="008D176A">
            <w:pPr>
              <w:jc w:val="center"/>
              <w:textAlignment w:val="bottom"/>
              <w:rPr>
                <w:b/>
                <w:sz w:val="18"/>
                <w:szCs w:val="18"/>
              </w:rPr>
            </w:pPr>
            <w:r w:rsidRPr="00376AE6">
              <w:rPr>
                <w:b/>
                <w:color w:val="000000"/>
                <w:kern w:val="24"/>
                <w:sz w:val="18"/>
                <w:szCs w:val="18"/>
              </w:rPr>
              <w:t xml:space="preserve">± </w:t>
            </w:r>
          </w:p>
        </w:tc>
        <w:tc>
          <w:tcPr>
            <w:tcW w:w="877"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textAlignment w:val="bottom"/>
              <w:rPr>
                <w:b/>
                <w:sz w:val="18"/>
                <w:szCs w:val="18"/>
              </w:rPr>
            </w:pPr>
            <w:r w:rsidRPr="00376AE6">
              <w:rPr>
                <w:b/>
                <w:color w:val="000000"/>
                <w:kern w:val="24"/>
                <w:sz w:val="18"/>
                <w:szCs w:val="18"/>
              </w:rPr>
              <w:t>0.002</w:t>
            </w:r>
          </w:p>
        </w:tc>
        <w:tc>
          <w:tcPr>
            <w:tcW w:w="417" w:type="dxa"/>
            <w:gridSpan w:val="2"/>
            <w:tcBorders>
              <w:top w:val="nil"/>
              <w:left w:val="nil"/>
              <w:bottom w:val="nil"/>
              <w:right w:val="nil"/>
            </w:tcBorders>
            <w:tcMar>
              <w:top w:w="11" w:type="dxa"/>
              <w:left w:w="11" w:type="dxa"/>
              <w:bottom w:w="0" w:type="dxa"/>
              <w:right w:w="11" w:type="dxa"/>
            </w:tcMar>
            <w:vAlign w:val="center"/>
          </w:tcPr>
          <w:p w:rsidR="00DC207C" w:rsidRPr="00376AE6" w:rsidRDefault="00DC207C" w:rsidP="008D176A">
            <w:pPr>
              <w:jc w:val="right"/>
              <w:textAlignment w:val="bottom"/>
              <w:rPr>
                <w:b/>
                <w:sz w:val="18"/>
                <w:szCs w:val="18"/>
              </w:rPr>
            </w:pPr>
            <w:r w:rsidRPr="00376AE6">
              <w:rPr>
                <w:b/>
                <w:color w:val="000000"/>
                <w:kern w:val="24"/>
                <w:sz w:val="18"/>
                <w:szCs w:val="18"/>
              </w:rPr>
              <w:t xml:space="preserve">0.309 </w:t>
            </w:r>
          </w:p>
        </w:tc>
        <w:tc>
          <w:tcPr>
            <w:tcW w:w="161" w:type="dxa"/>
            <w:tcBorders>
              <w:top w:val="nil"/>
              <w:left w:val="nil"/>
              <w:bottom w:val="nil"/>
              <w:right w:val="nil"/>
            </w:tcBorders>
            <w:tcMar>
              <w:top w:w="7" w:type="dxa"/>
              <w:left w:w="7" w:type="dxa"/>
              <w:bottom w:w="0" w:type="dxa"/>
              <w:right w:w="7" w:type="dxa"/>
            </w:tcMar>
            <w:vAlign w:val="center"/>
          </w:tcPr>
          <w:p w:rsidR="00DC207C" w:rsidRPr="00376AE6" w:rsidRDefault="00DC207C" w:rsidP="008D176A">
            <w:pPr>
              <w:jc w:val="center"/>
              <w:textAlignment w:val="bottom"/>
              <w:rPr>
                <w:b/>
                <w:sz w:val="18"/>
                <w:szCs w:val="18"/>
              </w:rPr>
            </w:pPr>
            <w:r w:rsidRPr="00376AE6">
              <w:rPr>
                <w:b/>
                <w:color w:val="000000"/>
                <w:kern w:val="24"/>
                <w:sz w:val="18"/>
                <w:szCs w:val="18"/>
              </w:rPr>
              <w:t xml:space="preserve">± </w:t>
            </w:r>
          </w:p>
        </w:tc>
        <w:tc>
          <w:tcPr>
            <w:tcW w:w="774"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textAlignment w:val="bottom"/>
              <w:rPr>
                <w:b/>
                <w:sz w:val="18"/>
                <w:szCs w:val="18"/>
              </w:rPr>
            </w:pPr>
            <w:r w:rsidRPr="00376AE6">
              <w:rPr>
                <w:b/>
                <w:color w:val="000000"/>
                <w:kern w:val="24"/>
                <w:sz w:val="18"/>
                <w:szCs w:val="18"/>
              </w:rPr>
              <w:t>0.010</w:t>
            </w:r>
          </w:p>
        </w:tc>
        <w:tc>
          <w:tcPr>
            <w:tcW w:w="105"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rPr>
                <w:b/>
                <w:sz w:val="18"/>
                <w:szCs w:val="18"/>
              </w:rPr>
            </w:pPr>
          </w:p>
        </w:tc>
        <w:tc>
          <w:tcPr>
            <w:tcW w:w="416"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jc w:val="right"/>
              <w:textAlignment w:val="bottom"/>
              <w:rPr>
                <w:b/>
                <w:sz w:val="18"/>
                <w:szCs w:val="18"/>
              </w:rPr>
            </w:pPr>
            <w:r w:rsidRPr="00376AE6">
              <w:rPr>
                <w:b/>
                <w:color w:val="000000"/>
                <w:kern w:val="24"/>
                <w:sz w:val="18"/>
                <w:szCs w:val="18"/>
              </w:rPr>
              <w:t xml:space="preserve">0.126 </w:t>
            </w:r>
          </w:p>
        </w:tc>
        <w:tc>
          <w:tcPr>
            <w:tcW w:w="146" w:type="dxa"/>
            <w:tcBorders>
              <w:top w:val="nil"/>
              <w:left w:val="nil"/>
              <w:bottom w:val="nil"/>
              <w:right w:val="nil"/>
            </w:tcBorders>
            <w:tcMar>
              <w:top w:w="7" w:type="dxa"/>
              <w:left w:w="7" w:type="dxa"/>
              <w:bottom w:w="0" w:type="dxa"/>
              <w:right w:w="7" w:type="dxa"/>
            </w:tcMar>
            <w:vAlign w:val="center"/>
          </w:tcPr>
          <w:p w:rsidR="00DC207C" w:rsidRPr="00376AE6" w:rsidRDefault="00DC207C" w:rsidP="008D176A">
            <w:pPr>
              <w:jc w:val="center"/>
              <w:textAlignment w:val="bottom"/>
              <w:rPr>
                <w:b/>
                <w:sz w:val="18"/>
                <w:szCs w:val="18"/>
              </w:rPr>
            </w:pPr>
            <w:r w:rsidRPr="00376AE6">
              <w:rPr>
                <w:b/>
                <w:color w:val="000000"/>
                <w:kern w:val="24"/>
                <w:sz w:val="18"/>
                <w:szCs w:val="18"/>
              </w:rPr>
              <w:t xml:space="preserve">± </w:t>
            </w:r>
          </w:p>
        </w:tc>
        <w:tc>
          <w:tcPr>
            <w:tcW w:w="738"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textAlignment w:val="bottom"/>
              <w:rPr>
                <w:b/>
                <w:sz w:val="18"/>
                <w:szCs w:val="18"/>
              </w:rPr>
            </w:pPr>
            <w:r w:rsidRPr="00376AE6">
              <w:rPr>
                <w:b/>
                <w:color w:val="000000"/>
                <w:kern w:val="24"/>
                <w:sz w:val="18"/>
                <w:szCs w:val="18"/>
              </w:rPr>
              <w:t xml:space="preserve">0.004 </w:t>
            </w:r>
          </w:p>
        </w:tc>
        <w:tc>
          <w:tcPr>
            <w:tcW w:w="498"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jc w:val="right"/>
              <w:textAlignment w:val="bottom"/>
              <w:rPr>
                <w:b/>
                <w:sz w:val="18"/>
                <w:szCs w:val="18"/>
              </w:rPr>
            </w:pPr>
            <w:r w:rsidRPr="00376AE6">
              <w:rPr>
                <w:b/>
                <w:color w:val="000000"/>
                <w:kern w:val="24"/>
                <w:sz w:val="18"/>
                <w:szCs w:val="18"/>
              </w:rPr>
              <w:t xml:space="preserve">0.163 </w:t>
            </w:r>
          </w:p>
        </w:tc>
        <w:tc>
          <w:tcPr>
            <w:tcW w:w="183" w:type="dxa"/>
            <w:tcBorders>
              <w:top w:val="nil"/>
              <w:left w:val="nil"/>
              <w:bottom w:val="nil"/>
              <w:right w:val="nil"/>
            </w:tcBorders>
            <w:tcMar>
              <w:top w:w="7" w:type="dxa"/>
              <w:left w:w="7" w:type="dxa"/>
              <w:bottom w:w="0" w:type="dxa"/>
              <w:right w:w="7" w:type="dxa"/>
            </w:tcMar>
            <w:vAlign w:val="center"/>
          </w:tcPr>
          <w:p w:rsidR="00DC207C" w:rsidRPr="00376AE6" w:rsidRDefault="00DC207C" w:rsidP="008D176A">
            <w:pPr>
              <w:jc w:val="center"/>
              <w:textAlignment w:val="bottom"/>
              <w:rPr>
                <w:b/>
                <w:sz w:val="18"/>
                <w:szCs w:val="18"/>
              </w:rPr>
            </w:pPr>
            <w:r w:rsidRPr="00376AE6">
              <w:rPr>
                <w:b/>
                <w:color w:val="000000"/>
                <w:kern w:val="24"/>
                <w:sz w:val="18"/>
                <w:szCs w:val="18"/>
              </w:rPr>
              <w:t xml:space="preserve">± </w:t>
            </w:r>
          </w:p>
        </w:tc>
        <w:tc>
          <w:tcPr>
            <w:tcW w:w="719"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textAlignment w:val="bottom"/>
              <w:rPr>
                <w:b/>
                <w:sz w:val="18"/>
                <w:szCs w:val="18"/>
              </w:rPr>
            </w:pPr>
            <w:r w:rsidRPr="00376AE6">
              <w:rPr>
                <w:b/>
                <w:color w:val="000000"/>
                <w:kern w:val="24"/>
                <w:sz w:val="18"/>
                <w:szCs w:val="18"/>
              </w:rPr>
              <w:t>0.002</w:t>
            </w:r>
          </w:p>
        </w:tc>
        <w:tc>
          <w:tcPr>
            <w:tcW w:w="416"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jc w:val="right"/>
              <w:textAlignment w:val="bottom"/>
              <w:rPr>
                <w:b/>
                <w:sz w:val="18"/>
                <w:szCs w:val="18"/>
              </w:rPr>
            </w:pPr>
            <w:r w:rsidRPr="00376AE6">
              <w:rPr>
                <w:b/>
                <w:color w:val="000000"/>
                <w:kern w:val="24"/>
                <w:sz w:val="18"/>
                <w:szCs w:val="18"/>
              </w:rPr>
              <w:t xml:space="preserve">0.289 </w:t>
            </w:r>
          </w:p>
        </w:tc>
        <w:tc>
          <w:tcPr>
            <w:tcW w:w="171" w:type="dxa"/>
            <w:tcBorders>
              <w:top w:val="nil"/>
              <w:left w:val="nil"/>
              <w:bottom w:val="nil"/>
              <w:right w:val="nil"/>
            </w:tcBorders>
            <w:tcMar>
              <w:top w:w="7" w:type="dxa"/>
              <w:left w:w="7" w:type="dxa"/>
              <w:bottom w:w="0" w:type="dxa"/>
              <w:right w:w="7" w:type="dxa"/>
            </w:tcMar>
            <w:vAlign w:val="center"/>
          </w:tcPr>
          <w:p w:rsidR="00DC207C" w:rsidRPr="00376AE6" w:rsidRDefault="00DC207C" w:rsidP="008D176A">
            <w:pPr>
              <w:jc w:val="center"/>
              <w:textAlignment w:val="bottom"/>
              <w:rPr>
                <w:b/>
                <w:sz w:val="18"/>
                <w:szCs w:val="18"/>
              </w:rPr>
            </w:pPr>
            <w:r w:rsidRPr="00376AE6">
              <w:rPr>
                <w:b/>
                <w:color w:val="000000"/>
                <w:kern w:val="24"/>
                <w:sz w:val="18"/>
                <w:szCs w:val="18"/>
              </w:rPr>
              <w:t xml:space="preserve">± </w:t>
            </w:r>
          </w:p>
        </w:tc>
        <w:tc>
          <w:tcPr>
            <w:tcW w:w="614"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textAlignment w:val="bottom"/>
              <w:rPr>
                <w:b/>
                <w:sz w:val="18"/>
                <w:szCs w:val="18"/>
              </w:rPr>
            </w:pPr>
            <w:r w:rsidRPr="00376AE6">
              <w:rPr>
                <w:b/>
                <w:color w:val="000000"/>
                <w:kern w:val="24"/>
                <w:sz w:val="18"/>
                <w:szCs w:val="18"/>
              </w:rPr>
              <w:t xml:space="preserve">0.005 </w:t>
            </w:r>
          </w:p>
        </w:tc>
      </w:tr>
      <w:tr w:rsidR="00DC207C" w:rsidRPr="00123353" w:rsidTr="00376AE6">
        <w:trPr>
          <w:trHeight w:val="288"/>
          <w:jc w:val="center"/>
        </w:trPr>
        <w:tc>
          <w:tcPr>
            <w:tcW w:w="497" w:type="dxa"/>
            <w:tcBorders>
              <w:top w:val="nil"/>
              <w:left w:val="nil"/>
              <w:bottom w:val="nil"/>
              <w:right w:val="nil"/>
            </w:tcBorders>
            <w:tcMar>
              <w:top w:w="8" w:type="dxa"/>
              <w:left w:w="8" w:type="dxa"/>
              <w:bottom w:w="0" w:type="dxa"/>
              <w:right w:w="8" w:type="dxa"/>
            </w:tcMar>
            <w:vAlign w:val="center"/>
          </w:tcPr>
          <w:p w:rsidR="00DC207C" w:rsidRPr="00123353" w:rsidRDefault="00DC207C" w:rsidP="008D176A">
            <w:pPr>
              <w:rPr>
                <w:sz w:val="20"/>
                <w:szCs w:val="18"/>
              </w:rPr>
            </w:pPr>
          </w:p>
        </w:tc>
        <w:tc>
          <w:tcPr>
            <w:tcW w:w="1140" w:type="dxa"/>
            <w:gridSpan w:val="2"/>
            <w:tcBorders>
              <w:top w:val="nil"/>
              <w:left w:val="nil"/>
              <w:bottom w:val="nil"/>
              <w:right w:val="nil"/>
            </w:tcBorders>
            <w:tcMar>
              <w:top w:w="8" w:type="dxa"/>
              <w:left w:w="8" w:type="dxa"/>
              <w:bottom w:w="0" w:type="dxa"/>
              <w:right w:w="8" w:type="dxa"/>
            </w:tcMar>
            <w:vAlign w:val="center"/>
          </w:tcPr>
          <w:p w:rsidR="00DC207C" w:rsidRPr="00C918EF" w:rsidRDefault="00DC207C" w:rsidP="00C918EF">
            <w:pPr>
              <w:jc w:val="center"/>
              <w:textAlignment w:val="center"/>
              <w:rPr>
                <w:sz w:val="18"/>
                <w:szCs w:val="18"/>
              </w:rPr>
            </w:pPr>
            <w:r w:rsidRPr="00C918EF">
              <w:rPr>
                <w:color w:val="000000"/>
                <w:kern w:val="24"/>
                <w:sz w:val="18"/>
                <w:szCs w:val="18"/>
              </w:rPr>
              <w:t>COMT2</w:t>
            </w:r>
          </w:p>
        </w:tc>
        <w:tc>
          <w:tcPr>
            <w:tcW w:w="416"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jc w:val="right"/>
              <w:textAlignment w:val="bottom"/>
              <w:rPr>
                <w:b/>
                <w:sz w:val="18"/>
                <w:szCs w:val="18"/>
              </w:rPr>
            </w:pPr>
            <w:r w:rsidRPr="00376AE6">
              <w:rPr>
                <w:b/>
                <w:color w:val="000000"/>
                <w:kern w:val="24"/>
                <w:sz w:val="18"/>
                <w:szCs w:val="18"/>
              </w:rPr>
              <w:t xml:space="preserve">0.178 </w:t>
            </w:r>
          </w:p>
        </w:tc>
        <w:tc>
          <w:tcPr>
            <w:tcW w:w="137" w:type="dxa"/>
            <w:tcBorders>
              <w:top w:val="nil"/>
              <w:left w:val="nil"/>
              <w:bottom w:val="nil"/>
              <w:right w:val="nil"/>
            </w:tcBorders>
            <w:tcMar>
              <w:top w:w="7" w:type="dxa"/>
              <w:left w:w="7" w:type="dxa"/>
              <w:bottom w:w="0" w:type="dxa"/>
              <w:right w:w="7" w:type="dxa"/>
            </w:tcMar>
            <w:vAlign w:val="center"/>
          </w:tcPr>
          <w:p w:rsidR="00DC207C" w:rsidRPr="00376AE6" w:rsidRDefault="00DC207C" w:rsidP="008D176A">
            <w:pPr>
              <w:jc w:val="center"/>
              <w:textAlignment w:val="bottom"/>
              <w:rPr>
                <w:b/>
                <w:sz w:val="18"/>
                <w:szCs w:val="18"/>
              </w:rPr>
            </w:pPr>
            <w:r w:rsidRPr="00376AE6">
              <w:rPr>
                <w:b/>
                <w:color w:val="000000"/>
                <w:kern w:val="24"/>
                <w:sz w:val="18"/>
                <w:szCs w:val="18"/>
              </w:rPr>
              <w:t xml:space="preserve">± </w:t>
            </w:r>
          </w:p>
        </w:tc>
        <w:tc>
          <w:tcPr>
            <w:tcW w:w="745"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textAlignment w:val="bottom"/>
              <w:rPr>
                <w:b/>
                <w:sz w:val="18"/>
                <w:szCs w:val="18"/>
              </w:rPr>
            </w:pPr>
            <w:r w:rsidRPr="00376AE6">
              <w:rPr>
                <w:b/>
                <w:color w:val="000000"/>
                <w:kern w:val="24"/>
                <w:sz w:val="18"/>
                <w:szCs w:val="18"/>
              </w:rPr>
              <w:t>0.005*</w:t>
            </w:r>
          </w:p>
        </w:tc>
        <w:tc>
          <w:tcPr>
            <w:tcW w:w="416" w:type="dxa"/>
            <w:gridSpan w:val="2"/>
            <w:tcBorders>
              <w:top w:val="nil"/>
              <w:left w:val="nil"/>
              <w:bottom w:val="nil"/>
              <w:right w:val="nil"/>
            </w:tcBorders>
            <w:tcMar>
              <w:top w:w="11" w:type="dxa"/>
              <w:left w:w="11" w:type="dxa"/>
              <w:bottom w:w="0" w:type="dxa"/>
              <w:right w:w="11" w:type="dxa"/>
            </w:tcMar>
            <w:vAlign w:val="center"/>
          </w:tcPr>
          <w:p w:rsidR="00DC207C" w:rsidRPr="00376AE6" w:rsidRDefault="00DC207C" w:rsidP="008D176A">
            <w:pPr>
              <w:jc w:val="right"/>
              <w:textAlignment w:val="bottom"/>
              <w:rPr>
                <w:b/>
                <w:sz w:val="18"/>
                <w:szCs w:val="18"/>
              </w:rPr>
            </w:pPr>
            <w:r w:rsidRPr="00376AE6">
              <w:rPr>
                <w:b/>
                <w:color w:val="000000"/>
                <w:kern w:val="24"/>
                <w:sz w:val="18"/>
                <w:szCs w:val="18"/>
              </w:rPr>
              <w:t xml:space="preserve">0.176 </w:t>
            </w:r>
          </w:p>
        </w:tc>
        <w:tc>
          <w:tcPr>
            <w:tcW w:w="151" w:type="dxa"/>
            <w:tcBorders>
              <w:top w:val="nil"/>
              <w:left w:val="nil"/>
              <w:bottom w:val="nil"/>
              <w:right w:val="nil"/>
            </w:tcBorders>
            <w:tcMar>
              <w:top w:w="7" w:type="dxa"/>
              <w:left w:w="7" w:type="dxa"/>
              <w:bottom w:w="0" w:type="dxa"/>
              <w:right w:w="7" w:type="dxa"/>
            </w:tcMar>
            <w:vAlign w:val="center"/>
          </w:tcPr>
          <w:p w:rsidR="00DC207C" w:rsidRPr="00376AE6" w:rsidRDefault="00DC207C" w:rsidP="008D176A">
            <w:pPr>
              <w:jc w:val="center"/>
              <w:textAlignment w:val="bottom"/>
              <w:rPr>
                <w:b/>
                <w:sz w:val="18"/>
                <w:szCs w:val="18"/>
              </w:rPr>
            </w:pPr>
            <w:r w:rsidRPr="00376AE6">
              <w:rPr>
                <w:b/>
                <w:color w:val="000000"/>
                <w:kern w:val="24"/>
                <w:sz w:val="18"/>
                <w:szCs w:val="18"/>
              </w:rPr>
              <w:t xml:space="preserve">± </w:t>
            </w:r>
          </w:p>
        </w:tc>
        <w:tc>
          <w:tcPr>
            <w:tcW w:w="877"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textAlignment w:val="bottom"/>
              <w:rPr>
                <w:b/>
                <w:sz w:val="18"/>
                <w:szCs w:val="18"/>
              </w:rPr>
            </w:pPr>
            <w:r w:rsidRPr="00376AE6">
              <w:rPr>
                <w:b/>
                <w:color w:val="000000"/>
                <w:kern w:val="24"/>
                <w:sz w:val="18"/>
                <w:szCs w:val="18"/>
              </w:rPr>
              <w:t>0.003*</w:t>
            </w:r>
          </w:p>
        </w:tc>
        <w:tc>
          <w:tcPr>
            <w:tcW w:w="417" w:type="dxa"/>
            <w:gridSpan w:val="2"/>
            <w:tcBorders>
              <w:top w:val="nil"/>
              <w:left w:val="nil"/>
              <w:bottom w:val="nil"/>
              <w:right w:val="nil"/>
            </w:tcBorders>
            <w:tcMar>
              <w:top w:w="11" w:type="dxa"/>
              <w:left w:w="11" w:type="dxa"/>
              <w:bottom w:w="0" w:type="dxa"/>
              <w:right w:w="11" w:type="dxa"/>
            </w:tcMar>
            <w:vAlign w:val="center"/>
          </w:tcPr>
          <w:p w:rsidR="00DC207C" w:rsidRPr="00376AE6" w:rsidRDefault="00DC207C" w:rsidP="008D176A">
            <w:pPr>
              <w:jc w:val="right"/>
              <w:textAlignment w:val="bottom"/>
              <w:rPr>
                <w:b/>
                <w:sz w:val="18"/>
                <w:szCs w:val="18"/>
              </w:rPr>
            </w:pPr>
            <w:r w:rsidRPr="00376AE6">
              <w:rPr>
                <w:b/>
                <w:color w:val="000000"/>
                <w:kern w:val="24"/>
                <w:sz w:val="18"/>
                <w:szCs w:val="18"/>
              </w:rPr>
              <w:t xml:space="preserve">0.354 </w:t>
            </w:r>
          </w:p>
        </w:tc>
        <w:tc>
          <w:tcPr>
            <w:tcW w:w="161" w:type="dxa"/>
            <w:tcBorders>
              <w:top w:val="nil"/>
              <w:left w:val="nil"/>
              <w:bottom w:val="nil"/>
              <w:right w:val="nil"/>
            </w:tcBorders>
            <w:tcMar>
              <w:top w:w="7" w:type="dxa"/>
              <w:left w:w="7" w:type="dxa"/>
              <w:bottom w:w="0" w:type="dxa"/>
              <w:right w:w="7" w:type="dxa"/>
            </w:tcMar>
            <w:vAlign w:val="center"/>
          </w:tcPr>
          <w:p w:rsidR="00DC207C" w:rsidRPr="00376AE6" w:rsidRDefault="00DC207C" w:rsidP="008D176A">
            <w:pPr>
              <w:jc w:val="center"/>
              <w:textAlignment w:val="bottom"/>
              <w:rPr>
                <w:b/>
                <w:sz w:val="18"/>
                <w:szCs w:val="18"/>
              </w:rPr>
            </w:pPr>
            <w:r w:rsidRPr="00376AE6">
              <w:rPr>
                <w:b/>
                <w:color w:val="000000"/>
                <w:kern w:val="24"/>
                <w:sz w:val="18"/>
                <w:szCs w:val="18"/>
              </w:rPr>
              <w:t xml:space="preserve">± </w:t>
            </w:r>
          </w:p>
        </w:tc>
        <w:tc>
          <w:tcPr>
            <w:tcW w:w="774"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textAlignment w:val="bottom"/>
              <w:rPr>
                <w:b/>
                <w:sz w:val="18"/>
                <w:szCs w:val="18"/>
              </w:rPr>
            </w:pPr>
            <w:r w:rsidRPr="00376AE6">
              <w:rPr>
                <w:b/>
                <w:color w:val="000000"/>
                <w:kern w:val="24"/>
                <w:sz w:val="18"/>
                <w:szCs w:val="18"/>
              </w:rPr>
              <w:t>0.007*</w:t>
            </w:r>
          </w:p>
        </w:tc>
        <w:tc>
          <w:tcPr>
            <w:tcW w:w="105"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rPr>
                <w:b/>
                <w:sz w:val="18"/>
                <w:szCs w:val="18"/>
              </w:rPr>
            </w:pPr>
          </w:p>
        </w:tc>
        <w:tc>
          <w:tcPr>
            <w:tcW w:w="416"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jc w:val="right"/>
              <w:textAlignment w:val="bottom"/>
              <w:rPr>
                <w:b/>
                <w:sz w:val="18"/>
                <w:szCs w:val="18"/>
              </w:rPr>
            </w:pPr>
            <w:r w:rsidRPr="00376AE6">
              <w:rPr>
                <w:b/>
                <w:color w:val="000000"/>
                <w:kern w:val="24"/>
                <w:sz w:val="18"/>
                <w:szCs w:val="18"/>
              </w:rPr>
              <w:t xml:space="preserve">0.182 </w:t>
            </w:r>
          </w:p>
        </w:tc>
        <w:tc>
          <w:tcPr>
            <w:tcW w:w="146" w:type="dxa"/>
            <w:tcBorders>
              <w:top w:val="nil"/>
              <w:left w:val="nil"/>
              <w:bottom w:val="nil"/>
              <w:right w:val="nil"/>
            </w:tcBorders>
            <w:tcMar>
              <w:top w:w="7" w:type="dxa"/>
              <w:left w:w="7" w:type="dxa"/>
              <w:bottom w:w="0" w:type="dxa"/>
              <w:right w:w="7" w:type="dxa"/>
            </w:tcMar>
            <w:vAlign w:val="center"/>
          </w:tcPr>
          <w:p w:rsidR="00DC207C" w:rsidRPr="00376AE6" w:rsidRDefault="00DC207C" w:rsidP="008D176A">
            <w:pPr>
              <w:jc w:val="center"/>
              <w:textAlignment w:val="bottom"/>
              <w:rPr>
                <w:b/>
                <w:sz w:val="18"/>
                <w:szCs w:val="18"/>
              </w:rPr>
            </w:pPr>
            <w:r w:rsidRPr="00376AE6">
              <w:rPr>
                <w:b/>
                <w:color w:val="000000"/>
                <w:kern w:val="24"/>
                <w:sz w:val="18"/>
                <w:szCs w:val="18"/>
              </w:rPr>
              <w:t xml:space="preserve">± </w:t>
            </w:r>
          </w:p>
        </w:tc>
        <w:tc>
          <w:tcPr>
            <w:tcW w:w="738"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textAlignment w:val="bottom"/>
              <w:rPr>
                <w:b/>
                <w:sz w:val="18"/>
                <w:szCs w:val="18"/>
              </w:rPr>
            </w:pPr>
            <w:r w:rsidRPr="00376AE6">
              <w:rPr>
                <w:b/>
                <w:color w:val="000000"/>
                <w:kern w:val="24"/>
                <w:sz w:val="18"/>
                <w:szCs w:val="18"/>
              </w:rPr>
              <w:t>0.004*</w:t>
            </w:r>
          </w:p>
        </w:tc>
        <w:tc>
          <w:tcPr>
            <w:tcW w:w="498"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jc w:val="right"/>
              <w:textAlignment w:val="bottom"/>
              <w:rPr>
                <w:b/>
                <w:sz w:val="18"/>
                <w:szCs w:val="18"/>
              </w:rPr>
            </w:pPr>
            <w:r w:rsidRPr="00376AE6">
              <w:rPr>
                <w:b/>
                <w:color w:val="000000"/>
                <w:kern w:val="24"/>
                <w:sz w:val="18"/>
                <w:szCs w:val="18"/>
              </w:rPr>
              <w:t xml:space="preserve">0.200 </w:t>
            </w:r>
          </w:p>
        </w:tc>
        <w:tc>
          <w:tcPr>
            <w:tcW w:w="183" w:type="dxa"/>
            <w:tcBorders>
              <w:top w:val="nil"/>
              <w:left w:val="nil"/>
              <w:bottom w:val="nil"/>
              <w:right w:val="nil"/>
            </w:tcBorders>
            <w:tcMar>
              <w:top w:w="7" w:type="dxa"/>
              <w:left w:w="7" w:type="dxa"/>
              <w:bottom w:w="0" w:type="dxa"/>
              <w:right w:w="7" w:type="dxa"/>
            </w:tcMar>
            <w:vAlign w:val="center"/>
          </w:tcPr>
          <w:p w:rsidR="00DC207C" w:rsidRPr="00376AE6" w:rsidRDefault="00DC207C" w:rsidP="008D176A">
            <w:pPr>
              <w:jc w:val="center"/>
              <w:textAlignment w:val="bottom"/>
              <w:rPr>
                <w:b/>
                <w:sz w:val="18"/>
                <w:szCs w:val="18"/>
              </w:rPr>
            </w:pPr>
            <w:r w:rsidRPr="00376AE6">
              <w:rPr>
                <w:b/>
                <w:color w:val="000000"/>
                <w:kern w:val="24"/>
                <w:sz w:val="18"/>
                <w:szCs w:val="18"/>
              </w:rPr>
              <w:t xml:space="preserve">± </w:t>
            </w:r>
          </w:p>
        </w:tc>
        <w:tc>
          <w:tcPr>
            <w:tcW w:w="719"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textAlignment w:val="bottom"/>
              <w:rPr>
                <w:b/>
                <w:sz w:val="18"/>
                <w:szCs w:val="18"/>
              </w:rPr>
            </w:pPr>
            <w:r w:rsidRPr="00376AE6">
              <w:rPr>
                <w:b/>
                <w:color w:val="000000"/>
                <w:kern w:val="24"/>
                <w:sz w:val="18"/>
                <w:szCs w:val="18"/>
              </w:rPr>
              <w:t>0.003*</w:t>
            </w:r>
          </w:p>
        </w:tc>
        <w:tc>
          <w:tcPr>
            <w:tcW w:w="416"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jc w:val="right"/>
              <w:textAlignment w:val="bottom"/>
              <w:rPr>
                <w:b/>
                <w:sz w:val="18"/>
                <w:szCs w:val="18"/>
              </w:rPr>
            </w:pPr>
            <w:r w:rsidRPr="00376AE6">
              <w:rPr>
                <w:b/>
                <w:color w:val="000000"/>
                <w:kern w:val="24"/>
                <w:sz w:val="18"/>
                <w:szCs w:val="18"/>
              </w:rPr>
              <w:t xml:space="preserve">0.382 </w:t>
            </w:r>
          </w:p>
        </w:tc>
        <w:tc>
          <w:tcPr>
            <w:tcW w:w="171" w:type="dxa"/>
            <w:tcBorders>
              <w:top w:val="nil"/>
              <w:left w:val="nil"/>
              <w:bottom w:val="nil"/>
              <w:right w:val="nil"/>
            </w:tcBorders>
            <w:tcMar>
              <w:top w:w="7" w:type="dxa"/>
              <w:left w:w="7" w:type="dxa"/>
              <w:bottom w:w="0" w:type="dxa"/>
              <w:right w:w="7" w:type="dxa"/>
            </w:tcMar>
            <w:vAlign w:val="center"/>
          </w:tcPr>
          <w:p w:rsidR="00DC207C" w:rsidRPr="00376AE6" w:rsidRDefault="00DC207C" w:rsidP="008D176A">
            <w:pPr>
              <w:jc w:val="center"/>
              <w:textAlignment w:val="bottom"/>
              <w:rPr>
                <w:b/>
                <w:sz w:val="18"/>
                <w:szCs w:val="18"/>
              </w:rPr>
            </w:pPr>
            <w:r w:rsidRPr="00376AE6">
              <w:rPr>
                <w:b/>
                <w:color w:val="000000"/>
                <w:kern w:val="24"/>
                <w:sz w:val="18"/>
                <w:szCs w:val="18"/>
              </w:rPr>
              <w:t xml:space="preserve">± </w:t>
            </w:r>
          </w:p>
        </w:tc>
        <w:tc>
          <w:tcPr>
            <w:tcW w:w="614"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textAlignment w:val="bottom"/>
              <w:rPr>
                <w:b/>
                <w:sz w:val="18"/>
                <w:szCs w:val="18"/>
              </w:rPr>
            </w:pPr>
            <w:r w:rsidRPr="00376AE6">
              <w:rPr>
                <w:b/>
                <w:color w:val="000000"/>
                <w:kern w:val="24"/>
                <w:sz w:val="18"/>
                <w:szCs w:val="18"/>
              </w:rPr>
              <w:t>0.006*</w:t>
            </w:r>
          </w:p>
        </w:tc>
      </w:tr>
      <w:tr w:rsidR="00DC207C" w:rsidRPr="00123353" w:rsidTr="00376AE6">
        <w:trPr>
          <w:trHeight w:val="288"/>
          <w:jc w:val="center"/>
        </w:trPr>
        <w:tc>
          <w:tcPr>
            <w:tcW w:w="497" w:type="dxa"/>
            <w:tcBorders>
              <w:top w:val="nil"/>
              <w:left w:val="nil"/>
              <w:bottom w:val="nil"/>
              <w:right w:val="nil"/>
            </w:tcBorders>
            <w:tcMar>
              <w:top w:w="8" w:type="dxa"/>
              <w:left w:w="8" w:type="dxa"/>
              <w:bottom w:w="0" w:type="dxa"/>
              <w:right w:w="8" w:type="dxa"/>
            </w:tcMar>
            <w:vAlign w:val="center"/>
          </w:tcPr>
          <w:p w:rsidR="00DC207C" w:rsidRPr="00123353" w:rsidRDefault="00DC207C" w:rsidP="008D176A">
            <w:pPr>
              <w:rPr>
                <w:sz w:val="20"/>
                <w:szCs w:val="18"/>
              </w:rPr>
            </w:pPr>
          </w:p>
        </w:tc>
        <w:tc>
          <w:tcPr>
            <w:tcW w:w="1140" w:type="dxa"/>
            <w:gridSpan w:val="2"/>
            <w:tcBorders>
              <w:top w:val="nil"/>
              <w:left w:val="nil"/>
              <w:bottom w:val="nil"/>
              <w:right w:val="nil"/>
            </w:tcBorders>
            <w:tcMar>
              <w:top w:w="8" w:type="dxa"/>
              <w:left w:w="8" w:type="dxa"/>
              <w:bottom w:w="0" w:type="dxa"/>
              <w:right w:w="8" w:type="dxa"/>
            </w:tcMar>
            <w:vAlign w:val="center"/>
          </w:tcPr>
          <w:p w:rsidR="00DC207C" w:rsidRPr="00C918EF" w:rsidRDefault="00DC207C" w:rsidP="00C918EF">
            <w:pPr>
              <w:jc w:val="center"/>
              <w:rPr>
                <w:sz w:val="18"/>
                <w:szCs w:val="18"/>
              </w:rPr>
            </w:pPr>
          </w:p>
        </w:tc>
        <w:tc>
          <w:tcPr>
            <w:tcW w:w="416"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rPr>
                <w:sz w:val="18"/>
                <w:szCs w:val="18"/>
              </w:rPr>
            </w:pPr>
          </w:p>
        </w:tc>
        <w:tc>
          <w:tcPr>
            <w:tcW w:w="137" w:type="dxa"/>
            <w:tcBorders>
              <w:top w:val="nil"/>
              <w:left w:val="nil"/>
              <w:bottom w:val="nil"/>
              <w:right w:val="nil"/>
            </w:tcBorders>
            <w:tcMar>
              <w:top w:w="7" w:type="dxa"/>
              <w:left w:w="7" w:type="dxa"/>
              <w:bottom w:w="0" w:type="dxa"/>
              <w:right w:w="7" w:type="dxa"/>
            </w:tcMar>
            <w:vAlign w:val="center"/>
          </w:tcPr>
          <w:p w:rsidR="00DC207C" w:rsidRPr="00376AE6" w:rsidRDefault="00DC207C" w:rsidP="008D176A">
            <w:pPr>
              <w:rPr>
                <w:sz w:val="18"/>
                <w:szCs w:val="18"/>
              </w:rPr>
            </w:pPr>
          </w:p>
        </w:tc>
        <w:tc>
          <w:tcPr>
            <w:tcW w:w="745"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rPr>
                <w:sz w:val="18"/>
                <w:szCs w:val="18"/>
              </w:rPr>
            </w:pPr>
          </w:p>
        </w:tc>
        <w:tc>
          <w:tcPr>
            <w:tcW w:w="416" w:type="dxa"/>
            <w:gridSpan w:val="2"/>
            <w:tcBorders>
              <w:top w:val="nil"/>
              <w:left w:val="nil"/>
              <w:bottom w:val="nil"/>
              <w:right w:val="nil"/>
            </w:tcBorders>
            <w:tcMar>
              <w:top w:w="11" w:type="dxa"/>
              <w:left w:w="11" w:type="dxa"/>
              <w:bottom w:w="0" w:type="dxa"/>
              <w:right w:w="11" w:type="dxa"/>
            </w:tcMar>
            <w:vAlign w:val="center"/>
          </w:tcPr>
          <w:p w:rsidR="00DC207C" w:rsidRPr="00376AE6" w:rsidRDefault="00DC207C" w:rsidP="008D176A">
            <w:pPr>
              <w:rPr>
                <w:b/>
                <w:sz w:val="18"/>
                <w:szCs w:val="18"/>
              </w:rPr>
            </w:pPr>
          </w:p>
        </w:tc>
        <w:tc>
          <w:tcPr>
            <w:tcW w:w="151" w:type="dxa"/>
            <w:tcBorders>
              <w:top w:val="nil"/>
              <w:left w:val="nil"/>
              <w:bottom w:val="nil"/>
              <w:right w:val="nil"/>
            </w:tcBorders>
            <w:tcMar>
              <w:top w:w="7" w:type="dxa"/>
              <w:left w:w="7" w:type="dxa"/>
              <w:bottom w:w="0" w:type="dxa"/>
              <w:right w:w="7" w:type="dxa"/>
            </w:tcMar>
            <w:vAlign w:val="center"/>
          </w:tcPr>
          <w:p w:rsidR="00DC207C" w:rsidRPr="00376AE6" w:rsidRDefault="00DC207C" w:rsidP="008D176A">
            <w:pPr>
              <w:rPr>
                <w:b/>
                <w:sz w:val="18"/>
                <w:szCs w:val="18"/>
              </w:rPr>
            </w:pPr>
          </w:p>
        </w:tc>
        <w:tc>
          <w:tcPr>
            <w:tcW w:w="877"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rPr>
                <w:b/>
                <w:sz w:val="18"/>
                <w:szCs w:val="18"/>
              </w:rPr>
            </w:pPr>
          </w:p>
        </w:tc>
        <w:tc>
          <w:tcPr>
            <w:tcW w:w="417" w:type="dxa"/>
            <w:gridSpan w:val="2"/>
            <w:tcBorders>
              <w:top w:val="nil"/>
              <w:left w:val="nil"/>
              <w:bottom w:val="nil"/>
              <w:right w:val="nil"/>
            </w:tcBorders>
            <w:tcMar>
              <w:top w:w="11" w:type="dxa"/>
              <w:left w:w="11" w:type="dxa"/>
              <w:bottom w:w="0" w:type="dxa"/>
              <w:right w:w="11" w:type="dxa"/>
            </w:tcMar>
            <w:vAlign w:val="center"/>
          </w:tcPr>
          <w:p w:rsidR="00DC207C" w:rsidRPr="00376AE6" w:rsidRDefault="00DC207C" w:rsidP="008D176A">
            <w:pPr>
              <w:rPr>
                <w:b/>
                <w:sz w:val="18"/>
                <w:szCs w:val="18"/>
              </w:rPr>
            </w:pPr>
          </w:p>
        </w:tc>
        <w:tc>
          <w:tcPr>
            <w:tcW w:w="161" w:type="dxa"/>
            <w:tcBorders>
              <w:top w:val="nil"/>
              <w:left w:val="nil"/>
              <w:bottom w:val="nil"/>
              <w:right w:val="nil"/>
            </w:tcBorders>
            <w:tcMar>
              <w:top w:w="7" w:type="dxa"/>
              <w:left w:w="7" w:type="dxa"/>
              <w:bottom w:w="0" w:type="dxa"/>
              <w:right w:w="7" w:type="dxa"/>
            </w:tcMar>
            <w:vAlign w:val="center"/>
          </w:tcPr>
          <w:p w:rsidR="00DC207C" w:rsidRPr="00376AE6" w:rsidRDefault="00DC207C" w:rsidP="008D176A">
            <w:pPr>
              <w:rPr>
                <w:b/>
                <w:sz w:val="18"/>
                <w:szCs w:val="18"/>
              </w:rPr>
            </w:pPr>
          </w:p>
        </w:tc>
        <w:tc>
          <w:tcPr>
            <w:tcW w:w="774"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rPr>
                <w:b/>
                <w:sz w:val="18"/>
                <w:szCs w:val="18"/>
              </w:rPr>
            </w:pPr>
          </w:p>
        </w:tc>
        <w:tc>
          <w:tcPr>
            <w:tcW w:w="105"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rPr>
                <w:b/>
                <w:sz w:val="18"/>
                <w:szCs w:val="18"/>
              </w:rPr>
            </w:pPr>
          </w:p>
        </w:tc>
        <w:tc>
          <w:tcPr>
            <w:tcW w:w="416"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rPr>
                <w:b/>
                <w:sz w:val="18"/>
                <w:szCs w:val="18"/>
              </w:rPr>
            </w:pPr>
          </w:p>
        </w:tc>
        <w:tc>
          <w:tcPr>
            <w:tcW w:w="146" w:type="dxa"/>
            <w:tcBorders>
              <w:top w:val="nil"/>
              <w:left w:val="nil"/>
              <w:bottom w:val="nil"/>
              <w:right w:val="nil"/>
            </w:tcBorders>
            <w:tcMar>
              <w:top w:w="7" w:type="dxa"/>
              <w:left w:w="7" w:type="dxa"/>
              <w:bottom w:w="0" w:type="dxa"/>
              <w:right w:w="7" w:type="dxa"/>
            </w:tcMar>
            <w:vAlign w:val="center"/>
          </w:tcPr>
          <w:p w:rsidR="00DC207C" w:rsidRPr="00376AE6" w:rsidRDefault="00DC207C" w:rsidP="008D176A">
            <w:pPr>
              <w:rPr>
                <w:b/>
                <w:sz w:val="18"/>
                <w:szCs w:val="18"/>
              </w:rPr>
            </w:pPr>
          </w:p>
        </w:tc>
        <w:tc>
          <w:tcPr>
            <w:tcW w:w="738"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rPr>
                <w:b/>
                <w:sz w:val="18"/>
                <w:szCs w:val="18"/>
              </w:rPr>
            </w:pPr>
          </w:p>
        </w:tc>
        <w:tc>
          <w:tcPr>
            <w:tcW w:w="498"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rPr>
                <w:b/>
                <w:sz w:val="18"/>
                <w:szCs w:val="18"/>
              </w:rPr>
            </w:pPr>
          </w:p>
        </w:tc>
        <w:tc>
          <w:tcPr>
            <w:tcW w:w="183" w:type="dxa"/>
            <w:tcBorders>
              <w:top w:val="nil"/>
              <w:left w:val="nil"/>
              <w:bottom w:val="nil"/>
              <w:right w:val="nil"/>
            </w:tcBorders>
            <w:tcMar>
              <w:top w:w="7" w:type="dxa"/>
              <w:left w:w="7" w:type="dxa"/>
              <w:bottom w:w="0" w:type="dxa"/>
              <w:right w:w="7" w:type="dxa"/>
            </w:tcMar>
            <w:vAlign w:val="center"/>
          </w:tcPr>
          <w:p w:rsidR="00DC207C" w:rsidRPr="00376AE6" w:rsidRDefault="00DC207C" w:rsidP="008D176A">
            <w:pPr>
              <w:rPr>
                <w:b/>
                <w:sz w:val="18"/>
                <w:szCs w:val="18"/>
              </w:rPr>
            </w:pPr>
          </w:p>
        </w:tc>
        <w:tc>
          <w:tcPr>
            <w:tcW w:w="719"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rPr>
                <w:b/>
                <w:sz w:val="18"/>
                <w:szCs w:val="18"/>
              </w:rPr>
            </w:pPr>
          </w:p>
        </w:tc>
        <w:tc>
          <w:tcPr>
            <w:tcW w:w="416"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rPr>
                <w:b/>
                <w:sz w:val="18"/>
                <w:szCs w:val="18"/>
              </w:rPr>
            </w:pPr>
          </w:p>
        </w:tc>
        <w:tc>
          <w:tcPr>
            <w:tcW w:w="171" w:type="dxa"/>
            <w:tcBorders>
              <w:top w:val="nil"/>
              <w:left w:val="nil"/>
              <w:bottom w:val="nil"/>
              <w:right w:val="nil"/>
            </w:tcBorders>
            <w:tcMar>
              <w:top w:w="7" w:type="dxa"/>
              <w:left w:w="7" w:type="dxa"/>
              <w:bottom w:w="0" w:type="dxa"/>
              <w:right w:w="7" w:type="dxa"/>
            </w:tcMar>
            <w:vAlign w:val="center"/>
          </w:tcPr>
          <w:p w:rsidR="00DC207C" w:rsidRPr="00376AE6" w:rsidRDefault="00DC207C" w:rsidP="008D176A">
            <w:pPr>
              <w:rPr>
                <w:b/>
                <w:sz w:val="18"/>
                <w:szCs w:val="18"/>
              </w:rPr>
            </w:pPr>
          </w:p>
        </w:tc>
        <w:tc>
          <w:tcPr>
            <w:tcW w:w="614"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rPr>
                <w:b/>
                <w:sz w:val="18"/>
                <w:szCs w:val="18"/>
              </w:rPr>
            </w:pPr>
          </w:p>
        </w:tc>
      </w:tr>
      <w:tr w:rsidR="00DC207C" w:rsidRPr="00123353" w:rsidTr="00376AE6">
        <w:trPr>
          <w:trHeight w:val="288"/>
          <w:jc w:val="center"/>
        </w:trPr>
        <w:tc>
          <w:tcPr>
            <w:tcW w:w="497" w:type="dxa"/>
            <w:tcBorders>
              <w:top w:val="nil"/>
              <w:left w:val="nil"/>
              <w:bottom w:val="nil"/>
              <w:right w:val="nil"/>
            </w:tcBorders>
            <w:tcMar>
              <w:top w:w="8" w:type="dxa"/>
              <w:left w:w="8" w:type="dxa"/>
              <w:bottom w:w="0" w:type="dxa"/>
              <w:right w:w="8" w:type="dxa"/>
            </w:tcMar>
            <w:vAlign w:val="center"/>
          </w:tcPr>
          <w:p w:rsidR="00DC207C" w:rsidRPr="00123353" w:rsidRDefault="00DC207C" w:rsidP="008D176A">
            <w:pPr>
              <w:rPr>
                <w:sz w:val="20"/>
                <w:szCs w:val="18"/>
              </w:rPr>
            </w:pPr>
          </w:p>
        </w:tc>
        <w:tc>
          <w:tcPr>
            <w:tcW w:w="1140" w:type="dxa"/>
            <w:gridSpan w:val="2"/>
            <w:tcBorders>
              <w:top w:val="nil"/>
              <w:left w:val="nil"/>
              <w:bottom w:val="nil"/>
              <w:right w:val="nil"/>
            </w:tcBorders>
            <w:tcMar>
              <w:top w:w="8" w:type="dxa"/>
              <w:left w:w="8" w:type="dxa"/>
              <w:bottom w:w="0" w:type="dxa"/>
              <w:right w:w="8" w:type="dxa"/>
            </w:tcMar>
            <w:vAlign w:val="center"/>
          </w:tcPr>
          <w:p w:rsidR="00DC207C" w:rsidRPr="00C918EF" w:rsidRDefault="00DC207C" w:rsidP="00C918EF">
            <w:pPr>
              <w:jc w:val="center"/>
              <w:textAlignment w:val="center"/>
              <w:rPr>
                <w:sz w:val="18"/>
                <w:szCs w:val="18"/>
              </w:rPr>
            </w:pPr>
            <w:r w:rsidRPr="00C918EF">
              <w:rPr>
                <w:color w:val="000000"/>
                <w:kern w:val="24"/>
                <w:sz w:val="18"/>
                <w:szCs w:val="18"/>
              </w:rPr>
              <w:t>Control</w:t>
            </w:r>
          </w:p>
        </w:tc>
        <w:tc>
          <w:tcPr>
            <w:tcW w:w="416"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jc w:val="right"/>
              <w:textAlignment w:val="bottom"/>
              <w:rPr>
                <w:b/>
                <w:sz w:val="18"/>
                <w:szCs w:val="18"/>
              </w:rPr>
            </w:pPr>
            <w:r w:rsidRPr="00376AE6">
              <w:rPr>
                <w:b/>
                <w:color w:val="000000"/>
                <w:kern w:val="24"/>
                <w:sz w:val="18"/>
                <w:szCs w:val="18"/>
              </w:rPr>
              <w:t xml:space="preserve">0.147 </w:t>
            </w:r>
          </w:p>
        </w:tc>
        <w:tc>
          <w:tcPr>
            <w:tcW w:w="137" w:type="dxa"/>
            <w:tcBorders>
              <w:top w:val="nil"/>
              <w:left w:val="nil"/>
              <w:bottom w:val="nil"/>
              <w:right w:val="nil"/>
            </w:tcBorders>
            <w:tcMar>
              <w:top w:w="7" w:type="dxa"/>
              <w:left w:w="7" w:type="dxa"/>
              <w:bottom w:w="0" w:type="dxa"/>
              <w:right w:w="7" w:type="dxa"/>
            </w:tcMar>
            <w:vAlign w:val="center"/>
          </w:tcPr>
          <w:p w:rsidR="00DC207C" w:rsidRPr="00376AE6" w:rsidRDefault="00DC207C" w:rsidP="008D176A">
            <w:pPr>
              <w:jc w:val="center"/>
              <w:textAlignment w:val="bottom"/>
              <w:rPr>
                <w:b/>
                <w:sz w:val="18"/>
                <w:szCs w:val="18"/>
              </w:rPr>
            </w:pPr>
            <w:r w:rsidRPr="00376AE6">
              <w:rPr>
                <w:b/>
                <w:color w:val="000000"/>
                <w:kern w:val="24"/>
                <w:sz w:val="18"/>
                <w:szCs w:val="18"/>
              </w:rPr>
              <w:t xml:space="preserve">± </w:t>
            </w:r>
          </w:p>
        </w:tc>
        <w:tc>
          <w:tcPr>
            <w:tcW w:w="745"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textAlignment w:val="bottom"/>
              <w:rPr>
                <w:b/>
                <w:sz w:val="18"/>
                <w:szCs w:val="18"/>
              </w:rPr>
            </w:pPr>
            <w:r w:rsidRPr="00376AE6">
              <w:rPr>
                <w:b/>
                <w:color w:val="000000"/>
                <w:kern w:val="24"/>
                <w:sz w:val="18"/>
                <w:szCs w:val="18"/>
              </w:rPr>
              <w:t>0.005</w:t>
            </w:r>
          </w:p>
        </w:tc>
        <w:tc>
          <w:tcPr>
            <w:tcW w:w="416" w:type="dxa"/>
            <w:gridSpan w:val="2"/>
            <w:tcBorders>
              <w:top w:val="nil"/>
              <w:left w:val="nil"/>
              <w:bottom w:val="nil"/>
              <w:right w:val="nil"/>
            </w:tcBorders>
            <w:tcMar>
              <w:top w:w="11" w:type="dxa"/>
              <w:left w:w="11" w:type="dxa"/>
              <w:bottom w:w="0" w:type="dxa"/>
              <w:right w:w="11" w:type="dxa"/>
            </w:tcMar>
            <w:vAlign w:val="center"/>
          </w:tcPr>
          <w:p w:rsidR="00DC207C" w:rsidRPr="00376AE6" w:rsidRDefault="00DC207C" w:rsidP="008D176A">
            <w:pPr>
              <w:jc w:val="right"/>
              <w:textAlignment w:val="bottom"/>
              <w:rPr>
                <w:b/>
                <w:sz w:val="18"/>
                <w:szCs w:val="18"/>
              </w:rPr>
            </w:pPr>
            <w:r w:rsidRPr="00376AE6">
              <w:rPr>
                <w:b/>
                <w:color w:val="000000"/>
                <w:kern w:val="24"/>
                <w:sz w:val="18"/>
                <w:szCs w:val="18"/>
              </w:rPr>
              <w:t xml:space="preserve">0.157 </w:t>
            </w:r>
          </w:p>
        </w:tc>
        <w:tc>
          <w:tcPr>
            <w:tcW w:w="151" w:type="dxa"/>
            <w:tcBorders>
              <w:top w:val="nil"/>
              <w:left w:val="nil"/>
              <w:bottom w:val="nil"/>
              <w:right w:val="nil"/>
            </w:tcBorders>
            <w:tcMar>
              <w:top w:w="7" w:type="dxa"/>
              <w:left w:w="7" w:type="dxa"/>
              <w:bottom w:w="0" w:type="dxa"/>
              <w:right w:w="7" w:type="dxa"/>
            </w:tcMar>
            <w:vAlign w:val="center"/>
          </w:tcPr>
          <w:p w:rsidR="00DC207C" w:rsidRPr="00376AE6" w:rsidRDefault="00DC207C" w:rsidP="008D176A">
            <w:pPr>
              <w:jc w:val="center"/>
              <w:textAlignment w:val="bottom"/>
              <w:rPr>
                <w:b/>
                <w:sz w:val="18"/>
                <w:szCs w:val="18"/>
              </w:rPr>
            </w:pPr>
            <w:r w:rsidRPr="00376AE6">
              <w:rPr>
                <w:b/>
                <w:color w:val="000000"/>
                <w:kern w:val="24"/>
                <w:sz w:val="18"/>
                <w:szCs w:val="18"/>
              </w:rPr>
              <w:t xml:space="preserve">± </w:t>
            </w:r>
          </w:p>
        </w:tc>
        <w:tc>
          <w:tcPr>
            <w:tcW w:w="877"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textAlignment w:val="bottom"/>
              <w:rPr>
                <w:b/>
                <w:sz w:val="18"/>
                <w:szCs w:val="18"/>
              </w:rPr>
            </w:pPr>
            <w:r w:rsidRPr="00376AE6">
              <w:rPr>
                <w:b/>
                <w:color w:val="000000"/>
                <w:kern w:val="24"/>
                <w:sz w:val="18"/>
                <w:szCs w:val="18"/>
              </w:rPr>
              <w:t xml:space="preserve">0.003 </w:t>
            </w:r>
          </w:p>
        </w:tc>
        <w:tc>
          <w:tcPr>
            <w:tcW w:w="417" w:type="dxa"/>
            <w:gridSpan w:val="2"/>
            <w:tcBorders>
              <w:top w:val="nil"/>
              <w:left w:val="nil"/>
              <w:bottom w:val="nil"/>
              <w:right w:val="nil"/>
            </w:tcBorders>
            <w:tcMar>
              <w:top w:w="11" w:type="dxa"/>
              <w:left w:w="11" w:type="dxa"/>
              <w:bottom w:w="0" w:type="dxa"/>
              <w:right w:w="11" w:type="dxa"/>
            </w:tcMar>
            <w:vAlign w:val="center"/>
          </w:tcPr>
          <w:p w:rsidR="00DC207C" w:rsidRPr="00376AE6" w:rsidRDefault="00DC207C" w:rsidP="008D176A">
            <w:pPr>
              <w:jc w:val="right"/>
              <w:textAlignment w:val="bottom"/>
              <w:rPr>
                <w:b/>
                <w:sz w:val="18"/>
                <w:szCs w:val="18"/>
              </w:rPr>
            </w:pPr>
            <w:r w:rsidRPr="00376AE6">
              <w:rPr>
                <w:b/>
                <w:color w:val="000000"/>
                <w:kern w:val="24"/>
                <w:sz w:val="18"/>
                <w:szCs w:val="18"/>
              </w:rPr>
              <w:t xml:space="preserve">0.304 </w:t>
            </w:r>
          </w:p>
        </w:tc>
        <w:tc>
          <w:tcPr>
            <w:tcW w:w="161" w:type="dxa"/>
            <w:tcBorders>
              <w:top w:val="nil"/>
              <w:left w:val="nil"/>
              <w:bottom w:val="nil"/>
              <w:right w:val="nil"/>
            </w:tcBorders>
            <w:tcMar>
              <w:top w:w="7" w:type="dxa"/>
              <w:left w:w="7" w:type="dxa"/>
              <w:bottom w:w="0" w:type="dxa"/>
              <w:right w:w="7" w:type="dxa"/>
            </w:tcMar>
            <w:vAlign w:val="center"/>
          </w:tcPr>
          <w:p w:rsidR="00DC207C" w:rsidRPr="00376AE6" w:rsidRDefault="00DC207C" w:rsidP="008D176A">
            <w:pPr>
              <w:jc w:val="center"/>
              <w:textAlignment w:val="bottom"/>
              <w:rPr>
                <w:b/>
                <w:sz w:val="18"/>
                <w:szCs w:val="18"/>
              </w:rPr>
            </w:pPr>
            <w:r w:rsidRPr="00376AE6">
              <w:rPr>
                <w:b/>
                <w:color w:val="000000"/>
                <w:kern w:val="24"/>
                <w:sz w:val="18"/>
                <w:szCs w:val="18"/>
              </w:rPr>
              <w:t xml:space="preserve">± </w:t>
            </w:r>
          </w:p>
        </w:tc>
        <w:tc>
          <w:tcPr>
            <w:tcW w:w="774"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textAlignment w:val="bottom"/>
              <w:rPr>
                <w:b/>
                <w:sz w:val="18"/>
                <w:szCs w:val="18"/>
              </w:rPr>
            </w:pPr>
            <w:r w:rsidRPr="00376AE6">
              <w:rPr>
                <w:b/>
                <w:color w:val="000000"/>
                <w:kern w:val="24"/>
                <w:sz w:val="18"/>
                <w:szCs w:val="18"/>
              </w:rPr>
              <w:t>0.006</w:t>
            </w:r>
          </w:p>
        </w:tc>
        <w:tc>
          <w:tcPr>
            <w:tcW w:w="105"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rPr>
                <w:b/>
                <w:sz w:val="18"/>
                <w:szCs w:val="18"/>
              </w:rPr>
            </w:pPr>
          </w:p>
        </w:tc>
        <w:tc>
          <w:tcPr>
            <w:tcW w:w="416"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jc w:val="right"/>
              <w:textAlignment w:val="bottom"/>
              <w:rPr>
                <w:b/>
                <w:sz w:val="18"/>
                <w:szCs w:val="18"/>
              </w:rPr>
            </w:pPr>
            <w:r w:rsidRPr="00376AE6">
              <w:rPr>
                <w:b/>
                <w:color w:val="000000"/>
                <w:kern w:val="24"/>
                <w:sz w:val="18"/>
                <w:szCs w:val="18"/>
              </w:rPr>
              <w:t xml:space="preserve">0.132 </w:t>
            </w:r>
          </w:p>
        </w:tc>
        <w:tc>
          <w:tcPr>
            <w:tcW w:w="146" w:type="dxa"/>
            <w:tcBorders>
              <w:top w:val="nil"/>
              <w:left w:val="nil"/>
              <w:bottom w:val="nil"/>
              <w:right w:val="nil"/>
            </w:tcBorders>
            <w:tcMar>
              <w:top w:w="7" w:type="dxa"/>
              <w:left w:w="7" w:type="dxa"/>
              <w:bottom w:w="0" w:type="dxa"/>
              <w:right w:w="7" w:type="dxa"/>
            </w:tcMar>
            <w:vAlign w:val="center"/>
          </w:tcPr>
          <w:p w:rsidR="00DC207C" w:rsidRPr="00376AE6" w:rsidRDefault="00DC207C" w:rsidP="008D176A">
            <w:pPr>
              <w:jc w:val="center"/>
              <w:textAlignment w:val="bottom"/>
              <w:rPr>
                <w:b/>
                <w:sz w:val="18"/>
                <w:szCs w:val="18"/>
              </w:rPr>
            </w:pPr>
            <w:r w:rsidRPr="00376AE6">
              <w:rPr>
                <w:b/>
                <w:color w:val="000000"/>
                <w:kern w:val="24"/>
                <w:sz w:val="18"/>
                <w:szCs w:val="18"/>
              </w:rPr>
              <w:t xml:space="preserve">± </w:t>
            </w:r>
          </w:p>
        </w:tc>
        <w:tc>
          <w:tcPr>
            <w:tcW w:w="738"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textAlignment w:val="bottom"/>
              <w:rPr>
                <w:b/>
                <w:sz w:val="18"/>
                <w:szCs w:val="18"/>
              </w:rPr>
            </w:pPr>
            <w:r w:rsidRPr="00376AE6">
              <w:rPr>
                <w:b/>
                <w:color w:val="000000"/>
                <w:kern w:val="24"/>
                <w:sz w:val="18"/>
                <w:szCs w:val="18"/>
              </w:rPr>
              <w:t>0.002</w:t>
            </w:r>
          </w:p>
        </w:tc>
        <w:tc>
          <w:tcPr>
            <w:tcW w:w="498"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jc w:val="right"/>
              <w:textAlignment w:val="bottom"/>
              <w:rPr>
                <w:b/>
                <w:sz w:val="18"/>
                <w:szCs w:val="18"/>
              </w:rPr>
            </w:pPr>
            <w:r w:rsidRPr="00376AE6">
              <w:rPr>
                <w:b/>
                <w:color w:val="000000"/>
                <w:kern w:val="24"/>
                <w:sz w:val="18"/>
                <w:szCs w:val="18"/>
              </w:rPr>
              <w:t xml:space="preserve">0.180 </w:t>
            </w:r>
          </w:p>
        </w:tc>
        <w:tc>
          <w:tcPr>
            <w:tcW w:w="183" w:type="dxa"/>
            <w:tcBorders>
              <w:top w:val="nil"/>
              <w:left w:val="nil"/>
              <w:bottom w:val="nil"/>
              <w:right w:val="nil"/>
            </w:tcBorders>
            <w:tcMar>
              <w:top w:w="7" w:type="dxa"/>
              <w:left w:w="7" w:type="dxa"/>
              <w:bottom w:w="0" w:type="dxa"/>
              <w:right w:w="7" w:type="dxa"/>
            </w:tcMar>
            <w:vAlign w:val="center"/>
          </w:tcPr>
          <w:p w:rsidR="00DC207C" w:rsidRPr="00376AE6" w:rsidRDefault="00DC207C" w:rsidP="008D176A">
            <w:pPr>
              <w:jc w:val="center"/>
              <w:textAlignment w:val="bottom"/>
              <w:rPr>
                <w:b/>
                <w:sz w:val="18"/>
                <w:szCs w:val="18"/>
              </w:rPr>
            </w:pPr>
            <w:r w:rsidRPr="00376AE6">
              <w:rPr>
                <w:b/>
                <w:color w:val="000000"/>
                <w:kern w:val="24"/>
                <w:sz w:val="18"/>
                <w:szCs w:val="18"/>
              </w:rPr>
              <w:t xml:space="preserve">± </w:t>
            </w:r>
          </w:p>
        </w:tc>
        <w:tc>
          <w:tcPr>
            <w:tcW w:w="719"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textAlignment w:val="bottom"/>
              <w:rPr>
                <w:b/>
                <w:sz w:val="18"/>
                <w:szCs w:val="18"/>
              </w:rPr>
            </w:pPr>
            <w:r w:rsidRPr="00376AE6">
              <w:rPr>
                <w:b/>
                <w:color w:val="000000"/>
                <w:kern w:val="24"/>
                <w:sz w:val="18"/>
                <w:szCs w:val="18"/>
              </w:rPr>
              <w:t>0.008</w:t>
            </w:r>
          </w:p>
        </w:tc>
        <w:tc>
          <w:tcPr>
            <w:tcW w:w="416"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jc w:val="right"/>
              <w:textAlignment w:val="bottom"/>
              <w:rPr>
                <w:b/>
                <w:sz w:val="18"/>
                <w:szCs w:val="18"/>
              </w:rPr>
            </w:pPr>
            <w:r w:rsidRPr="00376AE6">
              <w:rPr>
                <w:b/>
                <w:color w:val="000000"/>
                <w:kern w:val="24"/>
                <w:sz w:val="18"/>
                <w:szCs w:val="18"/>
              </w:rPr>
              <w:t xml:space="preserve">0.300 </w:t>
            </w:r>
          </w:p>
        </w:tc>
        <w:tc>
          <w:tcPr>
            <w:tcW w:w="171" w:type="dxa"/>
            <w:tcBorders>
              <w:top w:val="nil"/>
              <w:left w:val="nil"/>
              <w:bottom w:val="nil"/>
              <w:right w:val="nil"/>
            </w:tcBorders>
            <w:tcMar>
              <w:top w:w="7" w:type="dxa"/>
              <w:left w:w="7" w:type="dxa"/>
              <w:bottom w:w="0" w:type="dxa"/>
              <w:right w:w="7" w:type="dxa"/>
            </w:tcMar>
            <w:vAlign w:val="center"/>
          </w:tcPr>
          <w:p w:rsidR="00DC207C" w:rsidRPr="00376AE6" w:rsidRDefault="00DC207C" w:rsidP="008D176A">
            <w:pPr>
              <w:jc w:val="center"/>
              <w:textAlignment w:val="bottom"/>
              <w:rPr>
                <w:b/>
                <w:sz w:val="18"/>
                <w:szCs w:val="18"/>
              </w:rPr>
            </w:pPr>
            <w:r w:rsidRPr="00376AE6">
              <w:rPr>
                <w:b/>
                <w:color w:val="000000"/>
                <w:kern w:val="24"/>
                <w:sz w:val="18"/>
                <w:szCs w:val="18"/>
              </w:rPr>
              <w:t xml:space="preserve">± </w:t>
            </w:r>
          </w:p>
        </w:tc>
        <w:tc>
          <w:tcPr>
            <w:tcW w:w="614" w:type="dxa"/>
            <w:tcBorders>
              <w:top w:val="nil"/>
              <w:left w:val="nil"/>
              <w:bottom w:val="nil"/>
              <w:right w:val="nil"/>
            </w:tcBorders>
            <w:tcMar>
              <w:top w:w="11" w:type="dxa"/>
              <w:left w:w="11" w:type="dxa"/>
              <w:bottom w:w="0" w:type="dxa"/>
              <w:right w:w="11" w:type="dxa"/>
            </w:tcMar>
            <w:vAlign w:val="center"/>
          </w:tcPr>
          <w:p w:rsidR="00DC207C" w:rsidRPr="00376AE6" w:rsidRDefault="00DC207C" w:rsidP="008D176A">
            <w:pPr>
              <w:textAlignment w:val="bottom"/>
              <w:rPr>
                <w:b/>
                <w:sz w:val="18"/>
                <w:szCs w:val="18"/>
              </w:rPr>
            </w:pPr>
            <w:r w:rsidRPr="00376AE6">
              <w:rPr>
                <w:b/>
                <w:color w:val="000000"/>
                <w:kern w:val="24"/>
                <w:sz w:val="18"/>
                <w:szCs w:val="18"/>
              </w:rPr>
              <w:t xml:space="preserve">0.006 </w:t>
            </w:r>
          </w:p>
        </w:tc>
      </w:tr>
      <w:tr w:rsidR="00DC207C" w:rsidRPr="00123353" w:rsidTr="00376AE6">
        <w:trPr>
          <w:trHeight w:val="288"/>
          <w:jc w:val="center"/>
        </w:trPr>
        <w:tc>
          <w:tcPr>
            <w:tcW w:w="497" w:type="dxa"/>
            <w:tcBorders>
              <w:top w:val="nil"/>
              <w:left w:val="nil"/>
              <w:bottom w:val="single" w:sz="8" w:space="0" w:color="000000"/>
              <w:right w:val="nil"/>
            </w:tcBorders>
            <w:tcMar>
              <w:top w:w="8" w:type="dxa"/>
              <w:left w:w="8" w:type="dxa"/>
              <w:bottom w:w="0" w:type="dxa"/>
              <w:right w:w="8" w:type="dxa"/>
            </w:tcMar>
            <w:vAlign w:val="center"/>
          </w:tcPr>
          <w:p w:rsidR="00DC207C" w:rsidRPr="00123353" w:rsidRDefault="00DC207C" w:rsidP="008D176A">
            <w:pPr>
              <w:rPr>
                <w:sz w:val="20"/>
                <w:szCs w:val="18"/>
              </w:rPr>
            </w:pPr>
          </w:p>
        </w:tc>
        <w:tc>
          <w:tcPr>
            <w:tcW w:w="1140" w:type="dxa"/>
            <w:gridSpan w:val="2"/>
            <w:tcBorders>
              <w:top w:val="nil"/>
              <w:left w:val="nil"/>
              <w:bottom w:val="single" w:sz="8" w:space="0" w:color="000000"/>
              <w:right w:val="nil"/>
            </w:tcBorders>
            <w:tcMar>
              <w:top w:w="8" w:type="dxa"/>
              <w:left w:w="8" w:type="dxa"/>
              <w:bottom w:w="0" w:type="dxa"/>
              <w:right w:w="8" w:type="dxa"/>
            </w:tcMar>
            <w:vAlign w:val="center"/>
          </w:tcPr>
          <w:p w:rsidR="00DC207C" w:rsidRPr="00C918EF" w:rsidRDefault="00DC207C" w:rsidP="00C918EF">
            <w:pPr>
              <w:jc w:val="center"/>
              <w:textAlignment w:val="center"/>
              <w:rPr>
                <w:sz w:val="18"/>
                <w:szCs w:val="18"/>
              </w:rPr>
            </w:pPr>
            <w:r w:rsidRPr="00C918EF">
              <w:rPr>
                <w:color w:val="000000"/>
                <w:kern w:val="24"/>
                <w:sz w:val="18"/>
                <w:szCs w:val="18"/>
              </w:rPr>
              <w:t>COMT3</w:t>
            </w:r>
          </w:p>
        </w:tc>
        <w:tc>
          <w:tcPr>
            <w:tcW w:w="416" w:type="dxa"/>
            <w:tcBorders>
              <w:top w:val="nil"/>
              <w:left w:val="nil"/>
              <w:bottom w:val="single" w:sz="8" w:space="0" w:color="000000"/>
              <w:right w:val="nil"/>
            </w:tcBorders>
            <w:tcMar>
              <w:top w:w="11" w:type="dxa"/>
              <w:left w:w="11" w:type="dxa"/>
              <w:bottom w:w="0" w:type="dxa"/>
              <w:right w:w="11" w:type="dxa"/>
            </w:tcMar>
            <w:vAlign w:val="center"/>
          </w:tcPr>
          <w:p w:rsidR="00DC207C" w:rsidRPr="00376AE6" w:rsidRDefault="00DC207C" w:rsidP="008D176A">
            <w:pPr>
              <w:jc w:val="right"/>
              <w:textAlignment w:val="bottom"/>
              <w:rPr>
                <w:b/>
                <w:sz w:val="18"/>
                <w:szCs w:val="18"/>
              </w:rPr>
            </w:pPr>
            <w:r w:rsidRPr="00376AE6">
              <w:rPr>
                <w:b/>
                <w:color w:val="000000"/>
                <w:kern w:val="24"/>
                <w:sz w:val="18"/>
                <w:szCs w:val="18"/>
              </w:rPr>
              <w:t xml:space="preserve">0.183 </w:t>
            </w:r>
          </w:p>
        </w:tc>
        <w:tc>
          <w:tcPr>
            <w:tcW w:w="137" w:type="dxa"/>
            <w:tcBorders>
              <w:top w:val="nil"/>
              <w:left w:val="nil"/>
              <w:bottom w:val="single" w:sz="8" w:space="0" w:color="000000"/>
              <w:right w:val="nil"/>
            </w:tcBorders>
            <w:tcMar>
              <w:top w:w="7" w:type="dxa"/>
              <w:left w:w="7" w:type="dxa"/>
              <w:bottom w:w="0" w:type="dxa"/>
              <w:right w:w="7" w:type="dxa"/>
            </w:tcMar>
            <w:vAlign w:val="center"/>
          </w:tcPr>
          <w:p w:rsidR="00DC207C" w:rsidRPr="00376AE6" w:rsidRDefault="00DC207C" w:rsidP="008D176A">
            <w:pPr>
              <w:jc w:val="center"/>
              <w:textAlignment w:val="bottom"/>
              <w:rPr>
                <w:b/>
                <w:sz w:val="18"/>
                <w:szCs w:val="18"/>
              </w:rPr>
            </w:pPr>
            <w:r w:rsidRPr="00376AE6">
              <w:rPr>
                <w:b/>
                <w:color w:val="000000"/>
                <w:kern w:val="24"/>
                <w:sz w:val="18"/>
                <w:szCs w:val="18"/>
              </w:rPr>
              <w:t xml:space="preserve">± </w:t>
            </w:r>
          </w:p>
        </w:tc>
        <w:tc>
          <w:tcPr>
            <w:tcW w:w="745" w:type="dxa"/>
            <w:tcBorders>
              <w:top w:val="nil"/>
              <w:left w:val="nil"/>
              <w:bottom w:val="single" w:sz="8" w:space="0" w:color="000000"/>
              <w:right w:val="nil"/>
            </w:tcBorders>
            <w:tcMar>
              <w:top w:w="11" w:type="dxa"/>
              <w:left w:w="11" w:type="dxa"/>
              <w:bottom w:w="0" w:type="dxa"/>
              <w:right w:w="11" w:type="dxa"/>
            </w:tcMar>
            <w:vAlign w:val="center"/>
          </w:tcPr>
          <w:p w:rsidR="00DC207C" w:rsidRPr="00376AE6" w:rsidRDefault="00DC207C" w:rsidP="008D176A">
            <w:pPr>
              <w:textAlignment w:val="bottom"/>
              <w:rPr>
                <w:b/>
                <w:sz w:val="18"/>
                <w:szCs w:val="18"/>
              </w:rPr>
            </w:pPr>
            <w:r w:rsidRPr="00376AE6">
              <w:rPr>
                <w:b/>
                <w:color w:val="000000"/>
                <w:kern w:val="24"/>
                <w:sz w:val="18"/>
                <w:szCs w:val="18"/>
              </w:rPr>
              <w:t>0.005*</w:t>
            </w:r>
          </w:p>
        </w:tc>
        <w:tc>
          <w:tcPr>
            <w:tcW w:w="416" w:type="dxa"/>
            <w:gridSpan w:val="2"/>
            <w:tcBorders>
              <w:top w:val="nil"/>
              <w:left w:val="nil"/>
              <w:bottom w:val="single" w:sz="8" w:space="0" w:color="000000"/>
              <w:right w:val="nil"/>
            </w:tcBorders>
            <w:tcMar>
              <w:top w:w="11" w:type="dxa"/>
              <w:left w:w="11" w:type="dxa"/>
              <w:bottom w:w="0" w:type="dxa"/>
              <w:right w:w="11" w:type="dxa"/>
            </w:tcMar>
            <w:vAlign w:val="center"/>
          </w:tcPr>
          <w:p w:rsidR="00DC207C" w:rsidRPr="00376AE6" w:rsidRDefault="00DC207C" w:rsidP="008D176A">
            <w:pPr>
              <w:jc w:val="right"/>
              <w:textAlignment w:val="bottom"/>
              <w:rPr>
                <w:b/>
                <w:sz w:val="18"/>
                <w:szCs w:val="18"/>
              </w:rPr>
            </w:pPr>
            <w:r w:rsidRPr="00376AE6">
              <w:rPr>
                <w:b/>
                <w:color w:val="000000"/>
                <w:kern w:val="24"/>
                <w:sz w:val="18"/>
                <w:szCs w:val="18"/>
              </w:rPr>
              <w:t xml:space="preserve">0.177 </w:t>
            </w:r>
          </w:p>
        </w:tc>
        <w:tc>
          <w:tcPr>
            <w:tcW w:w="151" w:type="dxa"/>
            <w:tcBorders>
              <w:top w:val="nil"/>
              <w:left w:val="nil"/>
              <w:bottom w:val="single" w:sz="8" w:space="0" w:color="000000"/>
              <w:right w:val="nil"/>
            </w:tcBorders>
            <w:tcMar>
              <w:top w:w="7" w:type="dxa"/>
              <w:left w:w="7" w:type="dxa"/>
              <w:bottom w:w="0" w:type="dxa"/>
              <w:right w:w="7" w:type="dxa"/>
            </w:tcMar>
            <w:vAlign w:val="center"/>
          </w:tcPr>
          <w:p w:rsidR="00DC207C" w:rsidRPr="00376AE6" w:rsidRDefault="00DC207C" w:rsidP="008D176A">
            <w:pPr>
              <w:jc w:val="center"/>
              <w:textAlignment w:val="bottom"/>
              <w:rPr>
                <w:b/>
                <w:sz w:val="18"/>
                <w:szCs w:val="18"/>
              </w:rPr>
            </w:pPr>
            <w:r w:rsidRPr="00376AE6">
              <w:rPr>
                <w:b/>
                <w:color w:val="000000"/>
                <w:kern w:val="24"/>
                <w:sz w:val="18"/>
                <w:szCs w:val="18"/>
              </w:rPr>
              <w:t xml:space="preserve">± </w:t>
            </w:r>
          </w:p>
        </w:tc>
        <w:tc>
          <w:tcPr>
            <w:tcW w:w="877" w:type="dxa"/>
            <w:tcBorders>
              <w:top w:val="nil"/>
              <w:left w:val="nil"/>
              <w:bottom w:val="single" w:sz="8" w:space="0" w:color="000000"/>
              <w:right w:val="nil"/>
            </w:tcBorders>
            <w:tcMar>
              <w:top w:w="11" w:type="dxa"/>
              <w:left w:w="11" w:type="dxa"/>
              <w:bottom w:w="0" w:type="dxa"/>
              <w:right w:w="11" w:type="dxa"/>
            </w:tcMar>
            <w:vAlign w:val="center"/>
          </w:tcPr>
          <w:p w:rsidR="00DC207C" w:rsidRPr="00376AE6" w:rsidRDefault="00DC207C" w:rsidP="008D176A">
            <w:pPr>
              <w:textAlignment w:val="bottom"/>
              <w:rPr>
                <w:b/>
                <w:sz w:val="18"/>
                <w:szCs w:val="18"/>
              </w:rPr>
            </w:pPr>
            <w:r w:rsidRPr="00376AE6">
              <w:rPr>
                <w:b/>
                <w:color w:val="000000"/>
                <w:kern w:val="24"/>
                <w:sz w:val="18"/>
                <w:szCs w:val="18"/>
              </w:rPr>
              <w:t>0.003*</w:t>
            </w:r>
          </w:p>
        </w:tc>
        <w:tc>
          <w:tcPr>
            <w:tcW w:w="417" w:type="dxa"/>
            <w:gridSpan w:val="2"/>
            <w:tcBorders>
              <w:top w:val="nil"/>
              <w:left w:val="nil"/>
              <w:bottom w:val="single" w:sz="8" w:space="0" w:color="000000"/>
              <w:right w:val="nil"/>
            </w:tcBorders>
            <w:tcMar>
              <w:top w:w="11" w:type="dxa"/>
              <w:left w:w="11" w:type="dxa"/>
              <w:bottom w:w="0" w:type="dxa"/>
              <w:right w:w="11" w:type="dxa"/>
            </w:tcMar>
            <w:vAlign w:val="center"/>
          </w:tcPr>
          <w:p w:rsidR="00DC207C" w:rsidRPr="00376AE6" w:rsidRDefault="00DC207C" w:rsidP="008D176A">
            <w:pPr>
              <w:jc w:val="right"/>
              <w:textAlignment w:val="bottom"/>
              <w:rPr>
                <w:b/>
                <w:sz w:val="18"/>
                <w:szCs w:val="18"/>
              </w:rPr>
            </w:pPr>
            <w:r w:rsidRPr="00376AE6">
              <w:rPr>
                <w:b/>
                <w:color w:val="000000"/>
                <w:kern w:val="24"/>
                <w:sz w:val="18"/>
                <w:szCs w:val="18"/>
              </w:rPr>
              <w:t xml:space="preserve">0.360 </w:t>
            </w:r>
          </w:p>
        </w:tc>
        <w:tc>
          <w:tcPr>
            <w:tcW w:w="161" w:type="dxa"/>
            <w:tcBorders>
              <w:top w:val="nil"/>
              <w:left w:val="nil"/>
              <w:bottom w:val="single" w:sz="8" w:space="0" w:color="000000"/>
              <w:right w:val="nil"/>
            </w:tcBorders>
            <w:tcMar>
              <w:top w:w="7" w:type="dxa"/>
              <w:left w:w="7" w:type="dxa"/>
              <w:bottom w:w="0" w:type="dxa"/>
              <w:right w:w="7" w:type="dxa"/>
            </w:tcMar>
            <w:vAlign w:val="center"/>
          </w:tcPr>
          <w:p w:rsidR="00DC207C" w:rsidRPr="00376AE6" w:rsidRDefault="00DC207C" w:rsidP="008D176A">
            <w:pPr>
              <w:jc w:val="center"/>
              <w:textAlignment w:val="bottom"/>
              <w:rPr>
                <w:b/>
                <w:sz w:val="18"/>
                <w:szCs w:val="18"/>
              </w:rPr>
            </w:pPr>
            <w:r w:rsidRPr="00376AE6">
              <w:rPr>
                <w:b/>
                <w:color w:val="000000"/>
                <w:kern w:val="24"/>
                <w:sz w:val="18"/>
                <w:szCs w:val="18"/>
              </w:rPr>
              <w:t xml:space="preserve">± </w:t>
            </w:r>
          </w:p>
        </w:tc>
        <w:tc>
          <w:tcPr>
            <w:tcW w:w="774" w:type="dxa"/>
            <w:tcBorders>
              <w:top w:val="nil"/>
              <w:left w:val="nil"/>
              <w:bottom w:val="single" w:sz="8" w:space="0" w:color="000000"/>
              <w:right w:val="nil"/>
            </w:tcBorders>
            <w:tcMar>
              <w:top w:w="11" w:type="dxa"/>
              <w:left w:w="11" w:type="dxa"/>
              <w:bottom w:w="0" w:type="dxa"/>
              <w:right w:w="11" w:type="dxa"/>
            </w:tcMar>
            <w:vAlign w:val="center"/>
          </w:tcPr>
          <w:p w:rsidR="00DC207C" w:rsidRPr="00376AE6" w:rsidRDefault="00DC207C" w:rsidP="008D176A">
            <w:pPr>
              <w:textAlignment w:val="bottom"/>
              <w:rPr>
                <w:b/>
                <w:sz w:val="18"/>
                <w:szCs w:val="18"/>
              </w:rPr>
            </w:pPr>
            <w:r w:rsidRPr="00376AE6">
              <w:rPr>
                <w:b/>
                <w:color w:val="000000"/>
                <w:kern w:val="24"/>
                <w:sz w:val="18"/>
                <w:szCs w:val="18"/>
              </w:rPr>
              <w:t>0.009*</w:t>
            </w:r>
          </w:p>
        </w:tc>
        <w:tc>
          <w:tcPr>
            <w:tcW w:w="105" w:type="dxa"/>
            <w:tcBorders>
              <w:top w:val="nil"/>
              <w:left w:val="nil"/>
              <w:bottom w:val="single" w:sz="8" w:space="0" w:color="000000"/>
              <w:right w:val="nil"/>
            </w:tcBorders>
            <w:tcMar>
              <w:top w:w="11" w:type="dxa"/>
              <w:left w:w="11" w:type="dxa"/>
              <w:bottom w:w="0" w:type="dxa"/>
              <w:right w:w="11" w:type="dxa"/>
            </w:tcMar>
            <w:vAlign w:val="center"/>
          </w:tcPr>
          <w:p w:rsidR="00DC207C" w:rsidRPr="00376AE6" w:rsidRDefault="00DC207C" w:rsidP="008D176A">
            <w:pPr>
              <w:rPr>
                <w:b/>
                <w:sz w:val="18"/>
                <w:szCs w:val="18"/>
              </w:rPr>
            </w:pPr>
          </w:p>
        </w:tc>
        <w:tc>
          <w:tcPr>
            <w:tcW w:w="416" w:type="dxa"/>
            <w:tcBorders>
              <w:top w:val="nil"/>
              <w:left w:val="nil"/>
              <w:bottom w:val="single" w:sz="8" w:space="0" w:color="000000"/>
              <w:right w:val="nil"/>
            </w:tcBorders>
            <w:tcMar>
              <w:top w:w="11" w:type="dxa"/>
              <w:left w:w="11" w:type="dxa"/>
              <w:bottom w:w="0" w:type="dxa"/>
              <w:right w:w="11" w:type="dxa"/>
            </w:tcMar>
            <w:vAlign w:val="center"/>
          </w:tcPr>
          <w:p w:rsidR="00DC207C" w:rsidRPr="00376AE6" w:rsidRDefault="00DC207C" w:rsidP="008D176A">
            <w:pPr>
              <w:jc w:val="right"/>
              <w:textAlignment w:val="bottom"/>
              <w:rPr>
                <w:b/>
                <w:sz w:val="18"/>
                <w:szCs w:val="18"/>
              </w:rPr>
            </w:pPr>
            <w:r w:rsidRPr="00376AE6">
              <w:rPr>
                <w:b/>
                <w:color w:val="000000"/>
                <w:kern w:val="24"/>
                <w:sz w:val="18"/>
                <w:szCs w:val="18"/>
              </w:rPr>
              <w:t xml:space="preserve">0.195 </w:t>
            </w:r>
          </w:p>
        </w:tc>
        <w:tc>
          <w:tcPr>
            <w:tcW w:w="146" w:type="dxa"/>
            <w:tcBorders>
              <w:top w:val="nil"/>
              <w:left w:val="nil"/>
              <w:bottom w:val="single" w:sz="8" w:space="0" w:color="000000"/>
              <w:right w:val="nil"/>
            </w:tcBorders>
            <w:tcMar>
              <w:top w:w="7" w:type="dxa"/>
              <w:left w:w="7" w:type="dxa"/>
              <w:bottom w:w="0" w:type="dxa"/>
              <w:right w:w="7" w:type="dxa"/>
            </w:tcMar>
            <w:vAlign w:val="center"/>
          </w:tcPr>
          <w:p w:rsidR="00DC207C" w:rsidRPr="00376AE6" w:rsidRDefault="00DC207C" w:rsidP="008D176A">
            <w:pPr>
              <w:jc w:val="center"/>
              <w:textAlignment w:val="bottom"/>
              <w:rPr>
                <w:b/>
                <w:sz w:val="18"/>
                <w:szCs w:val="18"/>
              </w:rPr>
            </w:pPr>
            <w:r w:rsidRPr="00376AE6">
              <w:rPr>
                <w:b/>
                <w:color w:val="000000"/>
                <w:kern w:val="24"/>
                <w:sz w:val="18"/>
                <w:szCs w:val="18"/>
              </w:rPr>
              <w:t xml:space="preserve">± </w:t>
            </w:r>
          </w:p>
        </w:tc>
        <w:tc>
          <w:tcPr>
            <w:tcW w:w="738" w:type="dxa"/>
            <w:tcBorders>
              <w:top w:val="nil"/>
              <w:left w:val="nil"/>
              <w:bottom w:val="single" w:sz="8" w:space="0" w:color="000000"/>
              <w:right w:val="nil"/>
            </w:tcBorders>
            <w:tcMar>
              <w:top w:w="11" w:type="dxa"/>
              <w:left w:w="11" w:type="dxa"/>
              <w:bottom w:w="0" w:type="dxa"/>
              <w:right w:w="11" w:type="dxa"/>
            </w:tcMar>
            <w:vAlign w:val="center"/>
          </w:tcPr>
          <w:p w:rsidR="00DC207C" w:rsidRPr="00376AE6" w:rsidRDefault="00DC207C" w:rsidP="008D176A">
            <w:pPr>
              <w:textAlignment w:val="bottom"/>
              <w:rPr>
                <w:b/>
                <w:sz w:val="18"/>
                <w:szCs w:val="18"/>
              </w:rPr>
            </w:pPr>
            <w:r w:rsidRPr="00376AE6">
              <w:rPr>
                <w:b/>
                <w:color w:val="000000"/>
                <w:kern w:val="24"/>
                <w:sz w:val="18"/>
                <w:szCs w:val="18"/>
              </w:rPr>
              <w:t>0.003*</w:t>
            </w:r>
          </w:p>
        </w:tc>
        <w:tc>
          <w:tcPr>
            <w:tcW w:w="498" w:type="dxa"/>
            <w:tcBorders>
              <w:top w:val="nil"/>
              <w:left w:val="nil"/>
              <w:bottom w:val="single" w:sz="8" w:space="0" w:color="000000"/>
              <w:right w:val="nil"/>
            </w:tcBorders>
            <w:tcMar>
              <w:top w:w="11" w:type="dxa"/>
              <w:left w:w="11" w:type="dxa"/>
              <w:bottom w:w="0" w:type="dxa"/>
              <w:right w:w="11" w:type="dxa"/>
            </w:tcMar>
            <w:vAlign w:val="center"/>
          </w:tcPr>
          <w:p w:rsidR="00DC207C" w:rsidRPr="00376AE6" w:rsidRDefault="00DC207C" w:rsidP="008D176A">
            <w:pPr>
              <w:jc w:val="right"/>
              <w:textAlignment w:val="bottom"/>
              <w:rPr>
                <w:b/>
                <w:sz w:val="18"/>
                <w:szCs w:val="18"/>
              </w:rPr>
            </w:pPr>
            <w:r w:rsidRPr="00376AE6">
              <w:rPr>
                <w:b/>
                <w:color w:val="000000"/>
                <w:kern w:val="24"/>
                <w:sz w:val="18"/>
                <w:szCs w:val="18"/>
              </w:rPr>
              <w:t xml:space="preserve">0.208 </w:t>
            </w:r>
          </w:p>
        </w:tc>
        <w:tc>
          <w:tcPr>
            <w:tcW w:w="183" w:type="dxa"/>
            <w:tcBorders>
              <w:top w:val="nil"/>
              <w:left w:val="nil"/>
              <w:bottom w:val="single" w:sz="8" w:space="0" w:color="000000"/>
              <w:right w:val="nil"/>
            </w:tcBorders>
            <w:tcMar>
              <w:top w:w="7" w:type="dxa"/>
              <w:left w:w="7" w:type="dxa"/>
              <w:bottom w:w="0" w:type="dxa"/>
              <w:right w:w="7" w:type="dxa"/>
            </w:tcMar>
            <w:vAlign w:val="center"/>
          </w:tcPr>
          <w:p w:rsidR="00DC207C" w:rsidRPr="00376AE6" w:rsidRDefault="00DC207C" w:rsidP="008D176A">
            <w:pPr>
              <w:jc w:val="center"/>
              <w:textAlignment w:val="bottom"/>
              <w:rPr>
                <w:b/>
                <w:sz w:val="18"/>
                <w:szCs w:val="18"/>
              </w:rPr>
            </w:pPr>
            <w:r w:rsidRPr="00376AE6">
              <w:rPr>
                <w:b/>
                <w:color w:val="000000"/>
                <w:kern w:val="24"/>
                <w:sz w:val="18"/>
                <w:szCs w:val="18"/>
              </w:rPr>
              <w:t xml:space="preserve">± </w:t>
            </w:r>
          </w:p>
        </w:tc>
        <w:tc>
          <w:tcPr>
            <w:tcW w:w="719" w:type="dxa"/>
            <w:tcBorders>
              <w:top w:val="nil"/>
              <w:left w:val="nil"/>
              <w:bottom w:val="single" w:sz="8" w:space="0" w:color="000000"/>
              <w:right w:val="nil"/>
            </w:tcBorders>
            <w:tcMar>
              <w:top w:w="11" w:type="dxa"/>
              <w:left w:w="11" w:type="dxa"/>
              <w:bottom w:w="0" w:type="dxa"/>
              <w:right w:w="11" w:type="dxa"/>
            </w:tcMar>
            <w:vAlign w:val="center"/>
          </w:tcPr>
          <w:p w:rsidR="00DC207C" w:rsidRPr="00376AE6" w:rsidRDefault="00DC207C" w:rsidP="008D176A">
            <w:pPr>
              <w:textAlignment w:val="bottom"/>
              <w:rPr>
                <w:b/>
                <w:sz w:val="18"/>
                <w:szCs w:val="18"/>
              </w:rPr>
            </w:pPr>
            <w:r w:rsidRPr="00376AE6">
              <w:rPr>
                <w:b/>
                <w:color w:val="000000"/>
                <w:kern w:val="24"/>
                <w:sz w:val="18"/>
                <w:szCs w:val="18"/>
              </w:rPr>
              <w:t>0.002*</w:t>
            </w:r>
          </w:p>
        </w:tc>
        <w:tc>
          <w:tcPr>
            <w:tcW w:w="416" w:type="dxa"/>
            <w:tcBorders>
              <w:top w:val="nil"/>
              <w:left w:val="nil"/>
              <w:bottom w:val="single" w:sz="8" w:space="0" w:color="000000"/>
              <w:right w:val="nil"/>
            </w:tcBorders>
            <w:tcMar>
              <w:top w:w="11" w:type="dxa"/>
              <w:left w:w="11" w:type="dxa"/>
              <w:bottom w:w="0" w:type="dxa"/>
              <w:right w:w="11" w:type="dxa"/>
            </w:tcMar>
            <w:vAlign w:val="center"/>
          </w:tcPr>
          <w:p w:rsidR="00DC207C" w:rsidRPr="00376AE6" w:rsidRDefault="00DC207C" w:rsidP="008D176A">
            <w:pPr>
              <w:jc w:val="right"/>
              <w:textAlignment w:val="bottom"/>
              <w:rPr>
                <w:b/>
                <w:sz w:val="18"/>
                <w:szCs w:val="18"/>
              </w:rPr>
            </w:pPr>
            <w:r w:rsidRPr="00376AE6">
              <w:rPr>
                <w:b/>
                <w:color w:val="000000"/>
                <w:kern w:val="24"/>
                <w:sz w:val="18"/>
                <w:szCs w:val="18"/>
              </w:rPr>
              <w:t xml:space="preserve">0.403 </w:t>
            </w:r>
          </w:p>
        </w:tc>
        <w:tc>
          <w:tcPr>
            <w:tcW w:w="171" w:type="dxa"/>
            <w:tcBorders>
              <w:top w:val="nil"/>
              <w:left w:val="nil"/>
              <w:bottom w:val="single" w:sz="8" w:space="0" w:color="000000"/>
              <w:right w:val="nil"/>
            </w:tcBorders>
            <w:tcMar>
              <w:top w:w="7" w:type="dxa"/>
              <w:left w:w="7" w:type="dxa"/>
              <w:bottom w:w="0" w:type="dxa"/>
              <w:right w:w="7" w:type="dxa"/>
            </w:tcMar>
            <w:vAlign w:val="center"/>
          </w:tcPr>
          <w:p w:rsidR="00DC207C" w:rsidRPr="00376AE6" w:rsidRDefault="00DC207C" w:rsidP="008D176A">
            <w:pPr>
              <w:jc w:val="center"/>
              <w:textAlignment w:val="bottom"/>
              <w:rPr>
                <w:b/>
                <w:sz w:val="18"/>
                <w:szCs w:val="18"/>
              </w:rPr>
            </w:pPr>
            <w:r w:rsidRPr="00376AE6">
              <w:rPr>
                <w:b/>
                <w:color w:val="000000"/>
                <w:kern w:val="24"/>
                <w:sz w:val="18"/>
                <w:szCs w:val="18"/>
              </w:rPr>
              <w:t xml:space="preserve">± </w:t>
            </w:r>
          </w:p>
        </w:tc>
        <w:tc>
          <w:tcPr>
            <w:tcW w:w="614" w:type="dxa"/>
            <w:tcBorders>
              <w:top w:val="nil"/>
              <w:left w:val="nil"/>
              <w:bottom w:val="single" w:sz="8" w:space="0" w:color="000000"/>
              <w:right w:val="nil"/>
            </w:tcBorders>
            <w:tcMar>
              <w:top w:w="11" w:type="dxa"/>
              <w:left w:w="11" w:type="dxa"/>
              <w:bottom w:w="0" w:type="dxa"/>
              <w:right w:w="11" w:type="dxa"/>
            </w:tcMar>
            <w:vAlign w:val="center"/>
          </w:tcPr>
          <w:p w:rsidR="00DC207C" w:rsidRPr="00376AE6" w:rsidRDefault="00DC207C" w:rsidP="008D176A">
            <w:pPr>
              <w:textAlignment w:val="bottom"/>
              <w:rPr>
                <w:b/>
                <w:sz w:val="18"/>
                <w:szCs w:val="18"/>
              </w:rPr>
            </w:pPr>
            <w:r w:rsidRPr="00376AE6">
              <w:rPr>
                <w:b/>
                <w:color w:val="000000"/>
                <w:kern w:val="24"/>
                <w:sz w:val="18"/>
                <w:szCs w:val="18"/>
              </w:rPr>
              <w:t>0.004*</w:t>
            </w:r>
          </w:p>
        </w:tc>
      </w:tr>
    </w:tbl>
    <w:p w:rsidR="008D176A" w:rsidRDefault="008D176A" w:rsidP="00097A19">
      <w:pPr>
        <w:spacing w:line="480" w:lineRule="auto"/>
      </w:pPr>
    </w:p>
    <w:p w:rsidR="00DC207C" w:rsidRDefault="00DC207C" w:rsidP="00097A19">
      <w:pPr>
        <w:spacing w:line="480" w:lineRule="auto"/>
      </w:pPr>
      <w:r>
        <w:t>All five biological replicates from each control group, and all 10 biological replicates from each transgenic group, were used in the analyses</w:t>
      </w:r>
      <w:r w:rsidRPr="00145267">
        <w:t xml:space="preserve">. </w:t>
      </w:r>
      <w:r>
        <w:t>Values</w:t>
      </w:r>
      <w:r w:rsidRPr="00D93DCF">
        <w:t xml:space="preserve"> represent the average of the biological replicates </w:t>
      </w:r>
      <w:r>
        <w:t xml:space="preserve">within each group </w:t>
      </w:r>
      <w:r w:rsidRPr="00D93DCF">
        <w:t xml:space="preserve">± </w:t>
      </w:r>
      <w:r w:rsidR="00831D05">
        <w:t>standard error</w:t>
      </w:r>
      <w:r w:rsidRPr="00D93DCF">
        <w:t xml:space="preserve">. </w:t>
      </w:r>
      <w:r w:rsidRPr="00B225FC">
        <w:t xml:space="preserve">Each transgenic </w:t>
      </w:r>
      <w:r>
        <w:t>event</w:t>
      </w:r>
      <w:r w:rsidRPr="00B225FC">
        <w:t xml:space="preserve"> was com</w:t>
      </w:r>
      <w:r>
        <w:t>pared to its respective control. An asterisk indicates a significant difference</w:t>
      </w:r>
      <w:r w:rsidRPr="00B225FC">
        <w:t xml:space="preserve"> </w:t>
      </w:r>
      <w:r>
        <w:t xml:space="preserve">as determined by a </w:t>
      </w:r>
      <w:r w:rsidRPr="004C3931">
        <w:rPr>
          <w:i/>
        </w:rPr>
        <w:t>t</w:t>
      </w:r>
      <w:r>
        <w:t xml:space="preserve">-test </w:t>
      </w:r>
      <w:r w:rsidRPr="00B225FC">
        <w:t>(P &lt; 0.05).</w:t>
      </w:r>
      <w:r w:rsidRPr="00860D40">
        <w:t xml:space="preserve"> </w:t>
      </w:r>
      <w:r w:rsidRPr="00B225FC">
        <w:t>CWR, cell wall residues.</w:t>
      </w:r>
    </w:p>
    <w:p w:rsidR="00DC207C" w:rsidRDefault="00DC207C" w:rsidP="00097A19">
      <w:pPr>
        <w:spacing w:line="480" w:lineRule="auto"/>
      </w:pPr>
      <w:r>
        <w:br w:type="page"/>
      </w:r>
    </w:p>
    <w:p w:rsidR="00DC207C" w:rsidRDefault="00DC207C" w:rsidP="00097A19">
      <w:pPr>
        <w:spacing w:line="480" w:lineRule="auto"/>
        <w:rPr>
          <w:b/>
        </w:rPr>
      </w:pPr>
      <w:r>
        <w:rPr>
          <w:b/>
        </w:rPr>
        <w:lastRenderedPageBreak/>
        <w:t xml:space="preserve">Table </w:t>
      </w:r>
      <w:r w:rsidR="008F29AA">
        <w:rPr>
          <w:b/>
        </w:rPr>
        <w:t>B.</w:t>
      </w:r>
      <w:r>
        <w:rPr>
          <w:b/>
        </w:rPr>
        <w:t xml:space="preserve">3. </w:t>
      </w:r>
      <w:r>
        <w:t>Morphology and dry weight biomass yield</w:t>
      </w:r>
      <w:r w:rsidRPr="00240960">
        <w:t xml:space="preserve"> of </w:t>
      </w:r>
      <w:r>
        <w:t>field-grown transgenic event</w:t>
      </w:r>
      <w:r w:rsidRPr="00240960">
        <w:t>s</w:t>
      </w:r>
      <w:r>
        <w:t xml:space="preserve"> during the 2011 and 2012 growing seasons.</w:t>
      </w:r>
      <w:r>
        <w:rPr>
          <w:b/>
        </w:rPr>
        <w:t xml:space="preserve"> </w:t>
      </w:r>
    </w:p>
    <w:tbl>
      <w:tblPr>
        <w:tblW w:w="5000" w:type="pct"/>
        <w:tblCellMar>
          <w:left w:w="0" w:type="dxa"/>
          <w:right w:w="0" w:type="dxa"/>
        </w:tblCellMar>
        <w:tblLook w:val="00A0" w:firstRow="1" w:lastRow="0" w:firstColumn="1" w:lastColumn="0" w:noHBand="0" w:noVBand="0"/>
      </w:tblPr>
      <w:tblGrid>
        <w:gridCol w:w="822"/>
        <w:gridCol w:w="1366"/>
        <w:gridCol w:w="707"/>
        <w:gridCol w:w="270"/>
        <w:gridCol w:w="689"/>
        <w:gridCol w:w="707"/>
        <w:gridCol w:w="270"/>
        <w:gridCol w:w="565"/>
        <w:gridCol w:w="707"/>
        <w:gridCol w:w="270"/>
        <w:gridCol w:w="565"/>
        <w:gridCol w:w="849"/>
        <w:gridCol w:w="270"/>
        <w:gridCol w:w="583"/>
      </w:tblGrid>
      <w:tr w:rsidR="00DC207C" w:rsidRPr="007F0DA8" w:rsidTr="00376AE6">
        <w:trPr>
          <w:trHeight w:val="432"/>
        </w:trPr>
        <w:tc>
          <w:tcPr>
            <w:tcW w:w="912" w:type="dxa"/>
            <w:tcBorders>
              <w:top w:val="single" w:sz="4" w:space="0" w:color="auto"/>
              <w:left w:val="nil"/>
              <w:bottom w:val="single" w:sz="4" w:space="0" w:color="auto"/>
              <w:right w:val="nil"/>
            </w:tcBorders>
            <w:tcMar>
              <w:top w:w="11" w:type="dxa"/>
              <w:left w:w="11" w:type="dxa"/>
              <w:bottom w:w="0" w:type="dxa"/>
              <w:right w:w="11" w:type="dxa"/>
            </w:tcMar>
          </w:tcPr>
          <w:p w:rsidR="00DC207C" w:rsidRPr="00123353" w:rsidRDefault="00DC207C" w:rsidP="008D176A">
            <w:pPr>
              <w:textAlignment w:val="center"/>
              <w:rPr>
                <w:sz w:val="20"/>
                <w:szCs w:val="18"/>
              </w:rPr>
            </w:pPr>
            <w:r w:rsidRPr="00123353">
              <w:rPr>
                <w:color w:val="000000"/>
                <w:kern w:val="24"/>
                <w:sz w:val="20"/>
                <w:szCs w:val="18"/>
              </w:rPr>
              <w:t xml:space="preserve">Year </w:t>
            </w:r>
          </w:p>
        </w:tc>
        <w:tc>
          <w:tcPr>
            <w:tcW w:w="1518" w:type="dxa"/>
            <w:tcBorders>
              <w:top w:val="single" w:sz="4" w:space="0" w:color="auto"/>
              <w:left w:val="nil"/>
              <w:bottom w:val="single" w:sz="4" w:space="0" w:color="auto"/>
              <w:right w:val="nil"/>
            </w:tcBorders>
            <w:tcMar>
              <w:top w:w="11" w:type="dxa"/>
              <w:left w:w="11" w:type="dxa"/>
              <w:bottom w:w="0" w:type="dxa"/>
              <w:right w:w="11" w:type="dxa"/>
            </w:tcMar>
            <w:vAlign w:val="center"/>
          </w:tcPr>
          <w:p w:rsidR="00DC207C" w:rsidRPr="00123353" w:rsidRDefault="00DC207C" w:rsidP="008D176A">
            <w:pPr>
              <w:rPr>
                <w:sz w:val="20"/>
                <w:szCs w:val="18"/>
              </w:rPr>
            </w:pPr>
          </w:p>
        </w:tc>
        <w:tc>
          <w:tcPr>
            <w:tcW w:w="1823" w:type="dxa"/>
            <w:gridSpan w:val="3"/>
            <w:tcBorders>
              <w:top w:val="single" w:sz="4" w:space="0" w:color="auto"/>
              <w:left w:val="nil"/>
              <w:bottom w:val="single" w:sz="4" w:space="0" w:color="auto"/>
              <w:right w:val="nil"/>
            </w:tcBorders>
            <w:tcMar>
              <w:top w:w="11" w:type="dxa"/>
              <w:left w:w="11" w:type="dxa"/>
              <w:bottom w:w="0" w:type="dxa"/>
              <w:right w:w="11" w:type="dxa"/>
            </w:tcMar>
          </w:tcPr>
          <w:p w:rsidR="00DC207C" w:rsidRPr="00123353" w:rsidRDefault="00DC207C" w:rsidP="008D176A">
            <w:pPr>
              <w:jc w:val="center"/>
              <w:textAlignment w:val="center"/>
              <w:rPr>
                <w:color w:val="000000"/>
                <w:kern w:val="24"/>
                <w:sz w:val="20"/>
                <w:szCs w:val="18"/>
              </w:rPr>
            </w:pPr>
            <w:r w:rsidRPr="00123353">
              <w:rPr>
                <w:color w:val="000000"/>
                <w:kern w:val="24"/>
                <w:sz w:val="20"/>
                <w:szCs w:val="18"/>
              </w:rPr>
              <w:t>Tiller height</w:t>
            </w:r>
          </w:p>
          <w:p w:rsidR="00DC207C" w:rsidRPr="00123353" w:rsidRDefault="00DC207C" w:rsidP="008D176A">
            <w:pPr>
              <w:jc w:val="center"/>
              <w:textAlignment w:val="center"/>
              <w:rPr>
                <w:sz w:val="20"/>
                <w:szCs w:val="18"/>
              </w:rPr>
            </w:pPr>
            <w:r w:rsidRPr="00123353">
              <w:rPr>
                <w:color w:val="000000"/>
                <w:kern w:val="24"/>
                <w:sz w:val="20"/>
                <w:szCs w:val="18"/>
              </w:rPr>
              <w:t>(cm)</w:t>
            </w:r>
          </w:p>
        </w:tc>
        <w:tc>
          <w:tcPr>
            <w:tcW w:w="1670" w:type="dxa"/>
            <w:gridSpan w:val="3"/>
            <w:tcBorders>
              <w:top w:val="single" w:sz="4" w:space="0" w:color="auto"/>
              <w:left w:val="nil"/>
              <w:bottom w:val="single" w:sz="4" w:space="0" w:color="auto"/>
              <w:right w:val="nil"/>
            </w:tcBorders>
            <w:tcMar>
              <w:top w:w="11" w:type="dxa"/>
              <w:left w:w="11" w:type="dxa"/>
              <w:bottom w:w="0" w:type="dxa"/>
              <w:right w:w="11" w:type="dxa"/>
            </w:tcMar>
          </w:tcPr>
          <w:p w:rsidR="00DC207C" w:rsidRPr="00123353" w:rsidRDefault="00DC207C" w:rsidP="008D176A">
            <w:pPr>
              <w:jc w:val="center"/>
              <w:textAlignment w:val="center"/>
              <w:rPr>
                <w:color w:val="000000"/>
                <w:kern w:val="24"/>
                <w:sz w:val="20"/>
                <w:szCs w:val="18"/>
              </w:rPr>
            </w:pPr>
            <w:r w:rsidRPr="00123353">
              <w:rPr>
                <w:color w:val="000000"/>
                <w:kern w:val="24"/>
                <w:sz w:val="20"/>
                <w:szCs w:val="18"/>
              </w:rPr>
              <w:t xml:space="preserve">Plant diameter </w:t>
            </w:r>
          </w:p>
          <w:p w:rsidR="00DC207C" w:rsidRPr="00123353" w:rsidRDefault="00DC207C" w:rsidP="008D176A">
            <w:pPr>
              <w:jc w:val="center"/>
              <w:textAlignment w:val="center"/>
              <w:rPr>
                <w:sz w:val="20"/>
                <w:szCs w:val="18"/>
              </w:rPr>
            </w:pPr>
            <w:r w:rsidRPr="00123353">
              <w:rPr>
                <w:color w:val="000000"/>
                <w:kern w:val="24"/>
                <w:sz w:val="20"/>
                <w:szCs w:val="18"/>
              </w:rPr>
              <w:t>(cm)</w:t>
            </w:r>
          </w:p>
        </w:tc>
        <w:tc>
          <w:tcPr>
            <w:tcW w:w="1670" w:type="dxa"/>
            <w:gridSpan w:val="3"/>
            <w:tcBorders>
              <w:top w:val="single" w:sz="4" w:space="0" w:color="auto"/>
              <w:left w:val="nil"/>
              <w:bottom w:val="single" w:sz="4" w:space="0" w:color="auto"/>
              <w:right w:val="nil"/>
            </w:tcBorders>
            <w:tcMar>
              <w:top w:w="11" w:type="dxa"/>
              <w:left w:w="11" w:type="dxa"/>
              <w:bottom w:w="0" w:type="dxa"/>
              <w:right w:w="11" w:type="dxa"/>
            </w:tcMar>
          </w:tcPr>
          <w:p w:rsidR="00DC207C" w:rsidRPr="00123353" w:rsidRDefault="00DC207C" w:rsidP="008D176A">
            <w:pPr>
              <w:jc w:val="center"/>
              <w:textAlignment w:val="center"/>
              <w:rPr>
                <w:sz w:val="20"/>
                <w:szCs w:val="18"/>
              </w:rPr>
            </w:pPr>
            <w:r w:rsidRPr="00123353">
              <w:rPr>
                <w:color w:val="000000"/>
                <w:kern w:val="24"/>
                <w:sz w:val="20"/>
                <w:szCs w:val="18"/>
              </w:rPr>
              <w:t>Tiller number</w:t>
            </w:r>
          </w:p>
        </w:tc>
        <w:tc>
          <w:tcPr>
            <w:tcW w:w="1822" w:type="dxa"/>
            <w:gridSpan w:val="3"/>
            <w:tcBorders>
              <w:top w:val="single" w:sz="4" w:space="0" w:color="auto"/>
              <w:left w:val="nil"/>
              <w:bottom w:val="single" w:sz="4" w:space="0" w:color="auto"/>
              <w:right w:val="nil"/>
            </w:tcBorders>
            <w:tcMar>
              <w:top w:w="11" w:type="dxa"/>
              <w:left w:w="11" w:type="dxa"/>
              <w:bottom w:w="0" w:type="dxa"/>
              <w:right w:w="11" w:type="dxa"/>
            </w:tcMar>
          </w:tcPr>
          <w:p w:rsidR="00DC207C" w:rsidRPr="00123353" w:rsidRDefault="00DC207C" w:rsidP="008D176A">
            <w:pPr>
              <w:jc w:val="center"/>
              <w:textAlignment w:val="center"/>
              <w:rPr>
                <w:sz w:val="20"/>
                <w:szCs w:val="18"/>
              </w:rPr>
            </w:pPr>
            <w:r w:rsidRPr="00123353">
              <w:rPr>
                <w:color w:val="000000"/>
                <w:kern w:val="24"/>
                <w:sz w:val="20"/>
                <w:szCs w:val="18"/>
              </w:rPr>
              <w:t>DW biomass yield (g/m</w:t>
            </w:r>
            <w:r w:rsidRPr="00123353">
              <w:rPr>
                <w:color w:val="000000"/>
                <w:kern w:val="24"/>
                <w:position w:val="5"/>
                <w:sz w:val="20"/>
                <w:szCs w:val="18"/>
                <w:vertAlign w:val="superscript"/>
              </w:rPr>
              <w:t>2</w:t>
            </w:r>
            <w:r w:rsidRPr="00123353">
              <w:rPr>
                <w:color w:val="000000"/>
                <w:kern w:val="24"/>
                <w:sz w:val="20"/>
                <w:szCs w:val="18"/>
              </w:rPr>
              <w:t>)</w:t>
            </w:r>
          </w:p>
        </w:tc>
      </w:tr>
      <w:tr w:rsidR="00DC207C" w:rsidRPr="007F0DA8" w:rsidTr="00376AE6">
        <w:trPr>
          <w:trHeight w:val="144"/>
        </w:trPr>
        <w:tc>
          <w:tcPr>
            <w:tcW w:w="912" w:type="dxa"/>
            <w:tcBorders>
              <w:top w:val="single" w:sz="4" w:space="0" w:color="auto"/>
              <w:left w:val="nil"/>
              <w:bottom w:val="nil"/>
              <w:right w:val="nil"/>
            </w:tcBorders>
            <w:tcMar>
              <w:top w:w="11" w:type="dxa"/>
              <w:left w:w="11" w:type="dxa"/>
              <w:bottom w:w="0" w:type="dxa"/>
              <w:right w:w="11" w:type="dxa"/>
            </w:tcMar>
            <w:vAlign w:val="center"/>
          </w:tcPr>
          <w:p w:rsidR="00DC207C" w:rsidRPr="00123353" w:rsidRDefault="00DC207C" w:rsidP="008D176A">
            <w:pPr>
              <w:textAlignment w:val="center"/>
              <w:rPr>
                <w:sz w:val="20"/>
                <w:szCs w:val="18"/>
              </w:rPr>
            </w:pPr>
            <w:r w:rsidRPr="00123353">
              <w:rPr>
                <w:color w:val="000000"/>
                <w:kern w:val="24"/>
                <w:sz w:val="20"/>
                <w:szCs w:val="18"/>
              </w:rPr>
              <w:t xml:space="preserve">2011 </w:t>
            </w:r>
          </w:p>
        </w:tc>
        <w:tc>
          <w:tcPr>
            <w:tcW w:w="1518" w:type="dxa"/>
            <w:tcBorders>
              <w:top w:val="single" w:sz="4" w:space="0" w:color="auto"/>
              <w:left w:val="nil"/>
              <w:bottom w:val="nil"/>
              <w:right w:val="nil"/>
            </w:tcBorders>
            <w:tcMar>
              <w:top w:w="11" w:type="dxa"/>
              <w:left w:w="11" w:type="dxa"/>
              <w:bottom w:w="0" w:type="dxa"/>
              <w:right w:w="11" w:type="dxa"/>
            </w:tcMar>
            <w:vAlign w:val="center"/>
          </w:tcPr>
          <w:p w:rsidR="00DC207C" w:rsidRPr="00123353" w:rsidRDefault="00DC207C" w:rsidP="008D176A">
            <w:pPr>
              <w:textAlignment w:val="center"/>
              <w:rPr>
                <w:sz w:val="20"/>
                <w:szCs w:val="18"/>
              </w:rPr>
            </w:pPr>
            <w:r w:rsidRPr="00123353">
              <w:rPr>
                <w:color w:val="000000"/>
                <w:kern w:val="24"/>
                <w:sz w:val="20"/>
                <w:szCs w:val="18"/>
              </w:rPr>
              <w:t>Control</w:t>
            </w:r>
          </w:p>
        </w:tc>
        <w:tc>
          <w:tcPr>
            <w:tcW w:w="760" w:type="dxa"/>
            <w:tcBorders>
              <w:top w:val="single" w:sz="4" w:space="0" w:color="auto"/>
              <w:left w:val="nil"/>
              <w:bottom w:val="nil"/>
              <w:right w:val="nil"/>
            </w:tcBorders>
            <w:tcMar>
              <w:top w:w="11" w:type="dxa"/>
              <w:left w:w="11" w:type="dxa"/>
              <w:bottom w:w="0" w:type="dxa"/>
              <w:right w:w="11" w:type="dxa"/>
            </w:tcMar>
            <w:vAlign w:val="center"/>
          </w:tcPr>
          <w:p w:rsidR="00DC207C" w:rsidRPr="00123353" w:rsidRDefault="00DC207C" w:rsidP="008D176A">
            <w:pPr>
              <w:jc w:val="right"/>
              <w:textAlignment w:val="bottom"/>
              <w:rPr>
                <w:sz w:val="20"/>
                <w:szCs w:val="18"/>
              </w:rPr>
            </w:pPr>
            <w:r w:rsidRPr="00123353">
              <w:rPr>
                <w:color w:val="000000"/>
                <w:kern w:val="24"/>
                <w:sz w:val="20"/>
                <w:szCs w:val="18"/>
              </w:rPr>
              <w:t>69.5</w:t>
            </w:r>
          </w:p>
        </w:tc>
        <w:tc>
          <w:tcPr>
            <w:tcW w:w="303" w:type="dxa"/>
            <w:tcBorders>
              <w:top w:val="single" w:sz="4" w:space="0" w:color="auto"/>
              <w:left w:val="nil"/>
              <w:bottom w:val="nil"/>
              <w:right w:val="nil"/>
            </w:tcBorders>
            <w:tcMar>
              <w:top w:w="9" w:type="dxa"/>
              <w:left w:w="9" w:type="dxa"/>
              <w:bottom w:w="0" w:type="dxa"/>
              <w:right w:w="9" w:type="dxa"/>
            </w:tcMar>
            <w:vAlign w:val="center"/>
          </w:tcPr>
          <w:p w:rsidR="00DC207C" w:rsidRPr="00123353" w:rsidRDefault="00DC207C" w:rsidP="008D176A">
            <w:pPr>
              <w:jc w:val="center"/>
              <w:textAlignment w:val="bottom"/>
              <w:rPr>
                <w:sz w:val="20"/>
                <w:szCs w:val="18"/>
              </w:rPr>
            </w:pPr>
            <w:r w:rsidRPr="00123353">
              <w:rPr>
                <w:color w:val="000000"/>
                <w:kern w:val="24"/>
                <w:sz w:val="20"/>
                <w:szCs w:val="18"/>
              </w:rPr>
              <w:t xml:space="preserve">± </w:t>
            </w:r>
          </w:p>
        </w:tc>
        <w:tc>
          <w:tcPr>
            <w:tcW w:w="760" w:type="dxa"/>
            <w:tcBorders>
              <w:top w:val="single" w:sz="4" w:space="0" w:color="auto"/>
              <w:left w:val="nil"/>
              <w:bottom w:val="nil"/>
              <w:right w:val="nil"/>
            </w:tcBorders>
            <w:tcMar>
              <w:top w:w="15" w:type="dxa"/>
              <w:left w:w="15" w:type="dxa"/>
              <w:bottom w:w="0" w:type="dxa"/>
              <w:right w:w="15" w:type="dxa"/>
            </w:tcMar>
            <w:vAlign w:val="center"/>
          </w:tcPr>
          <w:p w:rsidR="00DC207C" w:rsidRPr="00123353" w:rsidRDefault="00DC207C" w:rsidP="008D176A">
            <w:pPr>
              <w:textAlignment w:val="bottom"/>
              <w:rPr>
                <w:sz w:val="20"/>
                <w:szCs w:val="18"/>
              </w:rPr>
            </w:pPr>
            <w:r w:rsidRPr="00123353">
              <w:rPr>
                <w:color w:val="000000"/>
                <w:kern w:val="24"/>
                <w:sz w:val="20"/>
                <w:szCs w:val="18"/>
              </w:rPr>
              <w:t>4.2</w:t>
            </w:r>
          </w:p>
        </w:tc>
        <w:tc>
          <w:tcPr>
            <w:tcW w:w="760" w:type="dxa"/>
            <w:tcBorders>
              <w:top w:val="single" w:sz="4" w:space="0" w:color="auto"/>
              <w:left w:val="nil"/>
              <w:bottom w:val="nil"/>
              <w:right w:val="nil"/>
            </w:tcBorders>
            <w:tcMar>
              <w:top w:w="11" w:type="dxa"/>
              <w:left w:w="11" w:type="dxa"/>
              <w:bottom w:w="0" w:type="dxa"/>
              <w:right w:w="11" w:type="dxa"/>
            </w:tcMar>
            <w:vAlign w:val="center"/>
          </w:tcPr>
          <w:p w:rsidR="00DC207C" w:rsidRPr="00123353" w:rsidRDefault="00DC207C" w:rsidP="008D176A">
            <w:pPr>
              <w:jc w:val="right"/>
              <w:textAlignment w:val="bottom"/>
              <w:rPr>
                <w:sz w:val="20"/>
                <w:szCs w:val="18"/>
              </w:rPr>
            </w:pPr>
            <w:r w:rsidRPr="00123353">
              <w:rPr>
                <w:color w:val="000000"/>
                <w:kern w:val="24"/>
                <w:sz w:val="20"/>
                <w:szCs w:val="18"/>
              </w:rPr>
              <w:t>73.5</w:t>
            </w:r>
          </w:p>
        </w:tc>
        <w:tc>
          <w:tcPr>
            <w:tcW w:w="303" w:type="dxa"/>
            <w:tcBorders>
              <w:top w:val="single" w:sz="4" w:space="0" w:color="auto"/>
              <w:left w:val="nil"/>
              <w:bottom w:val="nil"/>
              <w:right w:val="nil"/>
            </w:tcBorders>
            <w:tcMar>
              <w:top w:w="9" w:type="dxa"/>
              <w:left w:w="9" w:type="dxa"/>
              <w:bottom w:w="0" w:type="dxa"/>
              <w:right w:w="9" w:type="dxa"/>
            </w:tcMar>
            <w:vAlign w:val="center"/>
          </w:tcPr>
          <w:p w:rsidR="00DC207C" w:rsidRPr="00123353" w:rsidRDefault="00DC207C" w:rsidP="008D176A">
            <w:pPr>
              <w:jc w:val="center"/>
              <w:textAlignment w:val="bottom"/>
              <w:rPr>
                <w:sz w:val="20"/>
                <w:szCs w:val="18"/>
              </w:rPr>
            </w:pPr>
            <w:r w:rsidRPr="00123353">
              <w:rPr>
                <w:color w:val="000000"/>
                <w:kern w:val="24"/>
                <w:sz w:val="20"/>
                <w:szCs w:val="18"/>
              </w:rPr>
              <w:t xml:space="preserve">± </w:t>
            </w:r>
          </w:p>
        </w:tc>
        <w:tc>
          <w:tcPr>
            <w:tcW w:w="607" w:type="dxa"/>
            <w:tcBorders>
              <w:top w:val="single" w:sz="4" w:space="0" w:color="auto"/>
              <w:left w:val="nil"/>
              <w:bottom w:val="nil"/>
              <w:right w:val="nil"/>
            </w:tcBorders>
            <w:tcMar>
              <w:top w:w="15" w:type="dxa"/>
              <w:left w:w="15" w:type="dxa"/>
              <w:bottom w:w="0" w:type="dxa"/>
              <w:right w:w="15" w:type="dxa"/>
            </w:tcMar>
            <w:vAlign w:val="center"/>
          </w:tcPr>
          <w:p w:rsidR="00DC207C" w:rsidRPr="00123353" w:rsidRDefault="00DC207C" w:rsidP="008D176A">
            <w:pPr>
              <w:textAlignment w:val="bottom"/>
              <w:rPr>
                <w:sz w:val="20"/>
                <w:szCs w:val="18"/>
              </w:rPr>
            </w:pPr>
            <w:r w:rsidRPr="00123353">
              <w:rPr>
                <w:color w:val="000000"/>
                <w:kern w:val="24"/>
                <w:sz w:val="20"/>
                <w:szCs w:val="18"/>
              </w:rPr>
              <w:t>3.6</w:t>
            </w:r>
            <w:r w:rsidRPr="00123353">
              <w:rPr>
                <w:b/>
                <w:bCs/>
                <w:color w:val="000000"/>
                <w:kern w:val="24"/>
                <w:sz w:val="20"/>
                <w:szCs w:val="18"/>
              </w:rPr>
              <w:t xml:space="preserve"> </w:t>
            </w:r>
          </w:p>
        </w:tc>
        <w:tc>
          <w:tcPr>
            <w:tcW w:w="760" w:type="dxa"/>
            <w:tcBorders>
              <w:top w:val="single" w:sz="4" w:space="0" w:color="auto"/>
              <w:left w:val="nil"/>
              <w:bottom w:val="nil"/>
              <w:right w:val="nil"/>
            </w:tcBorders>
            <w:tcMar>
              <w:top w:w="11" w:type="dxa"/>
              <w:left w:w="11" w:type="dxa"/>
              <w:bottom w:w="0" w:type="dxa"/>
              <w:right w:w="11" w:type="dxa"/>
            </w:tcMar>
            <w:vAlign w:val="center"/>
          </w:tcPr>
          <w:p w:rsidR="00DC207C" w:rsidRPr="00123353" w:rsidRDefault="00DC207C" w:rsidP="008D176A">
            <w:pPr>
              <w:jc w:val="right"/>
              <w:textAlignment w:val="bottom"/>
              <w:rPr>
                <w:sz w:val="20"/>
                <w:szCs w:val="18"/>
              </w:rPr>
            </w:pPr>
            <w:r w:rsidRPr="00123353">
              <w:rPr>
                <w:color w:val="000000"/>
                <w:kern w:val="24"/>
                <w:sz w:val="20"/>
                <w:szCs w:val="18"/>
              </w:rPr>
              <w:t>71.5</w:t>
            </w:r>
          </w:p>
        </w:tc>
        <w:tc>
          <w:tcPr>
            <w:tcW w:w="303" w:type="dxa"/>
            <w:tcBorders>
              <w:top w:val="single" w:sz="4" w:space="0" w:color="auto"/>
              <w:left w:val="nil"/>
              <w:bottom w:val="nil"/>
              <w:right w:val="nil"/>
            </w:tcBorders>
            <w:tcMar>
              <w:top w:w="9" w:type="dxa"/>
              <w:left w:w="9" w:type="dxa"/>
              <w:bottom w:w="0" w:type="dxa"/>
              <w:right w:w="9" w:type="dxa"/>
            </w:tcMar>
            <w:vAlign w:val="center"/>
          </w:tcPr>
          <w:p w:rsidR="00DC207C" w:rsidRPr="00123353" w:rsidRDefault="00DC207C" w:rsidP="008D176A">
            <w:pPr>
              <w:jc w:val="center"/>
              <w:textAlignment w:val="bottom"/>
              <w:rPr>
                <w:sz w:val="20"/>
                <w:szCs w:val="18"/>
              </w:rPr>
            </w:pPr>
            <w:r w:rsidRPr="00123353">
              <w:rPr>
                <w:color w:val="000000"/>
                <w:kern w:val="24"/>
                <w:sz w:val="20"/>
                <w:szCs w:val="18"/>
              </w:rPr>
              <w:t xml:space="preserve">± </w:t>
            </w:r>
          </w:p>
        </w:tc>
        <w:tc>
          <w:tcPr>
            <w:tcW w:w="607" w:type="dxa"/>
            <w:tcBorders>
              <w:top w:val="single" w:sz="4" w:space="0" w:color="auto"/>
              <w:left w:val="nil"/>
              <w:bottom w:val="nil"/>
              <w:right w:val="nil"/>
            </w:tcBorders>
            <w:tcMar>
              <w:top w:w="15" w:type="dxa"/>
              <w:left w:w="15" w:type="dxa"/>
              <w:bottom w:w="0" w:type="dxa"/>
              <w:right w:w="15" w:type="dxa"/>
            </w:tcMar>
            <w:vAlign w:val="center"/>
          </w:tcPr>
          <w:p w:rsidR="00DC207C" w:rsidRPr="00123353" w:rsidRDefault="00DC207C" w:rsidP="008D176A">
            <w:pPr>
              <w:textAlignment w:val="bottom"/>
              <w:rPr>
                <w:sz w:val="20"/>
                <w:szCs w:val="18"/>
              </w:rPr>
            </w:pPr>
            <w:r w:rsidRPr="00123353">
              <w:rPr>
                <w:color w:val="000000"/>
                <w:kern w:val="24"/>
                <w:sz w:val="20"/>
                <w:szCs w:val="18"/>
              </w:rPr>
              <w:t>6.7</w:t>
            </w:r>
          </w:p>
        </w:tc>
        <w:tc>
          <w:tcPr>
            <w:tcW w:w="912" w:type="dxa"/>
            <w:tcBorders>
              <w:top w:val="single" w:sz="4" w:space="0" w:color="auto"/>
              <w:left w:val="nil"/>
              <w:bottom w:val="nil"/>
              <w:right w:val="nil"/>
            </w:tcBorders>
            <w:tcMar>
              <w:top w:w="11" w:type="dxa"/>
              <w:left w:w="11" w:type="dxa"/>
              <w:bottom w:w="0" w:type="dxa"/>
              <w:right w:w="11" w:type="dxa"/>
            </w:tcMar>
            <w:vAlign w:val="center"/>
          </w:tcPr>
          <w:p w:rsidR="00DC207C" w:rsidRPr="00123353" w:rsidRDefault="00DC207C" w:rsidP="008D176A">
            <w:pPr>
              <w:jc w:val="right"/>
              <w:textAlignment w:val="bottom"/>
              <w:rPr>
                <w:sz w:val="20"/>
                <w:szCs w:val="18"/>
              </w:rPr>
            </w:pPr>
            <w:r w:rsidRPr="00123353">
              <w:rPr>
                <w:color w:val="000000"/>
                <w:kern w:val="24"/>
                <w:sz w:val="20"/>
                <w:szCs w:val="18"/>
              </w:rPr>
              <w:t>38.5</w:t>
            </w:r>
          </w:p>
        </w:tc>
        <w:tc>
          <w:tcPr>
            <w:tcW w:w="303" w:type="dxa"/>
            <w:tcBorders>
              <w:top w:val="single" w:sz="4" w:space="0" w:color="auto"/>
              <w:left w:val="nil"/>
              <w:bottom w:val="nil"/>
              <w:right w:val="nil"/>
            </w:tcBorders>
            <w:tcMar>
              <w:top w:w="9" w:type="dxa"/>
              <w:left w:w="9" w:type="dxa"/>
              <w:bottom w:w="0" w:type="dxa"/>
              <w:right w:w="9" w:type="dxa"/>
            </w:tcMar>
            <w:vAlign w:val="center"/>
          </w:tcPr>
          <w:p w:rsidR="00DC207C" w:rsidRPr="00123353" w:rsidRDefault="00DC207C" w:rsidP="008D176A">
            <w:pPr>
              <w:jc w:val="center"/>
              <w:textAlignment w:val="bottom"/>
              <w:rPr>
                <w:sz w:val="20"/>
                <w:szCs w:val="18"/>
              </w:rPr>
            </w:pPr>
            <w:r w:rsidRPr="00123353">
              <w:rPr>
                <w:color w:val="000000"/>
                <w:kern w:val="24"/>
                <w:sz w:val="20"/>
                <w:szCs w:val="18"/>
              </w:rPr>
              <w:t xml:space="preserve">± </w:t>
            </w:r>
          </w:p>
        </w:tc>
        <w:tc>
          <w:tcPr>
            <w:tcW w:w="607" w:type="dxa"/>
            <w:tcBorders>
              <w:top w:val="single" w:sz="4" w:space="0" w:color="auto"/>
              <w:left w:val="nil"/>
              <w:bottom w:val="nil"/>
              <w:right w:val="nil"/>
            </w:tcBorders>
            <w:tcMar>
              <w:top w:w="15" w:type="dxa"/>
              <w:left w:w="15" w:type="dxa"/>
              <w:bottom w:w="0" w:type="dxa"/>
              <w:right w:w="15" w:type="dxa"/>
            </w:tcMar>
            <w:vAlign w:val="center"/>
          </w:tcPr>
          <w:p w:rsidR="00DC207C" w:rsidRPr="00123353" w:rsidRDefault="00DC207C" w:rsidP="008D176A">
            <w:pPr>
              <w:textAlignment w:val="bottom"/>
              <w:rPr>
                <w:sz w:val="20"/>
                <w:szCs w:val="18"/>
              </w:rPr>
            </w:pPr>
            <w:r w:rsidRPr="00123353">
              <w:rPr>
                <w:color w:val="000000"/>
                <w:kern w:val="24"/>
                <w:sz w:val="20"/>
                <w:szCs w:val="18"/>
              </w:rPr>
              <w:t>14.0</w:t>
            </w:r>
          </w:p>
        </w:tc>
      </w:tr>
      <w:tr w:rsidR="00DC207C" w:rsidRPr="007F0DA8" w:rsidTr="00376AE6">
        <w:trPr>
          <w:trHeight w:val="144"/>
        </w:trPr>
        <w:tc>
          <w:tcPr>
            <w:tcW w:w="912" w:type="dxa"/>
            <w:tcBorders>
              <w:top w:val="nil"/>
              <w:left w:val="nil"/>
              <w:bottom w:val="nil"/>
              <w:right w:val="nil"/>
            </w:tcBorders>
            <w:tcMar>
              <w:top w:w="11" w:type="dxa"/>
              <w:left w:w="11" w:type="dxa"/>
              <w:bottom w:w="0" w:type="dxa"/>
              <w:right w:w="11" w:type="dxa"/>
            </w:tcMar>
            <w:vAlign w:val="center"/>
          </w:tcPr>
          <w:p w:rsidR="00DC207C" w:rsidRPr="00123353" w:rsidRDefault="00DC207C" w:rsidP="008D176A">
            <w:pPr>
              <w:rPr>
                <w:sz w:val="20"/>
                <w:szCs w:val="18"/>
              </w:rPr>
            </w:pPr>
          </w:p>
        </w:tc>
        <w:tc>
          <w:tcPr>
            <w:tcW w:w="1518" w:type="dxa"/>
            <w:tcBorders>
              <w:top w:val="nil"/>
              <w:left w:val="nil"/>
              <w:bottom w:val="nil"/>
              <w:right w:val="nil"/>
            </w:tcBorders>
            <w:tcMar>
              <w:top w:w="11" w:type="dxa"/>
              <w:left w:w="11" w:type="dxa"/>
              <w:bottom w:w="0" w:type="dxa"/>
              <w:right w:w="11" w:type="dxa"/>
            </w:tcMar>
            <w:vAlign w:val="center"/>
          </w:tcPr>
          <w:p w:rsidR="00DC207C" w:rsidRPr="00123353" w:rsidRDefault="00DC207C" w:rsidP="008D176A">
            <w:pPr>
              <w:textAlignment w:val="center"/>
              <w:rPr>
                <w:sz w:val="20"/>
                <w:szCs w:val="18"/>
              </w:rPr>
            </w:pPr>
            <w:r w:rsidRPr="00123353">
              <w:rPr>
                <w:color w:val="000000"/>
                <w:kern w:val="24"/>
                <w:sz w:val="20"/>
                <w:szCs w:val="18"/>
              </w:rPr>
              <w:t xml:space="preserve">COMT2 </w:t>
            </w:r>
          </w:p>
        </w:tc>
        <w:tc>
          <w:tcPr>
            <w:tcW w:w="760" w:type="dxa"/>
            <w:tcBorders>
              <w:top w:val="nil"/>
              <w:left w:val="nil"/>
              <w:bottom w:val="nil"/>
              <w:right w:val="nil"/>
            </w:tcBorders>
            <w:tcMar>
              <w:top w:w="11" w:type="dxa"/>
              <w:left w:w="11" w:type="dxa"/>
              <w:bottom w:w="0" w:type="dxa"/>
              <w:right w:w="11" w:type="dxa"/>
            </w:tcMar>
            <w:vAlign w:val="center"/>
          </w:tcPr>
          <w:p w:rsidR="00DC207C" w:rsidRPr="00123353" w:rsidRDefault="00DC207C" w:rsidP="008D176A">
            <w:pPr>
              <w:jc w:val="right"/>
              <w:textAlignment w:val="bottom"/>
              <w:rPr>
                <w:sz w:val="20"/>
                <w:szCs w:val="18"/>
              </w:rPr>
            </w:pPr>
            <w:r w:rsidRPr="00123353">
              <w:rPr>
                <w:color w:val="000000"/>
                <w:kern w:val="24"/>
                <w:sz w:val="20"/>
                <w:szCs w:val="18"/>
              </w:rPr>
              <w:t>68.4</w:t>
            </w:r>
          </w:p>
        </w:tc>
        <w:tc>
          <w:tcPr>
            <w:tcW w:w="303" w:type="dxa"/>
            <w:tcBorders>
              <w:top w:val="nil"/>
              <w:left w:val="nil"/>
              <w:bottom w:val="nil"/>
              <w:right w:val="nil"/>
            </w:tcBorders>
            <w:tcMar>
              <w:top w:w="9" w:type="dxa"/>
              <w:left w:w="9" w:type="dxa"/>
              <w:bottom w:w="0" w:type="dxa"/>
              <w:right w:w="9" w:type="dxa"/>
            </w:tcMar>
            <w:vAlign w:val="center"/>
          </w:tcPr>
          <w:p w:rsidR="00DC207C" w:rsidRPr="00123353" w:rsidRDefault="00DC207C" w:rsidP="008D176A">
            <w:pPr>
              <w:jc w:val="center"/>
              <w:textAlignment w:val="bottom"/>
              <w:rPr>
                <w:sz w:val="20"/>
                <w:szCs w:val="18"/>
              </w:rPr>
            </w:pPr>
            <w:r w:rsidRPr="00123353">
              <w:rPr>
                <w:color w:val="000000"/>
                <w:kern w:val="24"/>
                <w:sz w:val="20"/>
                <w:szCs w:val="18"/>
              </w:rPr>
              <w:t xml:space="preserve">± </w:t>
            </w:r>
          </w:p>
        </w:tc>
        <w:tc>
          <w:tcPr>
            <w:tcW w:w="760" w:type="dxa"/>
            <w:tcBorders>
              <w:top w:val="nil"/>
              <w:left w:val="nil"/>
              <w:bottom w:val="nil"/>
              <w:right w:val="nil"/>
            </w:tcBorders>
            <w:tcMar>
              <w:top w:w="15" w:type="dxa"/>
              <w:left w:w="15" w:type="dxa"/>
              <w:bottom w:w="0" w:type="dxa"/>
              <w:right w:w="15" w:type="dxa"/>
            </w:tcMar>
            <w:vAlign w:val="center"/>
          </w:tcPr>
          <w:p w:rsidR="00DC207C" w:rsidRPr="00123353" w:rsidRDefault="00DC207C" w:rsidP="008D176A">
            <w:pPr>
              <w:textAlignment w:val="bottom"/>
              <w:rPr>
                <w:sz w:val="20"/>
                <w:szCs w:val="18"/>
              </w:rPr>
            </w:pPr>
            <w:r w:rsidRPr="00123353">
              <w:rPr>
                <w:color w:val="000000"/>
                <w:kern w:val="24"/>
                <w:sz w:val="20"/>
                <w:szCs w:val="18"/>
              </w:rPr>
              <w:t>1.9</w:t>
            </w:r>
          </w:p>
        </w:tc>
        <w:tc>
          <w:tcPr>
            <w:tcW w:w="760" w:type="dxa"/>
            <w:tcBorders>
              <w:top w:val="nil"/>
              <w:left w:val="nil"/>
              <w:bottom w:val="nil"/>
              <w:right w:val="nil"/>
            </w:tcBorders>
            <w:tcMar>
              <w:top w:w="11" w:type="dxa"/>
              <w:left w:w="11" w:type="dxa"/>
              <w:bottom w:w="0" w:type="dxa"/>
              <w:right w:w="11" w:type="dxa"/>
            </w:tcMar>
            <w:vAlign w:val="center"/>
          </w:tcPr>
          <w:p w:rsidR="00DC207C" w:rsidRPr="00123353" w:rsidRDefault="00DC207C" w:rsidP="008D176A">
            <w:pPr>
              <w:jc w:val="right"/>
              <w:textAlignment w:val="bottom"/>
              <w:rPr>
                <w:sz w:val="20"/>
                <w:szCs w:val="18"/>
              </w:rPr>
            </w:pPr>
            <w:r w:rsidRPr="00123353">
              <w:rPr>
                <w:color w:val="000000"/>
                <w:kern w:val="24"/>
                <w:sz w:val="20"/>
                <w:szCs w:val="18"/>
              </w:rPr>
              <w:t>75.5</w:t>
            </w:r>
          </w:p>
        </w:tc>
        <w:tc>
          <w:tcPr>
            <w:tcW w:w="303" w:type="dxa"/>
            <w:tcBorders>
              <w:top w:val="nil"/>
              <w:left w:val="nil"/>
              <w:bottom w:val="nil"/>
              <w:right w:val="nil"/>
            </w:tcBorders>
            <w:tcMar>
              <w:top w:w="9" w:type="dxa"/>
              <w:left w:w="9" w:type="dxa"/>
              <w:bottom w:w="0" w:type="dxa"/>
              <w:right w:w="9" w:type="dxa"/>
            </w:tcMar>
            <w:vAlign w:val="center"/>
          </w:tcPr>
          <w:p w:rsidR="00DC207C" w:rsidRPr="00123353" w:rsidRDefault="00DC207C" w:rsidP="008D176A">
            <w:pPr>
              <w:jc w:val="center"/>
              <w:textAlignment w:val="bottom"/>
              <w:rPr>
                <w:sz w:val="20"/>
                <w:szCs w:val="18"/>
              </w:rPr>
            </w:pPr>
            <w:r w:rsidRPr="00123353">
              <w:rPr>
                <w:color w:val="000000"/>
                <w:kern w:val="24"/>
                <w:sz w:val="20"/>
                <w:szCs w:val="18"/>
              </w:rPr>
              <w:t xml:space="preserve">± </w:t>
            </w:r>
          </w:p>
        </w:tc>
        <w:tc>
          <w:tcPr>
            <w:tcW w:w="607" w:type="dxa"/>
            <w:tcBorders>
              <w:top w:val="nil"/>
              <w:left w:val="nil"/>
              <w:bottom w:val="nil"/>
              <w:right w:val="nil"/>
            </w:tcBorders>
            <w:tcMar>
              <w:top w:w="15" w:type="dxa"/>
              <w:left w:w="15" w:type="dxa"/>
              <w:bottom w:w="0" w:type="dxa"/>
              <w:right w:w="15" w:type="dxa"/>
            </w:tcMar>
            <w:vAlign w:val="center"/>
          </w:tcPr>
          <w:p w:rsidR="00DC207C" w:rsidRPr="00123353" w:rsidRDefault="00DC207C" w:rsidP="008D176A">
            <w:pPr>
              <w:textAlignment w:val="bottom"/>
              <w:rPr>
                <w:sz w:val="20"/>
                <w:szCs w:val="18"/>
              </w:rPr>
            </w:pPr>
            <w:r w:rsidRPr="00123353">
              <w:rPr>
                <w:color w:val="000000"/>
                <w:kern w:val="24"/>
                <w:sz w:val="20"/>
                <w:szCs w:val="18"/>
              </w:rPr>
              <w:t>1.8</w:t>
            </w:r>
            <w:r w:rsidRPr="00123353">
              <w:rPr>
                <w:b/>
                <w:bCs/>
                <w:color w:val="000000"/>
                <w:kern w:val="24"/>
                <w:sz w:val="20"/>
                <w:szCs w:val="18"/>
              </w:rPr>
              <w:t xml:space="preserve"> </w:t>
            </w:r>
          </w:p>
        </w:tc>
        <w:tc>
          <w:tcPr>
            <w:tcW w:w="760" w:type="dxa"/>
            <w:tcBorders>
              <w:top w:val="nil"/>
              <w:left w:val="nil"/>
              <w:bottom w:val="nil"/>
              <w:right w:val="nil"/>
            </w:tcBorders>
            <w:tcMar>
              <w:top w:w="11" w:type="dxa"/>
              <w:left w:w="11" w:type="dxa"/>
              <w:bottom w:w="0" w:type="dxa"/>
              <w:right w:w="11" w:type="dxa"/>
            </w:tcMar>
            <w:vAlign w:val="center"/>
          </w:tcPr>
          <w:p w:rsidR="00DC207C" w:rsidRPr="00123353" w:rsidRDefault="00DC207C" w:rsidP="008D176A">
            <w:pPr>
              <w:jc w:val="right"/>
              <w:textAlignment w:val="bottom"/>
              <w:rPr>
                <w:sz w:val="20"/>
                <w:szCs w:val="18"/>
              </w:rPr>
            </w:pPr>
            <w:r w:rsidRPr="00123353">
              <w:rPr>
                <w:color w:val="000000"/>
                <w:kern w:val="24"/>
                <w:sz w:val="20"/>
                <w:szCs w:val="18"/>
              </w:rPr>
              <w:t>85.4</w:t>
            </w:r>
          </w:p>
        </w:tc>
        <w:tc>
          <w:tcPr>
            <w:tcW w:w="303" w:type="dxa"/>
            <w:tcBorders>
              <w:top w:val="nil"/>
              <w:left w:val="nil"/>
              <w:bottom w:val="nil"/>
              <w:right w:val="nil"/>
            </w:tcBorders>
            <w:tcMar>
              <w:top w:w="9" w:type="dxa"/>
              <w:left w:w="9" w:type="dxa"/>
              <w:bottom w:w="0" w:type="dxa"/>
              <w:right w:w="9" w:type="dxa"/>
            </w:tcMar>
            <w:vAlign w:val="center"/>
          </w:tcPr>
          <w:p w:rsidR="00DC207C" w:rsidRPr="00123353" w:rsidRDefault="00DC207C" w:rsidP="008D176A">
            <w:pPr>
              <w:jc w:val="center"/>
              <w:textAlignment w:val="bottom"/>
              <w:rPr>
                <w:sz w:val="20"/>
                <w:szCs w:val="18"/>
              </w:rPr>
            </w:pPr>
            <w:r w:rsidRPr="00123353">
              <w:rPr>
                <w:color w:val="000000"/>
                <w:kern w:val="24"/>
                <w:sz w:val="20"/>
                <w:szCs w:val="18"/>
              </w:rPr>
              <w:t xml:space="preserve">± </w:t>
            </w:r>
          </w:p>
        </w:tc>
        <w:tc>
          <w:tcPr>
            <w:tcW w:w="607" w:type="dxa"/>
            <w:tcBorders>
              <w:top w:val="nil"/>
              <w:left w:val="nil"/>
              <w:bottom w:val="nil"/>
              <w:right w:val="nil"/>
            </w:tcBorders>
            <w:tcMar>
              <w:top w:w="15" w:type="dxa"/>
              <w:left w:w="15" w:type="dxa"/>
              <w:bottom w:w="0" w:type="dxa"/>
              <w:right w:w="15" w:type="dxa"/>
            </w:tcMar>
            <w:vAlign w:val="center"/>
          </w:tcPr>
          <w:p w:rsidR="00DC207C" w:rsidRPr="00123353" w:rsidRDefault="00DC207C" w:rsidP="008D176A">
            <w:pPr>
              <w:textAlignment w:val="bottom"/>
              <w:rPr>
                <w:sz w:val="20"/>
                <w:szCs w:val="18"/>
              </w:rPr>
            </w:pPr>
            <w:r w:rsidRPr="00123353">
              <w:rPr>
                <w:color w:val="000000"/>
                <w:kern w:val="24"/>
                <w:sz w:val="20"/>
                <w:szCs w:val="18"/>
              </w:rPr>
              <w:t>3.2</w:t>
            </w:r>
          </w:p>
        </w:tc>
        <w:tc>
          <w:tcPr>
            <w:tcW w:w="912" w:type="dxa"/>
            <w:tcBorders>
              <w:top w:val="nil"/>
              <w:left w:val="nil"/>
              <w:bottom w:val="nil"/>
              <w:right w:val="nil"/>
            </w:tcBorders>
            <w:tcMar>
              <w:top w:w="11" w:type="dxa"/>
              <w:left w:w="11" w:type="dxa"/>
              <w:bottom w:w="0" w:type="dxa"/>
              <w:right w:w="11" w:type="dxa"/>
            </w:tcMar>
            <w:vAlign w:val="center"/>
          </w:tcPr>
          <w:p w:rsidR="00DC207C" w:rsidRPr="00123353" w:rsidRDefault="00DC207C" w:rsidP="008D176A">
            <w:pPr>
              <w:jc w:val="right"/>
              <w:textAlignment w:val="bottom"/>
              <w:rPr>
                <w:sz w:val="20"/>
                <w:szCs w:val="18"/>
              </w:rPr>
            </w:pPr>
            <w:r w:rsidRPr="00123353">
              <w:rPr>
                <w:color w:val="000000"/>
                <w:kern w:val="24"/>
                <w:sz w:val="20"/>
                <w:szCs w:val="18"/>
              </w:rPr>
              <w:t>44.4</w:t>
            </w:r>
          </w:p>
        </w:tc>
        <w:tc>
          <w:tcPr>
            <w:tcW w:w="303" w:type="dxa"/>
            <w:tcBorders>
              <w:top w:val="nil"/>
              <w:left w:val="nil"/>
              <w:bottom w:val="nil"/>
              <w:right w:val="nil"/>
            </w:tcBorders>
            <w:tcMar>
              <w:top w:w="9" w:type="dxa"/>
              <w:left w:w="9" w:type="dxa"/>
              <w:bottom w:w="0" w:type="dxa"/>
              <w:right w:w="9" w:type="dxa"/>
            </w:tcMar>
            <w:vAlign w:val="center"/>
          </w:tcPr>
          <w:p w:rsidR="00DC207C" w:rsidRPr="00123353" w:rsidRDefault="00DC207C" w:rsidP="008D176A">
            <w:pPr>
              <w:jc w:val="center"/>
              <w:textAlignment w:val="bottom"/>
              <w:rPr>
                <w:sz w:val="20"/>
                <w:szCs w:val="18"/>
              </w:rPr>
            </w:pPr>
            <w:r w:rsidRPr="00123353">
              <w:rPr>
                <w:color w:val="000000"/>
                <w:kern w:val="24"/>
                <w:sz w:val="20"/>
                <w:szCs w:val="18"/>
              </w:rPr>
              <w:t xml:space="preserve">± </w:t>
            </w:r>
          </w:p>
        </w:tc>
        <w:tc>
          <w:tcPr>
            <w:tcW w:w="607" w:type="dxa"/>
            <w:tcBorders>
              <w:top w:val="nil"/>
              <w:left w:val="nil"/>
              <w:bottom w:val="nil"/>
              <w:right w:val="nil"/>
            </w:tcBorders>
            <w:tcMar>
              <w:top w:w="15" w:type="dxa"/>
              <w:left w:w="15" w:type="dxa"/>
              <w:bottom w:w="0" w:type="dxa"/>
              <w:right w:w="15" w:type="dxa"/>
            </w:tcMar>
            <w:vAlign w:val="center"/>
          </w:tcPr>
          <w:p w:rsidR="00DC207C" w:rsidRPr="00123353" w:rsidRDefault="00DC207C" w:rsidP="008D176A">
            <w:pPr>
              <w:textAlignment w:val="bottom"/>
              <w:rPr>
                <w:sz w:val="20"/>
                <w:szCs w:val="18"/>
              </w:rPr>
            </w:pPr>
            <w:r w:rsidRPr="00123353">
              <w:rPr>
                <w:color w:val="000000"/>
                <w:kern w:val="24"/>
                <w:sz w:val="20"/>
                <w:szCs w:val="18"/>
              </w:rPr>
              <w:t>3.4</w:t>
            </w:r>
          </w:p>
        </w:tc>
      </w:tr>
      <w:tr w:rsidR="00DC207C" w:rsidRPr="007F0DA8" w:rsidTr="00376AE6">
        <w:trPr>
          <w:trHeight w:val="144"/>
        </w:trPr>
        <w:tc>
          <w:tcPr>
            <w:tcW w:w="912" w:type="dxa"/>
            <w:tcBorders>
              <w:top w:val="nil"/>
              <w:left w:val="nil"/>
              <w:bottom w:val="nil"/>
              <w:right w:val="nil"/>
            </w:tcBorders>
            <w:tcMar>
              <w:top w:w="11" w:type="dxa"/>
              <w:left w:w="11" w:type="dxa"/>
              <w:bottom w:w="0" w:type="dxa"/>
              <w:right w:w="11" w:type="dxa"/>
            </w:tcMar>
            <w:vAlign w:val="center"/>
          </w:tcPr>
          <w:p w:rsidR="00DC207C" w:rsidRPr="00123353" w:rsidRDefault="00DC207C" w:rsidP="008D176A">
            <w:pPr>
              <w:rPr>
                <w:sz w:val="20"/>
                <w:szCs w:val="18"/>
              </w:rPr>
            </w:pPr>
          </w:p>
        </w:tc>
        <w:tc>
          <w:tcPr>
            <w:tcW w:w="1518" w:type="dxa"/>
            <w:tcBorders>
              <w:top w:val="nil"/>
              <w:left w:val="nil"/>
              <w:bottom w:val="nil"/>
              <w:right w:val="nil"/>
            </w:tcBorders>
            <w:tcMar>
              <w:top w:w="11" w:type="dxa"/>
              <w:left w:w="11" w:type="dxa"/>
              <w:bottom w:w="0" w:type="dxa"/>
              <w:right w:w="11" w:type="dxa"/>
            </w:tcMar>
            <w:vAlign w:val="center"/>
          </w:tcPr>
          <w:p w:rsidR="00DC207C" w:rsidRPr="00123353" w:rsidRDefault="00DC207C" w:rsidP="008D176A">
            <w:pPr>
              <w:textAlignment w:val="center"/>
              <w:rPr>
                <w:color w:val="000000"/>
                <w:kern w:val="24"/>
                <w:sz w:val="20"/>
                <w:szCs w:val="18"/>
              </w:rPr>
            </w:pPr>
          </w:p>
        </w:tc>
        <w:tc>
          <w:tcPr>
            <w:tcW w:w="760" w:type="dxa"/>
            <w:tcBorders>
              <w:top w:val="nil"/>
              <w:left w:val="nil"/>
              <w:bottom w:val="nil"/>
              <w:right w:val="nil"/>
            </w:tcBorders>
            <w:tcMar>
              <w:top w:w="11" w:type="dxa"/>
              <w:left w:w="11" w:type="dxa"/>
              <w:bottom w:w="0" w:type="dxa"/>
              <w:right w:w="11" w:type="dxa"/>
            </w:tcMar>
            <w:vAlign w:val="center"/>
          </w:tcPr>
          <w:p w:rsidR="00DC207C" w:rsidRPr="00123353" w:rsidRDefault="00DC207C" w:rsidP="008D176A">
            <w:pPr>
              <w:jc w:val="right"/>
              <w:textAlignment w:val="bottom"/>
              <w:rPr>
                <w:color w:val="000000"/>
                <w:kern w:val="24"/>
                <w:sz w:val="20"/>
                <w:szCs w:val="18"/>
              </w:rPr>
            </w:pPr>
          </w:p>
        </w:tc>
        <w:tc>
          <w:tcPr>
            <w:tcW w:w="303" w:type="dxa"/>
            <w:tcBorders>
              <w:top w:val="nil"/>
              <w:left w:val="nil"/>
              <w:bottom w:val="nil"/>
              <w:right w:val="nil"/>
            </w:tcBorders>
            <w:tcMar>
              <w:top w:w="9" w:type="dxa"/>
              <w:left w:w="9" w:type="dxa"/>
              <w:bottom w:w="0" w:type="dxa"/>
              <w:right w:w="9" w:type="dxa"/>
            </w:tcMar>
            <w:vAlign w:val="center"/>
          </w:tcPr>
          <w:p w:rsidR="00DC207C" w:rsidRPr="00123353" w:rsidRDefault="00DC207C" w:rsidP="008D176A">
            <w:pPr>
              <w:jc w:val="center"/>
              <w:textAlignment w:val="bottom"/>
              <w:rPr>
                <w:color w:val="000000"/>
                <w:kern w:val="24"/>
                <w:sz w:val="20"/>
                <w:szCs w:val="18"/>
              </w:rPr>
            </w:pPr>
          </w:p>
        </w:tc>
        <w:tc>
          <w:tcPr>
            <w:tcW w:w="760" w:type="dxa"/>
            <w:tcBorders>
              <w:top w:val="nil"/>
              <w:left w:val="nil"/>
              <w:bottom w:val="nil"/>
              <w:right w:val="nil"/>
            </w:tcBorders>
            <w:tcMar>
              <w:top w:w="15" w:type="dxa"/>
              <w:left w:w="15" w:type="dxa"/>
              <w:bottom w:w="0" w:type="dxa"/>
              <w:right w:w="15" w:type="dxa"/>
            </w:tcMar>
            <w:vAlign w:val="center"/>
          </w:tcPr>
          <w:p w:rsidR="00DC207C" w:rsidRPr="00123353" w:rsidRDefault="00DC207C" w:rsidP="008D176A">
            <w:pPr>
              <w:textAlignment w:val="bottom"/>
              <w:rPr>
                <w:color w:val="000000"/>
                <w:kern w:val="24"/>
                <w:sz w:val="20"/>
                <w:szCs w:val="18"/>
              </w:rPr>
            </w:pPr>
          </w:p>
        </w:tc>
        <w:tc>
          <w:tcPr>
            <w:tcW w:w="760" w:type="dxa"/>
            <w:tcBorders>
              <w:top w:val="nil"/>
              <w:left w:val="nil"/>
              <w:bottom w:val="nil"/>
              <w:right w:val="nil"/>
            </w:tcBorders>
            <w:tcMar>
              <w:top w:w="11" w:type="dxa"/>
              <w:left w:w="11" w:type="dxa"/>
              <w:bottom w:w="0" w:type="dxa"/>
              <w:right w:w="11" w:type="dxa"/>
            </w:tcMar>
            <w:vAlign w:val="center"/>
          </w:tcPr>
          <w:p w:rsidR="00DC207C" w:rsidRPr="00123353" w:rsidRDefault="00DC207C" w:rsidP="008D176A">
            <w:pPr>
              <w:jc w:val="right"/>
              <w:textAlignment w:val="bottom"/>
              <w:rPr>
                <w:color w:val="000000"/>
                <w:kern w:val="24"/>
                <w:sz w:val="20"/>
                <w:szCs w:val="18"/>
              </w:rPr>
            </w:pPr>
          </w:p>
        </w:tc>
        <w:tc>
          <w:tcPr>
            <w:tcW w:w="303" w:type="dxa"/>
            <w:tcBorders>
              <w:top w:val="nil"/>
              <w:left w:val="nil"/>
              <w:bottom w:val="nil"/>
              <w:right w:val="nil"/>
            </w:tcBorders>
            <w:tcMar>
              <w:top w:w="9" w:type="dxa"/>
              <w:left w:w="9" w:type="dxa"/>
              <w:bottom w:w="0" w:type="dxa"/>
              <w:right w:w="9" w:type="dxa"/>
            </w:tcMar>
            <w:vAlign w:val="center"/>
          </w:tcPr>
          <w:p w:rsidR="00DC207C" w:rsidRPr="00123353" w:rsidRDefault="00DC207C" w:rsidP="008D176A">
            <w:pPr>
              <w:jc w:val="center"/>
              <w:textAlignment w:val="bottom"/>
              <w:rPr>
                <w:color w:val="000000"/>
                <w:kern w:val="24"/>
                <w:sz w:val="20"/>
                <w:szCs w:val="18"/>
              </w:rPr>
            </w:pPr>
          </w:p>
        </w:tc>
        <w:tc>
          <w:tcPr>
            <w:tcW w:w="607" w:type="dxa"/>
            <w:tcBorders>
              <w:top w:val="nil"/>
              <w:left w:val="nil"/>
              <w:bottom w:val="nil"/>
              <w:right w:val="nil"/>
            </w:tcBorders>
            <w:tcMar>
              <w:top w:w="15" w:type="dxa"/>
              <w:left w:w="15" w:type="dxa"/>
              <w:bottom w:w="0" w:type="dxa"/>
              <w:right w:w="15" w:type="dxa"/>
            </w:tcMar>
            <w:vAlign w:val="center"/>
          </w:tcPr>
          <w:p w:rsidR="00DC207C" w:rsidRPr="00123353" w:rsidRDefault="00DC207C" w:rsidP="008D176A">
            <w:pPr>
              <w:textAlignment w:val="bottom"/>
              <w:rPr>
                <w:color w:val="000000"/>
                <w:kern w:val="24"/>
                <w:sz w:val="20"/>
                <w:szCs w:val="18"/>
              </w:rPr>
            </w:pPr>
          </w:p>
        </w:tc>
        <w:tc>
          <w:tcPr>
            <w:tcW w:w="760" w:type="dxa"/>
            <w:tcBorders>
              <w:top w:val="nil"/>
              <w:left w:val="nil"/>
              <w:bottom w:val="nil"/>
              <w:right w:val="nil"/>
            </w:tcBorders>
            <w:tcMar>
              <w:top w:w="11" w:type="dxa"/>
              <w:left w:w="11" w:type="dxa"/>
              <w:bottom w:w="0" w:type="dxa"/>
              <w:right w:w="11" w:type="dxa"/>
            </w:tcMar>
            <w:vAlign w:val="center"/>
          </w:tcPr>
          <w:p w:rsidR="00DC207C" w:rsidRPr="00123353" w:rsidRDefault="00DC207C" w:rsidP="008D176A">
            <w:pPr>
              <w:jc w:val="right"/>
              <w:textAlignment w:val="bottom"/>
              <w:rPr>
                <w:color w:val="000000"/>
                <w:kern w:val="24"/>
                <w:sz w:val="20"/>
                <w:szCs w:val="18"/>
              </w:rPr>
            </w:pPr>
          </w:p>
        </w:tc>
        <w:tc>
          <w:tcPr>
            <w:tcW w:w="303" w:type="dxa"/>
            <w:tcBorders>
              <w:top w:val="nil"/>
              <w:left w:val="nil"/>
              <w:bottom w:val="nil"/>
              <w:right w:val="nil"/>
            </w:tcBorders>
            <w:tcMar>
              <w:top w:w="9" w:type="dxa"/>
              <w:left w:w="9" w:type="dxa"/>
              <w:bottom w:w="0" w:type="dxa"/>
              <w:right w:w="9" w:type="dxa"/>
            </w:tcMar>
            <w:vAlign w:val="center"/>
          </w:tcPr>
          <w:p w:rsidR="00DC207C" w:rsidRPr="00123353" w:rsidRDefault="00DC207C" w:rsidP="008D176A">
            <w:pPr>
              <w:jc w:val="center"/>
              <w:textAlignment w:val="bottom"/>
              <w:rPr>
                <w:color w:val="000000"/>
                <w:kern w:val="24"/>
                <w:sz w:val="20"/>
                <w:szCs w:val="18"/>
              </w:rPr>
            </w:pPr>
          </w:p>
        </w:tc>
        <w:tc>
          <w:tcPr>
            <w:tcW w:w="607" w:type="dxa"/>
            <w:tcBorders>
              <w:top w:val="nil"/>
              <w:left w:val="nil"/>
              <w:bottom w:val="nil"/>
              <w:right w:val="nil"/>
            </w:tcBorders>
            <w:tcMar>
              <w:top w:w="15" w:type="dxa"/>
              <w:left w:w="15" w:type="dxa"/>
              <w:bottom w:w="0" w:type="dxa"/>
              <w:right w:w="15" w:type="dxa"/>
            </w:tcMar>
            <w:vAlign w:val="center"/>
          </w:tcPr>
          <w:p w:rsidR="00DC207C" w:rsidRPr="00123353" w:rsidRDefault="00DC207C" w:rsidP="008D176A">
            <w:pPr>
              <w:textAlignment w:val="bottom"/>
              <w:rPr>
                <w:color w:val="000000"/>
                <w:kern w:val="24"/>
                <w:sz w:val="20"/>
                <w:szCs w:val="18"/>
              </w:rPr>
            </w:pPr>
          </w:p>
        </w:tc>
        <w:tc>
          <w:tcPr>
            <w:tcW w:w="912" w:type="dxa"/>
            <w:tcBorders>
              <w:top w:val="nil"/>
              <w:left w:val="nil"/>
              <w:bottom w:val="nil"/>
              <w:right w:val="nil"/>
            </w:tcBorders>
            <w:tcMar>
              <w:top w:w="11" w:type="dxa"/>
              <w:left w:w="11" w:type="dxa"/>
              <w:bottom w:w="0" w:type="dxa"/>
              <w:right w:w="11" w:type="dxa"/>
            </w:tcMar>
            <w:vAlign w:val="center"/>
          </w:tcPr>
          <w:p w:rsidR="00DC207C" w:rsidRPr="00123353" w:rsidRDefault="00DC207C" w:rsidP="008D176A">
            <w:pPr>
              <w:jc w:val="right"/>
              <w:textAlignment w:val="bottom"/>
              <w:rPr>
                <w:color w:val="000000"/>
                <w:kern w:val="24"/>
                <w:sz w:val="20"/>
                <w:szCs w:val="18"/>
              </w:rPr>
            </w:pPr>
          </w:p>
        </w:tc>
        <w:tc>
          <w:tcPr>
            <w:tcW w:w="303" w:type="dxa"/>
            <w:tcBorders>
              <w:top w:val="nil"/>
              <w:left w:val="nil"/>
              <w:bottom w:val="nil"/>
              <w:right w:val="nil"/>
            </w:tcBorders>
            <w:tcMar>
              <w:top w:w="9" w:type="dxa"/>
              <w:left w:w="9" w:type="dxa"/>
              <w:bottom w:w="0" w:type="dxa"/>
              <w:right w:w="9" w:type="dxa"/>
            </w:tcMar>
            <w:vAlign w:val="center"/>
          </w:tcPr>
          <w:p w:rsidR="00DC207C" w:rsidRPr="00123353" w:rsidRDefault="00DC207C" w:rsidP="008D176A">
            <w:pPr>
              <w:jc w:val="center"/>
              <w:textAlignment w:val="bottom"/>
              <w:rPr>
                <w:color w:val="000000"/>
                <w:kern w:val="24"/>
                <w:sz w:val="20"/>
                <w:szCs w:val="18"/>
              </w:rPr>
            </w:pPr>
          </w:p>
        </w:tc>
        <w:tc>
          <w:tcPr>
            <w:tcW w:w="607" w:type="dxa"/>
            <w:tcBorders>
              <w:top w:val="nil"/>
              <w:left w:val="nil"/>
              <w:bottom w:val="nil"/>
              <w:right w:val="nil"/>
            </w:tcBorders>
            <w:tcMar>
              <w:top w:w="15" w:type="dxa"/>
              <w:left w:w="15" w:type="dxa"/>
              <w:bottom w:w="0" w:type="dxa"/>
              <w:right w:w="15" w:type="dxa"/>
            </w:tcMar>
            <w:vAlign w:val="center"/>
          </w:tcPr>
          <w:p w:rsidR="00DC207C" w:rsidRPr="00123353" w:rsidRDefault="00DC207C" w:rsidP="008D176A">
            <w:pPr>
              <w:textAlignment w:val="bottom"/>
              <w:rPr>
                <w:color w:val="000000"/>
                <w:kern w:val="24"/>
                <w:sz w:val="20"/>
                <w:szCs w:val="18"/>
              </w:rPr>
            </w:pPr>
          </w:p>
        </w:tc>
      </w:tr>
      <w:tr w:rsidR="00DC207C" w:rsidRPr="007F0DA8" w:rsidTr="00376AE6">
        <w:trPr>
          <w:trHeight w:val="144"/>
        </w:trPr>
        <w:tc>
          <w:tcPr>
            <w:tcW w:w="912" w:type="dxa"/>
            <w:tcBorders>
              <w:top w:val="nil"/>
              <w:left w:val="nil"/>
              <w:bottom w:val="nil"/>
              <w:right w:val="nil"/>
            </w:tcBorders>
            <w:tcMar>
              <w:top w:w="11" w:type="dxa"/>
              <w:left w:w="11" w:type="dxa"/>
              <w:bottom w:w="0" w:type="dxa"/>
              <w:right w:w="11" w:type="dxa"/>
            </w:tcMar>
            <w:vAlign w:val="center"/>
          </w:tcPr>
          <w:p w:rsidR="00DC207C" w:rsidRPr="00123353" w:rsidRDefault="00DC207C" w:rsidP="008D176A">
            <w:pPr>
              <w:rPr>
                <w:sz w:val="20"/>
                <w:szCs w:val="18"/>
              </w:rPr>
            </w:pPr>
          </w:p>
        </w:tc>
        <w:tc>
          <w:tcPr>
            <w:tcW w:w="1518" w:type="dxa"/>
            <w:tcBorders>
              <w:top w:val="nil"/>
              <w:left w:val="nil"/>
              <w:bottom w:val="nil"/>
              <w:right w:val="nil"/>
            </w:tcBorders>
            <w:tcMar>
              <w:top w:w="11" w:type="dxa"/>
              <w:left w:w="11" w:type="dxa"/>
              <w:bottom w:w="0" w:type="dxa"/>
              <w:right w:w="11" w:type="dxa"/>
            </w:tcMar>
            <w:vAlign w:val="center"/>
          </w:tcPr>
          <w:p w:rsidR="00DC207C" w:rsidRPr="00123353" w:rsidRDefault="00DC207C" w:rsidP="008D176A">
            <w:pPr>
              <w:textAlignment w:val="center"/>
              <w:rPr>
                <w:sz w:val="20"/>
                <w:szCs w:val="18"/>
              </w:rPr>
            </w:pPr>
            <w:r w:rsidRPr="00123353">
              <w:rPr>
                <w:color w:val="000000"/>
                <w:kern w:val="24"/>
                <w:sz w:val="20"/>
                <w:szCs w:val="18"/>
              </w:rPr>
              <w:t>Control</w:t>
            </w:r>
          </w:p>
        </w:tc>
        <w:tc>
          <w:tcPr>
            <w:tcW w:w="760" w:type="dxa"/>
            <w:tcBorders>
              <w:top w:val="nil"/>
              <w:left w:val="nil"/>
              <w:bottom w:val="nil"/>
              <w:right w:val="nil"/>
            </w:tcBorders>
            <w:tcMar>
              <w:top w:w="11" w:type="dxa"/>
              <w:left w:w="11" w:type="dxa"/>
              <w:bottom w:w="0" w:type="dxa"/>
              <w:right w:w="11" w:type="dxa"/>
            </w:tcMar>
            <w:vAlign w:val="center"/>
          </w:tcPr>
          <w:p w:rsidR="00DC207C" w:rsidRPr="00123353" w:rsidRDefault="00DC207C" w:rsidP="008D176A">
            <w:pPr>
              <w:jc w:val="right"/>
              <w:textAlignment w:val="bottom"/>
              <w:rPr>
                <w:b/>
                <w:sz w:val="20"/>
                <w:szCs w:val="18"/>
              </w:rPr>
            </w:pPr>
            <w:r w:rsidRPr="00123353">
              <w:rPr>
                <w:b/>
                <w:color w:val="000000"/>
                <w:kern w:val="24"/>
                <w:sz w:val="20"/>
                <w:szCs w:val="18"/>
              </w:rPr>
              <w:t>77.3</w:t>
            </w:r>
          </w:p>
        </w:tc>
        <w:tc>
          <w:tcPr>
            <w:tcW w:w="303" w:type="dxa"/>
            <w:tcBorders>
              <w:top w:val="nil"/>
              <w:left w:val="nil"/>
              <w:bottom w:val="nil"/>
              <w:right w:val="nil"/>
            </w:tcBorders>
            <w:tcMar>
              <w:top w:w="9" w:type="dxa"/>
              <w:left w:w="9" w:type="dxa"/>
              <w:bottom w:w="0" w:type="dxa"/>
              <w:right w:w="9" w:type="dxa"/>
            </w:tcMar>
            <w:vAlign w:val="center"/>
          </w:tcPr>
          <w:p w:rsidR="00DC207C" w:rsidRPr="00123353" w:rsidRDefault="00DC207C" w:rsidP="008D176A">
            <w:pPr>
              <w:jc w:val="center"/>
              <w:textAlignment w:val="bottom"/>
              <w:rPr>
                <w:b/>
                <w:sz w:val="20"/>
                <w:szCs w:val="18"/>
              </w:rPr>
            </w:pPr>
            <w:r w:rsidRPr="00123353">
              <w:rPr>
                <w:b/>
                <w:color w:val="000000"/>
                <w:kern w:val="24"/>
                <w:sz w:val="20"/>
                <w:szCs w:val="18"/>
              </w:rPr>
              <w:t xml:space="preserve">± </w:t>
            </w:r>
          </w:p>
        </w:tc>
        <w:tc>
          <w:tcPr>
            <w:tcW w:w="760" w:type="dxa"/>
            <w:tcBorders>
              <w:top w:val="nil"/>
              <w:left w:val="nil"/>
              <w:bottom w:val="nil"/>
              <w:right w:val="nil"/>
            </w:tcBorders>
            <w:tcMar>
              <w:top w:w="15" w:type="dxa"/>
              <w:left w:w="15" w:type="dxa"/>
              <w:bottom w:w="0" w:type="dxa"/>
              <w:right w:w="15" w:type="dxa"/>
            </w:tcMar>
            <w:vAlign w:val="center"/>
          </w:tcPr>
          <w:p w:rsidR="00DC207C" w:rsidRPr="00123353" w:rsidRDefault="00DC207C" w:rsidP="008D176A">
            <w:pPr>
              <w:textAlignment w:val="bottom"/>
              <w:rPr>
                <w:b/>
                <w:sz w:val="20"/>
                <w:szCs w:val="18"/>
              </w:rPr>
            </w:pPr>
            <w:r w:rsidRPr="00123353">
              <w:rPr>
                <w:b/>
                <w:color w:val="000000"/>
                <w:kern w:val="24"/>
                <w:sz w:val="20"/>
                <w:szCs w:val="18"/>
              </w:rPr>
              <w:t>2.8</w:t>
            </w:r>
          </w:p>
        </w:tc>
        <w:tc>
          <w:tcPr>
            <w:tcW w:w="760" w:type="dxa"/>
            <w:tcBorders>
              <w:top w:val="nil"/>
              <w:left w:val="nil"/>
              <w:bottom w:val="nil"/>
              <w:right w:val="nil"/>
            </w:tcBorders>
            <w:tcMar>
              <w:top w:w="11" w:type="dxa"/>
              <w:left w:w="11" w:type="dxa"/>
              <w:bottom w:w="0" w:type="dxa"/>
              <w:right w:w="11" w:type="dxa"/>
            </w:tcMar>
            <w:vAlign w:val="center"/>
          </w:tcPr>
          <w:p w:rsidR="00DC207C" w:rsidRPr="00123353" w:rsidRDefault="00DC207C" w:rsidP="008D176A">
            <w:pPr>
              <w:jc w:val="right"/>
              <w:textAlignment w:val="bottom"/>
              <w:rPr>
                <w:b/>
                <w:sz w:val="20"/>
                <w:szCs w:val="18"/>
              </w:rPr>
            </w:pPr>
            <w:r w:rsidRPr="00123353">
              <w:rPr>
                <w:b/>
                <w:color w:val="000000"/>
                <w:kern w:val="24"/>
                <w:sz w:val="20"/>
                <w:szCs w:val="18"/>
              </w:rPr>
              <w:t>77.9</w:t>
            </w:r>
          </w:p>
        </w:tc>
        <w:tc>
          <w:tcPr>
            <w:tcW w:w="303" w:type="dxa"/>
            <w:tcBorders>
              <w:top w:val="nil"/>
              <w:left w:val="nil"/>
              <w:bottom w:val="nil"/>
              <w:right w:val="nil"/>
            </w:tcBorders>
            <w:tcMar>
              <w:top w:w="9" w:type="dxa"/>
              <w:left w:w="9" w:type="dxa"/>
              <w:bottom w:w="0" w:type="dxa"/>
              <w:right w:w="9" w:type="dxa"/>
            </w:tcMar>
            <w:vAlign w:val="center"/>
          </w:tcPr>
          <w:p w:rsidR="00DC207C" w:rsidRPr="00123353" w:rsidRDefault="00DC207C" w:rsidP="008D176A">
            <w:pPr>
              <w:jc w:val="center"/>
              <w:textAlignment w:val="bottom"/>
              <w:rPr>
                <w:b/>
                <w:sz w:val="20"/>
                <w:szCs w:val="18"/>
              </w:rPr>
            </w:pPr>
            <w:r w:rsidRPr="00123353">
              <w:rPr>
                <w:b/>
                <w:color w:val="000000"/>
                <w:kern w:val="24"/>
                <w:sz w:val="20"/>
                <w:szCs w:val="18"/>
              </w:rPr>
              <w:t xml:space="preserve">± </w:t>
            </w:r>
          </w:p>
        </w:tc>
        <w:tc>
          <w:tcPr>
            <w:tcW w:w="607" w:type="dxa"/>
            <w:tcBorders>
              <w:top w:val="nil"/>
              <w:left w:val="nil"/>
              <w:bottom w:val="nil"/>
              <w:right w:val="nil"/>
            </w:tcBorders>
            <w:tcMar>
              <w:top w:w="15" w:type="dxa"/>
              <w:left w:w="15" w:type="dxa"/>
              <w:bottom w:w="0" w:type="dxa"/>
              <w:right w:w="15" w:type="dxa"/>
            </w:tcMar>
            <w:vAlign w:val="center"/>
          </w:tcPr>
          <w:p w:rsidR="00DC207C" w:rsidRPr="00123353" w:rsidRDefault="00DC207C" w:rsidP="008D176A">
            <w:pPr>
              <w:textAlignment w:val="bottom"/>
              <w:rPr>
                <w:b/>
                <w:sz w:val="20"/>
                <w:szCs w:val="18"/>
              </w:rPr>
            </w:pPr>
            <w:r w:rsidRPr="00123353">
              <w:rPr>
                <w:b/>
                <w:color w:val="000000"/>
                <w:kern w:val="24"/>
                <w:sz w:val="20"/>
                <w:szCs w:val="18"/>
              </w:rPr>
              <w:t>1.5</w:t>
            </w:r>
            <w:r w:rsidRPr="00123353">
              <w:rPr>
                <w:b/>
                <w:bCs/>
                <w:color w:val="000000"/>
                <w:kern w:val="24"/>
                <w:sz w:val="20"/>
                <w:szCs w:val="18"/>
              </w:rPr>
              <w:t xml:space="preserve"> </w:t>
            </w:r>
          </w:p>
        </w:tc>
        <w:tc>
          <w:tcPr>
            <w:tcW w:w="760" w:type="dxa"/>
            <w:tcBorders>
              <w:top w:val="nil"/>
              <w:left w:val="nil"/>
              <w:bottom w:val="nil"/>
              <w:right w:val="nil"/>
            </w:tcBorders>
            <w:tcMar>
              <w:top w:w="11" w:type="dxa"/>
              <w:left w:w="11" w:type="dxa"/>
              <w:bottom w:w="0" w:type="dxa"/>
              <w:right w:w="11" w:type="dxa"/>
            </w:tcMar>
            <w:vAlign w:val="center"/>
          </w:tcPr>
          <w:p w:rsidR="00DC207C" w:rsidRPr="00123353" w:rsidRDefault="00DC207C" w:rsidP="008D176A">
            <w:pPr>
              <w:jc w:val="right"/>
              <w:textAlignment w:val="bottom"/>
              <w:rPr>
                <w:sz w:val="20"/>
                <w:szCs w:val="18"/>
              </w:rPr>
            </w:pPr>
            <w:r w:rsidRPr="00123353">
              <w:rPr>
                <w:color w:val="000000"/>
                <w:kern w:val="24"/>
                <w:sz w:val="20"/>
                <w:szCs w:val="18"/>
              </w:rPr>
              <w:t>81.3</w:t>
            </w:r>
          </w:p>
        </w:tc>
        <w:tc>
          <w:tcPr>
            <w:tcW w:w="303" w:type="dxa"/>
            <w:tcBorders>
              <w:top w:val="nil"/>
              <w:left w:val="nil"/>
              <w:bottom w:val="nil"/>
              <w:right w:val="nil"/>
            </w:tcBorders>
            <w:tcMar>
              <w:top w:w="9" w:type="dxa"/>
              <w:left w:w="9" w:type="dxa"/>
              <w:bottom w:w="0" w:type="dxa"/>
              <w:right w:w="9" w:type="dxa"/>
            </w:tcMar>
            <w:vAlign w:val="center"/>
          </w:tcPr>
          <w:p w:rsidR="00DC207C" w:rsidRPr="00123353" w:rsidRDefault="00DC207C" w:rsidP="008D176A">
            <w:pPr>
              <w:jc w:val="center"/>
              <w:textAlignment w:val="bottom"/>
              <w:rPr>
                <w:sz w:val="20"/>
                <w:szCs w:val="18"/>
              </w:rPr>
            </w:pPr>
            <w:r w:rsidRPr="00123353">
              <w:rPr>
                <w:color w:val="000000"/>
                <w:kern w:val="24"/>
                <w:sz w:val="20"/>
                <w:szCs w:val="18"/>
              </w:rPr>
              <w:t xml:space="preserve">± </w:t>
            </w:r>
          </w:p>
        </w:tc>
        <w:tc>
          <w:tcPr>
            <w:tcW w:w="607" w:type="dxa"/>
            <w:tcBorders>
              <w:top w:val="nil"/>
              <w:left w:val="nil"/>
              <w:bottom w:val="nil"/>
              <w:right w:val="nil"/>
            </w:tcBorders>
            <w:tcMar>
              <w:top w:w="15" w:type="dxa"/>
              <w:left w:w="15" w:type="dxa"/>
              <w:bottom w:w="0" w:type="dxa"/>
              <w:right w:w="15" w:type="dxa"/>
            </w:tcMar>
            <w:vAlign w:val="center"/>
          </w:tcPr>
          <w:p w:rsidR="00DC207C" w:rsidRPr="00123353" w:rsidRDefault="00DC207C" w:rsidP="008D176A">
            <w:pPr>
              <w:textAlignment w:val="bottom"/>
              <w:rPr>
                <w:sz w:val="20"/>
                <w:szCs w:val="18"/>
              </w:rPr>
            </w:pPr>
            <w:r w:rsidRPr="00123353">
              <w:rPr>
                <w:color w:val="000000"/>
                <w:kern w:val="24"/>
                <w:sz w:val="20"/>
                <w:szCs w:val="18"/>
              </w:rPr>
              <w:t>2.5</w:t>
            </w:r>
          </w:p>
        </w:tc>
        <w:tc>
          <w:tcPr>
            <w:tcW w:w="912" w:type="dxa"/>
            <w:tcBorders>
              <w:top w:val="nil"/>
              <w:left w:val="nil"/>
              <w:bottom w:val="nil"/>
              <w:right w:val="nil"/>
            </w:tcBorders>
            <w:tcMar>
              <w:top w:w="11" w:type="dxa"/>
              <w:left w:w="11" w:type="dxa"/>
              <w:bottom w:w="0" w:type="dxa"/>
              <w:right w:w="11" w:type="dxa"/>
            </w:tcMar>
            <w:vAlign w:val="center"/>
          </w:tcPr>
          <w:p w:rsidR="00DC207C" w:rsidRPr="00123353" w:rsidRDefault="00DC207C" w:rsidP="008D176A">
            <w:pPr>
              <w:jc w:val="right"/>
              <w:textAlignment w:val="bottom"/>
              <w:rPr>
                <w:b/>
                <w:sz w:val="20"/>
                <w:szCs w:val="18"/>
              </w:rPr>
            </w:pPr>
            <w:r w:rsidRPr="00123353">
              <w:rPr>
                <w:b/>
                <w:color w:val="000000"/>
                <w:kern w:val="24"/>
                <w:sz w:val="20"/>
                <w:szCs w:val="18"/>
              </w:rPr>
              <w:t>75.8</w:t>
            </w:r>
          </w:p>
        </w:tc>
        <w:tc>
          <w:tcPr>
            <w:tcW w:w="303" w:type="dxa"/>
            <w:tcBorders>
              <w:top w:val="nil"/>
              <w:left w:val="nil"/>
              <w:bottom w:val="nil"/>
              <w:right w:val="nil"/>
            </w:tcBorders>
            <w:tcMar>
              <w:top w:w="9" w:type="dxa"/>
              <w:left w:w="9" w:type="dxa"/>
              <w:bottom w:w="0" w:type="dxa"/>
              <w:right w:w="9" w:type="dxa"/>
            </w:tcMar>
            <w:vAlign w:val="center"/>
          </w:tcPr>
          <w:p w:rsidR="00DC207C" w:rsidRPr="00123353" w:rsidRDefault="00DC207C" w:rsidP="008D176A">
            <w:pPr>
              <w:jc w:val="center"/>
              <w:textAlignment w:val="bottom"/>
              <w:rPr>
                <w:b/>
                <w:sz w:val="20"/>
                <w:szCs w:val="18"/>
              </w:rPr>
            </w:pPr>
            <w:r w:rsidRPr="00123353">
              <w:rPr>
                <w:b/>
                <w:color w:val="000000"/>
                <w:kern w:val="24"/>
                <w:sz w:val="20"/>
                <w:szCs w:val="18"/>
              </w:rPr>
              <w:t xml:space="preserve">± </w:t>
            </w:r>
          </w:p>
        </w:tc>
        <w:tc>
          <w:tcPr>
            <w:tcW w:w="607" w:type="dxa"/>
            <w:tcBorders>
              <w:top w:val="nil"/>
              <w:left w:val="nil"/>
              <w:bottom w:val="nil"/>
              <w:right w:val="nil"/>
            </w:tcBorders>
            <w:tcMar>
              <w:top w:w="15" w:type="dxa"/>
              <w:left w:w="15" w:type="dxa"/>
              <w:bottom w:w="0" w:type="dxa"/>
              <w:right w:w="15" w:type="dxa"/>
            </w:tcMar>
            <w:vAlign w:val="center"/>
          </w:tcPr>
          <w:p w:rsidR="00DC207C" w:rsidRPr="00123353" w:rsidRDefault="00DC207C" w:rsidP="008D176A">
            <w:pPr>
              <w:textAlignment w:val="bottom"/>
              <w:rPr>
                <w:b/>
                <w:sz w:val="20"/>
                <w:szCs w:val="18"/>
              </w:rPr>
            </w:pPr>
            <w:r w:rsidRPr="00123353">
              <w:rPr>
                <w:b/>
                <w:color w:val="000000"/>
                <w:kern w:val="24"/>
                <w:sz w:val="20"/>
                <w:szCs w:val="18"/>
              </w:rPr>
              <w:t>9.5</w:t>
            </w:r>
          </w:p>
        </w:tc>
      </w:tr>
      <w:tr w:rsidR="00DC207C" w:rsidRPr="007F0DA8" w:rsidTr="00376AE6">
        <w:trPr>
          <w:trHeight w:val="144"/>
        </w:trPr>
        <w:tc>
          <w:tcPr>
            <w:tcW w:w="912" w:type="dxa"/>
            <w:tcBorders>
              <w:top w:val="nil"/>
              <w:left w:val="nil"/>
              <w:bottom w:val="nil"/>
              <w:right w:val="nil"/>
            </w:tcBorders>
            <w:tcMar>
              <w:top w:w="11" w:type="dxa"/>
              <w:left w:w="11" w:type="dxa"/>
              <w:bottom w:w="0" w:type="dxa"/>
              <w:right w:w="11" w:type="dxa"/>
            </w:tcMar>
            <w:vAlign w:val="center"/>
          </w:tcPr>
          <w:p w:rsidR="00DC207C" w:rsidRPr="00123353" w:rsidRDefault="00DC207C" w:rsidP="008D176A">
            <w:pPr>
              <w:rPr>
                <w:sz w:val="20"/>
                <w:szCs w:val="18"/>
              </w:rPr>
            </w:pPr>
          </w:p>
        </w:tc>
        <w:tc>
          <w:tcPr>
            <w:tcW w:w="1518" w:type="dxa"/>
            <w:tcBorders>
              <w:top w:val="nil"/>
              <w:left w:val="nil"/>
              <w:bottom w:val="nil"/>
              <w:right w:val="nil"/>
            </w:tcBorders>
            <w:tcMar>
              <w:top w:w="11" w:type="dxa"/>
              <w:left w:w="11" w:type="dxa"/>
              <w:bottom w:w="0" w:type="dxa"/>
              <w:right w:w="11" w:type="dxa"/>
            </w:tcMar>
            <w:vAlign w:val="center"/>
          </w:tcPr>
          <w:p w:rsidR="00DC207C" w:rsidRPr="00123353" w:rsidRDefault="00DC207C" w:rsidP="008D176A">
            <w:pPr>
              <w:textAlignment w:val="center"/>
              <w:rPr>
                <w:sz w:val="20"/>
                <w:szCs w:val="18"/>
              </w:rPr>
            </w:pPr>
            <w:r w:rsidRPr="00123353">
              <w:rPr>
                <w:color w:val="000000"/>
                <w:kern w:val="24"/>
                <w:sz w:val="20"/>
                <w:szCs w:val="18"/>
              </w:rPr>
              <w:t>COMT3</w:t>
            </w:r>
          </w:p>
        </w:tc>
        <w:tc>
          <w:tcPr>
            <w:tcW w:w="760" w:type="dxa"/>
            <w:tcBorders>
              <w:top w:val="nil"/>
              <w:left w:val="nil"/>
              <w:bottom w:val="nil"/>
              <w:right w:val="nil"/>
            </w:tcBorders>
            <w:tcMar>
              <w:top w:w="11" w:type="dxa"/>
              <w:left w:w="11" w:type="dxa"/>
              <w:bottom w:w="0" w:type="dxa"/>
              <w:right w:w="11" w:type="dxa"/>
            </w:tcMar>
            <w:vAlign w:val="center"/>
          </w:tcPr>
          <w:p w:rsidR="00DC207C" w:rsidRPr="00123353" w:rsidRDefault="00DC207C" w:rsidP="008D176A">
            <w:pPr>
              <w:jc w:val="right"/>
              <w:textAlignment w:val="bottom"/>
              <w:rPr>
                <w:b/>
                <w:sz w:val="20"/>
                <w:szCs w:val="18"/>
              </w:rPr>
            </w:pPr>
            <w:r w:rsidRPr="00123353">
              <w:rPr>
                <w:b/>
                <w:color w:val="000000"/>
                <w:kern w:val="24"/>
                <w:sz w:val="20"/>
                <w:szCs w:val="18"/>
              </w:rPr>
              <w:t>65.5</w:t>
            </w:r>
          </w:p>
        </w:tc>
        <w:tc>
          <w:tcPr>
            <w:tcW w:w="303" w:type="dxa"/>
            <w:tcBorders>
              <w:top w:val="nil"/>
              <w:left w:val="nil"/>
              <w:bottom w:val="nil"/>
              <w:right w:val="nil"/>
            </w:tcBorders>
            <w:tcMar>
              <w:top w:w="9" w:type="dxa"/>
              <w:left w:w="9" w:type="dxa"/>
              <w:bottom w:w="0" w:type="dxa"/>
              <w:right w:w="9" w:type="dxa"/>
            </w:tcMar>
            <w:vAlign w:val="center"/>
          </w:tcPr>
          <w:p w:rsidR="00DC207C" w:rsidRPr="00123353" w:rsidRDefault="00DC207C" w:rsidP="008D176A">
            <w:pPr>
              <w:jc w:val="center"/>
              <w:textAlignment w:val="bottom"/>
              <w:rPr>
                <w:b/>
                <w:sz w:val="20"/>
                <w:szCs w:val="18"/>
              </w:rPr>
            </w:pPr>
            <w:r w:rsidRPr="00123353">
              <w:rPr>
                <w:b/>
                <w:color w:val="000000"/>
                <w:kern w:val="24"/>
                <w:sz w:val="20"/>
                <w:szCs w:val="18"/>
              </w:rPr>
              <w:t xml:space="preserve">± </w:t>
            </w:r>
          </w:p>
        </w:tc>
        <w:tc>
          <w:tcPr>
            <w:tcW w:w="760" w:type="dxa"/>
            <w:tcBorders>
              <w:top w:val="nil"/>
              <w:left w:val="nil"/>
              <w:bottom w:val="nil"/>
              <w:right w:val="nil"/>
            </w:tcBorders>
            <w:tcMar>
              <w:top w:w="15" w:type="dxa"/>
              <w:left w:w="15" w:type="dxa"/>
              <w:bottom w:w="0" w:type="dxa"/>
              <w:right w:w="15" w:type="dxa"/>
            </w:tcMar>
            <w:vAlign w:val="center"/>
          </w:tcPr>
          <w:p w:rsidR="00DC207C" w:rsidRPr="00123353" w:rsidRDefault="00DC207C" w:rsidP="008D176A">
            <w:pPr>
              <w:textAlignment w:val="bottom"/>
              <w:rPr>
                <w:b/>
                <w:sz w:val="20"/>
                <w:szCs w:val="18"/>
              </w:rPr>
            </w:pPr>
            <w:r w:rsidRPr="00123353">
              <w:rPr>
                <w:b/>
                <w:color w:val="000000"/>
                <w:kern w:val="24"/>
                <w:sz w:val="20"/>
                <w:szCs w:val="18"/>
              </w:rPr>
              <w:t xml:space="preserve">1.8* </w:t>
            </w:r>
          </w:p>
        </w:tc>
        <w:tc>
          <w:tcPr>
            <w:tcW w:w="760" w:type="dxa"/>
            <w:tcBorders>
              <w:top w:val="nil"/>
              <w:left w:val="nil"/>
              <w:bottom w:val="nil"/>
              <w:right w:val="nil"/>
            </w:tcBorders>
            <w:tcMar>
              <w:top w:w="11" w:type="dxa"/>
              <w:left w:w="11" w:type="dxa"/>
              <w:bottom w:w="0" w:type="dxa"/>
              <w:right w:w="11" w:type="dxa"/>
            </w:tcMar>
            <w:vAlign w:val="center"/>
          </w:tcPr>
          <w:p w:rsidR="00DC207C" w:rsidRPr="00123353" w:rsidRDefault="00DC207C" w:rsidP="008D176A">
            <w:pPr>
              <w:jc w:val="right"/>
              <w:textAlignment w:val="bottom"/>
              <w:rPr>
                <w:b/>
                <w:sz w:val="20"/>
                <w:szCs w:val="18"/>
              </w:rPr>
            </w:pPr>
            <w:r w:rsidRPr="00123353">
              <w:rPr>
                <w:b/>
                <w:color w:val="000000"/>
                <w:kern w:val="24"/>
                <w:sz w:val="20"/>
                <w:szCs w:val="18"/>
              </w:rPr>
              <w:t>71.6</w:t>
            </w:r>
          </w:p>
        </w:tc>
        <w:tc>
          <w:tcPr>
            <w:tcW w:w="303" w:type="dxa"/>
            <w:tcBorders>
              <w:top w:val="nil"/>
              <w:left w:val="nil"/>
              <w:bottom w:val="nil"/>
              <w:right w:val="nil"/>
            </w:tcBorders>
            <w:tcMar>
              <w:top w:w="9" w:type="dxa"/>
              <w:left w:w="9" w:type="dxa"/>
              <w:bottom w:w="0" w:type="dxa"/>
              <w:right w:w="9" w:type="dxa"/>
            </w:tcMar>
            <w:vAlign w:val="center"/>
          </w:tcPr>
          <w:p w:rsidR="00DC207C" w:rsidRPr="00123353" w:rsidRDefault="00DC207C" w:rsidP="008D176A">
            <w:pPr>
              <w:jc w:val="center"/>
              <w:textAlignment w:val="bottom"/>
              <w:rPr>
                <w:b/>
                <w:sz w:val="20"/>
                <w:szCs w:val="18"/>
              </w:rPr>
            </w:pPr>
            <w:r w:rsidRPr="00123353">
              <w:rPr>
                <w:b/>
                <w:color w:val="000000"/>
                <w:kern w:val="24"/>
                <w:sz w:val="20"/>
                <w:szCs w:val="18"/>
              </w:rPr>
              <w:t xml:space="preserve">± </w:t>
            </w:r>
          </w:p>
        </w:tc>
        <w:tc>
          <w:tcPr>
            <w:tcW w:w="607" w:type="dxa"/>
            <w:tcBorders>
              <w:top w:val="nil"/>
              <w:left w:val="nil"/>
              <w:bottom w:val="nil"/>
              <w:right w:val="nil"/>
            </w:tcBorders>
            <w:tcMar>
              <w:top w:w="15" w:type="dxa"/>
              <w:left w:w="15" w:type="dxa"/>
              <w:bottom w:w="0" w:type="dxa"/>
              <w:right w:w="15" w:type="dxa"/>
            </w:tcMar>
            <w:vAlign w:val="center"/>
          </w:tcPr>
          <w:p w:rsidR="00DC207C" w:rsidRPr="00123353" w:rsidRDefault="00DC207C" w:rsidP="008D176A">
            <w:pPr>
              <w:textAlignment w:val="bottom"/>
              <w:rPr>
                <w:b/>
                <w:sz w:val="20"/>
                <w:szCs w:val="18"/>
              </w:rPr>
            </w:pPr>
            <w:r w:rsidRPr="00123353">
              <w:rPr>
                <w:b/>
                <w:color w:val="000000"/>
                <w:kern w:val="24"/>
                <w:sz w:val="20"/>
                <w:szCs w:val="18"/>
              </w:rPr>
              <w:t xml:space="preserve">1.1* </w:t>
            </w:r>
          </w:p>
        </w:tc>
        <w:tc>
          <w:tcPr>
            <w:tcW w:w="760" w:type="dxa"/>
            <w:tcBorders>
              <w:top w:val="nil"/>
              <w:left w:val="nil"/>
              <w:bottom w:val="nil"/>
              <w:right w:val="nil"/>
            </w:tcBorders>
            <w:tcMar>
              <w:top w:w="11" w:type="dxa"/>
              <w:left w:w="11" w:type="dxa"/>
              <w:bottom w:w="0" w:type="dxa"/>
              <w:right w:w="11" w:type="dxa"/>
            </w:tcMar>
            <w:vAlign w:val="center"/>
          </w:tcPr>
          <w:p w:rsidR="00DC207C" w:rsidRPr="00123353" w:rsidRDefault="00DC207C" w:rsidP="008D176A">
            <w:pPr>
              <w:jc w:val="right"/>
              <w:textAlignment w:val="bottom"/>
              <w:rPr>
                <w:sz w:val="20"/>
                <w:szCs w:val="18"/>
              </w:rPr>
            </w:pPr>
            <w:r w:rsidRPr="00123353">
              <w:rPr>
                <w:color w:val="000000"/>
                <w:kern w:val="24"/>
                <w:sz w:val="20"/>
                <w:szCs w:val="18"/>
              </w:rPr>
              <w:t>88.8</w:t>
            </w:r>
          </w:p>
        </w:tc>
        <w:tc>
          <w:tcPr>
            <w:tcW w:w="303" w:type="dxa"/>
            <w:tcBorders>
              <w:top w:val="nil"/>
              <w:left w:val="nil"/>
              <w:bottom w:val="nil"/>
              <w:right w:val="nil"/>
            </w:tcBorders>
            <w:tcMar>
              <w:top w:w="9" w:type="dxa"/>
              <w:left w:w="9" w:type="dxa"/>
              <w:bottom w:w="0" w:type="dxa"/>
              <w:right w:w="9" w:type="dxa"/>
            </w:tcMar>
            <w:vAlign w:val="center"/>
          </w:tcPr>
          <w:p w:rsidR="00DC207C" w:rsidRPr="00123353" w:rsidRDefault="00DC207C" w:rsidP="008D176A">
            <w:pPr>
              <w:jc w:val="center"/>
              <w:textAlignment w:val="bottom"/>
              <w:rPr>
                <w:sz w:val="20"/>
                <w:szCs w:val="18"/>
              </w:rPr>
            </w:pPr>
            <w:r w:rsidRPr="00123353">
              <w:rPr>
                <w:color w:val="000000"/>
                <w:kern w:val="24"/>
                <w:sz w:val="20"/>
                <w:szCs w:val="18"/>
              </w:rPr>
              <w:t xml:space="preserve">± </w:t>
            </w:r>
          </w:p>
        </w:tc>
        <w:tc>
          <w:tcPr>
            <w:tcW w:w="607" w:type="dxa"/>
            <w:tcBorders>
              <w:top w:val="nil"/>
              <w:left w:val="nil"/>
              <w:bottom w:val="nil"/>
              <w:right w:val="nil"/>
            </w:tcBorders>
            <w:tcMar>
              <w:top w:w="15" w:type="dxa"/>
              <w:left w:w="15" w:type="dxa"/>
              <w:bottom w:w="0" w:type="dxa"/>
              <w:right w:w="15" w:type="dxa"/>
            </w:tcMar>
            <w:vAlign w:val="center"/>
          </w:tcPr>
          <w:p w:rsidR="00DC207C" w:rsidRPr="00123353" w:rsidRDefault="00DC207C" w:rsidP="008D176A">
            <w:pPr>
              <w:textAlignment w:val="bottom"/>
              <w:rPr>
                <w:sz w:val="20"/>
                <w:szCs w:val="18"/>
              </w:rPr>
            </w:pPr>
            <w:r w:rsidRPr="00123353">
              <w:rPr>
                <w:color w:val="000000"/>
                <w:kern w:val="24"/>
                <w:sz w:val="20"/>
                <w:szCs w:val="18"/>
              </w:rPr>
              <w:t>3.2</w:t>
            </w:r>
          </w:p>
        </w:tc>
        <w:tc>
          <w:tcPr>
            <w:tcW w:w="912" w:type="dxa"/>
            <w:tcBorders>
              <w:top w:val="nil"/>
              <w:left w:val="nil"/>
              <w:bottom w:val="nil"/>
              <w:right w:val="nil"/>
            </w:tcBorders>
            <w:tcMar>
              <w:top w:w="11" w:type="dxa"/>
              <w:left w:w="11" w:type="dxa"/>
              <w:bottom w:w="0" w:type="dxa"/>
              <w:right w:w="11" w:type="dxa"/>
            </w:tcMar>
            <w:vAlign w:val="center"/>
          </w:tcPr>
          <w:p w:rsidR="00DC207C" w:rsidRPr="00123353" w:rsidRDefault="00DC207C" w:rsidP="008D176A">
            <w:pPr>
              <w:jc w:val="right"/>
              <w:textAlignment w:val="bottom"/>
              <w:rPr>
                <w:b/>
                <w:sz w:val="20"/>
                <w:szCs w:val="18"/>
              </w:rPr>
            </w:pPr>
            <w:r w:rsidRPr="00123353">
              <w:rPr>
                <w:b/>
                <w:color w:val="000000"/>
                <w:kern w:val="24"/>
                <w:sz w:val="20"/>
                <w:szCs w:val="18"/>
              </w:rPr>
              <w:t>37.7</w:t>
            </w:r>
          </w:p>
        </w:tc>
        <w:tc>
          <w:tcPr>
            <w:tcW w:w="303" w:type="dxa"/>
            <w:tcBorders>
              <w:top w:val="nil"/>
              <w:left w:val="nil"/>
              <w:bottom w:val="nil"/>
              <w:right w:val="nil"/>
            </w:tcBorders>
            <w:tcMar>
              <w:top w:w="9" w:type="dxa"/>
              <w:left w:w="9" w:type="dxa"/>
              <w:bottom w:w="0" w:type="dxa"/>
              <w:right w:w="9" w:type="dxa"/>
            </w:tcMar>
            <w:vAlign w:val="center"/>
          </w:tcPr>
          <w:p w:rsidR="00DC207C" w:rsidRPr="00123353" w:rsidRDefault="00DC207C" w:rsidP="008D176A">
            <w:pPr>
              <w:jc w:val="center"/>
              <w:textAlignment w:val="bottom"/>
              <w:rPr>
                <w:b/>
                <w:sz w:val="20"/>
                <w:szCs w:val="18"/>
              </w:rPr>
            </w:pPr>
            <w:r w:rsidRPr="00123353">
              <w:rPr>
                <w:b/>
                <w:color w:val="000000"/>
                <w:kern w:val="24"/>
                <w:sz w:val="20"/>
                <w:szCs w:val="18"/>
              </w:rPr>
              <w:t xml:space="preserve">± </w:t>
            </w:r>
          </w:p>
        </w:tc>
        <w:tc>
          <w:tcPr>
            <w:tcW w:w="607" w:type="dxa"/>
            <w:tcBorders>
              <w:top w:val="nil"/>
              <w:left w:val="nil"/>
              <w:bottom w:val="nil"/>
              <w:right w:val="nil"/>
            </w:tcBorders>
            <w:tcMar>
              <w:top w:w="15" w:type="dxa"/>
              <w:left w:w="15" w:type="dxa"/>
              <w:bottom w:w="0" w:type="dxa"/>
              <w:right w:w="15" w:type="dxa"/>
            </w:tcMar>
            <w:vAlign w:val="center"/>
          </w:tcPr>
          <w:p w:rsidR="00DC207C" w:rsidRPr="00123353" w:rsidRDefault="00DC207C" w:rsidP="008D176A">
            <w:pPr>
              <w:textAlignment w:val="bottom"/>
              <w:rPr>
                <w:b/>
                <w:sz w:val="20"/>
                <w:szCs w:val="18"/>
              </w:rPr>
            </w:pPr>
            <w:r w:rsidRPr="00123353">
              <w:rPr>
                <w:b/>
                <w:color w:val="000000"/>
                <w:kern w:val="24"/>
                <w:sz w:val="20"/>
                <w:szCs w:val="18"/>
              </w:rPr>
              <w:t>3.9*</w:t>
            </w:r>
          </w:p>
        </w:tc>
      </w:tr>
      <w:tr w:rsidR="00DC207C" w:rsidRPr="007F0DA8" w:rsidTr="00376AE6">
        <w:trPr>
          <w:trHeight w:val="144"/>
        </w:trPr>
        <w:tc>
          <w:tcPr>
            <w:tcW w:w="912" w:type="dxa"/>
            <w:tcBorders>
              <w:top w:val="nil"/>
              <w:left w:val="nil"/>
              <w:bottom w:val="nil"/>
              <w:right w:val="nil"/>
            </w:tcBorders>
            <w:tcMar>
              <w:top w:w="11" w:type="dxa"/>
              <w:left w:w="11" w:type="dxa"/>
              <w:bottom w:w="0" w:type="dxa"/>
              <w:right w:w="11" w:type="dxa"/>
            </w:tcMar>
            <w:vAlign w:val="center"/>
          </w:tcPr>
          <w:p w:rsidR="00DC207C" w:rsidRPr="00123353" w:rsidRDefault="00DC207C" w:rsidP="008D176A">
            <w:pPr>
              <w:rPr>
                <w:sz w:val="20"/>
                <w:szCs w:val="18"/>
              </w:rPr>
            </w:pPr>
          </w:p>
        </w:tc>
        <w:tc>
          <w:tcPr>
            <w:tcW w:w="1518" w:type="dxa"/>
            <w:tcBorders>
              <w:top w:val="nil"/>
              <w:left w:val="nil"/>
              <w:bottom w:val="nil"/>
              <w:right w:val="nil"/>
            </w:tcBorders>
            <w:tcMar>
              <w:top w:w="11" w:type="dxa"/>
              <w:left w:w="11" w:type="dxa"/>
              <w:bottom w:w="0" w:type="dxa"/>
              <w:right w:w="11" w:type="dxa"/>
            </w:tcMar>
            <w:vAlign w:val="center"/>
          </w:tcPr>
          <w:p w:rsidR="00DC207C" w:rsidRPr="00123353" w:rsidRDefault="00DC207C" w:rsidP="008D176A">
            <w:pPr>
              <w:textAlignment w:val="center"/>
              <w:rPr>
                <w:color w:val="000000"/>
                <w:kern w:val="24"/>
                <w:sz w:val="20"/>
                <w:szCs w:val="18"/>
              </w:rPr>
            </w:pPr>
          </w:p>
        </w:tc>
        <w:tc>
          <w:tcPr>
            <w:tcW w:w="760" w:type="dxa"/>
            <w:tcBorders>
              <w:top w:val="nil"/>
              <w:left w:val="nil"/>
              <w:bottom w:val="nil"/>
              <w:right w:val="nil"/>
            </w:tcBorders>
            <w:tcMar>
              <w:top w:w="11" w:type="dxa"/>
              <w:left w:w="11" w:type="dxa"/>
              <w:bottom w:w="0" w:type="dxa"/>
              <w:right w:w="11" w:type="dxa"/>
            </w:tcMar>
            <w:vAlign w:val="center"/>
          </w:tcPr>
          <w:p w:rsidR="00DC207C" w:rsidRPr="00123353" w:rsidRDefault="00DC207C" w:rsidP="008D176A">
            <w:pPr>
              <w:jc w:val="right"/>
              <w:textAlignment w:val="bottom"/>
              <w:rPr>
                <w:color w:val="000000"/>
                <w:kern w:val="24"/>
                <w:sz w:val="20"/>
                <w:szCs w:val="18"/>
              </w:rPr>
            </w:pPr>
          </w:p>
        </w:tc>
        <w:tc>
          <w:tcPr>
            <w:tcW w:w="303" w:type="dxa"/>
            <w:tcBorders>
              <w:top w:val="nil"/>
              <w:left w:val="nil"/>
              <w:bottom w:val="nil"/>
              <w:right w:val="nil"/>
            </w:tcBorders>
            <w:tcMar>
              <w:top w:w="9" w:type="dxa"/>
              <w:left w:w="9" w:type="dxa"/>
              <w:bottom w:w="0" w:type="dxa"/>
              <w:right w:w="9" w:type="dxa"/>
            </w:tcMar>
            <w:vAlign w:val="center"/>
          </w:tcPr>
          <w:p w:rsidR="00DC207C" w:rsidRPr="00123353" w:rsidRDefault="00DC207C" w:rsidP="008D176A">
            <w:pPr>
              <w:jc w:val="center"/>
              <w:textAlignment w:val="bottom"/>
              <w:rPr>
                <w:color w:val="000000"/>
                <w:kern w:val="24"/>
                <w:sz w:val="20"/>
                <w:szCs w:val="18"/>
              </w:rPr>
            </w:pPr>
          </w:p>
        </w:tc>
        <w:tc>
          <w:tcPr>
            <w:tcW w:w="760" w:type="dxa"/>
            <w:tcBorders>
              <w:top w:val="nil"/>
              <w:left w:val="nil"/>
              <w:bottom w:val="nil"/>
              <w:right w:val="nil"/>
            </w:tcBorders>
            <w:tcMar>
              <w:top w:w="15" w:type="dxa"/>
              <w:left w:w="15" w:type="dxa"/>
              <w:bottom w:w="0" w:type="dxa"/>
              <w:right w:w="15" w:type="dxa"/>
            </w:tcMar>
            <w:vAlign w:val="center"/>
          </w:tcPr>
          <w:p w:rsidR="00DC207C" w:rsidRPr="00123353" w:rsidRDefault="00DC207C" w:rsidP="008D176A">
            <w:pPr>
              <w:textAlignment w:val="bottom"/>
              <w:rPr>
                <w:color w:val="000000"/>
                <w:kern w:val="24"/>
                <w:sz w:val="20"/>
                <w:szCs w:val="18"/>
              </w:rPr>
            </w:pPr>
          </w:p>
        </w:tc>
        <w:tc>
          <w:tcPr>
            <w:tcW w:w="760" w:type="dxa"/>
            <w:tcBorders>
              <w:top w:val="nil"/>
              <w:left w:val="nil"/>
              <w:bottom w:val="nil"/>
              <w:right w:val="nil"/>
            </w:tcBorders>
            <w:tcMar>
              <w:top w:w="11" w:type="dxa"/>
              <w:left w:w="11" w:type="dxa"/>
              <w:bottom w:w="0" w:type="dxa"/>
              <w:right w:w="11" w:type="dxa"/>
            </w:tcMar>
            <w:vAlign w:val="center"/>
          </w:tcPr>
          <w:p w:rsidR="00DC207C" w:rsidRPr="00123353" w:rsidRDefault="00DC207C" w:rsidP="008D176A">
            <w:pPr>
              <w:jc w:val="right"/>
              <w:textAlignment w:val="bottom"/>
              <w:rPr>
                <w:color w:val="000000"/>
                <w:kern w:val="24"/>
                <w:sz w:val="20"/>
                <w:szCs w:val="18"/>
              </w:rPr>
            </w:pPr>
          </w:p>
        </w:tc>
        <w:tc>
          <w:tcPr>
            <w:tcW w:w="303" w:type="dxa"/>
            <w:tcBorders>
              <w:top w:val="nil"/>
              <w:left w:val="nil"/>
              <w:bottom w:val="nil"/>
              <w:right w:val="nil"/>
            </w:tcBorders>
            <w:tcMar>
              <w:top w:w="9" w:type="dxa"/>
              <w:left w:w="9" w:type="dxa"/>
              <w:bottom w:w="0" w:type="dxa"/>
              <w:right w:w="9" w:type="dxa"/>
            </w:tcMar>
            <w:vAlign w:val="center"/>
          </w:tcPr>
          <w:p w:rsidR="00DC207C" w:rsidRPr="00123353" w:rsidRDefault="00DC207C" w:rsidP="008D176A">
            <w:pPr>
              <w:jc w:val="center"/>
              <w:textAlignment w:val="bottom"/>
              <w:rPr>
                <w:color w:val="000000"/>
                <w:kern w:val="24"/>
                <w:sz w:val="20"/>
                <w:szCs w:val="18"/>
              </w:rPr>
            </w:pPr>
          </w:p>
        </w:tc>
        <w:tc>
          <w:tcPr>
            <w:tcW w:w="607" w:type="dxa"/>
            <w:tcBorders>
              <w:top w:val="nil"/>
              <w:left w:val="nil"/>
              <w:bottom w:val="nil"/>
              <w:right w:val="nil"/>
            </w:tcBorders>
            <w:tcMar>
              <w:top w:w="15" w:type="dxa"/>
              <w:left w:w="15" w:type="dxa"/>
              <w:bottom w:w="0" w:type="dxa"/>
              <w:right w:w="15" w:type="dxa"/>
            </w:tcMar>
            <w:vAlign w:val="center"/>
          </w:tcPr>
          <w:p w:rsidR="00DC207C" w:rsidRPr="00123353" w:rsidRDefault="00DC207C" w:rsidP="008D176A">
            <w:pPr>
              <w:textAlignment w:val="bottom"/>
              <w:rPr>
                <w:color w:val="000000"/>
                <w:kern w:val="24"/>
                <w:sz w:val="20"/>
                <w:szCs w:val="18"/>
              </w:rPr>
            </w:pPr>
          </w:p>
        </w:tc>
        <w:tc>
          <w:tcPr>
            <w:tcW w:w="760" w:type="dxa"/>
            <w:tcBorders>
              <w:top w:val="nil"/>
              <w:left w:val="nil"/>
              <w:bottom w:val="nil"/>
              <w:right w:val="nil"/>
            </w:tcBorders>
            <w:tcMar>
              <w:top w:w="11" w:type="dxa"/>
              <w:left w:w="11" w:type="dxa"/>
              <w:bottom w:w="0" w:type="dxa"/>
              <w:right w:w="11" w:type="dxa"/>
            </w:tcMar>
            <w:vAlign w:val="center"/>
          </w:tcPr>
          <w:p w:rsidR="00DC207C" w:rsidRPr="00123353" w:rsidRDefault="00DC207C" w:rsidP="008D176A">
            <w:pPr>
              <w:jc w:val="right"/>
              <w:textAlignment w:val="bottom"/>
              <w:rPr>
                <w:color w:val="000000"/>
                <w:kern w:val="24"/>
                <w:sz w:val="20"/>
                <w:szCs w:val="18"/>
              </w:rPr>
            </w:pPr>
          </w:p>
        </w:tc>
        <w:tc>
          <w:tcPr>
            <w:tcW w:w="303" w:type="dxa"/>
            <w:tcBorders>
              <w:top w:val="nil"/>
              <w:left w:val="nil"/>
              <w:bottom w:val="nil"/>
              <w:right w:val="nil"/>
            </w:tcBorders>
            <w:tcMar>
              <w:top w:w="9" w:type="dxa"/>
              <w:left w:w="9" w:type="dxa"/>
              <w:bottom w:w="0" w:type="dxa"/>
              <w:right w:w="9" w:type="dxa"/>
            </w:tcMar>
            <w:vAlign w:val="center"/>
          </w:tcPr>
          <w:p w:rsidR="00DC207C" w:rsidRPr="00123353" w:rsidRDefault="00DC207C" w:rsidP="008D176A">
            <w:pPr>
              <w:jc w:val="center"/>
              <w:textAlignment w:val="bottom"/>
              <w:rPr>
                <w:color w:val="000000"/>
                <w:kern w:val="24"/>
                <w:sz w:val="20"/>
                <w:szCs w:val="18"/>
              </w:rPr>
            </w:pPr>
          </w:p>
        </w:tc>
        <w:tc>
          <w:tcPr>
            <w:tcW w:w="607" w:type="dxa"/>
            <w:tcBorders>
              <w:top w:val="nil"/>
              <w:left w:val="nil"/>
              <w:bottom w:val="nil"/>
              <w:right w:val="nil"/>
            </w:tcBorders>
            <w:tcMar>
              <w:top w:w="15" w:type="dxa"/>
              <w:left w:w="15" w:type="dxa"/>
              <w:bottom w:w="0" w:type="dxa"/>
              <w:right w:w="15" w:type="dxa"/>
            </w:tcMar>
            <w:vAlign w:val="center"/>
          </w:tcPr>
          <w:p w:rsidR="00DC207C" w:rsidRPr="00123353" w:rsidRDefault="00DC207C" w:rsidP="008D176A">
            <w:pPr>
              <w:textAlignment w:val="bottom"/>
              <w:rPr>
                <w:color w:val="000000"/>
                <w:kern w:val="24"/>
                <w:sz w:val="20"/>
                <w:szCs w:val="18"/>
              </w:rPr>
            </w:pPr>
          </w:p>
        </w:tc>
        <w:tc>
          <w:tcPr>
            <w:tcW w:w="912" w:type="dxa"/>
            <w:tcBorders>
              <w:top w:val="nil"/>
              <w:left w:val="nil"/>
              <w:bottom w:val="nil"/>
              <w:right w:val="nil"/>
            </w:tcBorders>
            <w:tcMar>
              <w:top w:w="11" w:type="dxa"/>
              <w:left w:w="11" w:type="dxa"/>
              <w:bottom w:w="0" w:type="dxa"/>
              <w:right w:w="11" w:type="dxa"/>
            </w:tcMar>
            <w:vAlign w:val="center"/>
          </w:tcPr>
          <w:p w:rsidR="00DC207C" w:rsidRPr="00123353" w:rsidRDefault="00DC207C" w:rsidP="008D176A">
            <w:pPr>
              <w:jc w:val="right"/>
              <w:textAlignment w:val="bottom"/>
              <w:rPr>
                <w:color w:val="000000"/>
                <w:kern w:val="24"/>
                <w:sz w:val="20"/>
                <w:szCs w:val="18"/>
              </w:rPr>
            </w:pPr>
          </w:p>
        </w:tc>
        <w:tc>
          <w:tcPr>
            <w:tcW w:w="303" w:type="dxa"/>
            <w:tcBorders>
              <w:top w:val="nil"/>
              <w:left w:val="nil"/>
              <w:bottom w:val="nil"/>
              <w:right w:val="nil"/>
            </w:tcBorders>
            <w:tcMar>
              <w:top w:w="9" w:type="dxa"/>
              <w:left w:w="9" w:type="dxa"/>
              <w:bottom w:w="0" w:type="dxa"/>
              <w:right w:w="9" w:type="dxa"/>
            </w:tcMar>
            <w:vAlign w:val="center"/>
          </w:tcPr>
          <w:p w:rsidR="00DC207C" w:rsidRPr="00123353" w:rsidRDefault="00DC207C" w:rsidP="008D176A">
            <w:pPr>
              <w:jc w:val="center"/>
              <w:textAlignment w:val="bottom"/>
              <w:rPr>
                <w:color w:val="000000"/>
                <w:kern w:val="24"/>
                <w:sz w:val="20"/>
                <w:szCs w:val="18"/>
              </w:rPr>
            </w:pPr>
          </w:p>
        </w:tc>
        <w:tc>
          <w:tcPr>
            <w:tcW w:w="607" w:type="dxa"/>
            <w:tcBorders>
              <w:top w:val="nil"/>
              <w:left w:val="nil"/>
              <w:bottom w:val="nil"/>
              <w:right w:val="nil"/>
            </w:tcBorders>
            <w:tcMar>
              <w:top w:w="15" w:type="dxa"/>
              <w:left w:w="15" w:type="dxa"/>
              <w:bottom w:w="0" w:type="dxa"/>
              <w:right w:w="15" w:type="dxa"/>
            </w:tcMar>
            <w:vAlign w:val="center"/>
          </w:tcPr>
          <w:p w:rsidR="00DC207C" w:rsidRPr="00123353" w:rsidRDefault="00DC207C" w:rsidP="008D176A">
            <w:pPr>
              <w:textAlignment w:val="bottom"/>
              <w:rPr>
                <w:color w:val="000000"/>
                <w:kern w:val="24"/>
                <w:sz w:val="20"/>
                <w:szCs w:val="18"/>
              </w:rPr>
            </w:pPr>
          </w:p>
        </w:tc>
      </w:tr>
      <w:tr w:rsidR="00DC207C" w:rsidRPr="007F0DA8" w:rsidTr="00376AE6">
        <w:trPr>
          <w:trHeight w:val="144"/>
        </w:trPr>
        <w:tc>
          <w:tcPr>
            <w:tcW w:w="912" w:type="dxa"/>
            <w:tcBorders>
              <w:top w:val="nil"/>
              <w:left w:val="nil"/>
              <w:bottom w:val="nil"/>
              <w:right w:val="nil"/>
            </w:tcBorders>
            <w:tcMar>
              <w:top w:w="11" w:type="dxa"/>
              <w:left w:w="11" w:type="dxa"/>
              <w:bottom w:w="0" w:type="dxa"/>
              <w:right w:w="11" w:type="dxa"/>
            </w:tcMar>
            <w:vAlign w:val="center"/>
          </w:tcPr>
          <w:p w:rsidR="00DC207C" w:rsidRPr="00123353" w:rsidRDefault="00DC207C" w:rsidP="008D176A">
            <w:pPr>
              <w:textAlignment w:val="center"/>
              <w:rPr>
                <w:sz w:val="20"/>
                <w:szCs w:val="18"/>
              </w:rPr>
            </w:pPr>
            <w:r w:rsidRPr="00123353">
              <w:rPr>
                <w:color w:val="000000"/>
                <w:kern w:val="24"/>
                <w:sz w:val="20"/>
                <w:szCs w:val="18"/>
              </w:rPr>
              <w:t xml:space="preserve">2012 </w:t>
            </w:r>
          </w:p>
        </w:tc>
        <w:tc>
          <w:tcPr>
            <w:tcW w:w="1518" w:type="dxa"/>
            <w:tcBorders>
              <w:top w:val="nil"/>
              <w:left w:val="nil"/>
              <w:bottom w:val="nil"/>
              <w:right w:val="nil"/>
            </w:tcBorders>
            <w:tcMar>
              <w:top w:w="11" w:type="dxa"/>
              <w:left w:w="11" w:type="dxa"/>
              <w:bottom w:w="0" w:type="dxa"/>
              <w:right w:w="11" w:type="dxa"/>
            </w:tcMar>
            <w:vAlign w:val="center"/>
          </w:tcPr>
          <w:p w:rsidR="00DC207C" w:rsidRPr="00123353" w:rsidRDefault="00DC207C" w:rsidP="008D176A">
            <w:pPr>
              <w:textAlignment w:val="center"/>
              <w:rPr>
                <w:sz w:val="20"/>
                <w:szCs w:val="18"/>
              </w:rPr>
            </w:pPr>
            <w:r w:rsidRPr="00123353">
              <w:rPr>
                <w:color w:val="000000"/>
                <w:kern w:val="24"/>
                <w:sz w:val="20"/>
                <w:szCs w:val="18"/>
              </w:rPr>
              <w:t>Control</w:t>
            </w:r>
          </w:p>
        </w:tc>
        <w:tc>
          <w:tcPr>
            <w:tcW w:w="760" w:type="dxa"/>
            <w:tcBorders>
              <w:top w:val="nil"/>
              <w:left w:val="nil"/>
              <w:bottom w:val="nil"/>
              <w:right w:val="nil"/>
            </w:tcBorders>
            <w:tcMar>
              <w:top w:w="11" w:type="dxa"/>
              <w:left w:w="11" w:type="dxa"/>
              <w:bottom w:w="0" w:type="dxa"/>
              <w:right w:w="11" w:type="dxa"/>
            </w:tcMar>
            <w:vAlign w:val="center"/>
          </w:tcPr>
          <w:p w:rsidR="00DC207C" w:rsidRPr="00123353" w:rsidRDefault="00DC207C" w:rsidP="008D176A">
            <w:pPr>
              <w:jc w:val="right"/>
              <w:textAlignment w:val="bottom"/>
              <w:rPr>
                <w:b/>
                <w:sz w:val="20"/>
                <w:szCs w:val="18"/>
              </w:rPr>
            </w:pPr>
            <w:r w:rsidRPr="00123353">
              <w:rPr>
                <w:b/>
                <w:color w:val="000000"/>
                <w:kern w:val="24"/>
                <w:sz w:val="20"/>
                <w:szCs w:val="18"/>
              </w:rPr>
              <w:t>184.9</w:t>
            </w:r>
          </w:p>
        </w:tc>
        <w:tc>
          <w:tcPr>
            <w:tcW w:w="303" w:type="dxa"/>
            <w:tcBorders>
              <w:top w:val="nil"/>
              <w:left w:val="nil"/>
              <w:bottom w:val="nil"/>
              <w:right w:val="nil"/>
            </w:tcBorders>
            <w:tcMar>
              <w:top w:w="9" w:type="dxa"/>
              <w:left w:w="9" w:type="dxa"/>
              <w:bottom w:w="0" w:type="dxa"/>
              <w:right w:w="9" w:type="dxa"/>
            </w:tcMar>
            <w:vAlign w:val="center"/>
          </w:tcPr>
          <w:p w:rsidR="00DC207C" w:rsidRPr="00123353" w:rsidRDefault="00DC207C" w:rsidP="008D176A">
            <w:pPr>
              <w:jc w:val="center"/>
              <w:textAlignment w:val="bottom"/>
              <w:rPr>
                <w:b/>
                <w:sz w:val="20"/>
                <w:szCs w:val="18"/>
              </w:rPr>
            </w:pPr>
            <w:r w:rsidRPr="00123353">
              <w:rPr>
                <w:b/>
                <w:color w:val="000000"/>
                <w:kern w:val="24"/>
                <w:sz w:val="20"/>
                <w:szCs w:val="18"/>
              </w:rPr>
              <w:t xml:space="preserve">± </w:t>
            </w:r>
          </w:p>
        </w:tc>
        <w:tc>
          <w:tcPr>
            <w:tcW w:w="760" w:type="dxa"/>
            <w:tcBorders>
              <w:top w:val="nil"/>
              <w:left w:val="nil"/>
              <w:bottom w:val="nil"/>
              <w:right w:val="nil"/>
            </w:tcBorders>
            <w:tcMar>
              <w:top w:w="15" w:type="dxa"/>
              <w:left w:w="15" w:type="dxa"/>
              <w:bottom w:w="0" w:type="dxa"/>
              <w:right w:w="15" w:type="dxa"/>
            </w:tcMar>
            <w:vAlign w:val="center"/>
          </w:tcPr>
          <w:p w:rsidR="00DC207C" w:rsidRPr="00123353" w:rsidRDefault="00DC207C" w:rsidP="008D176A">
            <w:pPr>
              <w:textAlignment w:val="bottom"/>
              <w:rPr>
                <w:b/>
                <w:sz w:val="20"/>
                <w:szCs w:val="18"/>
              </w:rPr>
            </w:pPr>
            <w:r w:rsidRPr="00123353">
              <w:rPr>
                <w:b/>
                <w:color w:val="000000"/>
                <w:kern w:val="24"/>
                <w:sz w:val="20"/>
                <w:szCs w:val="18"/>
              </w:rPr>
              <w:t xml:space="preserve">3.0 </w:t>
            </w:r>
          </w:p>
        </w:tc>
        <w:tc>
          <w:tcPr>
            <w:tcW w:w="760" w:type="dxa"/>
            <w:tcBorders>
              <w:top w:val="nil"/>
              <w:left w:val="nil"/>
              <w:bottom w:val="nil"/>
              <w:right w:val="nil"/>
            </w:tcBorders>
            <w:tcMar>
              <w:top w:w="11" w:type="dxa"/>
              <w:left w:w="11" w:type="dxa"/>
              <w:bottom w:w="0" w:type="dxa"/>
              <w:right w:w="11" w:type="dxa"/>
            </w:tcMar>
            <w:vAlign w:val="center"/>
          </w:tcPr>
          <w:p w:rsidR="00DC207C" w:rsidRPr="00123353" w:rsidRDefault="00DC207C" w:rsidP="008D176A">
            <w:pPr>
              <w:jc w:val="right"/>
              <w:textAlignment w:val="bottom"/>
              <w:rPr>
                <w:b/>
                <w:sz w:val="20"/>
                <w:szCs w:val="18"/>
              </w:rPr>
            </w:pPr>
            <w:r w:rsidRPr="00123353">
              <w:rPr>
                <w:b/>
                <w:color w:val="000000"/>
                <w:kern w:val="24"/>
                <w:sz w:val="20"/>
                <w:szCs w:val="18"/>
              </w:rPr>
              <w:t>200.5</w:t>
            </w:r>
          </w:p>
        </w:tc>
        <w:tc>
          <w:tcPr>
            <w:tcW w:w="303" w:type="dxa"/>
            <w:tcBorders>
              <w:top w:val="nil"/>
              <w:left w:val="nil"/>
              <w:bottom w:val="nil"/>
              <w:right w:val="nil"/>
            </w:tcBorders>
            <w:tcMar>
              <w:top w:w="9" w:type="dxa"/>
              <w:left w:w="9" w:type="dxa"/>
              <w:bottom w:w="0" w:type="dxa"/>
              <w:right w:w="9" w:type="dxa"/>
            </w:tcMar>
            <w:vAlign w:val="center"/>
          </w:tcPr>
          <w:p w:rsidR="00DC207C" w:rsidRPr="00123353" w:rsidRDefault="00DC207C" w:rsidP="008D176A">
            <w:pPr>
              <w:jc w:val="center"/>
              <w:textAlignment w:val="bottom"/>
              <w:rPr>
                <w:b/>
                <w:sz w:val="20"/>
                <w:szCs w:val="18"/>
              </w:rPr>
            </w:pPr>
            <w:r w:rsidRPr="00123353">
              <w:rPr>
                <w:b/>
                <w:color w:val="000000"/>
                <w:kern w:val="24"/>
                <w:sz w:val="20"/>
                <w:szCs w:val="18"/>
              </w:rPr>
              <w:t xml:space="preserve">± </w:t>
            </w:r>
          </w:p>
        </w:tc>
        <w:tc>
          <w:tcPr>
            <w:tcW w:w="607" w:type="dxa"/>
            <w:tcBorders>
              <w:top w:val="nil"/>
              <w:left w:val="nil"/>
              <w:bottom w:val="nil"/>
              <w:right w:val="nil"/>
            </w:tcBorders>
            <w:tcMar>
              <w:top w:w="15" w:type="dxa"/>
              <w:left w:w="15" w:type="dxa"/>
              <w:bottom w:w="0" w:type="dxa"/>
              <w:right w:w="15" w:type="dxa"/>
            </w:tcMar>
            <w:vAlign w:val="center"/>
          </w:tcPr>
          <w:p w:rsidR="00DC207C" w:rsidRPr="00123353" w:rsidRDefault="00DC207C" w:rsidP="008D176A">
            <w:pPr>
              <w:textAlignment w:val="bottom"/>
              <w:rPr>
                <w:b/>
                <w:sz w:val="20"/>
                <w:szCs w:val="18"/>
              </w:rPr>
            </w:pPr>
            <w:r w:rsidRPr="00123353">
              <w:rPr>
                <w:b/>
                <w:color w:val="000000"/>
                <w:kern w:val="24"/>
                <w:sz w:val="20"/>
                <w:szCs w:val="18"/>
              </w:rPr>
              <w:t>9.9</w:t>
            </w:r>
          </w:p>
        </w:tc>
        <w:tc>
          <w:tcPr>
            <w:tcW w:w="760" w:type="dxa"/>
            <w:tcBorders>
              <w:top w:val="nil"/>
              <w:left w:val="nil"/>
              <w:bottom w:val="nil"/>
              <w:right w:val="nil"/>
            </w:tcBorders>
            <w:tcMar>
              <w:top w:w="11" w:type="dxa"/>
              <w:left w:w="11" w:type="dxa"/>
              <w:bottom w:w="0" w:type="dxa"/>
              <w:right w:w="11" w:type="dxa"/>
            </w:tcMar>
            <w:vAlign w:val="center"/>
          </w:tcPr>
          <w:p w:rsidR="00DC207C" w:rsidRPr="00123353" w:rsidRDefault="00DC207C" w:rsidP="008D176A">
            <w:pPr>
              <w:jc w:val="right"/>
              <w:textAlignment w:val="bottom"/>
              <w:rPr>
                <w:sz w:val="20"/>
                <w:szCs w:val="18"/>
              </w:rPr>
            </w:pPr>
            <w:r w:rsidRPr="00123353">
              <w:rPr>
                <w:color w:val="000000"/>
                <w:kern w:val="24"/>
                <w:sz w:val="20"/>
                <w:szCs w:val="18"/>
              </w:rPr>
              <w:t>180.8</w:t>
            </w:r>
          </w:p>
        </w:tc>
        <w:tc>
          <w:tcPr>
            <w:tcW w:w="303" w:type="dxa"/>
            <w:tcBorders>
              <w:top w:val="nil"/>
              <w:left w:val="nil"/>
              <w:bottom w:val="nil"/>
              <w:right w:val="nil"/>
            </w:tcBorders>
            <w:tcMar>
              <w:top w:w="9" w:type="dxa"/>
              <w:left w:w="9" w:type="dxa"/>
              <w:bottom w:w="0" w:type="dxa"/>
              <w:right w:w="9" w:type="dxa"/>
            </w:tcMar>
            <w:vAlign w:val="center"/>
          </w:tcPr>
          <w:p w:rsidR="00DC207C" w:rsidRPr="00123353" w:rsidRDefault="00DC207C" w:rsidP="008D176A">
            <w:pPr>
              <w:jc w:val="center"/>
              <w:textAlignment w:val="bottom"/>
              <w:rPr>
                <w:sz w:val="20"/>
                <w:szCs w:val="18"/>
              </w:rPr>
            </w:pPr>
            <w:r w:rsidRPr="00123353">
              <w:rPr>
                <w:color w:val="000000"/>
                <w:kern w:val="24"/>
                <w:sz w:val="20"/>
                <w:szCs w:val="18"/>
              </w:rPr>
              <w:t xml:space="preserve">± </w:t>
            </w:r>
          </w:p>
        </w:tc>
        <w:tc>
          <w:tcPr>
            <w:tcW w:w="607" w:type="dxa"/>
            <w:tcBorders>
              <w:top w:val="nil"/>
              <w:left w:val="nil"/>
              <w:bottom w:val="nil"/>
              <w:right w:val="nil"/>
            </w:tcBorders>
            <w:tcMar>
              <w:top w:w="15" w:type="dxa"/>
              <w:left w:w="15" w:type="dxa"/>
              <w:bottom w:w="0" w:type="dxa"/>
              <w:right w:w="15" w:type="dxa"/>
            </w:tcMar>
            <w:vAlign w:val="center"/>
          </w:tcPr>
          <w:p w:rsidR="00DC207C" w:rsidRPr="00123353" w:rsidRDefault="00DC207C" w:rsidP="008D176A">
            <w:pPr>
              <w:textAlignment w:val="bottom"/>
              <w:rPr>
                <w:sz w:val="20"/>
                <w:szCs w:val="18"/>
              </w:rPr>
            </w:pPr>
            <w:r w:rsidRPr="00123353">
              <w:rPr>
                <w:color w:val="000000"/>
                <w:kern w:val="24"/>
                <w:sz w:val="20"/>
                <w:szCs w:val="18"/>
              </w:rPr>
              <w:t>10.7</w:t>
            </w:r>
          </w:p>
        </w:tc>
        <w:tc>
          <w:tcPr>
            <w:tcW w:w="912" w:type="dxa"/>
            <w:tcBorders>
              <w:top w:val="nil"/>
              <w:left w:val="nil"/>
              <w:bottom w:val="nil"/>
              <w:right w:val="nil"/>
            </w:tcBorders>
            <w:tcMar>
              <w:top w:w="11" w:type="dxa"/>
              <w:left w:w="11" w:type="dxa"/>
              <w:bottom w:w="0" w:type="dxa"/>
              <w:right w:w="11" w:type="dxa"/>
            </w:tcMar>
            <w:vAlign w:val="center"/>
          </w:tcPr>
          <w:p w:rsidR="00DC207C" w:rsidRPr="00123353" w:rsidRDefault="00DC207C" w:rsidP="008D176A">
            <w:pPr>
              <w:jc w:val="right"/>
              <w:textAlignment w:val="bottom"/>
              <w:rPr>
                <w:b/>
                <w:sz w:val="20"/>
                <w:szCs w:val="18"/>
              </w:rPr>
            </w:pPr>
            <w:r w:rsidRPr="00123353">
              <w:rPr>
                <w:b/>
                <w:color w:val="000000"/>
                <w:kern w:val="24"/>
                <w:sz w:val="20"/>
                <w:szCs w:val="18"/>
              </w:rPr>
              <w:t>2150.7</w:t>
            </w:r>
          </w:p>
        </w:tc>
        <w:tc>
          <w:tcPr>
            <w:tcW w:w="303" w:type="dxa"/>
            <w:tcBorders>
              <w:top w:val="nil"/>
              <w:left w:val="nil"/>
              <w:bottom w:val="nil"/>
              <w:right w:val="nil"/>
            </w:tcBorders>
            <w:tcMar>
              <w:top w:w="9" w:type="dxa"/>
              <w:left w:w="9" w:type="dxa"/>
              <w:bottom w:w="0" w:type="dxa"/>
              <w:right w:w="9" w:type="dxa"/>
            </w:tcMar>
            <w:vAlign w:val="center"/>
          </w:tcPr>
          <w:p w:rsidR="00DC207C" w:rsidRPr="00123353" w:rsidRDefault="00DC207C" w:rsidP="008D176A">
            <w:pPr>
              <w:jc w:val="center"/>
              <w:textAlignment w:val="bottom"/>
              <w:rPr>
                <w:b/>
                <w:sz w:val="20"/>
                <w:szCs w:val="18"/>
              </w:rPr>
            </w:pPr>
            <w:r w:rsidRPr="00123353">
              <w:rPr>
                <w:b/>
                <w:color w:val="000000"/>
                <w:kern w:val="24"/>
                <w:sz w:val="20"/>
                <w:szCs w:val="18"/>
              </w:rPr>
              <w:t xml:space="preserve">± </w:t>
            </w:r>
          </w:p>
        </w:tc>
        <w:tc>
          <w:tcPr>
            <w:tcW w:w="607" w:type="dxa"/>
            <w:tcBorders>
              <w:top w:val="nil"/>
              <w:left w:val="nil"/>
              <w:bottom w:val="nil"/>
              <w:right w:val="nil"/>
            </w:tcBorders>
            <w:tcMar>
              <w:top w:w="15" w:type="dxa"/>
              <w:left w:w="15" w:type="dxa"/>
              <w:bottom w:w="0" w:type="dxa"/>
              <w:right w:w="15" w:type="dxa"/>
            </w:tcMar>
            <w:vAlign w:val="center"/>
          </w:tcPr>
          <w:p w:rsidR="00DC207C" w:rsidRPr="00123353" w:rsidRDefault="00DC207C" w:rsidP="008D176A">
            <w:pPr>
              <w:textAlignment w:val="bottom"/>
              <w:rPr>
                <w:b/>
                <w:sz w:val="20"/>
                <w:szCs w:val="18"/>
              </w:rPr>
            </w:pPr>
            <w:r w:rsidRPr="00123353">
              <w:rPr>
                <w:b/>
                <w:color w:val="000000"/>
                <w:kern w:val="24"/>
                <w:sz w:val="20"/>
                <w:szCs w:val="18"/>
              </w:rPr>
              <w:t>169.4</w:t>
            </w:r>
          </w:p>
        </w:tc>
      </w:tr>
      <w:tr w:rsidR="00DC207C" w:rsidRPr="007F0DA8" w:rsidTr="00376AE6">
        <w:trPr>
          <w:trHeight w:val="144"/>
        </w:trPr>
        <w:tc>
          <w:tcPr>
            <w:tcW w:w="912" w:type="dxa"/>
            <w:tcBorders>
              <w:top w:val="nil"/>
              <w:left w:val="nil"/>
              <w:bottom w:val="nil"/>
              <w:right w:val="nil"/>
            </w:tcBorders>
            <w:tcMar>
              <w:top w:w="11" w:type="dxa"/>
              <w:left w:w="11" w:type="dxa"/>
              <w:bottom w:w="0" w:type="dxa"/>
              <w:right w:w="11" w:type="dxa"/>
            </w:tcMar>
            <w:vAlign w:val="center"/>
          </w:tcPr>
          <w:p w:rsidR="00DC207C" w:rsidRPr="00123353" w:rsidRDefault="00DC207C" w:rsidP="008D176A">
            <w:pPr>
              <w:rPr>
                <w:sz w:val="20"/>
                <w:szCs w:val="18"/>
              </w:rPr>
            </w:pPr>
          </w:p>
        </w:tc>
        <w:tc>
          <w:tcPr>
            <w:tcW w:w="1518" w:type="dxa"/>
            <w:tcBorders>
              <w:top w:val="nil"/>
              <w:left w:val="nil"/>
              <w:bottom w:val="nil"/>
              <w:right w:val="nil"/>
            </w:tcBorders>
            <w:tcMar>
              <w:top w:w="11" w:type="dxa"/>
              <w:left w:w="11" w:type="dxa"/>
              <w:bottom w:w="0" w:type="dxa"/>
              <w:right w:w="11" w:type="dxa"/>
            </w:tcMar>
            <w:vAlign w:val="center"/>
          </w:tcPr>
          <w:p w:rsidR="00DC207C" w:rsidRPr="00123353" w:rsidRDefault="00DC207C" w:rsidP="008D176A">
            <w:pPr>
              <w:textAlignment w:val="center"/>
              <w:rPr>
                <w:sz w:val="20"/>
                <w:szCs w:val="18"/>
              </w:rPr>
            </w:pPr>
            <w:r w:rsidRPr="00123353">
              <w:rPr>
                <w:color w:val="000000"/>
                <w:kern w:val="24"/>
                <w:sz w:val="20"/>
                <w:szCs w:val="18"/>
              </w:rPr>
              <w:t>COMT2</w:t>
            </w:r>
          </w:p>
        </w:tc>
        <w:tc>
          <w:tcPr>
            <w:tcW w:w="760" w:type="dxa"/>
            <w:tcBorders>
              <w:top w:val="nil"/>
              <w:left w:val="nil"/>
              <w:bottom w:val="nil"/>
              <w:right w:val="nil"/>
            </w:tcBorders>
            <w:tcMar>
              <w:top w:w="11" w:type="dxa"/>
              <w:left w:w="11" w:type="dxa"/>
              <w:bottom w:w="0" w:type="dxa"/>
              <w:right w:w="11" w:type="dxa"/>
            </w:tcMar>
            <w:vAlign w:val="center"/>
          </w:tcPr>
          <w:p w:rsidR="00DC207C" w:rsidRPr="00123353" w:rsidRDefault="00DC207C" w:rsidP="008D176A">
            <w:pPr>
              <w:jc w:val="right"/>
              <w:textAlignment w:val="bottom"/>
              <w:rPr>
                <w:b/>
                <w:sz w:val="20"/>
                <w:szCs w:val="18"/>
              </w:rPr>
            </w:pPr>
            <w:r w:rsidRPr="00123353">
              <w:rPr>
                <w:b/>
                <w:color w:val="000000"/>
                <w:kern w:val="24"/>
                <w:sz w:val="20"/>
                <w:szCs w:val="18"/>
              </w:rPr>
              <w:t>197.2</w:t>
            </w:r>
          </w:p>
        </w:tc>
        <w:tc>
          <w:tcPr>
            <w:tcW w:w="303" w:type="dxa"/>
            <w:tcBorders>
              <w:top w:val="nil"/>
              <w:left w:val="nil"/>
              <w:bottom w:val="nil"/>
              <w:right w:val="nil"/>
            </w:tcBorders>
            <w:tcMar>
              <w:top w:w="9" w:type="dxa"/>
              <w:left w:w="9" w:type="dxa"/>
              <w:bottom w:w="0" w:type="dxa"/>
              <w:right w:w="9" w:type="dxa"/>
            </w:tcMar>
            <w:vAlign w:val="center"/>
          </w:tcPr>
          <w:p w:rsidR="00DC207C" w:rsidRPr="00123353" w:rsidRDefault="00DC207C" w:rsidP="008D176A">
            <w:pPr>
              <w:jc w:val="center"/>
              <w:textAlignment w:val="bottom"/>
              <w:rPr>
                <w:b/>
                <w:sz w:val="20"/>
                <w:szCs w:val="18"/>
              </w:rPr>
            </w:pPr>
            <w:r w:rsidRPr="00123353">
              <w:rPr>
                <w:b/>
                <w:color w:val="000000"/>
                <w:kern w:val="24"/>
                <w:sz w:val="20"/>
                <w:szCs w:val="18"/>
              </w:rPr>
              <w:t xml:space="preserve">± </w:t>
            </w:r>
          </w:p>
        </w:tc>
        <w:tc>
          <w:tcPr>
            <w:tcW w:w="760" w:type="dxa"/>
            <w:tcBorders>
              <w:top w:val="nil"/>
              <w:left w:val="nil"/>
              <w:bottom w:val="nil"/>
              <w:right w:val="nil"/>
            </w:tcBorders>
            <w:tcMar>
              <w:top w:w="15" w:type="dxa"/>
              <w:left w:w="15" w:type="dxa"/>
              <w:bottom w:w="0" w:type="dxa"/>
              <w:right w:w="15" w:type="dxa"/>
            </w:tcMar>
            <w:vAlign w:val="center"/>
          </w:tcPr>
          <w:p w:rsidR="00DC207C" w:rsidRPr="00123353" w:rsidRDefault="00DC207C" w:rsidP="008D176A">
            <w:pPr>
              <w:textAlignment w:val="bottom"/>
              <w:rPr>
                <w:b/>
                <w:sz w:val="20"/>
                <w:szCs w:val="18"/>
              </w:rPr>
            </w:pPr>
            <w:r w:rsidRPr="00123353">
              <w:rPr>
                <w:b/>
                <w:color w:val="000000"/>
                <w:kern w:val="24"/>
                <w:sz w:val="20"/>
                <w:szCs w:val="18"/>
              </w:rPr>
              <w:t>1.7*</w:t>
            </w:r>
          </w:p>
        </w:tc>
        <w:tc>
          <w:tcPr>
            <w:tcW w:w="760" w:type="dxa"/>
            <w:tcBorders>
              <w:top w:val="nil"/>
              <w:left w:val="nil"/>
              <w:bottom w:val="nil"/>
              <w:right w:val="nil"/>
            </w:tcBorders>
            <w:tcMar>
              <w:top w:w="11" w:type="dxa"/>
              <w:left w:w="11" w:type="dxa"/>
              <w:bottom w:w="0" w:type="dxa"/>
              <w:right w:w="11" w:type="dxa"/>
            </w:tcMar>
            <w:vAlign w:val="center"/>
          </w:tcPr>
          <w:p w:rsidR="00DC207C" w:rsidRPr="00123353" w:rsidRDefault="00DC207C" w:rsidP="008D176A">
            <w:pPr>
              <w:jc w:val="right"/>
              <w:textAlignment w:val="bottom"/>
              <w:rPr>
                <w:b/>
                <w:sz w:val="20"/>
                <w:szCs w:val="18"/>
              </w:rPr>
            </w:pPr>
            <w:r w:rsidRPr="00123353">
              <w:rPr>
                <w:b/>
                <w:color w:val="000000"/>
                <w:kern w:val="24"/>
                <w:sz w:val="20"/>
                <w:szCs w:val="18"/>
              </w:rPr>
              <w:t>232.9</w:t>
            </w:r>
          </w:p>
        </w:tc>
        <w:tc>
          <w:tcPr>
            <w:tcW w:w="303" w:type="dxa"/>
            <w:tcBorders>
              <w:top w:val="nil"/>
              <w:left w:val="nil"/>
              <w:bottom w:val="nil"/>
              <w:right w:val="nil"/>
            </w:tcBorders>
            <w:tcMar>
              <w:top w:w="9" w:type="dxa"/>
              <w:left w:w="9" w:type="dxa"/>
              <w:bottom w:w="0" w:type="dxa"/>
              <w:right w:w="9" w:type="dxa"/>
            </w:tcMar>
            <w:vAlign w:val="center"/>
          </w:tcPr>
          <w:p w:rsidR="00DC207C" w:rsidRPr="00123353" w:rsidRDefault="00DC207C" w:rsidP="008D176A">
            <w:pPr>
              <w:jc w:val="center"/>
              <w:textAlignment w:val="bottom"/>
              <w:rPr>
                <w:b/>
                <w:sz w:val="20"/>
                <w:szCs w:val="18"/>
              </w:rPr>
            </w:pPr>
            <w:r w:rsidRPr="00123353">
              <w:rPr>
                <w:b/>
                <w:color w:val="000000"/>
                <w:kern w:val="24"/>
                <w:sz w:val="20"/>
                <w:szCs w:val="18"/>
              </w:rPr>
              <w:t xml:space="preserve">± </w:t>
            </w:r>
          </w:p>
        </w:tc>
        <w:tc>
          <w:tcPr>
            <w:tcW w:w="607" w:type="dxa"/>
            <w:tcBorders>
              <w:top w:val="nil"/>
              <w:left w:val="nil"/>
              <w:bottom w:val="nil"/>
              <w:right w:val="nil"/>
            </w:tcBorders>
            <w:tcMar>
              <w:top w:w="15" w:type="dxa"/>
              <w:left w:w="15" w:type="dxa"/>
              <w:bottom w:w="0" w:type="dxa"/>
              <w:right w:w="15" w:type="dxa"/>
            </w:tcMar>
            <w:vAlign w:val="center"/>
          </w:tcPr>
          <w:p w:rsidR="00DC207C" w:rsidRPr="00123353" w:rsidRDefault="00DC207C" w:rsidP="008D176A">
            <w:pPr>
              <w:textAlignment w:val="bottom"/>
              <w:rPr>
                <w:b/>
                <w:sz w:val="20"/>
                <w:szCs w:val="18"/>
              </w:rPr>
            </w:pPr>
            <w:r w:rsidRPr="00123353">
              <w:rPr>
                <w:b/>
                <w:color w:val="000000"/>
                <w:kern w:val="24"/>
                <w:sz w:val="20"/>
                <w:szCs w:val="18"/>
              </w:rPr>
              <w:t xml:space="preserve">3.5* </w:t>
            </w:r>
          </w:p>
        </w:tc>
        <w:tc>
          <w:tcPr>
            <w:tcW w:w="760" w:type="dxa"/>
            <w:tcBorders>
              <w:top w:val="nil"/>
              <w:left w:val="nil"/>
              <w:bottom w:val="nil"/>
              <w:right w:val="nil"/>
            </w:tcBorders>
            <w:tcMar>
              <w:top w:w="11" w:type="dxa"/>
              <w:left w:w="11" w:type="dxa"/>
              <w:bottom w:w="0" w:type="dxa"/>
              <w:right w:w="11" w:type="dxa"/>
            </w:tcMar>
            <w:vAlign w:val="center"/>
          </w:tcPr>
          <w:p w:rsidR="00DC207C" w:rsidRPr="00123353" w:rsidRDefault="00DC207C" w:rsidP="008D176A">
            <w:pPr>
              <w:jc w:val="right"/>
              <w:textAlignment w:val="bottom"/>
              <w:rPr>
                <w:sz w:val="20"/>
                <w:szCs w:val="18"/>
              </w:rPr>
            </w:pPr>
            <w:r w:rsidRPr="00123353">
              <w:rPr>
                <w:color w:val="000000"/>
                <w:kern w:val="24"/>
                <w:sz w:val="20"/>
                <w:szCs w:val="18"/>
              </w:rPr>
              <w:t>196.1</w:t>
            </w:r>
          </w:p>
        </w:tc>
        <w:tc>
          <w:tcPr>
            <w:tcW w:w="303" w:type="dxa"/>
            <w:tcBorders>
              <w:top w:val="nil"/>
              <w:left w:val="nil"/>
              <w:bottom w:val="nil"/>
              <w:right w:val="nil"/>
            </w:tcBorders>
            <w:tcMar>
              <w:top w:w="9" w:type="dxa"/>
              <w:left w:w="9" w:type="dxa"/>
              <w:bottom w:w="0" w:type="dxa"/>
              <w:right w:w="9" w:type="dxa"/>
            </w:tcMar>
            <w:vAlign w:val="center"/>
          </w:tcPr>
          <w:p w:rsidR="00DC207C" w:rsidRPr="00123353" w:rsidRDefault="00DC207C" w:rsidP="008D176A">
            <w:pPr>
              <w:jc w:val="center"/>
              <w:textAlignment w:val="bottom"/>
              <w:rPr>
                <w:sz w:val="20"/>
                <w:szCs w:val="18"/>
              </w:rPr>
            </w:pPr>
            <w:r w:rsidRPr="00123353">
              <w:rPr>
                <w:color w:val="000000"/>
                <w:kern w:val="24"/>
                <w:sz w:val="20"/>
                <w:szCs w:val="18"/>
              </w:rPr>
              <w:t xml:space="preserve">± </w:t>
            </w:r>
          </w:p>
        </w:tc>
        <w:tc>
          <w:tcPr>
            <w:tcW w:w="607" w:type="dxa"/>
            <w:tcBorders>
              <w:top w:val="nil"/>
              <w:left w:val="nil"/>
              <w:bottom w:val="nil"/>
              <w:right w:val="nil"/>
            </w:tcBorders>
            <w:tcMar>
              <w:top w:w="15" w:type="dxa"/>
              <w:left w:w="15" w:type="dxa"/>
              <w:bottom w:w="0" w:type="dxa"/>
              <w:right w:w="15" w:type="dxa"/>
            </w:tcMar>
            <w:vAlign w:val="center"/>
          </w:tcPr>
          <w:p w:rsidR="00DC207C" w:rsidRPr="00123353" w:rsidRDefault="00DC207C" w:rsidP="008D176A">
            <w:pPr>
              <w:textAlignment w:val="bottom"/>
              <w:rPr>
                <w:sz w:val="20"/>
                <w:szCs w:val="18"/>
              </w:rPr>
            </w:pPr>
            <w:r w:rsidRPr="00123353">
              <w:rPr>
                <w:color w:val="000000"/>
                <w:kern w:val="24"/>
                <w:sz w:val="20"/>
                <w:szCs w:val="18"/>
              </w:rPr>
              <w:t xml:space="preserve">9.1 </w:t>
            </w:r>
          </w:p>
        </w:tc>
        <w:tc>
          <w:tcPr>
            <w:tcW w:w="912" w:type="dxa"/>
            <w:tcBorders>
              <w:top w:val="nil"/>
              <w:left w:val="nil"/>
              <w:bottom w:val="nil"/>
              <w:right w:val="nil"/>
            </w:tcBorders>
            <w:tcMar>
              <w:top w:w="11" w:type="dxa"/>
              <w:left w:w="11" w:type="dxa"/>
              <w:bottom w:w="0" w:type="dxa"/>
              <w:right w:w="11" w:type="dxa"/>
            </w:tcMar>
            <w:vAlign w:val="center"/>
          </w:tcPr>
          <w:p w:rsidR="00DC207C" w:rsidRPr="00123353" w:rsidRDefault="00DC207C" w:rsidP="008D176A">
            <w:pPr>
              <w:jc w:val="right"/>
              <w:textAlignment w:val="bottom"/>
              <w:rPr>
                <w:b/>
                <w:sz w:val="20"/>
                <w:szCs w:val="18"/>
              </w:rPr>
            </w:pPr>
            <w:r w:rsidRPr="00123353">
              <w:rPr>
                <w:b/>
                <w:color w:val="000000"/>
                <w:kern w:val="24"/>
                <w:sz w:val="20"/>
                <w:szCs w:val="18"/>
              </w:rPr>
              <w:t>2628.5</w:t>
            </w:r>
          </w:p>
        </w:tc>
        <w:tc>
          <w:tcPr>
            <w:tcW w:w="303" w:type="dxa"/>
            <w:tcBorders>
              <w:top w:val="nil"/>
              <w:left w:val="nil"/>
              <w:bottom w:val="nil"/>
              <w:right w:val="nil"/>
            </w:tcBorders>
            <w:tcMar>
              <w:top w:w="9" w:type="dxa"/>
              <w:left w:w="9" w:type="dxa"/>
              <w:bottom w:w="0" w:type="dxa"/>
              <w:right w:w="9" w:type="dxa"/>
            </w:tcMar>
            <w:vAlign w:val="center"/>
          </w:tcPr>
          <w:p w:rsidR="00DC207C" w:rsidRPr="00123353" w:rsidRDefault="00DC207C" w:rsidP="008D176A">
            <w:pPr>
              <w:jc w:val="center"/>
              <w:textAlignment w:val="bottom"/>
              <w:rPr>
                <w:b/>
                <w:sz w:val="20"/>
                <w:szCs w:val="18"/>
              </w:rPr>
            </w:pPr>
            <w:r w:rsidRPr="00123353">
              <w:rPr>
                <w:b/>
                <w:color w:val="000000"/>
                <w:kern w:val="24"/>
                <w:sz w:val="20"/>
                <w:szCs w:val="18"/>
              </w:rPr>
              <w:t xml:space="preserve">± </w:t>
            </w:r>
          </w:p>
        </w:tc>
        <w:tc>
          <w:tcPr>
            <w:tcW w:w="607" w:type="dxa"/>
            <w:tcBorders>
              <w:top w:val="nil"/>
              <w:left w:val="nil"/>
              <w:bottom w:val="nil"/>
              <w:right w:val="nil"/>
            </w:tcBorders>
            <w:tcMar>
              <w:top w:w="15" w:type="dxa"/>
              <w:left w:w="15" w:type="dxa"/>
              <w:bottom w:w="0" w:type="dxa"/>
              <w:right w:w="15" w:type="dxa"/>
            </w:tcMar>
            <w:vAlign w:val="center"/>
          </w:tcPr>
          <w:p w:rsidR="00DC207C" w:rsidRPr="00123353" w:rsidRDefault="00DC207C" w:rsidP="008D176A">
            <w:pPr>
              <w:textAlignment w:val="bottom"/>
              <w:rPr>
                <w:b/>
                <w:sz w:val="20"/>
                <w:szCs w:val="18"/>
              </w:rPr>
            </w:pPr>
            <w:r w:rsidRPr="00123353">
              <w:rPr>
                <w:b/>
                <w:color w:val="000000"/>
                <w:kern w:val="24"/>
                <w:sz w:val="20"/>
                <w:szCs w:val="18"/>
              </w:rPr>
              <w:t xml:space="preserve">92.6* </w:t>
            </w:r>
          </w:p>
        </w:tc>
      </w:tr>
      <w:tr w:rsidR="00DC207C" w:rsidRPr="007F0DA8" w:rsidTr="00376AE6">
        <w:trPr>
          <w:trHeight w:val="144"/>
        </w:trPr>
        <w:tc>
          <w:tcPr>
            <w:tcW w:w="912" w:type="dxa"/>
            <w:tcBorders>
              <w:top w:val="nil"/>
              <w:left w:val="nil"/>
              <w:bottom w:val="nil"/>
              <w:right w:val="nil"/>
            </w:tcBorders>
            <w:tcMar>
              <w:top w:w="11" w:type="dxa"/>
              <w:left w:w="11" w:type="dxa"/>
              <w:bottom w:w="0" w:type="dxa"/>
              <w:right w:w="11" w:type="dxa"/>
            </w:tcMar>
            <w:vAlign w:val="center"/>
          </w:tcPr>
          <w:p w:rsidR="00DC207C" w:rsidRPr="00123353" w:rsidRDefault="00DC207C" w:rsidP="008D176A">
            <w:pPr>
              <w:rPr>
                <w:sz w:val="20"/>
                <w:szCs w:val="18"/>
              </w:rPr>
            </w:pPr>
          </w:p>
        </w:tc>
        <w:tc>
          <w:tcPr>
            <w:tcW w:w="1518" w:type="dxa"/>
            <w:tcBorders>
              <w:top w:val="nil"/>
              <w:left w:val="nil"/>
              <w:bottom w:val="nil"/>
              <w:right w:val="nil"/>
            </w:tcBorders>
            <w:tcMar>
              <w:top w:w="11" w:type="dxa"/>
              <w:left w:w="11" w:type="dxa"/>
              <w:bottom w:w="0" w:type="dxa"/>
              <w:right w:w="11" w:type="dxa"/>
            </w:tcMar>
            <w:vAlign w:val="center"/>
          </w:tcPr>
          <w:p w:rsidR="00DC207C" w:rsidRPr="00123353" w:rsidRDefault="00DC207C" w:rsidP="008D176A">
            <w:pPr>
              <w:textAlignment w:val="center"/>
              <w:rPr>
                <w:color w:val="000000"/>
                <w:kern w:val="24"/>
                <w:sz w:val="20"/>
                <w:szCs w:val="18"/>
              </w:rPr>
            </w:pPr>
          </w:p>
        </w:tc>
        <w:tc>
          <w:tcPr>
            <w:tcW w:w="760" w:type="dxa"/>
            <w:tcBorders>
              <w:top w:val="nil"/>
              <w:left w:val="nil"/>
              <w:bottom w:val="nil"/>
              <w:right w:val="nil"/>
            </w:tcBorders>
            <w:tcMar>
              <w:top w:w="11" w:type="dxa"/>
              <w:left w:w="11" w:type="dxa"/>
              <w:bottom w:w="0" w:type="dxa"/>
              <w:right w:w="11" w:type="dxa"/>
            </w:tcMar>
            <w:vAlign w:val="center"/>
          </w:tcPr>
          <w:p w:rsidR="00DC207C" w:rsidRPr="00123353" w:rsidRDefault="00DC207C" w:rsidP="008D176A">
            <w:pPr>
              <w:jc w:val="right"/>
              <w:textAlignment w:val="bottom"/>
              <w:rPr>
                <w:color w:val="000000"/>
                <w:kern w:val="24"/>
                <w:sz w:val="20"/>
                <w:szCs w:val="18"/>
              </w:rPr>
            </w:pPr>
          </w:p>
        </w:tc>
        <w:tc>
          <w:tcPr>
            <w:tcW w:w="303" w:type="dxa"/>
            <w:tcBorders>
              <w:top w:val="nil"/>
              <w:left w:val="nil"/>
              <w:bottom w:val="nil"/>
              <w:right w:val="nil"/>
            </w:tcBorders>
            <w:tcMar>
              <w:top w:w="9" w:type="dxa"/>
              <w:left w:w="9" w:type="dxa"/>
              <w:bottom w:w="0" w:type="dxa"/>
              <w:right w:w="9" w:type="dxa"/>
            </w:tcMar>
            <w:vAlign w:val="center"/>
          </w:tcPr>
          <w:p w:rsidR="00DC207C" w:rsidRPr="00123353" w:rsidRDefault="00DC207C" w:rsidP="008D176A">
            <w:pPr>
              <w:jc w:val="center"/>
              <w:textAlignment w:val="bottom"/>
              <w:rPr>
                <w:color w:val="000000"/>
                <w:kern w:val="24"/>
                <w:sz w:val="20"/>
                <w:szCs w:val="18"/>
              </w:rPr>
            </w:pPr>
          </w:p>
        </w:tc>
        <w:tc>
          <w:tcPr>
            <w:tcW w:w="760" w:type="dxa"/>
            <w:tcBorders>
              <w:top w:val="nil"/>
              <w:left w:val="nil"/>
              <w:bottom w:val="nil"/>
              <w:right w:val="nil"/>
            </w:tcBorders>
            <w:tcMar>
              <w:top w:w="15" w:type="dxa"/>
              <w:left w:w="15" w:type="dxa"/>
              <w:bottom w:w="0" w:type="dxa"/>
              <w:right w:w="15" w:type="dxa"/>
            </w:tcMar>
            <w:vAlign w:val="center"/>
          </w:tcPr>
          <w:p w:rsidR="00DC207C" w:rsidRPr="00123353" w:rsidRDefault="00DC207C" w:rsidP="008D176A">
            <w:pPr>
              <w:textAlignment w:val="bottom"/>
              <w:rPr>
                <w:color w:val="000000"/>
                <w:kern w:val="24"/>
                <w:sz w:val="20"/>
                <w:szCs w:val="18"/>
              </w:rPr>
            </w:pPr>
          </w:p>
        </w:tc>
        <w:tc>
          <w:tcPr>
            <w:tcW w:w="760" w:type="dxa"/>
            <w:tcBorders>
              <w:top w:val="nil"/>
              <w:left w:val="nil"/>
              <w:bottom w:val="nil"/>
              <w:right w:val="nil"/>
            </w:tcBorders>
            <w:tcMar>
              <w:top w:w="11" w:type="dxa"/>
              <w:left w:w="11" w:type="dxa"/>
              <w:bottom w:w="0" w:type="dxa"/>
              <w:right w:w="11" w:type="dxa"/>
            </w:tcMar>
            <w:vAlign w:val="center"/>
          </w:tcPr>
          <w:p w:rsidR="00DC207C" w:rsidRPr="00123353" w:rsidRDefault="00DC207C" w:rsidP="008D176A">
            <w:pPr>
              <w:jc w:val="right"/>
              <w:textAlignment w:val="bottom"/>
              <w:rPr>
                <w:color w:val="000000"/>
                <w:kern w:val="24"/>
                <w:sz w:val="20"/>
                <w:szCs w:val="18"/>
              </w:rPr>
            </w:pPr>
          </w:p>
        </w:tc>
        <w:tc>
          <w:tcPr>
            <w:tcW w:w="303" w:type="dxa"/>
            <w:tcBorders>
              <w:top w:val="nil"/>
              <w:left w:val="nil"/>
              <w:bottom w:val="nil"/>
              <w:right w:val="nil"/>
            </w:tcBorders>
            <w:tcMar>
              <w:top w:w="9" w:type="dxa"/>
              <w:left w:w="9" w:type="dxa"/>
              <w:bottom w:w="0" w:type="dxa"/>
              <w:right w:w="9" w:type="dxa"/>
            </w:tcMar>
            <w:vAlign w:val="center"/>
          </w:tcPr>
          <w:p w:rsidR="00DC207C" w:rsidRPr="00123353" w:rsidRDefault="00DC207C" w:rsidP="008D176A">
            <w:pPr>
              <w:jc w:val="center"/>
              <w:textAlignment w:val="bottom"/>
              <w:rPr>
                <w:color w:val="000000"/>
                <w:kern w:val="24"/>
                <w:sz w:val="20"/>
                <w:szCs w:val="18"/>
              </w:rPr>
            </w:pPr>
          </w:p>
        </w:tc>
        <w:tc>
          <w:tcPr>
            <w:tcW w:w="607" w:type="dxa"/>
            <w:tcBorders>
              <w:top w:val="nil"/>
              <w:left w:val="nil"/>
              <w:bottom w:val="nil"/>
              <w:right w:val="nil"/>
            </w:tcBorders>
            <w:tcMar>
              <w:top w:w="15" w:type="dxa"/>
              <w:left w:w="15" w:type="dxa"/>
              <w:bottom w:w="0" w:type="dxa"/>
              <w:right w:w="15" w:type="dxa"/>
            </w:tcMar>
            <w:vAlign w:val="center"/>
          </w:tcPr>
          <w:p w:rsidR="00DC207C" w:rsidRPr="00123353" w:rsidRDefault="00DC207C" w:rsidP="008D176A">
            <w:pPr>
              <w:textAlignment w:val="bottom"/>
              <w:rPr>
                <w:color w:val="000000"/>
                <w:kern w:val="24"/>
                <w:sz w:val="20"/>
                <w:szCs w:val="18"/>
              </w:rPr>
            </w:pPr>
          </w:p>
        </w:tc>
        <w:tc>
          <w:tcPr>
            <w:tcW w:w="760" w:type="dxa"/>
            <w:tcBorders>
              <w:top w:val="nil"/>
              <w:left w:val="nil"/>
              <w:bottom w:val="nil"/>
              <w:right w:val="nil"/>
            </w:tcBorders>
            <w:tcMar>
              <w:top w:w="11" w:type="dxa"/>
              <w:left w:w="11" w:type="dxa"/>
              <w:bottom w:w="0" w:type="dxa"/>
              <w:right w:w="11" w:type="dxa"/>
            </w:tcMar>
            <w:vAlign w:val="center"/>
          </w:tcPr>
          <w:p w:rsidR="00DC207C" w:rsidRPr="00123353" w:rsidRDefault="00DC207C" w:rsidP="008D176A">
            <w:pPr>
              <w:jc w:val="right"/>
              <w:textAlignment w:val="bottom"/>
              <w:rPr>
                <w:color w:val="000000"/>
                <w:kern w:val="24"/>
                <w:sz w:val="20"/>
                <w:szCs w:val="18"/>
              </w:rPr>
            </w:pPr>
          </w:p>
        </w:tc>
        <w:tc>
          <w:tcPr>
            <w:tcW w:w="303" w:type="dxa"/>
            <w:tcBorders>
              <w:top w:val="nil"/>
              <w:left w:val="nil"/>
              <w:bottom w:val="nil"/>
              <w:right w:val="nil"/>
            </w:tcBorders>
            <w:tcMar>
              <w:top w:w="9" w:type="dxa"/>
              <w:left w:w="9" w:type="dxa"/>
              <w:bottom w:w="0" w:type="dxa"/>
              <w:right w:w="9" w:type="dxa"/>
            </w:tcMar>
            <w:vAlign w:val="center"/>
          </w:tcPr>
          <w:p w:rsidR="00DC207C" w:rsidRPr="00123353" w:rsidRDefault="00DC207C" w:rsidP="008D176A">
            <w:pPr>
              <w:jc w:val="center"/>
              <w:textAlignment w:val="bottom"/>
              <w:rPr>
                <w:color w:val="000000"/>
                <w:kern w:val="24"/>
                <w:sz w:val="20"/>
                <w:szCs w:val="18"/>
              </w:rPr>
            </w:pPr>
          </w:p>
        </w:tc>
        <w:tc>
          <w:tcPr>
            <w:tcW w:w="607" w:type="dxa"/>
            <w:tcBorders>
              <w:top w:val="nil"/>
              <w:left w:val="nil"/>
              <w:bottom w:val="nil"/>
              <w:right w:val="nil"/>
            </w:tcBorders>
            <w:tcMar>
              <w:top w:w="15" w:type="dxa"/>
              <w:left w:w="15" w:type="dxa"/>
              <w:bottom w:w="0" w:type="dxa"/>
              <w:right w:w="15" w:type="dxa"/>
            </w:tcMar>
            <w:vAlign w:val="center"/>
          </w:tcPr>
          <w:p w:rsidR="00DC207C" w:rsidRPr="00123353" w:rsidRDefault="00DC207C" w:rsidP="008D176A">
            <w:pPr>
              <w:textAlignment w:val="bottom"/>
              <w:rPr>
                <w:color w:val="000000"/>
                <w:kern w:val="24"/>
                <w:sz w:val="20"/>
                <w:szCs w:val="18"/>
              </w:rPr>
            </w:pPr>
          </w:p>
        </w:tc>
        <w:tc>
          <w:tcPr>
            <w:tcW w:w="912" w:type="dxa"/>
            <w:tcBorders>
              <w:top w:val="nil"/>
              <w:left w:val="nil"/>
              <w:bottom w:val="nil"/>
              <w:right w:val="nil"/>
            </w:tcBorders>
            <w:tcMar>
              <w:top w:w="11" w:type="dxa"/>
              <w:left w:w="11" w:type="dxa"/>
              <w:bottom w:w="0" w:type="dxa"/>
              <w:right w:w="11" w:type="dxa"/>
            </w:tcMar>
            <w:vAlign w:val="center"/>
          </w:tcPr>
          <w:p w:rsidR="00DC207C" w:rsidRPr="00123353" w:rsidRDefault="00DC207C" w:rsidP="008D176A">
            <w:pPr>
              <w:jc w:val="right"/>
              <w:textAlignment w:val="bottom"/>
              <w:rPr>
                <w:color w:val="000000"/>
                <w:kern w:val="24"/>
                <w:sz w:val="20"/>
                <w:szCs w:val="18"/>
              </w:rPr>
            </w:pPr>
          </w:p>
        </w:tc>
        <w:tc>
          <w:tcPr>
            <w:tcW w:w="303" w:type="dxa"/>
            <w:tcBorders>
              <w:top w:val="nil"/>
              <w:left w:val="nil"/>
              <w:bottom w:val="nil"/>
              <w:right w:val="nil"/>
            </w:tcBorders>
            <w:tcMar>
              <w:top w:w="9" w:type="dxa"/>
              <w:left w:w="9" w:type="dxa"/>
              <w:bottom w:w="0" w:type="dxa"/>
              <w:right w:w="9" w:type="dxa"/>
            </w:tcMar>
            <w:vAlign w:val="center"/>
          </w:tcPr>
          <w:p w:rsidR="00DC207C" w:rsidRPr="00123353" w:rsidRDefault="00DC207C" w:rsidP="008D176A">
            <w:pPr>
              <w:jc w:val="center"/>
              <w:textAlignment w:val="bottom"/>
              <w:rPr>
                <w:color w:val="000000"/>
                <w:kern w:val="24"/>
                <w:sz w:val="20"/>
                <w:szCs w:val="18"/>
              </w:rPr>
            </w:pPr>
          </w:p>
        </w:tc>
        <w:tc>
          <w:tcPr>
            <w:tcW w:w="607" w:type="dxa"/>
            <w:tcBorders>
              <w:top w:val="nil"/>
              <w:left w:val="nil"/>
              <w:bottom w:val="nil"/>
              <w:right w:val="nil"/>
            </w:tcBorders>
            <w:tcMar>
              <w:top w:w="15" w:type="dxa"/>
              <w:left w:w="15" w:type="dxa"/>
              <w:bottom w:w="0" w:type="dxa"/>
              <w:right w:w="15" w:type="dxa"/>
            </w:tcMar>
            <w:vAlign w:val="center"/>
          </w:tcPr>
          <w:p w:rsidR="00DC207C" w:rsidRPr="00123353" w:rsidRDefault="00DC207C" w:rsidP="008D176A">
            <w:pPr>
              <w:textAlignment w:val="bottom"/>
              <w:rPr>
                <w:color w:val="000000"/>
                <w:kern w:val="24"/>
                <w:sz w:val="20"/>
                <w:szCs w:val="18"/>
              </w:rPr>
            </w:pPr>
          </w:p>
        </w:tc>
      </w:tr>
      <w:tr w:rsidR="00DC207C" w:rsidRPr="007F0DA8" w:rsidTr="00376AE6">
        <w:trPr>
          <w:trHeight w:val="144"/>
        </w:trPr>
        <w:tc>
          <w:tcPr>
            <w:tcW w:w="912" w:type="dxa"/>
            <w:tcBorders>
              <w:top w:val="nil"/>
              <w:left w:val="nil"/>
              <w:bottom w:val="nil"/>
              <w:right w:val="nil"/>
            </w:tcBorders>
            <w:tcMar>
              <w:top w:w="11" w:type="dxa"/>
              <w:left w:w="11" w:type="dxa"/>
              <w:bottom w:w="0" w:type="dxa"/>
              <w:right w:w="11" w:type="dxa"/>
            </w:tcMar>
            <w:vAlign w:val="center"/>
          </w:tcPr>
          <w:p w:rsidR="00DC207C" w:rsidRPr="00123353" w:rsidRDefault="00DC207C" w:rsidP="008D176A">
            <w:pPr>
              <w:rPr>
                <w:sz w:val="20"/>
                <w:szCs w:val="18"/>
              </w:rPr>
            </w:pPr>
          </w:p>
        </w:tc>
        <w:tc>
          <w:tcPr>
            <w:tcW w:w="1518" w:type="dxa"/>
            <w:tcBorders>
              <w:top w:val="nil"/>
              <w:left w:val="nil"/>
              <w:bottom w:val="nil"/>
              <w:right w:val="nil"/>
            </w:tcBorders>
            <w:tcMar>
              <w:top w:w="11" w:type="dxa"/>
              <w:left w:w="11" w:type="dxa"/>
              <w:bottom w:w="0" w:type="dxa"/>
              <w:right w:w="11" w:type="dxa"/>
            </w:tcMar>
            <w:vAlign w:val="center"/>
          </w:tcPr>
          <w:p w:rsidR="00DC207C" w:rsidRPr="00123353" w:rsidRDefault="00DC207C" w:rsidP="008D176A">
            <w:pPr>
              <w:textAlignment w:val="center"/>
              <w:rPr>
                <w:sz w:val="20"/>
                <w:szCs w:val="18"/>
              </w:rPr>
            </w:pPr>
            <w:r w:rsidRPr="00123353">
              <w:rPr>
                <w:color w:val="000000"/>
                <w:kern w:val="24"/>
                <w:sz w:val="20"/>
                <w:szCs w:val="18"/>
              </w:rPr>
              <w:t>Control</w:t>
            </w:r>
          </w:p>
        </w:tc>
        <w:tc>
          <w:tcPr>
            <w:tcW w:w="760" w:type="dxa"/>
            <w:tcBorders>
              <w:top w:val="nil"/>
              <w:left w:val="nil"/>
              <w:bottom w:val="nil"/>
              <w:right w:val="nil"/>
            </w:tcBorders>
            <w:tcMar>
              <w:top w:w="11" w:type="dxa"/>
              <w:left w:w="11" w:type="dxa"/>
              <w:bottom w:w="0" w:type="dxa"/>
              <w:right w:w="11" w:type="dxa"/>
            </w:tcMar>
            <w:vAlign w:val="center"/>
          </w:tcPr>
          <w:p w:rsidR="00DC207C" w:rsidRPr="00123353" w:rsidRDefault="00DC207C" w:rsidP="008D176A">
            <w:pPr>
              <w:jc w:val="right"/>
              <w:textAlignment w:val="bottom"/>
              <w:rPr>
                <w:sz w:val="20"/>
                <w:szCs w:val="18"/>
              </w:rPr>
            </w:pPr>
            <w:r w:rsidRPr="00123353">
              <w:rPr>
                <w:color w:val="000000"/>
                <w:kern w:val="24"/>
                <w:sz w:val="20"/>
                <w:szCs w:val="18"/>
              </w:rPr>
              <w:t>188.2</w:t>
            </w:r>
          </w:p>
        </w:tc>
        <w:tc>
          <w:tcPr>
            <w:tcW w:w="303" w:type="dxa"/>
            <w:tcBorders>
              <w:top w:val="nil"/>
              <w:left w:val="nil"/>
              <w:bottom w:val="nil"/>
              <w:right w:val="nil"/>
            </w:tcBorders>
            <w:tcMar>
              <w:top w:w="9" w:type="dxa"/>
              <w:left w:w="9" w:type="dxa"/>
              <w:bottom w:w="0" w:type="dxa"/>
              <w:right w:w="9" w:type="dxa"/>
            </w:tcMar>
            <w:vAlign w:val="center"/>
          </w:tcPr>
          <w:p w:rsidR="00DC207C" w:rsidRPr="00123353" w:rsidRDefault="00DC207C" w:rsidP="008D176A">
            <w:pPr>
              <w:jc w:val="center"/>
              <w:textAlignment w:val="bottom"/>
              <w:rPr>
                <w:sz w:val="20"/>
                <w:szCs w:val="18"/>
              </w:rPr>
            </w:pPr>
            <w:r w:rsidRPr="00123353">
              <w:rPr>
                <w:color w:val="000000"/>
                <w:kern w:val="24"/>
                <w:sz w:val="20"/>
                <w:szCs w:val="18"/>
              </w:rPr>
              <w:t xml:space="preserve">± </w:t>
            </w:r>
          </w:p>
        </w:tc>
        <w:tc>
          <w:tcPr>
            <w:tcW w:w="760" w:type="dxa"/>
            <w:tcBorders>
              <w:top w:val="nil"/>
              <w:left w:val="nil"/>
              <w:bottom w:val="nil"/>
              <w:right w:val="nil"/>
            </w:tcBorders>
            <w:tcMar>
              <w:top w:w="15" w:type="dxa"/>
              <w:left w:w="15" w:type="dxa"/>
              <w:bottom w:w="0" w:type="dxa"/>
              <w:right w:w="15" w:type="dxa"/>
            </w:tcMar>
            <w:vAlign w:val="center"/>
          </w:tcPr>
          <w:p w:rsidR="00DC207C" w:rsidRPr="00123353" w:rsidRDefault="00DC207C" w:rsidP="008D176A">
            <w:pPr>
              <w:textAlignment w:val="bottom"/>
              <w:rPr>
                <w:sz w:val="20"/>
                <w:szCs w:val="18"/>
              </w:rPr>
            </w:pPr>
            <w:r w:rsidRPr="00123353">
              <w:rPr>
                <w:color w:val="000000"/>
                <w:kern w:val="24"/>
                <w:sz w:val="20"/>
                <w:szCs w:val="18"/>
              </w:rPr>
              <w:t>5.1</w:t>
            </w:r>
          </w:p>
        </w:tc>
        <w:tc>
          <w:tcPr>
            <w:tcW w:w="760" w:type="dxa"/>
            <w:tcBorders>
              <w:top w:val="nil"/>
              <w:left w:val="nil"/>
              <w:bottom w:val="nil"/>
              <w:right w:val="nil"/>
            </w:tcBorders>
            <w:tcMar>
              <w:top w:w="11" w:type="dxa"/>
              <w:left w:w="11" w:type="dxa"/>
              <w:bottom w:w="0" w:type="dxa"/>
              <w:right w:w="11" w:type="dxa"/>
            </w:tcMar>
            <w:vAlign w:val="center"/>
          </w:tcPr>
          <w:p w:rsidR="00DC207C" w:rsidRPr="00123353" w:rsidRDefault="00DC207C" w:rsidP="008D176A">
            <w:pPr>
              <w:jc w:val="right"/>
              <w:textAlignment w:val="bottom"/>
              <w:rPr>
                <w:sz w:val="20"/>
                <w:szCs w:val="18"/>
              </w:rPr>
            </w:pPr>
            <w:r w:rsidRPr="00123353">
              <w:rPr>
                <w:color w:val="000000"/>
                <w:kern w:val="24"/>
                <w:sz w:val="20"/>
                <w:szCs w:val="18"/>
              </w:rPr>
              <w:t>225.4</w:t>
            </w:r>
          </w:p>
        </w:tc>
        <w:tc>
          <w:tcPr>
            <w:tcW w:w="303" w:type="dxa"/>
            <w:tcBorders>
              <w:top w:val="nil"/>
              <w:left w:val="nil"/>
              <w:bottom w:val="nil"/>
              <w:right w:val="nil"/>
            </w:tcBorders>
            <w:tcMar>
              <w:top w:w="9" w:type="dxa"/>
              <w:left w:w="9" w:type="dxa"/>
              <w:bottom w:w="0" w:type="dxa"/>
              <w:right w:w="9" w:type="dxa"/>
            </w:tcMar>
            <w:vAlign w:val="center"/>
          </w:tcPr>
          <w:p w:rsidR="00DC207C" w:rsidRPr="00123353" w:rsidRDefault="00DC207C" w:rsidP="008D176A">
            <w:pPr>
              <w:jc w:val="center"/>
              <w:textAlignment w:val="bottom"/>
              <w:rPr>
                <w:sz w:val="20"/>
                <w:szCs w:val="18"/>
              </w:rPr>
            </w:pPr>
            <w:r w:rsidRPr="00123353">
              <w:rPr>
                <w:color w:val="000000"/>
                <w:kern w:val="24"/>
                <w:sz w:val="20"/>
                <w:szCs w:val="18"/>
              </w:rPr>
              <w:t xml:space="preserve">± </w:t>
            </w:r>
          </w:p>
        </w:tc>
        <w:tc>
          <w:tcPr>
            <w:tcW w:w="607" w:type="dxa"/>
            <w:tcBorders>
              <w:top w:val="nil"/>
              <w:left w:val="nil"/>
              <w:bottom w:val="nil"/>
              <w:right w:val="nil"/>
            </w:tcBorders>
            <w:tcMar>
              <w:top w:w="15" w:type="dxa"/>
              <w:left w:w="15" w:type="dxa"/>
              <w:bottom w:w="0" w:type="dxa"/>
              <w:right w:w="15" w:type="dxa"/>
            </w:tcMar>
            <w:vAlign w:val="center"/>
          </w:tcPr>
          <w:p w:rsidR="00DC207C" w:rsidRPr="00123353" w:rsidRDefault="00DC207C" w:rsidP="008D176A">
            <w:pPr>
              <w:textAlignment w:val="bottom"/>
              <w:rPr>
                <w:sz w:val="20"/>
                <w:szCs w:val="18"/>
              </w:rPr>
            </w:pPr>
            <w:r w:rsidRPr="00123353">
              <w:rPr>
                <w:color w:val="000000"/>
                <w:kern w:val="24"/>
                <w:sz w:val="20"/>
                <w:szCs w:val="18"/>
              </w:rPr>
              <w:t>7.1</w:t>
            </w:r>
          </w:p>
        </w:tc>
        <w:tc>
          <w:tcPr>
            <w:tcW w:w="760" w:type="dxa"/>
            <w:tcBorders>
              <w:top w:val="nil"/>
              <w:left w:val="nil"/>
              <w:bottom w:val="nil"/>
              <w:right w:val="nil"/>
            </w:tcBorders>
            <w:tcMar>
              <w:top w:w="11" w:type="dxa"/>
              <w:left w:w="11" w:type="dxa"/>
              <w:bottom w:w="0" w:type="dxa"/>
              <w:right w:w="11" w:type="dxa"/>
            </w:tcMar>
            <w:vAlign w:val="center"/>
          </w:tcPr>
          <w:p w:rsidR="00DC207C" w:rsidRPr="00123353" w:rsidRDefault="00DC207C" w:rsidP="008D176A">
            <w:pPr>
              <w:jc w:val="right"/>
              <w:textAlignment w:val="bottom"/>
              <w:rPr>
                <w:sz w:val="20"/>
                <w:szCs w:val="18"/>
              </w:rPr>
            </w:pPr>
            <w:r w:rsidRPr="00123353">
              <w:rPr>
                <w:color w:val="000000"/>
                <w:kern w:val="24"/>
                <w:sz w:val="20"/>
                <w:szCs w:val="18"/>
              </w:rPr>
              <w:t>186.2</w:t>
            </w:r>
          </w:p>
        </w:tc>
        <w:tc>
          <w:tcPr>
            <w:tcW w:w="303" w:type="dxa"/>
            <w:tcBorders>
              <w:top w:val="nil"/>
              <w:left w:val="nil"/>
              <w:bottom w:val="nil"/>
              <w:right w:val="nil"/>
            </w:tcBorders>
            <w:tcMar>
              <w:top w:w="9" w:type="dxa"/>
              <w:left w:w="9" w:type="dxa"/>
              <w:bottom w:w="0" w:type="dxa"/>
              <w:right w:w="9" w:type="dxa"/>
            </w:tcMar>
            <w:vAlign w:val="center"/>
          </w:tcPr>
          <w:p w:rsidR="00DC207C" w:rsidRPr="00123353" w:rsidRDefault="00DC207C" w:rsidP="008D176A">
            <w:pPr>
              <w:jc w:val="center"/>
              <w:textAlignment w:val="bottom"/>
              <w:rPr>
                <w:sz w:val="20"/>
                <w:szCs w:val="18"/>
              </w:rPr>
            </w:pPr>
            <w:r w:rsidRPr="00123353">
              <w:rPr>
                <w:color w:val="000000"/>
                <w:kern w:val="24"/>
                <w:sz w:val="20"/>
                <w:szCs w:val="18"/>
              </w:rPr>
              <w:t xml:space="preserve">± </w:t>
            </w:r>
          </w:p>
        </w:tc>
        <w:tc>
          <w:tcPr>
            <w:tcW w:w="607" w:type="dxa"/>
            <w:tcBorders>
              <w:top w:val="nil"/>
              <w:left w:val="nil"/>
              <w:bottom w:val="nil"/>
              <w:right w:val="nil"/>
            </w:tcBorders>
            <w:tcMar>
              <w:top w:w="15" w:type="dxa"/>
              <w:left w:w="15" w:type="dxa"/>
              <w:bottom w:w="0" w:type="dxa"/>
              <w:right w:w="15" w:type="dxa"/>
            </w:tcMar>
            <w:vAlign w:val="center"/>
          </w:tcPr>
          <w:p w:rsidR="00DC207C" w:rsidRPr="00123353" w:rsidRDefault="00DC207C" w:rsidP="008D176A">
            <w:pPr>
              <w:textAlignment w:val="bottom"/>
              <w:rPr>
                <w:sz w:val="20"/>
                <w:szCs w:val="18"/>
              </w:rPr>
            </w:pPr>
            <w:r w:rsidRPr="00123353">
              <w:rPr>
                <w:color w:val="000000"/>
                <w:kern w:val="24"/>
                <w:sz w:val="20"/>
                <w:szCs w:val="18"/>
              </w:rPr>
              <w:t>4.3</w:t>
            </w:r>
          </w:p>
        </w:tc>
        <w:tc>
          <w:tcPr>
            <w:tcW w:w="912" w:type="dxa"/>
            <w:tcBorders>
              <w:top w:val="nil"/>
              <w:left w:val="nil"/>
              <w:bottom w:val="nil"/>
              <w:right w:val="nil"/>
            </w:tcBorders>
            <w:tcMar>
              <w:top w:w="11" w:type="dxa"/>
              <w:left w:w="11" w:type="dxa"/>
              <w:bottom w:w="0" w:type="dxa"/>
              <w:right w:w="11" w:type="dxa"/>
            </w:tcMar>
            <w:vAlign w:val="center"/>
          </w:tcPr>
          <w:p w:rsidR="00DC207C" w:rsidRPr="00123353" w:rsidRDefault="00DC207C" w:rsidP="008D176A">
            <w:pPr>
              <w:jc w:val="right"/>
              <w:textAlignment w:val="bottom"/>
              <w:rPr>
                <w:sz w:val="20"/>
                <w:szCs w:val="18"/>
              </w:rPr>
            </w:pPr>
            <w:r w:rsidRPr="00123353">
              <w:rPr>
                <w:color w:val="000000"/>
                <w:kern w:val="24"/>
                <w:sz w:val="20"/>
                <w:szCs w:val="18"/>
              </w:rPr>
              <w:t>2720.2</w:t>
            </w:r>
          </w:p>
        </w:tc>
        <w:tc>
          <w:tcPr>
            <w:tcW w:w="303" w:type="dxa"/>
            <w:tcBorders>
              <w:top w:val="nil"/>
              <w:left w:val="nil"/>
              <w:bottom w:val="nil"/>
              <w:right w:val="nil"/>
            </w:tcBorders>
            <w:tcMar>
              <w:top w:w="9" w:type="dxa"/>
              <w:left w:w="9" w:type="dxa"/>
              <w:bottom w:w="0" w:type="dxa"/>
              <w:right w:w="9" w:type="dxa"/>
            </w:tcMar>
            <w:vAlign w:val="center"/>
          </w:tcPr>
          <w:p w:rsidR="00DC207C" w:rsidRPr="00123353" w:rsidRDefault="00DC207C" w:rsidP="008D176A">
            <w:pPr>
              <w:jc w:val="center"/>
              <w:textAlignment w:val="bottom"/>
              <w:rPr>
                <w:sz w:val="20"/>
                <w:szCs w:val="18"/>
              </w:rPr>
            </w:pPr>
            <w:r w:rsidRPr="00123353">
              <w:rPr>
                <w:color w:val="000000"/>
                <w:kern w:val="24"/>
                <w:sz w:val="20"/>
                <w:szCs w:val="18"/>
              </w:rPr>
              <w:t xml:space="preserve">± </w:t>
            </w:r>
          </w:p>
        </w:tc>
        <w:tc>
          <w:tcPr>
            <w:tcW w:w="607" w:type="dxa"/>
            <w:tcBorders>
              <w:top w:val="nil"/>
              <w:left w:val="nil"/>
              <w:bottom w:val="nil"/>
              <w:right w:val="nil"/>
            </w:tcBorders>
            <w:tcMar>
              <w:top w:w="15" w:type="dxa"/>
              <w:left w:w="15" w:type="dxa"/>
              <w:bottom w:w="0" w:type="dxa"/>
              <w:right w:w="15" w:type="dxa"/>
            </w:tcMar>
            <w:vAlign w:val="center"/>
          </w:tcPr>
          <w:p w:rsidR="00DC207C" w:rsidRPr="00123353" w:rsidRDefault="00DC207C" w:rsidP="008D176A">
            <w:pPr>
              <w:textAlignment w:val="bottom"/>
              <w:rPr>
                <w:sz w:val="20"/>
                <w:szCs w:val="18"/>
              </w:rPr>
            </w:pPr>
            <w:r w:rsidRPr="00123353">
              <w:rPr>
                <w:color w:val="000000"/>
                <w:kern w:val="24"/>
                <w:sz w:val="20"/>
                <w:szCs w:val="18"/>
              </w:rPr>
              <w:t>318.3</w:t>
            </w:r>
          </w:p>
        </w:tc>
      </w:tr>
      <w:tr w:rsidR="00DC207C" w:rsidRPr="007F0DA8" w:rsidTr="00376AE6">
        <w:trPr>
          <w:trHeight w:val="144"/>
        </w:trPr>
        <w:tc>
          <w:tcPr>
            <w:tcW w:w="912" w:type="dxa"/>
            <w:tcBorders>
              <w:top w:val="nil"/>
              <w:left w:val="nil"/>
              <w:bottom w:val="single" w:sz="4" w:space="0" w:color="000000"/>
              <w:right w:val="nil"/>
            </w:tcBorders>
            <w:tcMar>
              <w:top w:w="11" w:type="dxa"/>
              <w:left w:w="11" w:type="dxa"/>
              <w:bottom w:w="0" w:type="dxa"/>
              <w:right w:w="11" w:type="dxa"/>
            </w:tcMar>
            <w:vAlign w:val="center"/>
          </w:tcPr>
          <w:p w:rsidR="00DC207C" w:rsidRPr="00123353" w:rsidRDefault="00DC207C" w:rsidP="008D176A">
            <w:pPr>
              <w:rPr>
                <w:sz w:val="20"/>
                <w:szCs w:val="18"/>
              </w:rPr>
            </w:pPr>
          </w:p>
        </w:tc>
        <w:tc>
          <w:tcPr>
            <w:tcW w:w="1518" w:type="dxa"/>
            <w:tcBorders>
              <w:top w:val="nil"/>
              <w:left w:val="nil"/>
              <w:bottom w:val="single" w:sz="4" w:space="0" w:color="000000"/>
              <w:right w:val="nil"/>
            </w:tcBorders>
            <w:tcMar>
              <w:top w:w="11" w:type="dxa"/>
              <w:left w:w="11" w:type="dxa"/>
              <w:bottom w:w="0" w:type="dxa"/>
              <w:right w:w="11" w:type="dxa"/>
            </w:tcMar>
            <w:vAlign w:val="center"/>
          </w:tcPr>
          <w:p w:rsidR="00DC207C" w:rsidRPr="00123353" w:rsidRDefault="00DC207C" w:rsidP="008D176A">
            <w:pPr>
              <w:textAlignment w:val="center"/>
              <w:rPr>
                <w:sz w:val="20"/>
                <w:szCs w:val="18"/>
              </w:rPr>
            </w:pPr>
            <w:r w:rsidRPr="00123353">
              <w:rPr>
                <w:color w:val="000000"/>
                <w:kern w:val="24"/>
                <w:sz w:val="20"/>
                <w:szCs w:val="18"/>
              </w:rPr>
              <w:t xml:space="preserve">COMT3 </w:t>
            </w:r>
          </w:p>
        </w:tc>
        <w:tc>
          <w:tcPr>
            <w:tcW w:w="760" w:type="dxa"/>
            <w:tcBorders>
              <w:top w:val="nil"/>
              <w:left w:val="nil"/>
              <w:bottom w:val="single" w:sz="4" w:space="0" w:color="000000"/>
              <w:right w:val="nil"/>
            </w:tcBorders>
            <w:tcMar>
              <w:top w:w="11" w:type="dxa"/>
              <w:left w:w="11" w:type="dxa"/>
              <w:bottom w:w="0" w:type="dxa"/>
              <w:right w:w="11" w:type="dxa"/>
            </w:tcMar>
            <w:vAlign w:val="center"/>
          </w:tcPr>
          <w:p w:rsidR="00DC207C" w:rsidRPr="00123353" w:rsidRDefault="00DC207C" w:rsidP="008D176A">
            <w:pPr>
              <w:jc w:val="right"/>
              <w:textAlignment w:val="bottom"/>
              <w:rPr>
                <w:sz w:val="20"/>
                <w:szCs w:val="18"/>
              </w:rPr>
            </w:pPr>
            <w:r w:rsidRPr="00123353">
              <w:rPr>
                <w:color w:val="000000"/>
                <w:kern w:val="24"/>
                <w:sz w:val="20"/>
                <w:szCs w:val="18"/>
              </w:rPr>
              <w:t>192.1</w:t>
            </w:r>
          </w:p>
        </w:tc>
        <w:tc>
          <w:tcPr>
            <w:tcW w:w="303" w:type="dxa"/>
            <w:tcBorders>
              <w:top w:val="nil"/>
              <w:left w:val="nil"/>
              <w:bottom w:val="single" w:sz="4" w:space="0" w:color="000000"/>
              <w:right w:val="nil"/>
            </w:tcBorders>
            <w:tcMar>
              <w:top w:w="9" w:type="dxa"/>
              <w:left w:w="9" w:type="dxa"/>
              <w:bottom w:w="0" w:type="dxa"/>
              <w:right w:w="9" w:type="dxa"/>
            </w:tcMar>
            <w:vAlign w:val="center"/>
          </w:tcPr>
          <w:p w:rsidR="00DC207C" w:rsidRPr="00123353" w:rsidRDefault="00DC207C" w:rsidP="008D176A">
            <w:pPr>
              <w:jc w:val="center"/>
              <w:textAlignment w:val="bottom"/>
              <w:rPr>
                <w:sz w:val="20"/>
                <w:szCs w:val="18"/>
              </w:rPr>
            </w:pPr>
            <w:r w:rsidRPr="00123353">
              <w:rPr>
                <w:color w:val="000000"/>
                <w:kern w:val="24"/>
                <w:sz w:val="20"/>
                <w:szCs w:val="18"/>
              </w:rPr>
              <w:t xml:space="preserve">± </w:t>
            </w:r>
          </w:p>
        </w:tc>
        <w:tc>
          <w:tcPr>
            <w:tcW w:w="760" w:type="dxa"/>
            <w:tcBorders>
              <w:top w:val="nil"/>
              <w:left w:val="nil"/>
              <w:bottom w:val="single" w:sz="4" w:space="0" w:color="000000"/>
              <w:right w:val="nil"/>
            </w:tcBorders>
            <w:tcMar>
              <w:top w:w="15" w:type="dxa"/>
              <w:left w:w="15" w:type="dxa"/>
              <w:bottom w:w="0" w:type="dxa"/>
              <w:right w:w="15" w:type="dxa"/>
            </w:tcMar>
            <w:vAlign w:val="center"/>
          </w:tcPr>
          <w:p w:rsidR="00DC207C" w:rsidRPr="00123353" w:rsidRDefault="00DC207C" w:rsidP="008D176A">
            <w:pPr>
              <w:textAlignment w:val="bottom"/>
              <w:rPr>
                <w:sz w:val="20"/>
                <w:szCs w:val="18"/>
              </w:rPr>
            </w:pPr>
            <w:r w:rsidRPr="00123353">
              <w:rPr>
                <w:color w:val="000000"/>
                <w:kern w:val="24"/>
                <w:sz w:val="20"/>
                <w:szCs w:val="18"/>
              </w:rPr>
              <w:t xml:space="preserve">2.8 </w:t>
            </w:r>
          </w:p>
        </w:tc>
        <w:tc>
          <w:tcPr>
            <w:tcW w:w="760" w:type="dxa"/>
            <w:tcBorders>
              <w:top w:val="nil"/>
              <w:left w:val="nil"/>
              <w:bottom w:val="single" w:sz="4" w:space="0" w:color="000000"/>
              <w:right w:val="nil"/>
            </w:tcBorders>
            <w:tcMar>
              <w:top w:w="11" w:type="dxa"/>
              <w:left w:w="11" w:type="dxa"/>
              <w:bottom w:w="0" w:type="dxa"/>
              <w:right w:w="11" w:type="dxa"/>
            </w:tcMar>
            <w:vAlign w:val="center"/>
          </w:tcPr>
          <w:p w:rsidR="00DC207C" w:rsidRPr="00123353" w:rsidRDefault="00DC207C" w:rsidP="008D176A">
            <w:pPr>
              <w:jc w:val="right"/>
              <w:textAlignment w:val="bottom"/>
              <w:rPr>
                <w:sz w:val="20"/>
                <w:szCs w:val="18"/>
              </w:rPr>
            </w:pPr>
            <w:r w:rsidRPr="00123353">
              <w:rPr>
                <w:color w:val="000000"/>
                <w:kern w:val="24"/>
                <w:sz w:val="20"/>
                <w:szCs w:val="18"/>
              </w:rPr>
              <w:t>217.9</w:t>
            </w:r>
          </w:p>
        </w:tc>
        <w:tc>
          <w:tcPr>
            <w:tcW w:w="303" w:type="dxa"/>
            <w:tcBorders>
              <w:top w:val="nil"/>
              <w:left w:val="nil"/>
              <w:bottom w:val="single" w:sz="4" w:space="0" w:color="000000"/>
              <w:right w:val="nil"/>
            </w:tcBorders>
            <w:tcMar>
              <w:top w:w="9" w:type="dxa"/>
              <w:left w:w="9" w:type="dxa"/>
              <w:bottom w:w="0" w:type="dxa"/>
              <w:right w:w="9" w:type="dxa"/>
            </w:tcMar>
            <w:vAlign w:val="center"/>
          </w:tcPr>
          <w:p w:rsidR="00DC207C" w:rsidRPr="00123353" w:rsidRDefault="00DC207C" w:rsidP="008D176A">
            <w:pPr>
              <w:jc w:val="center"/>
              <w:textAlignment w:val="bottom"/>
              <w:rPr>
                <w:sz w:val="20"/>
                <w:szCs w:val="18"/>
              </w:rPr>
            </w:pPr>
            <w:r w:rsidRPr="00123353">
              <w:rPr>
                <w:color w:val="000000"/>
                <w:kern w:val="24"/>
                <w:sz w:val="20"/>
                <w:szCs w:val="18"/>
              </w:rPr>
              <w:t xml:space="preserve">± </w:t>
            </w:r>
          </w:p>
        </w:tc>
        <w:tc>
          <w:tcPr>
            <w:tcW w:w="607" w:type="dxa"/>
            <w:tcBorders>
              <w:top w:val="nil"/>
              <w:left w:val="nil"/>
              <w:bottom w:val="single" w:sz="4" w:space="0" w:color="000000"/>
              <w:right w:val="nil"/>
            </w:tcBorders>
            <w:tcMar>
              <w:top w:w="15" w:type="dxa"/>
              <w:left w:w="15" w:type="dxa"/>
              <w:bottom w:w="0" w:type="dxa"/>
              <w:right w:w="15" w:type="dxa"/>
            </w:tcMar>
            <w:vAlign w:val="center"/>
          </w:tcPr>
          <w:p w:rsidR="00DC207C" w:rsidRPr="00123353" w:rsidRDefault="00DC207C" w:rsidP="008D176A">
            <w:pPr>
              <w:textAlignment w:val="bottom"/>
              <w:rPr>
                <w:sz w:val="20"/>
                <w:szCs w:val="18"/>
              </w:rPr>
            </w:pPr>
            <w:r w:rsidRPr="00123353">
              <w:rPr>
                <w:color w:val="000000"/>
                <w:kern w:val="24"/>
                <w:sz w:val="20"/>
                <w:szCs w:val="18"/>
              </w:rPr>
              <w:t xml:space="preserve">5.4 </w:t>
            </w:r>
          </w:p>
        </w:tc>
        <w:tc>
          <w:tcPr>
            <w:tcW w:w="760" w:type="dxa"/>
            <w:tcBorders>
              <w:top w:val="nil"/>
              <w:left w:val="nil"/>
              <w:bottom w:val="single" w:sz="4" w:space="0" w:color="000000"/>
              <w:right w:val="nil"/>
            </w:tcBorders>
            <w:tcMar>
              <w:top w:w="11" w:type="dxa"/>
              <w:left w:w="11" w:type="dxa"/>
              <w:bottom w:w="0" w:type="dxa"/>
              <w:right w:w="11" w:type="dxa"/>
            </w:tcMar>
            <w:vAlign w:val="center"/>
          </w:tcPr>
          <w:p w:rsidR="00DC207C" w:rsidRPr="00123353" w:rsidRDefault="00DC207C" w:rsidP="008D176A">
            <w:pPr>
              <w:jc w:val="right"/>
              <w:textAlignment w:val="bottom"/>
              <w:rPr>
                <w:sz w:val="20"/>
                <w:szCs w:val="18"/>
              </w:rPr>
            </w:pPr>
            <w:r w:rsidRPr="00123353">
              <w:rPr>
                <w:color w:val="000000"/>
                <w:kern w:val="24"/>
                <w:sz w:val="20"/>
                <w:szCs w:val="18"/>
              </w:rPr>
              <w:t>192.5</w:t>
            </w:r>
          </w:p>
        </w:tc>
        <w:tc>
          <w:tcPr>
            <w:tcW w:w="303" w:type="dxa"/>
            <w:tcBorders>
              <w:top w:val="nil"/>
              <w:left w:val="nil"/>
              <w:bottom w:val="single" w:sz="4" w:space="0" w:color="000000"/>
              <w:right w:val="nil"/>
            </w:tcBorders>
            <w:tcMar>
              <w:top w:w="9" w:type="dxa"/>
              <w:left w:w="9" w:type="dxa"/>
              <w:bottom w:w="0" w:type="dxa"/>
              <w:right w:w="9" w:type="dxa"/>
            </w:tcMar>
            <w:vAlign w:val="center"/>
          </w:tcPr>
          <w:p w:rsidR="00DC207C" w:rsidRPr="00123353" w:rsidRDefault="00DC207C" w:rsidP="008D176A">
            <w:pPr>
              <w:jc w:val="center"/>
              <w:textAlignment w:val="bottom"/>
              <w:rPr>
                <w:sz w:val="20"/>
                <w:szCs w:val="18"/>
              </w:rPr>
            </w:pPr>
            <w:r w:rsidRPr="00123353">
              <w:rPr>
                <w:color w:val="000000"/>
                <w:kern w:val="24"/>
                <w:sz w:val="20"/>
                <w:szCs w:val="18"/>
              </w:rPr>
              <w:t xml:space="preserve">± </w:t>
            </w:r>
          </w:p>
        </w:tc>
        <w:tc>
          <w:tcPr>
            <w:tcW w:w="607" w:type="dxa"/>
            <w:tcBorders>
              <w:top w:val="nil"/>
              <w:left w:val="nil"/>
              <w:bottom w:val="single" w:sz="4" w:space="0" w:color="000000"/>
              <w:right w:val="nil"/>
            </w:tcBorders>
            <w:tcMar>
              <w:top w:w="15" w:type="dxa"/>
              <w:left w:w="15" w:type="dxa"/>
              <w:bottom w:w="0" w:type="dxa"/>
              <w:right w:w="15" w:type="dxa"/>
            </w:tcMar>
            <w:vAlign w:val="center"/>
          </w:tcPr>
          <w:p w:rsidR="00DC207C" w:rsidRPr="00123353" w:rsidRDefault="00DC207C" w:rsidP="008D176A">
            <w:pPr>
              <w:textAlignment w:val="bottom"/>
              <w:rPr>
                <w:sz w:val="20"/>
                <w:szCs w:val="18"/>
              </w:rPr>
            </w:pPr>
            <w:r w:rsidRPr="00123353">
              <w:rPr>
                <w:color w:val="000000"/>
                <w:kern w:val="24"/>
                <w:sz w:val="20"/>
                <w:szCs w:val="18"/>
              </w:rPr>
              <w:t xml:space="preserve">10.0 </w:t>
            </w:r>
          </w:p>
        </w:tc>
        <w:tc>
          <w:tcPr>
            <w:tcW w:w="912" w:type="dxa"/>
            <w:tcBorders>
              <w:top w:val="nil"/>
              <w:left w:val="nil"/>
              <w:bottom w:val="single" w:sz="4" w:space="0" w:color="000000"/>
              <w:right w:val="nil"/>
            </w:tcBorders>
            <w:tcMar>
              <w:top w:w="11" w:type="dxa"/>
              <w:left w:w="11" w:type="dxa"/>
              <w:bottom w:w="0" w:type="dxa"/>
              <w:right w:w="11" w:type="dxa"/>
            </w:tcMar>
            <w:vAlign w:val="center"/>
          </w:tcPr>
          <w:p w:rsidR="00DC207C" w:rsidRPr="00123353" w:rsidRDefault="00DC207C" w:rsidP="008D176A">
            <w:pPr>
              <w:jc w:val="right"/>
              <w:textAlignment w:val="bottom"/>
              <w:rPr>
                <w:sz w:val="20"/>
                <w:szCs w:val="18"/>
              </w:rPr>
            </w:pPr>
            <w:r w:rsidRPr="00123353">
              <w:rPr>
                <w:color w:val="000000"/>
                <w:kern w:val="24"/>
                <w:sz w:val="20"/>
                <w:szCs w:val="18"/>
              </w:rPr>
              <w:t>2160.4</w:t>
            </w:r>
          </w:p>
        </w:tc>
        <w:tc>
          <w:tcPr>
            <w:tcW w:w="303" w:type="dxa"/>
            <w:tcBorders>
              <w:top w:val="nil"/>
              <w:left w:val="nil"/>
              <w:bottom w:val="single" w:sz="4" w:space="0" w:color="000000"/>
              <w:right w:val="nil"/>
            </w:tcBorders>
            <w:tcMar>
              <w:top w:w="9" w:type="dxa"/>
              <w:left w:w="9" w:type="dxa"/>
              <w:bottom w:w="0" w:type="dxa"/>
              <w:right w:w="9" w:type="dxa"/>
            </w:tcMar>
            <w:vAlign w:val="center"/>
          </w:tcPr>
          <w:p w:rsidR="00DC207C" w:rsidRPr="00123353" w:rsidRDefault="00DC207C" w:rsidP="008D176A">
            <w:pPr>
              <w:jc w:val="center"/>
              <w:textAlignment w:val="bottom"/>
              <w:rPr>
                <w:sz w:val="20"/>
                <w:szCs w:val="18"/>
              </w:rPr>
            </w:pPr>
            <w:r w:rsidRPr="00123353">
              <w:rPr>
                <w:color w:val="000000"/>
                <w:kern w:val="24"/>
                <w:sz w:val="20"/>
                <w:szCs w:val="18"/>
              </w:rPr>
              <w:t xml:space="preserve">± </w:t>
            </w:r>
          </w:p>
        </w:tc>
        <w:tc>
          <w:tcPr>
            <w:tcW w:w="607" w:type="dxa"/>
            <w:tcBorders>
              <w:top w:val="nil"/>
              <w:left w:val="nil"/>
              <w:bottom w:val="single" w:sz="4" w:space="0" w:color="000000"/>
              <w:right w:val="nil"/>
            </w:tcBorders>
            <w:tcMar>
              <w:top w:w="15" w:type="dxa"/>
              <w:left w:w="15" w:type="dxa"/>
              <w:bottom w:w="0" w:type="dxa"/>
              <w:right w:w="15" w:type="dxa"/>
            </w:tcMar>
            <w:vAlign w:val="center"/>
          </w:tcPr>
          <w:p w:rsidR="00DC207C" w:rsidRPr="00123353" w:rsidRDefault="00DC207C" w:rsidP="008D176A">
            <w:pPr>
              <w:textAlignment w:val="bottom"/>
              <w:rPr>
                <w:sz w:val="20"/>
                <w:szCs w:val="18"/>
              </w:rPr>
            </w:pPr>
            <w:r w:rsidRPr="00123353">
              <w:rPr>
                <w:color w:val="000000"/>
                <w:kern w:val="24"/>
                <w:sz w:val="20"/>
                <w:szCs w:val="18"/>
              </w:rPr>
              <w:t xml:space="preserve">123.6 </w:t>
            </w:r>
          </w:p>
        </w:tc>
      </w:tr>
    </w:tbl>
    <w:p w:rsidR="00F9593D" w:rsidRDefault="00DC207C" w:rsidP="00097A19">
      <w:pPr>
        <w:spacing w:line="480" w:lineRule="auto"/>
      </w:pPr>
      <w:r>
        <w:t>All five biological replicates from each control group, and all 10 biological replicates from each transgenic group, were used in the analyses</w:t>
      </w:r>
      <w:r w:rsidRPr="00145267">
        <w:t xml:space="preserve">. </w:t>
      </w:r>
      <w:r>
        <w:t>Values</w:t>
      </w:r>
      <w:r w:rsidRPr="00D93DCF">
        <w:t xml:space="preserve"> represent the average of the biological replicates</w:t>
      </w:r>
      <w:r>
        <w:t xml:space="preserve"> within each group</w:t>
      </w:r>
      <w:r w:rsidRPr="00D93DCF">
        <w:t xml:space="preserve"> ± </w:t>
      </w:r>
      <w:r w:rsidR="00831D05">
        <w:t>standard error</w:t>
      </w:r>
      <w:r w:rsidRPr="00D93DCF">
        <w:t xml:space="preserve">. </w:t>
      </w:r>
      <w:r w:rsidRPr="00B225FC">
        <w:t xml:space="preserve">Each transgenic </w:t>
      </w:r>
      <w:r>
        <w:t>event</w:t>
      </w:r>
      <w:r w:rsidRPr="00B225FC">
        <w:t xml:space="preserve"> was com</w:t>
      </w:r>
      <w:r>
        <w:t>pared to its respective control. An asterisk indicates a significant difference</w:t>
      </w:r>
      <w:r w:rsidRPr="00B225FC">
        <w:t xml:space="preserve"> </w:t>
      </w:r>
      <w:r>
        <w:t xml:space="preserve">as determined by a </w:t>
      </w:r>
      <w:r w:rsidRPr="004C3931">
        <w:rPr>
          <w:i/>
        </w:rPr>
        <w:t>t</w:t>
      </w:r>
      <w:r>
        <w:t xml:space="preserve">-test </w:t>
      </w:r>
      <w:r w:rsidRPr="00B225FC">
        <w:t>(P &lt; 0.05).</w:t>
      </w:r>
      <w:r w:rsidRPr="00250E18">
        <w:t xml:space="preserve"> </w:t>
      </w:r>
      <w:r w:rsidRPr="00B225FC">
        <w:t>DW, dry weight.</w:t>
      </w:r>
    </w:p>
    <w:p w:rsidR="00F9593D" w:rsidRDefault="00F9593D" w:rsidP="002F09FD">
      <w:pPr>
        <w:spacing w:line="480" w:lineRule="auto"/>
      </w:pPr>
      <w:r>
        <w:br w:type="page"/>
      </w:r>
      <w:r w:rsidR="00C02BCB">
        <w:rPr>
          <w:b/>
        </w:rPr>
        <w:lastRenderedPageBreak/>
        <w:t xml:space="preserve">Table </w:t>
      </w:r>
      <w:r w:rsidR="008F29AA">
        <w:rPr>
          <w:b/>
        </w:rPr>
        <w:t>B.</w:t>
      </w:r>
      <w:r w:rsidR="00C02BCB">
        <w:rPr>
          <w:b/>
        </w:rPr>
        <w:t>4</w:t>
      </w:r>
      <w:r>
        <w:rPr>
          <w:b/>
        </w:rPr>
        <w:t xml:space="preserve">. </w:t>
      </w:r>
      <w:r>
        <w:t>Summary of the differences between each transgenic event and its corresponding control for years one (2011) and two (2012) in the field experiment.</w:t>
      </w:r>
    </w:p>
    <w:tbl>
      <w:tblPr>
        <w:tblW w:w="5000" w:type="pct"/>
        <w:tblCellMar>
          <w:left w:w="0" w:type="dxa"/>
          <w:right w:w="0" w:type="dxa"/>
        </w:tblCellMar>
        <w:tblLook w:val="00A0" w:firstRow="1" w:lastRow="0" w:firstColumn="1" w:lastColumn="0" w:noHBand="0" w:noVBand="0"/>
      </w:tblPr>
      <w:tblGrid>
        <w:gridCol w:w="1530"/>
        <w:gridCol w:w="889"/>
        <w:gridCol w:w="1721"/>
        <w:gridCol w:w="1010"/>
        <w:gridCol w:w="52"/>
        <w:gridCol w:w="951"/>
        <w:gridCol w:w="284"/>
        <w:gridCol w:w="1091"/>
        <w:gridCol w:w="1112"/>
      </w:tblGrid>
      <w:tr w:rsidR="00F9593D" w:rsidRPr="008C6839" w:rsidTr="002F09FD">
        <w:trPr>
          <w:trHeight w:val="166"/>
        </w:trPr>
        <w:tc>
          <w:tcPr>
            <w:tcW w:w="1530" w:type="dxa"/>
            <w:vMerge w:val="restart"/>
            <w:tcBorders>
              <w:top w:val="single" w:sz="4" w:space="0" w:color="auto"/>
              <w:left w:val="nil"/>
              <w:bottom w:val="single" w:sz="8" w:space="0" w:color="000000"/>
              <w:right w:val="nil"/>
            </w:tcBorders>
            <w:tcMar>
              <w:top w:w="6" w:type="dxa"/>
              <w:left w:w="6" w:type="dxa"/>
              <w:bottom w:w="0" w:type="dxa"/>
              <w:right w:w="6" w:type="dxa"/>
            </w:tcMar>
            <w:vAlign w:val="bottom"/>
          </w:tcPr>
          <w:p w:rsidR="00F9593D" w:rsidRPr="00123353" w:rsidRDefault="00F9593D" w:rsidP="008D176A">
            <w:pPr>
              <w:spacing w:line="360" w:lineRule="auto"/>
              <w:textAlignment w:val="bottom"/>
              <w:rPr>
                <w:rFonts w:ascii="Arial" w:hAnsi="Arial" w:cs="Arial"/>
                <w:sz w:val="20"/>
                <w:szCs w:val="36"/>
              </w:rPr>
            </w:pPr>
            <w:r w:rsidRPr="00123353">
              <w:rPr>
                <w:rFonts w:eastAsia="ヒラギノ角ゴ Pro W3"/>
                <w:b/>
                <w:bCs/>
                <w:color w:val="000000"/>
                <w:kern w:val="24"/>
                <w:sz w:val="20"/>
                <w:szCs w:val="18"/>
              </w:rPr>
              <w:t>Analysis</w:t>
            </w:r>
            <w:r w:rsidRPr="00123353">
              <w:rPr>
                <w:color w:val="000000"/>
                <w:kern w:val="24"/>
                <w:sz w:val="20"/>
                <w:szCs w:val="18"/>
              </w:rPr>
              <w:t xml:space="preserve"> </w:t>
            </w:r>
          </w:p>
        </w:tc>
        <w:tc>
          <w:tcPr>
            <w:tcW w:w="889" w:type="dxa"/>
            <w:tcBorders>
              <w:top w:val="single" w:sz="4" w:space="0" w:color="auto"/>
              <w:left w:val="nil"/>
              <w:bottom w:val="nil"/>
              <w:right w:val="nil"/>
            </w:tcBorders>
            <w:tcMar>
              <w:top w:w="6" w:type="dxa"/>
              <w:left w:w="6" w:type="dxa"/>
              <w:bottom w:w="0" w:type="dxa"/>
              <w:right w:w="6" w:type="dxa"/>
            </w:tcMar>
            <w:vAlign w:val="bottom"/>
          </w:tcPr>
          <w:p w:rsidR="00F9593D" w:rsidRPr="00123353" w:rsidRDefault="00F9593D" w:rsidP="008D176A">
            <w:pPr>
              <w:spacing w:line="360" w:lineRule="auto"/>
              <w:textAlignment w:val="bottom"/>
              <w:rPr>
                <w:rFonts w:ascii="Arial" w:hAnsi="Arial" w:cs="Arial"/>
                <w:sz w:val="20"/>
                <w:szCs w:val="36"/>
              </w:rPr>
            </w:pPr>
            <w:r w:rsidRPr="00123353">
              <w:rPr>
                <w:rFonts w:eastAsia="ヒラギノ角ゴ Pro W3"/>
                <w:b/>
                <w:bCs/>
                <w:color w:val="000000"/>
                <w:kern w:val="24"/>
                <w:sz w:val="20"/>
                <w:szCs w:val="18"/>
              </w:rPr>
              <w:t> </w:t>
            </w:r>
            <w:r w:rsidRPr="00123353">
              <w:rPr>
                <w:color w:val="000000"/>
                <w:kern w:val="24"/>
                <w:sz w:val="20"/>
                <w:szCs w:val="18"/>
              </w:rPr>
              <w:t xml:space="preserve"> </w:t>
            </w:r>
          </w:p>
        </w:tc>
        <w:tc>
          <w:tcPr>
            <w:tcW w:w="1721" w:type="dxa"/>
            <w:vMerge w:val="restart"/>
            <w:tcBorders>
              <w:top w:val="single" w:sz="4" w:space="0" w:color="auto"/>
              <w:left w:val="nil"/>
              <w:bottom w:val="single" w:sz="8" w:space="0" w:color="000000"/>
              <w:right w:val="nil"/>
            </w:tcBorders>
            <w:tcMar>
              <w:top w:w="6" w:type="dxa"/>
              <w:left w:w="6" w:type="dxa"/>
              <w:bottom w:w="0" w:type="dxa"/>
              <w:right w:w="6" w:type="dxa"/>
            </w:tcMar>
            <w:vAlign w:val="bottom"/>
          </w:tcPr>
          <w:p w:rsidR="00F9593D" w:rsidRPr="00123353" w:rsidRDefault="00F9593D" w:rsidP="008D176A">
            <w:pPr>
              <w:spacing w:line="360" w:lineRule="auto"/>
              <w:textAlignment w:val="bottom"/>
              <w:rPr>
                <w:rFonts w:ascii="Arial" w:hAnsi="Arial" w:cs="Arial"/>
                <w:sz w:val="20"/>
                <w:szCs w:val="36"/>
              </w:rPr>
            </w:pPr>
            <w:r w:rsidRPr="00123353">
              <w:rPr>
                <w:rFonts w:eastAsia="ヒラギノ角ゴ Pro W3"/>
                <w:b/>
                <w:bCs/>
                <w:color w:val="000000"/>
                <w:kern w:val="24"/>
                <w:sz w:val="20"/>
                <w:szCs w:val="18"/>
              </w:rPr>
              <w:t xml:space="preserve">Trait </w:t>
            </w:r>
          </w:p>
        </w:tc>
        <w:tc>
          <w:tcPr>
            <w:tcW w:w="2013" w:type="dxa"/>
            <w:gridSpan w:val="3"/>
            <w:tcBorders>
              <w:top w:val="single" w:sz="4" w:space="0" w:color="auto"/>
              <w:left w:val="nil"/>
              <w:bottom w:val="single" w:sz="4" w:space="0" w:color="auto"/>
              <w:right w:val="nil"/>
            </w:tcBorders>
            <w:tcMar>
              <w:top w:w="6" w:type="dxa"/>
              <w:left w:w="6" w:type="dxa"/>
              <w:bottom w:w="0" w:type="dxa"/>
              <w:right w:w="6" w:type="dxa"/>
            </w:tcMar>
            <w:vAlign w:val="bottom"/>
          </w:tcPr>
          <w:p w:rsidR="00F9593D" w:rsidRPr="00123353" w:rsidRDefault="00F9593D" w:rsidP="008D176A">
            <w:pPr>
              <w:spacing w:line="360" w:lineRule="auto"/>
              <w:jc w:val="center"/>
              <w:textAlignment w:val="bottom"/>
              <w:rPr>
                <w:rFonts w:ascii="Arial" w:hAnsi="Arial" w:cs="Arial"/>
                <w:sz w:val="20"/>
                <w:szCs w:val="36"/>
              </w:rPr>
            </w:pPr>
            <w:r w:rsidRPr="00123353">
              <w:rPr>
                <w:rFonts w:eastAsia="ヒラギノ角ゴ Pro W3"/>
                <w:b/>
                <w:bCs/>
                <w:color w:val="000000"/>
                <w:kern w:val="24"/>
                <w:sz w:val="20"/>
                <w:szCs w:val="18"/>
              </w:rPr>
              <w:t>Year 1 (2011)</w:t>
            </w:r>
          </w:p>
        </w:tc>
        <w:tc>
          <w:tcPr>
            <w:tcW w:w="284" w:type="dxa"/>
            <w:tcBorders>
              <w:top w:val="single" w:sz="4" w:space="0" w:color="auto"/>
              <w:left w:val="nil"/>
              <w:bottom w:val="nil"/>
              <w:right w:val="nil"/>
            </w:tcBorders>
            <w:tcMar>
              <w:top w:w="6" w:type="dxa"/>
              <w:left w:w="6" w:type="dxa"/>
              <w:bottom w:w="0" w:type="dxa"/>
              <w:right w:w="6" w:type="dxa"/>
            </w:tcMar>
            <w:vAlign w:val="bottom"/>
          </w:tcPr>
          <w:p w:rsidR="00F9593D" w:rsidRPr="00123353" w:rsidRDefault="00F9593D" w:rsidP="008D176A">
            <w:pPr>
              <w:spacing w:line="360" w:lineRule="auto"/>
              <w:rPr>
                <w:rFonts w:ascii="Arial" w:hAnsi="Arial" w:cs="Arial"/>
                <w:sz w:val="20"/>
                <w:szCs w:val="36"/>
              </w:rPr>
            </w:pPr>
          </w:p>
        </w:tc>
        <w:tc>
          <w:tcPr>
            <w:tcW w:w="2203" w:type="dxa"/>
            <w:gridSpan w:val="2"/>
            <w:tcBorders>
              <w:top w:val="single" w:sz="4" w:space="0" w:color="auto"/>
              <w:left w:val="nil"/>
              <w:bottom w:val="single" w:sz="4" w:space="0" w:color="auto"/>
              <w:right w:val="nil"/>
            </w:tcBorders>
            <w:tcMar>
              <w:top w:w="6" w:type="dxa"/>
              <w:left w:w="6" w:type="dxa"/>
              <w:bottom w:w="0" w:type="dxa"/>
              <w:right w:w="6" w:type="dxa"/>
            </w:tcMar>
            <w:vAlign w:val="bottom"/>
          </w:tcPr>
          <w:p w:rsidR="00F9593D" w:rsidRPr="00123353" w:rsidRDefault="00F9593D" w:rsidP="008D176A">
            <w:pPr>
              <w:spacing w:line="360" w:lineRule="auto"/>
              <w:jc w:val="center"/>
              <w:textAlignment w:val="bottom"/>
              <w:rPr>
                <w:rFonts w:ascii="Arial" w:hAnsi="Arial" w:cs="Arial"/>
                <w:sz w:val="20"/>
                <w:szCs w:val="36"/>
              </w:rPr>
            </w:pPr>
            <w:r w:rsidRPr="00123353">
              <w:rPr>
                <w:rFonts w:eastAsia="ヒラギノ角ゴ Pro W3"/>
                <w:b/>
                <w:bCs/>
                <w:color w:val="000000"/>
                <w:kern w:val="24"/>
                <w:sz w:val="20"/>
                <w:szCs w:val="18"/>
              </w:rPr>
              <w:t>Year 2 (2012)</w:t>
            </w:r>
          </w:p>
        </w:tc>
      </w:tr>
      <w:tr w:rsidR="00F9593D" w:rsidRPr="008C6839" w:rsidTr="002F09FD">
        <w:trPr>
          <w:trHeight w:val="166"/>
        </w:trPr>
        <w:tc>
          <w:tcPr>
            <w:tcW w:w="1530" w:type="dxa"/>
            <w:vMerge/>
            <w:tcBorders>
              <w:top w:val="single" w:sz="8" w:space="0" w:color="000000"/>
              <w:left w:val="nil"/>
              <w:bottom w:val="single" w:sz="4" w:space="0" w:color="auto"/>
              <w:right w:val="nil"/>
            </w:tcBorders>
            <w:vAlign w:val="center"/>
          </w:tcPr>
          <w:p w:rsidR="00F9593D" w:rsidRPr="00123353" w:rsidRDefault="00F9593D" w:rsidP="008D176A">
            <w:pPr>
              <w:spacing w:line="360" w:lineRule="auto"/>
              <w:rPr>
                <w:rFonts w:ascii="Arial" w:hAnsi="Arial" w:cs="Arial"/>
                <w:sz w:val="20"/>
                <w:szCs w:val="36"/>
              </w:rPr>
            </w:pPr>
          </w:p>
        </w:tc>
        <w:tc>
          <w:tcPr>
            <w:tcW w:w="889" w:type="dxa"/>
            <w:tcBorders>
              <w:top w:val="nil"/>
              <w:left w:val="nil"/>
              <w:bottom w:val="single" w:sz="4" w:space="0" w:color="auto"/>
              <w:right w:val="nil"/>
            </w:tcBorders>
            <w:tcMar>
              <w:top w:w="6" w:type="dxa"/>
              <w:left w:w="6" w:type="dxa"/>
              <w:bottom w:w="0" w:type="dxa"/>
              <w:right w:w="6" w:type="dxa"/>
            </w:tcMar>
            <w:vAlign w:val="bottom"/>
          </w:tcPr>
          <w:p w:rsidR="00F9593D" w:rsidRPr="00123353" w:rsidRDefault="00F9593D" w:rsidP="008D176A">
            <w:pPr>
              <w:spacing w:line="360" w:lineRule="auto"/>
              <w:textAlignment w:val="bottom"/>
              <w:rPr>
                <w:rFonts w:ascii="Arial" w:hAnsi="Arial" w:cs="Arial"/>
                <w:sz w:val="20"/>
                <w:szCs w:val="36"/>
              </w:rPr>
            </w:pPr>
            <w:r w:rsidRPr="00123353">
              <w:rPr>
                <w:rFonts w:eastAsia="ヒラギノ角ゴ Pro W3"/>
                <w:b/>
                <w:bCs/>
                <w:color w:val="000000"/>
                <w:kern w:val="24"/>
                <w:sz w:val="20"/>
                <w:szCs w:val="18"/>
              </w:rPr>
              <w:t>Tissue</w:t>
            </w:r>
            <w:r w:rsidRPr="00123353">
              <w:rPr>
                <w:color w:val="000000"/>
                <w:kern w:val="24"/>
                <w:sz w:val="20"/>
                <w:szCs w:val="18"/>
              </w:rPr>
              <w:t xml:space="preserve"> </w:t>
            </w:r>
          </w:p>
        </w:tc>
        <w:tc>
          <w:tcPr>
            <w:tcW w:w="1721" w:type="dxa"/>
            <w:vMerge/>
            <w:tcBorders>
              <w:top w:val="single" w:sz="8" w:space="0" w:color="000000"/>
              <w:left w:val="nil"/>
              <w:bottom w:val="single" w:sz="4" w:space="0" w:color="auto"/>
              <w:right w:val="nil"/>
            </w:tcBorders>
            <w:vAlign w:val="center"/>
          </w:tcPr>
          <w:p w:rsidR="00F9593D" w:rsidRPr="00123353" w:rsidRDefault="00F9593D" w:rsidP="008D176A">
            <w:pPr>
              <w:spacing w:line="360" w:lineRule="auto"/>
              <w:rPr>
                <w:rFonts w:ascii="Arial" w:hAnsi="Arial" w:cs="Arial"/>
                <w:sz w:val="20"/>
                <w:szCs w:val="36"/>
              </w:rPr>
            </w:pPr>
          </w:p>
        </w:tc>
        <w:tc>
          <w:tcPr>
            <w:tcW w:w="1010" w:type="dxa"/>
            <w:tcBorders>
              <w:top w:val="single" w:sz="4" w:space="0" w:color="auto"/>
              <w:left w:val="nil"/>
              <w:bottom w:val="single" w:sz="4" w:space="0" w:color="auto"/>
              <w:right w:val="nil"/>
            </w:tcBorders>
            <w:tcMar>
              <w:top w:w="6" w:type="dxa"/>
              <w:left w:w="6" w:type="dxa"/>
              <w:bottom w:w="0" w:type="dxa"/>
              <w:right w:w="6" w:type="dxa"/>
            </w:tcMar>
            <w:vAlign w:val="bottom"/>
          </w:tcPr>
          <w:p w:rsidR="00F9593D" w:rsidRPr="00123353" w:rsidRDefault="00F9593D" w:rsidP="008D176A">
            <w:pPr>
              <w:spacing w:line="360" w:lineRule="auto"/>
              <w:jc w:val="center"/>
              <w:textAlignment w:val="bottom"/>
              <w:rPr>
                <w:rFonts w:ascii="Arial" w:hAnsi="Arial" w:cs="Arial"/>
                <w:sz w:val="20"/>
                <w:szCs w:val="36"/>
              </w:rPr>
            </w:pPr>
            <w:r w:rsidRPr="00123353">
              <w:rPr>
                <w:rFonts w:eastAsia="ヒラギノ角ゴ Pro W3"/>
                <w:b/>
                <w:bCs/>
                <w:color w:val="000000"/>
                <w:kern w:val="24"/>
                <w:sz w:val="20"/>
                <w:szCs w:val="18"/>
              </w:rPr>
              <w:t xml:space="preserve">COMT2 </w:t>
            </w:r>
          </w:p>
        </w:tc>
        <w:tc>
          <w:tcPr>
            <w:tcW w:w="1003" w:type="dxa"/>
            <w:gridSpan w:val="2"/>
            <w:tcBorders>
              <w:top w:val="single" w:sz="4" w:space="0" w:color="auto"/>
              <w:left w:val="nil"/>
              <w:bottom w:val="single" w:sz="4" w:space="0" w:color="auto"/>
              <w:right w:val="nil"/>
            </w:tcBorders>
            <w:tcMar>
              <w:top w:w="6" w:type="dxa"/>
              <w:left w:w="6" w:type="dxa"/>
              <w:bottom w:w="0" w:type="dxa"/>
              <w:right w:w="6" w:type="dxa"/>
            </w:tcMar>
            <w:vAlign w:val="bottom"/>
          </w:tcPr>
          <w:p w:rsidR="00F9593D" w:rsidRPr="00123353" w:rsidRDefault="00F9593D" w:rsidP="008D176A">
            <w:pPr>
              <w:spacing w:line="360" w:lineRule="auto"/>
              <w:jc w:val="center"/>
              <w:textAlignment w:val="bottom"/>
              <w:rPr>
                <w:rFonts w:ascii="Arial" w:hAnsi="Arial" w:cs="Arial"/>
                <w:sz w:val="20"/>
                <w:szCs w:val="36"/>
              </w:rPr>
            </w:pPr>
            <w:r w:rsidRPr="00123353">
              <w:rPr>
                <w:rFonts w:eastAsia="ヒラギノ角ゴ Pro W3"/>
                <w:b/>
                <w:bCs/>
                <w:color w:val="000000"/>
                <w:kern w:val="24"/>
                <w:sz w:val="20"/>
                <w:szCs w:val="18"/>
              </w:rPr>
              <w:t xml:space="preserve">COMT3 </w:t>
            </w:r>
          </w:p>
        </w:tc>
        <w:tc>
          <w:tcPr>
            <w:tcW w:w="284" w:type="dxa"/>
            <w:tcBorders>
              <w:top w:val="nil"/>
              <w:left w:val="nil"/>
              <w:bottom w:val="single" w:sz="4" w:space="0" w:color="auto"/>
              <w:right w:val="nil"/>
            </w:tcBorders>
            <w:tcMar>
              <w:top w:w="6" w:type="dxa"/>
              <w:left w:w="6" w:type="dxa"/>
              <w:bottom w:w="0" w:type="dxa"/>
              <w:right w:w="6" w:type="dxa"/>
            </w:tcMar>
            <w:vAlign w:val="bottom"/>
          </w:tcPr>
          <w:p w:rsidR="00F9593D" w:rsidRPr="00123353" w:rsidRDefault="00F9593D" w:rsidP="008D176A">
            <w:pPr>
              <w:spacing w:line="360" w:lineRule="auto"/>
              <w:rPr>
                <w:rFonts w:ascii="Arial" w:hAnsi="Arial" w:cs="Arial"/>
                <w:sz w:val="20"/>
                <w:szCs w:val="36"/>
              </w:rPr>
            </w:pPr>
          </w:p>
        </w:tc>
        <w:tc>
          <w:tcPr>
            <w:tcW w:w="1091" w:type="dxa"/>
            <w:tcBorders>
              <w:top w:val="single" w:sz="4" w:space="0" w:color="auto"/>
              <w:left w:val="nil"/>
              <w:bottom w:val="single" w:sz="4" w:space="0" w:color="auto"/>
              <w:right w:val="nil"/>
            </w:tcBorders>
            <w:tcMar>
              <w:top w:w="6" w:type="dxa"/>
              <w:left w:w="6" w:type="dxa"/>
              <w:bottom w:w="0" w:type="dxa"/>
              <w:right w:w="6" w:type="dxa"/>
            </w:tcMar>
            <w:vAlign w:val="bottom"/>
          </w:tcPr>
          <w:p w:rsidR="00F9593D" w:rsidRPr="00123353" w:rsidRDefault="00F9593D" w:rsidP="008D176A">
            <w:pPr>
              <w:spacing w:line="360" w:lineRule="auto"/>
              <w:jc w:val="center"/>
              <w:textAlignment w:val="bottom"/>
              <w:rPr>
                <w:rFonts w:ascii="Arial" w:hAnsi="Arial" w:cs="Arial"/>
                <w:sz w:val="20"/>
                <w:szCs w:val="36"/>
              </w:rPr>
            </w:pPr>
            <w:r w:rsidRPr="00123353">
              <w:rPr>
                <w:rFonts w:eastAsia="ヒラギノ角ゴ Pro W3"/>
                <w:b/>
                <w:bCs/>
                <w:color w:val="000000"/>
                <w:kern w:val="24"/>
                <w:sz w:val="20"/>
                <w:szCs w:val="18"/>
              </w:rPr>
              <w:t xml:space="preserve">COMT2 </w:t>
            </w:r>
          </w:p>
        </w:tc>
        <w:tc>
          <w:tcPr>
            <w:tcW w:w="1112" w:type="dxa"/>
            <w:tcBorders>
              <w:top w:val="single" w:sz="4" w:space="0" w:color="auto"/>
              <w:left w:val="nil"/>
              <w:bottom w:val="single" w:sz="4" w:space="0" w:color="auto"/>
              <w:right w:val="nil"/>
            </w:tcBorders>
            <w:tcMar>
              <w:top w:w="6" w:type="dxa"/>
              <w:left w:w="6" w:type="dxa"/>
              <w:bottom w:w="0" w:type="dxa"/>
              <w:right w:w="6" w:type="dxa"/>
            </w:tcMar>
            <w:vAlign w:val="bottom"/>
          </w:tcPr>
          <w:p w:rsidR="00F9593D" w:rsidRPr="00123353" w:rsidRDefault="00F9593D" w:rsidP="008D176A">
            <w:pPr>
              <w:spacing w:line="360" w:lineRule="auto"/>
              <w:jc w:val="center"/>
              <w:textAlignment w:val="bottom"/>
              <w:rPr>
                <w:rFonts w:ascii="Arial" w:hAnsi="Arial" w:cs="Arial"/>
                <w:sz w:val="20"/>
                <w:szCs w:val="36"/>
              </w:rPr>
            </w:pPr>
            <w:r w:rsidRPr="00123353">
              <w:rPr>
                <w:rFonts w:eastAsia="ヒラギノ角ゴ Pro W3"/>
                <w:b/>
                <w:bCs/>
                <w:color w:val="000000"/>
                <w:kern w:val="24"/>
                <w:sz w:val="20"/>
                <w:szCs w:val="18"/>
              </w:rPr>
              <w:t xml:space="preserve">COMT3 </w:t>
            </w:r>
          </w:p>
        </w:tc>
      </w:tr>
      <w:tr w:rsidR="00F9593D" w:rsidRPr="008C6839" w:rsidTr="002F09FD">
        <w:trPr>
          <w:trHeight w:val="245"/>
        </w:trPr>
        <w:tc>
          <w:tcPr>
            <w:tcW w:w="1530" w:type="dxa"/>
            <w:vMerge w:val="restart"/>
            <w:tcBorders>
              <w:top w:val="single" w:sz="4" w:space="0" w:color="auto"/>
              <w:left w:val="nil"/>
              <w:right w:val="nil"/>
            </w:tcBorders>
            <w:tcMar>
              <w:top w:w="6" w:type="dxa"/>
              <w:left w:w="6" w:type="dxa"/>
              <w:bottom w:w="0" w:type="dxa"/>
              <w:right w:w="6" w:type="dxa"/>
            </w:tcMar>
          </w:tcPr>
          <w:p w:rsidR="00F9593D" w:rsidRPr="00123353" w:rsidRDefault="00F9593D" w:rsidP="008D176A">
            <w:pPr>
              <w:spacing w:line="360" w:lineRule="auto"/>
              <w:textAlignment w:val="bottom"/>
              <w:rPr>
                <w:color w:val="000000"/>
                <w:kern w:val="24"/>
                <w:sz w:val="20"/>
                <w:szCs w:val="18"/>
              </w:rPr>
            </w:pPr>
          </w:p>
          <w:p w:rsidR="00F9593D" w:rsidRPr="00123353" w:rsidRDefault="00F9593D" w:rsidP="008D176A">
            <w:pPr>
              <w:spacing w:line="360" w:lineRule="auto"/>
              <w:textAlignment w:val="bottom"/>
              <w:rPr>
                <w:sz w:val="20"/>
                <w:szCs w:val="18"/>
              </w:rPr>
            </w:pPr>
            <w:r w:rsidRPr="00123353">
              <w:rPr>
                <w:sz w:val="20"/>
                <w:szCs w:val="18"/>
              </w:rPr>
              <w:t>Lignin content, composition (MBMS)</w:t>
            </w:r>
          </w:p>
        </w:tc>
        <w:tc>
          <w:tcPr>
            <w:tcW w:w="889" w:type="dxa"/>
            <w:tcBorders>
              <w:top w:val="single" w:sz="4" w:space="0" w:color="auto"/>
              <w:left w:val="nil"/>
              <w:bottom w:val="nil"/>
              <w:right w:val="nil"/>
            </w:tcBorders>
            <w:tcMar>
              <w:top w:w="6" w:type="dxa"/>
              <w:left w:w="6" w:type="dxa"/>
              <w:bottom w:w="0" w:type="dxa"/>
              <w:right w:w="6" w:type="dxa"/>
            </w:tcMar>
            <w:vAlign w:val="bottom"/>
          </w:tcPr>
          <w:p w:rsidR="00F9593D" w:rsidRPr="00123353" w:rsidRDefault="00F9593D" w:rsidP="008D176A">
            <w:pPr>
              <w:spacing w:line="360" w:lineRule="auto"/>
              <w:textAlignment w:val="bottom"/>
              <w:rPr>
                <w:rFonts w:ascii="Arial" w:hAnsi="Arial" w:cs="Arial"/>
                <w:sz w:val="20"/>
                <w:szCs w:val="36"/>
              </w:rPr>
            </w:pPr>
            <w:r w:rsidRPr="00123353">
              <w:rPr>
                <w:rFonts w:eastAsia="ヒラギノ角ゴ Pro W3"/>
                <w:color w:val="000000"/>
                <w:kern w:val="24"/>
                <w:sz w:val="20"/>
                <w:szCs w:val="18"/>
              </w:rPr>
              <w:t xml:space="preserve">Green </w:t>
            </w:r>
          </w:p>
        </w:tc>
        <w:tc>
          <w:tcPr>
            <w:tcW w:w="1721" w:type="dxa"/>
            <w:tcBorders>
              <w:top w:val="single" w:sz="4" w:space="0" w:color="auto"/>
              <w:left w:val="nil"/>
              <w:bottom w:val="nil"/>
              <w:right w:val="nil"/>
            </w:tcBorders>
            <w:tcMar>
              <w:top w:w="6" w:type="dxa"/>
              <w:left w:w="6" w:type="dxa"/>
              <w:bottom w:w="0" w:type="dxa"/>
              <w:right w:w="6" w:type="dxa"/>
            </w:tcMar>
            <w:vAlign w:val="bottom"/>
          </w:tcPr>
          <w:p w:rsidR="00F9593D" w:rsidRPr="00123353" w:rsidRDefault="00F9593D" w:rsidP="008D176A">
            <w:pPr>
              <w:spacing w:line="360" w:lineRule="auto"/>
              <w:textAlignment w:val="bottom"/>
              <w:rPr>
                <w:rFonts w:ascii="Arial" w:hAnsi="Arial" w:cs="Arial"/>
                <w:sz w:val="20"/>
                <w:szCs w:val="36"/>
              </w:rPr>
            </w:pPr>
            <w:r w:rsidRPr="00123353">
              <w:rPr>
                <w:rFonts w:eastAsia="ヒラギノ角ゴ Pro W3"/>
                <w:color w:val="000000"/>
                <w:kern w:val="24"/>
                <w:sz w:val="20"/>
                <w:szCs w:val="18"/>
              </w:rPr>
              <w:t>Lignin</w:t>
            </w:r>
            <w:r w:rsidRPr="00123353">
              <w:rPr>
                <w:color w:val="000000"/>
                <w:kern w:val="24"/>
                <w:sz w:val="20"/>
                <w:szCs w:val="18"/>
              </w:rPr>
              <w:t xml:space="preserve"> </w:t>
            </w:r>
          </w:p>
        </w:tc>
        <w:tc>
          <w:tcPr>
            <w:tcW w:w="1010" w:type="dxa"/>
            <w:tcBorders>
              <w:top w:val="single" w:sz="4" w:space="0" w:color="auto"/>
              <w:left w:val="nil"/>
              <w:bottom w:val="nil"/>
              <w:right w:val="nil"/>
            </w:tcBorders>
            <w:tcMar>
              <w:top w:w="6" w:type="dxa"/>
              <w:left w:w="6" w:type="dxa"/>
              <w:bottom w:w="0" w:type="dxa"/>
              <w:right w:w="6" w:type="dxa"/>
            </w:tcMar>
            <w:vAlign w:val="bottom"/>
          </w:tcPr>
          <w:p w:rsidR="00F9593D" w:rsidRPr="00123353" w:rsidRDefault="00F9593D" w:rsidP="008D176A">
            <w:pPr>
              <w:spacing w:line="360" w:lineRule="auto"/>
              <w:jc w:val="center"/>
              <w:textAlignment w:val="bottom"/>
              <w:rPr>
                <w:rFonts w:ascii="Arial" w:hAnsi="Arial" w:cs="Arial"/>
                <w:sz w:val="20"/>
                <w:szCs w:val="36"/>
              </w:rPr>
            </w:pPr>
            <w:r w:rsidRPr="00123353">
              <w:rPr>
                <w:rFonts w:eastAsia="ヒラギノ角ゴ Pro W3"/>
                <w:b/>
                <w:bCs/>
                <w:color w:val="000000"/>
                <w:kern w:val="24"/>
                <w:sz w:val="20"/>
                <w:szCs w:val="18"/>
              </w:rPr>
              <w:t xml:space="preserve">-14.5% </w:t>
            </w:r>
          </w:p>
        </w:tc>
        <w:tc>
          <w:tcPr>
            <w:tcW w:w="1003" w:type="dxa"/>
            <w:gridSpan w:val="2"/>
            <w:tcBorders>
              <w:top w:val="single" w:sz="4" w:space="0" w:color="auto"/>
              <w:left w:val="nil"/>
              <w:bottom w:val="nil"/>
              <w:right w:val="nil"/>
            </w:tcBorders>
            <w:tcMar>
              <w:top w:w="6" w:type="dxa"/>
              <w:left w:w="6" w:type="dxa"/>
              <w:bottom w:w="0" w:type="dxa"/>
              <w:right w:w="6" w:type="dxa"/>
            </w:tcMar>
            <w:vAlign w:val="bottom"/>
          </w:tcPr>
          <w:p w:rsidR="00F9593D" w:rsidRPr="00123353" w:rsidRDefault="00F9593D" w:rsidP="008D176A">
            <w:pPr>
              <w:spacing w:line="360" w:lineRule="auto"/>
              <w:jc w:val="center"/>
              <w:textAlignment w:val="bottom"/>
              <w:rPr>
                <w:rFonts w:ascii="Arial" w:hAnsi="Arial" w:cs="Arial"/>
                <w:sz w:val="20"/>
                <w:szCs w:val="36"/>
              </w:rPr>
            </w:pPr>
            <w:r w:rsidRPr="00123353">
              <w:rPr>
                <w:rFonts w:eastAsia="ヒラギノ角ゴ Pro W3"/>
                <w:b/>
                <w:bCs/>
                <w:color w:val="000000"/>
                <w:kern w:val="24"/>
                <w:sz w:val="20"/>
                <w:szCs w:val="18"/>
              </w:rPr>
              <w:t xml:space="preserve">-10.1% </w:t>
            </w:r>
          </w:p>
        </w:tc>
        <w:tc>
          <w:tcPr>
            <w:tcW w:w="284" w:type="dxa"/>
            <w:tcBorders>
              <w:top w:val="single" w:sz="4" w:space="0" w:color="auto"/>
              <w:left w:val="nil"/>
              <w:bottom w:val="nil"/>
              <w:right w:val="nil"/>
            </w:tcBorders>
            <w:tcMar>
              <w:top w:w="6" w:type="dxa"/>
              <w:left w:w="6" w:type="dxa"/>
              <w:bottom w:w="0" w:type="dxa"/>
              <w:right w:w="6" w:type="dxa"/>
            </w:tcMar>
            <w:vAlign w:val="bottom"/>
          </w:tcPr>
          <w:p w:rsidR="00F9593D" w:rsidRPr="00123353" w:rsidRDefault="00F9593D" w:rsidP="008D176A">
            <w:pPr>
              <w:spacing w:line="360" w:lineRule="auto"/>
              <w:rPr>
                <w:rFonts w:ascii="Arial" w:hAnsi="Arial" w:cs="Arial"/>
                <w:sz w:val="20"/>
                <w:szCs w:val="36"/>
              </w:rPr>
            </w:pPr>
          </w:p>
        </w:tc>
        <w:tc>
          <w:tcPr>
            <w:tcW w:w="1091" w:type="dxa"/>
            <w:tcBorders>
              <w:top w:val="single" w:sz="4" w:space="0" w:color="auto"/>
              <w:left w:val="nil"/>
              <w:bottom w:val="nil"/>
              <w:right w:val="nil"/>
            </w:tcBorders>
            <w:tcMar>
              <w:top w:w="6" w:type="dxa"/>
              <w:left w:w="6" w:type="dxa"/>
              <w:bottom w:w="0" w:type="dxa"/>
              <w:right w:w="6" w:type="dxa"/>
            </w:tcMar>
            <w:vAlign w:val="bottom"/>
          </w:tcPr>
          <w:p w:rsidR="00F9593D" w:rsidRPr="00123353" w:rsidRDefault="00F9593D" w:rsidP="008D176A">
            <w:pPr>
              <w:spacing w:line="360" w:lineRule="auto"/>
              <w:jc w:val="center"/>
              <w:textAlignment w:val="bottom"/>
              <w:rPr>
                <w:rFonts w:ascii="Arial" w:hAnsi="Arial" w:cs="Arial"/>
                <w:sz w:val="20"/>
                <w:szCs w:val="36"/>
              </w:rPr>
            </w:pPr>
            <w:r w:rsidRPr="00123353">
              <w:rPr>
                <w:rFonts w:eastAsia="ヒラギノ角ゴ Pro W3"/>
                <w:b/>
                <w:bCs/>
                <w:color w:val="000000"/>
                <w:kern w:val="24"/>
                <w:sz w:val="20"/>
                <w:szCs w:val="18"/>
              </w:rPr>
              <w:t xml:space="preserve">-10.6% </w:t>
            </w:r>
          </w:p>
        </w:tc>
        <w:tc>
          <w:tcPr>
            <w:tcW w:w="1112" w:type="dxa"/>
            <w:tcBorders>
              <w:top w:val="single" w:sz="4" w:space="0" w:color="auto"/>
              <w:left w:val="nil"/>
              <w:bottom w:val="nil"/>
              <w:right w:val="nil"/>
            </w:tcBorders>
            <w:tcMar>
              <w:top w:w="6" w:type="dxa"/>
              <w:left w:w="6" w:type="dxa"/>
              <w:bottom w:w="0" w:type="dxa"/>
              <w:right w:w="6" w:type="dxa"/>
            </w:tcMar>
            <w:vAlign w:val="bottom"/>
          </w:tcPr>
          <w:p w:rsidR="00F9593D" w:rsidRPr="00123353" w:rsidRDefault="00F9593D" w:rsidP="008D176A">
            <w:pPr>
              <w:spacing w:line="360" w:lineRule="auto"/>
              <w:jc w:val="center"/>
              <w:textAlignment w:val="bottom"/>
              <w:rPr>
                <w:rFonts w:ascii="Arial" w:hAnsi="Arial" w:cs="Arial"/>
                <w:sz w:val="20"/>
                <w:szCs w:val="36"/>
              </w:rPr>
            </w:pPr>
            <w:r w:rsidRPr="00123353">
              <w:rPr>
                <w:rFonts w:eastAsia="ヒラギノ角ゴ Pro W3"/>
                <w:b/>
                <w:bCs/>
                <w:color w:val="000000"/>
                <w:kern w:val="24"/>
                <w:sz w:val="20"/>
                <w:szCs w:val="18"/>
              </w:rPr>
              <w:t xml:space="preserve">-12.3% </w:t>
            </w:r>
          </w:p>
        </w:tc>
      </w:tr>
      <w:tr w:rsidR="00F9593D" w:rsidRPr="008C6839" w:rsidTr="002F09FD">
        <w:trPr>
          <w:trHeight w:val="245"/>
        </w:trPr>
        <w:tc>
          <w:tcPr>
            <w:tcW w:w="1530" w:type="dxa"/>
            <w:vMerge/>
            <w:tcBorders>
              <w:left w:val="nil"/>
              <w:right w:val="nil"/>
            </w:tcBorders>
            <w:vAlign w:val="center"/>
          </w:tcPr>
          <w:p w:rsidR="00F9593D" w:rsidRPr="00123353" w:rsidRDefault="00F9593D" w:rsidP="008D176A">
            <w:pPr>
              <w:spacing w:line="360" w:lineRule="auto"/>
              <w:textAlignment w:val="bottom"/>
              <w:rPr>
                <w:rFonts w:ascii="Arial" w:hAnsi="Arial" w:cs="Arial"/>
                <w:sz w:val="20"/>
                <w:szCs w:val="36"/>
              </w:rPr>
            </w:pPr>
          </w:p>
        </w:tc>
        <w:tc>
          <w:tcPr>
            <w:tcW w:w="889" w:type="dxa"/>
            <w:tcBorders>
              <w:top w:val="nil"/>
              <w:left w:val="nil"/>
              <w:bottom w:val="nil"/>
              <w:right w:val="nil"/>
            </w:tcBorders>
            <w:tcMar>
              <w:top w:w="6" w:type="dxa"/>
              <w:left w:w="6" w:type="dxa"/>
              <w:bottom w:w="0" w:type="dxa"/>
              <w:right w:w="6" w:type="dxa"/>
            </w:tcMar>
            <w:vAlign w:val="bottom"/>
          </w:tcPr>
          <w:p w:rsidR="00F9593D" w:rsidRPr="00123353" w:rsidRDefault="00F9593D" w:rsidP="008D176A">
            <w:pPr>
              <w:spacing w:line="360" w:lineRule="auto"/>
              <w:textAlignment w:val="bottom"/>
              <w:rPr>
                <w:rFonts w:ascii="Arial" w:hAnsi="Arial" w:cs="Arial"/>
                <w:sz w:val="20"/>
                <w:szCs w:val="36"/>
              </w:rPr>
            </w:pPr>
            <w:r w:rsidRPr="00123353">
              <w:rPr>
                <w:rFonts w:eastAsia="ヒラギノ角ゴ Pro W3"/>
                <w:color w:val="000000"/>
                <w:kern w:val="24"/>
                <w:sz w:val="20"/>
                <w:szCs w:val="18"/>
              </w:rPr>
              <w:t> </w:t>
            </w:r>
            <w:r w:rsidRPr="00123353">
              <w:rPr>
                <w:color w:val="000000"/>
                <w:kern w:val="24"/>
                <w:sz w:val="20"/>
                <w:szCs w:val="18"/>
              </w:rPr>
              <w:t xml:space="preserve"> </w:t>
            </w:r>
          </w:p>
        </w:tc>
        <w:tc>
          <w:tcPr>
            <w:tcW w:w="1721" w:type="dxa"/>
            <w:tcBorders>
              <w:top w:val="nil"/>
              <w:left w:val="nil"/>
              <w:bottom w:val="nil"/>
              <w:right w:val="nil"/>
            </w:tcBorders>
            <w:tcMar>
              <w:top w:w="6" w:type="dxa"/>
              <w:left w:w="6" w:type="dxa"/>
              <w:bottom w:w="0" w:type="dxa"/>
              <w:right w:w="6" w:type="dxa"/>
            </w:tcMar>
            <w:vAlign w:val="bottom"/>
          </w:tcPr>
          <w:p w:rsidR="00F9593D" w:rsidRPr="00123353" w:rsidRDefault="00F9593D" w:rsidP="008D176A">
            <w:pPr>
              <w:spacing w:line="360" w:lineRule="auto"/>
              <w:textAlignment w:val="bottom"/>
              <w:rPr>
                <w:rFonts w:ascii="Arial" w:hAnsi="Arial" w:cs="Arial"/>
                <w:sz w:val="20"/>
                <w:szCs w:val="36"/>
              </w:rPr>
            </w:pPr>
            <w:r w:rsidRPr="00123353">
              <w:rPr>
                <w:rFonts w:eastAsia="ヒラギノ角ゴ Pro W3"/>
                <w:color w:val="000000"/>
                <w:kern w:val="24"/>
                <w:sz w:val="20"/>
                <w:szCs w:val="18"/>
              </w:rPr>
              <w:t>S/G ratio</w:t>
            </w:r>
            <w:r w:rsidRPr="00123353">
              <w:rPr>
                <w:color w:val="000000"/>
                <w:kern w:val="24"/>
                <w:sz w:val="20"/>
                <w:szCs w:val="18"/>
              </w:rPr>
              <w:t xml:space="preserve"> </w:t>
            </w:r>
          </w:p>
        </w:tc>
        <w:tc>
          <w:tcPr>
            <w:tcW w:w="1010" w:type="dxa"/>
            <w:tcBorders>
              <w:top w:val="nil"/>
              <w:left w:val="nil"/>
              <w:bottom w:val="nil"/>
              <w:right w:val="nil"/>
            </w:tcBorders>
            <w:tcMar>
              <w:top w:w="6" w:type="dxa"/>
              <w:left w:w="6" w:type="dxa"/>
              <w:bottom w:w="0" w:type="dxa"/>
              <w:right w:w="6" w:type="dxa"/>
            </w:tcMar>
            <w:vAlign w:val="bottom"/>
          </w:tcPr>
          <w:p w:rsidR="00F9593D" w:rsidRPr="00123353" w:rsidRDefault="00F9593D" w:rsidP="008D176A">
            <w:pPr>
              <w:spacing w:line="360" w:lineRule="auto"/>
              <w:jc w:val="center"/>
              <w:textAlignment w:val="bottom"/>
              <w:rPr>
                <w:rFonts w:ascii="Arial" w:hAnsi="Arial" w:cs="Arial"/>
                <w:sz w:val="20"/>
                <w:szCs w:val="36"/>
              </w:rPr>
            </w:pPr>
            <w:r w:rsidRPr="00123353">
              <w:rPr>
                <w:rFonts w:eastAsia="ヒラギノ角ゴ Pro W3"/>
                <w:b/>
                <w:bCs/>
                <w:color w:val="000000"/>
                <w:kern w:val="24"/>
                <w:sz w:val="20"/>
                <w:szCs w:val="18"/>
              </w:rPr>
              <w:t xml:space="preserve">-26.5% </w:t>
            </w:r>
          </w:p>
        </w:tc>
        <w:tc>
          <w:tcPr>
            <w:tcW w:w="1003" w:type="dxa"/>
            <w:gridSpan w:val="2"/>
            <w:tcBorders>
              <w:top w:val="nil"/>
              <w:left w:val="nil"/>
              <w:bottom w:val="nil"/>
              <w:right w:val="nil"/>
            </w:tcBorders>
            <w:tcMar>
              <w:top w:w="6" w:type="dxa"/>
              <w:left w:w="6" w:type="dxa"/>
              <w:bottom w:w="0" w:type="dxa"/>
              <w:right w:w="6" w:type="dxa"/>
            </w:tcMar>
            <w:vAlign w:val="bottom"/>
          </w:tcPr>
          <w:p w:rsidR="00F9593D" w:rsidRPr="00123353" w:rsidRDefault="00F9593D" w:rsidP="008D176A">
            <w:pPr>
              <w:spacing w:line="360" w:lineRule="auto"/>
              <w:jc w:val="center"/>
              <w:textAlignment w:val="bottom"/>
              <w:rPr>
                <w:rFonts w:ascii="Arial" w:hAnsi="Arial" w:cs="Arial"/>
                <w:sz w:val="20"/>
                <w:szCs w:val="36"/>
              </w:rPr>
            </w:pPr>
            <w:r w:rsidRPr="00123353">
              <w:rPr>
                <w:rFonts w:eastAsia="ヒラギノ角ゴ Pro W3"/>
                <w:b/>
                <w:bCs/>
                <w:color w:val="000000"/>
                <w:kern w:val="24"/>
                <w:sz w:val="20"/>
                <w:szCs w:val="18"/>
              </w:rPr>
              <w:t xml:space="preserve">-21.9% </w:t>
            </w:r>
          </w:p>
        </w:tc>
        <w:tc>
          <w:tcPr>
            <w:tcW w:w="284" w:type="dxa"/>
            <w:tcBorders>
              <w:top w:val="nil"/>
              <w:left w:val="nil"/>
              <w:bottom w:val="nil"/>
              <w:right w:val="nil"/>
            </w:tcBorders>
            <w:tcMar>
              <w:top w:w="6" w:type="dxa"/>
              <w:left w:w="6" w:type="dxa"/>
              <w:bottom w:w="0" w:type="dxa"/>
              <w:right w:w="6" w:type="dxa"/>
            </w:tcMar>
            <w:vAlign w:val="bottom"/>
          </w:tcPr>
          <w:p w:rsidR="00F9593D" w:rsidRPr="00123353" w:rsidRDefault="00F9593D" w:rsidP="008D176A">
            <w:pPr>
              <w:spacing w:line="360" w:lineRule="auto"/>
              <w:rPr>
                <w:rFonts w:ascii="Arial" w:hAnsi="Arial" w:cs="Arial"/>
                <w:sz w:val="20"/>
                <w:szCs w:val="36"/>
              </w:rPr>
            </w:pPr>
          </w:p>
        </w:tc>
        <w:tc>
          <w:tcPr>
            <w:tcW w:w="1091" w:type="dxa"/>
            <w:tcBorders>
              <w:top w:val="nil"/>
              <w:left w:val="nil"/>
              <w:bottom w:val="nil"/>
              <w:right w:val="nil"/>
            </w:tcBorders>
            <w:tcMar>
              <w:top w:w="6" w:type="dxa"/>
              <w:left w:w="6" w:type="dxa"/>
              <w:bottom w:w="0" w:type="dxa"/>
              <w:right w:w="6" w:type="dxa"/>
            </w:tcMar>
            <w:vAlign w:val="bottom"/>
          </w:tcPr>
          <w:p w:rsidR="00F9593D" w:rsidRPr="00123353" w:rsidRDefault="00F9593D" w:rsidP="008D176A">
            <w:pPr>
              <w:spacing w:line="360" w:lineRule="auto"/>
              <w:jc w:val="center"/>
              <w:textAlignment w:val="bottom"/>
              <w:rPr>
                <w:rFonts w:ascii="Arial" w:hAnsi="Arial" w:cs="Arial"/>
                <w:sz w:val="20"/>
                <w:szCs w:val="36"/>
              </w:rPr>
            </w:pPr>
            <w:r w:rsidRPr="00123353">
              <w:rPr>
                <w:rFonts w:eastAsia="ヒラギノ角ゴ Pro W3"/>
                <w:b/>
                <w:bCs/>
                <w:color w:val="000000"/>
                <w:kern w:val="24"/>
                <w:sz w:val="20"/>
                <w:szCs w:val="18"/>
              </w:rPr>
              <w:t xml:space="preserve">-35.9% </w:t>
            </w:r>
          </w:p>
        </w:tc>
        <w:tc>
          <w:tcPr>
            <w:tcW w:w="1112" w:type="dxa"/>
            <w:tcBorders>
              <w:top w:val="nil"/>
              <w:left w:val="nil"/>
              <w:bottom w:val="nil"/>
              <w:right w:val="nil"/>
            </w:tcBorders>
            <w:tcMar>
              <w:top w:w="6" w:type="dxa"/>
              <w:left w:w="6" w:type="dxa"/>
              <w:bottom w:w="0" w:type="dxa"/>
              <w:right w:w="6" w:type="dxa"/>
            </w:tcMar>
            <w:vAlign w:val="bottom"/>
          </w:tcPr>
          <w:p w:rsidR="00F9593D" w:rsidRPr="00123353" w:rsidRDefault="00F9593D" w:rsidP="008D176A">
            <w:pPr>
              <w:spacing w:line="360" w:lineRule="auto"/>
              <w:jc w:val="center"/>
              <w:textAlignment w:val="bottom"/>
              <w:rPr>
                <w:rFonts w:ascii="Arial" w:hAnsi="Arial" w:cs="Arial"/>
                <w:sz w:val="20"/>
                <w:szCs w:val="36"/>
              </w:rPr>
            </w:pPr>
            <w:r w:rsidRPr="00123353">
              <w:rPr>
                <w:rFonts w:eastAsia="ヒラギノ角ゴ Pro W3"/>
                <w:b/>
                <w:bCs/>
                <w:color w:val="000000"/>
                <w:kern w:val="24"/>
                <w:sz w:val="20"/>
                <w:szCs w:val="18"/>
              </w:rPr>
              <w:t xml:space="preserve">-32.9% </w:t>
            </w:r>
          </w:p>
        </w:tc>
      </w:tr>
      <w:tr w:rsidR="00F9593D" w:rsidRPr="008C6839" w:rsidTr="002F09FD">
        <w:trPr>
          <w:trHeight w:val="245"/>
        </w:trPr>
        <w:tc>
          <w:tcPr>
            <w:tcW w:w="1530" w:type="dxa"/>
            <w:vMerge/>
            <w:tcBorders>
              <w:left w:val="nil"/>
              <w:right w:val="nil"/>
            </w:tcBorders>
            <w:vAlign w:val="center"/>
          </w:tcPr>
          <w:p w:rsidR="00F9593D" w:rsidRPr="00123353" w:rsidRDefault="00F9593D" w:rsidP="008D176A">
            <w:pPr>
              <w:spacing w:line="360" w:lineRule="auto"/>
              <w:textAlignment w:val="bottom"/>
              <w:rPr>
                <w:rFonts w:ascii="Arial" w:hAnsi="Arial" w:cs="Arial"/>
                <w:sz w:val="20"/>
                <w:szCs w:val="36"/>
              </w:rPr>
            </w:pPr>
          </w:p>
        </w:tc>
        <w:tc>
          <w:tcPr>
            <w:tcW w:w="889" w:type="dxa"/>
            <w:tcBorders>
              <w:top w:val="nil"/>
              <w:left w:val="nil"/>
              <w:bottom w:val="nil"/>
              <w:right w:val="nil"/>
            </w:tcBorders>
            <w:tcMar>
              <w:top w:w="6" w:type="dxa"/>
              <w:left w:w="6" w:type="dxa"/>
              <w:bottom w:w="0" w:type="dxa"/>
              <w:right w:w="6" w:type="dxa"/>
            </w:tcMar>
            <w:vAlign w:val="bottom"/>
          </w:tcPr>
          <w:p w:rsidR="00F9593D" w:rsidRPr="00123353" w:rsidRDefault="00F9593D" w:rsidP="008D176A">
            <w:pPr>
              <w:spacing w:line="360" w:lineRule="auto"/>
              <w:rPr>
                <w:rFonts w:ascii="Arial" w:hAnsi="Arial" w:cs="Arial"/>
                <w:sz w:val="20"/>
                <w:szCs w:val="36"/>
              </w:rPr>
            </w:pPr>
          </w:p>
        </w:tc>
        <w:tc>
          <w:tcPr>
            <w:tcW w:w="1721" w:type="dxa"/>
            <w:tcBorders>
              <w:top w:val="nil"/>
              <w:left w:val="nil"/>
              <w:bottom w:val="nil"/>
              <w:right w:val="nil"/>
            </w:tcBorders>
            <w:tcMar>
              <w:top w:w="6" w:type="dxa"/>
              <w:left w:w="6" w:type="dxa"/>
              <w:bottom w:w="0" w:type="dxa"/>
              <w:right w:w="6" w:type="dxa"/>
            </w:tcMar>
            <w:vAlign w:val="bottom"/>
          </w:tcPr>
          <w:p w:rsidR="00F9593D" w:rsidRPr="00123353" w:rsidRDefault="00F9593D" w:rsidP="008D176A">
            <w:pPr>
              <w:spacing w:line="360" w:lineRule="auto"/>
              <w:rPr>
                <w:rFonts w:ascii="Arial" w:hAnsi="Arial" w:cs="Arial"/>
                <w:sz w:val="20"/>
                <w:szCs w:val="36"/>
              </w:rPr>
            </w:pPr>
          </w:p>
        </w:tc>
        <w:tc>
          <w:tcPr>
            <w:tcW w:w="1010" w:type="dxa"/>
            <w:tcBorders>
              <w:top w:val="nil"/>
              <w:left w:val="nil"/>
              <w:bottom w:val="nil"/>
              <w:right w:val="nil"/>
            </w:tcBorders>
            <w:tcMar>
              <w:top w:w="6" w:type="dxa"/>
              <w:left w:w="6" w:type="dxa"/>
              <w:bottom w:w="0" w:type="dxa"/>
              <w:right w:w="6" w:type="dxa"/>
            </w:tcMar>
            <w:vAlign w:val="bottom"/>
          </w:tcPr>
          <w:p w:rsidR="00F9593D" w:rsidRPr="00123353" w:rsidRDefault="00F9593D" w:rsidP="008D176A">
            <w:pPr>
              <w:spacing w:line="360" w:lineRule="auto"/>
              <w:rPr>
                <w:rFonts w:ascii="Arial" w:hAnsi="Arial" w:cs="Arial"/>
                <w:sz w:val="20"/>
                <w:szCs w:val="36"/>
              </w:rPr>
            </w:pPr>
          </w:p>
        </w:tc>
        <w:tc>
          <w:tcPr>
            <w:tcW w:w="1003" w:type="dxa"/>
            <w:gridSpan w:val="2"/>
            <w:tcBorders>
              <w:top w:val="nil"/>
              <w:left w:val="nil"/>
              <w:bottom w:val="nil"/>
              <w:right w:val="nil"/>
            </w:tcBorders>
            <w:tcMar>
              <w:top w:w="6" w:type="dxa"/>
              <w:left w:w="6" w:type="dxa"/>
              <w:bottom w:w="0" w:type="dxa"/>
              <w:right w:w="6" w:type="dxa"/>
            </w:tcMar>
            <w:vAlign w:val="bottom"/>
          </w:tcPr>
          <w:p w:rsidR="00F9593D" w:rsidRPr="00123353" w:rsidRDefault="00F9593D" w:rsidP="008D176A">
            <w:pPr>
              <w:spacing w:line="360" w:lineRule="auto"/>
              <w:rPr>
                <w:rFonts w:ascii="Arial" w:hAnsi="Arial" w:cs="Arial"/>
                <w:sz w:val="20"/>
                <w:szCs w:val="36"/>
              </w:rPr>
            </w:pPr>
          </w:p>
        </w:tc>
        <w:tc>
          <w:tcPr>
            <w:tcW w:w="284" w:type="dxa"/>
            <w:tcBorders>
              <w:top w:val="nil"/>
              <w:left w:val="nil"/>
              <w:bottom w:val="nil"/>
              <w:right w:val="nil"/>
            </w:tcBorders>
            <w:tcMar>
              <w:top w:w="6" w:type="dxa"/>
              <w:left w:w="6" w:type="dxa"/>
              <w:bottom w:w="0" w:type="dxa"/>
              <w:right w:w="6" w:type="dxa"/>
            </w:tcMar>
            <w:vAlign w:val="bottom"/>
          </w:tcPr>
          <w:p w:rsidR="00F9593D" w:rsidRPr="00123353" w:rsidRDefault="00F9593D" w:rsidP="008D176A">
            <w:pPr>
              <w:spacing w:line="360" w:lineRule="auto"/>
              <w:rPr>
                <w:rFonts w:ascii="Arial" w:hAnsi="Arial" w:cs="Arial"/>
                <w:sz w:val="20"/>
                <w:szCs w:val="36"/>
              </w:rPr>
            </w:pPr>
          </w:p>
        </w:tc>
        <w:tc>
          <w:tcPr>
            <w:tcW w:w="1091" w:type="dxa"/>
            <w:tcBorders>
              <w:top w:val="nil"/>
              <w:left w:val="nil"/>
              <w:bottom w:val="nil"/>
              <w:right w:val="nil"/>
            </w:tcBorders>
            <w:tcMar>
              <w:top w:w="6" w:type="dxa"/>
              <w:left w:w="6" w:type="dxa"/>
              <w:bottom w:w="0" w:type="dxa"/>
              <w:right w:w="6" w:type="dxa"/>
            </w:tcMar>
            <w:vAlign w:val="bottom"/>
          </w:tcPr>
          <w:p w:rsidR="00F9593D" w:rsidRPr="00123353" w:rsidRDefault="00F9593D" w:rsidP="008D176A">
            <w:pPr>
              <w:spacing w:line="360" w:lineRule="auto"/>
              <w:rPr>
                <w:rFonts w:ascii="Arial" w:hAnsi="Arial" w:cs="Arial"/>
                <w:sz w:val="20"/>
                <w:szCs w:val="36"/>
              </w:rPr>
            </w:pPr>
          </w:p>
        </w:tc>
        <w:tc>
          <w:tcPr>
            <w:tcW w:w="1112" w:type="dxa"/>
            <w:tcBorders>
              <w:top w:val="nil"/>
              <w:left w:val="nil"/>
              <w:bottom w:val="nil"/>
              <w:right w:val="nil"/>
            </w:tcBorders>
            <w:tcMar>
              <w:top w:w="6" w:type="dxa"/>
              <w:left w:w="6" w:type="dxa"/>
              <w:bottom w:w="0" w:type="dxa"/>
              <w:right w:w="6" w:type="dxa"/>
            </w:tcMar>
            <w:vAlign w:val="bottom"/>
          </w:tcPr>
          <w:p w:rsidR="00F9593D" w:rsidRPr="00123353" w:rsidRDefault="00F9593D" w:rsidP="008D176A">
            <w:pPr>
              <w:spacing w:line="360" w:lineRule="auto"/>
              <w:rPr>
                <w:rFonts w:ascii="Arial" w:hAnsi="Arial" w:cs="Arial"/>
                <w:sz w:val="20"/>
                <w:szCs w:val="36"/>
              </w:rPr>
            </w:pPr>
          </w:p>
        </w:tc>
      </w:tr>
      <w:tr w:rsidR="00F9593D" w:rsidRPr="008C6839" w:rsidTr="002F09FD">
        <w:trPr>
          <w:trHeight w:val="245"/>
        </w:trPr>
        <w:tc>
          <w:tcPr>
            <w:tcW w:w="1530" w:type="dxa"/>
            <w:vMerge/>
            <w:tcBorders>
              <w:left w:val="nil"/>
              <w:bottom w:val="nil"/>
              <w:right w:val="nil"/>
            </w:tcBorders>
            <w:vAlign w:val="center"/>
          </w:tcPr>
          <w:p w:rsidR="00F9593D" w:rsidRPr="00123353" w:rsidRDefault="00F9593D" w:rsidP="008D176A">
            <w:pPr>
              <w:spacing w:line="360" w:lineRule="auto"/>
              <w:textAlignment w:val="bottom"/>
              <w:rPr>
                <w:rFonts w:ascii="Arial" w:hAnsi="Arial" w:cs="Arial"/>
                <w:sz w:val="20"/>
                <w:szCs w:val="36"/>
              </w:rPr>
            </w:pPr>
          </w:p>
        </w:tc>
        <w:tc>
          <w:tcPr>
            <w:tcW w:w="889" w:type="dxa"/>
            <w:tcBorders>
              <w:top w:val="nil"/>
              <w:left w:val="nil"/>
              <w:bottom w:val="nil"/>
              <w:right w:val="nil"/>
            </w:tcBorders>
            <w:tcMar>
              <w:top w:w="6" w:type="dxa"/>
              <w:left w:w="6" w:type="dxa"/>
              <w:bottom w:w="0" w:type="dxa"/>
              <w:right w:w="6" w:type="dxa"/>
            </w:tcMar>
            <w:vAlign w:val="bottom"/>
          </w:tcPr>
          <w:p w:rsidR="00F9593D" w:rsidRPr="00123353" w:rsidRDefault="00F9593D" w:rsidP="008D176A">
            <w:pPr>
              <w:spacing w:line="360" w:lineRule="auto"/>
              <w:textAlignment w:val="bottom"/>
              <w:rPr>
                <w:rFonts w:ascii="Arial" w:hAnsi="Arial" w:cs="Arial"/>
                <w:sz w:val="20"/>
                <w:szCs w:val="36"/>
              </w:rPr>
            </w:pPr>
            <w:r w:rsidRPr="00123353">
              <w:rPr>
                <w:rFonts w:eastAsia="ヒラギノ角ゴ Pro W3"/>
                <w:color w:val="000000"/>
                <w:kern w:val="24"/>
                <w:sz w:val="20"/>
                <w:szCs w:val="18"/>
              </w:rPr>
              <w:t>Senesced</w:t>
            </w:r>
          </w:p>
        </w:tc>
        <w:tc>
          <w:tcPr>
            <w:tcW w:w="1721" w:type="dxa"/>
            <w:tcBorders>
              <w:top w:val="nil"/>
              <w:left w:val="nil"/>
              <w:bottom w:val="nil"/>
              <w:right w:val="nil"/>
            </w:tcBorders>
            <w:tcMar>
              <w:top w:w="6" w:type="dxa"/>
              <w:left w:w="6" w:type="dxa"/>
              <w:bottom w:w="0" w:type="dxa"/>
              <w:right w:w="6" w:type="dxa"/>
            </w:tcMar>
            <w:vAlign w:val="bottom"/>
          </w:tcPr>
          <w:p w:rsidR="00F9593D" w:rsidRPr="00123353" w:rsidRDefault="00F9593D" w:rsidP="008D176A">
            <w:pPr>
              <w:spacing w:line="360" w:lineRule="auto"/>
              <w:textAlignment w:val="bottom"/>
              <w:rPr>
                <w:rFonts w:ascii="Arial" w:hAnsi="Arial" w:cs="Arial"/>
                <w:sz w:val="20"/>
                <w:szCs w:val="36"/>
              </w:rPr>
            </w:pPr>
            <w:r w:rsidRPr="00123353">
              <w:rPr>
                <w:rFonts w:eastAsia="ヒラギノ角ゴ Pro W3"/>
                <w:color w:val="000000"/>
                <w:kern w:val="24"/>
                <w:sz w:val="20"/>
                <w:szCs w:val="18"/>
              </w:rPr>
              <w:t xml:space="preserve">Lignin </w:t>
            </w:r>
          </w:p>
        </w:tc>
        <w:tc>
          <w:tcPr>
            <w:tcW w:w="1010" w:type="dxa"/>
            <w:tcBorders>
              <w:top w:val="nil"/>
              <w:left w:val="nil"/>
              <w:bottom w:val="nil"/>
              <w:right w:val="nil"/>
            </w:tcBorders>
            <w:tcMar>
              <w:top w:w="6" w:type="dxa"/>
              <w:left w:w="6" w:type="dxa"/>
              <w:bottom w:w="0" w:type="dxa"/>
              <w:right w:w="6" w:type="dxa"/>
            </w:tcMar>
            <w:vAlign w:val="bottom"/>
          </w:tcPr>
          <w:p w:rsidR="00F9593D" w:rsidRPr="00123353" w:rsidRDefault="00F9593D" w:rsidP="008D176A">
            <w:pPr>
              <w:spacing w:line="360" w:lineRule="auto"/>
              <w:jc w:val="center"/>
              <w:textAlignment w:val="bottom"/>
              <w:rPr>
                <w:rFonts w:ascii="Arial" w:hAnsi="Arial" w:cs="Arial"/>
                <w:sz w:val="20"/>
                <w:szCs w:val="36"/>
              </w:rPr>
            </w:pPr>
            <w:r w:rsidRPr="00123353">
              <w:rPr>
                <w:rFonts w:eastAsia="ヒラギノ角ゴ Pro W3"/>
                <w:b/>
                <w:bCs/>
                <w:color w:val="000000"/>
                <w:kern w:val="24"/>
                <w:sz w:val="20"/>
                <w:szCs w:val="18"/>
              </w:rPr>
              <w:t xml:space="preserve">-10.6% </w:t>
            </w:r>
          </w:p>
        </w:tc>
        <w:tc>
          <w:tcPr>
            <w:tcW w:w="1003" w:type="dxa"/>
            <w:gridSpan w:val="2"/>
            <w:tcBorders>
              <w:top w:val="nil"/>
              <w:left w:val="nil"/>
              <w:bottom w:val="nil"/>
              <w:right w:val="nil"/>
            </w:tcBorders>
            <w:tcMar>
              <w:top w:w="6" w:type="dxa"/>
              <w:left w:w="6" w:type="dxa"/>
              <w:bottom w:w="0" w:type="dxa"/>
              <w:right w:w="6" w:type="dxa"/>
            </w:tcMar>
            <w:vAlign w:val="bottom"/>
          </w:tcPr>
          <w:p w:rsidR="00F9593D" w:rsidRPr="00123353" w:rsidRDefault="00F9593D" w:rsidP="008D176A">
            <w:pPr>
              <w:spacing w:line="360" w:lineRule="auto"/>
              <w:jc w:val="center"/>
              <w:textAlignment w:val="bottom"/>
              <w:rPr>
                <w:rFonts w:ascii="Arial" w:hAnsi="Arial" w:cs="Arial"/>
                <w:sz w:val="20"/>
                <w:szCs w:val="36"/>
              </w:rPr>
            </w:pPr>
            <w:r w:rsidRPr="00123353">
              <w:rPr>
                <w:rFonts w:eastAsia="ヒラギノ角ゴ Pro W3"/>
                <w:b/>
                <w:bCs/>
                <w:color w:val="000000"/>
                <w:kern w:val="24"/>
                <w:sz w:val="20"/>
                <w:szCs w:val="18"/>
              </w:rPr>
              <w:t xml:space="preserve">-8.4% </w:t>
            </w:r>
          </w:p>
        </w:tc>
        <w:tc>
          <w:tcPr>
            <w:tcW w:w="284" w:type="dxa"/>
            <w:tcBorders>
              <w:top w:val="nil"/>
              <w:left w:val="nil"/>
              <w:bottom w:val="nil"/>
              <w:right w:val="nil"/>
            </w:tcBorders>
            <w:tcMar>
              <w:top w:w="6" w:type="dxa"/>
              <w:left w:w="6" w:type="dxa"/>
              <w:bottom w:w="0" w:type="dxa"/>
              <w:right w:w="6" w:type="dxa"/>
            </w:tcMar>
            <w:vAlign w:val="bottom"/>
          </w:tcPr>
          <w:p w:rsidR="00F9593D" w:rsidRPr="00123353" w:rsidRDefault="00F9593D" w:rsidP="008D176A">
            <w:pPr>
              <w:spacing w:line="360" w:lineRule="auto"/>
              <w:rPr>
                <w:rFonts w:ascii="Arial" w:hAnsi="Arial" w:cs="Arial"/>
                <w:sz w:val="20"/>
                <w:szCs w:val="36"/>
              </w:rPr>
            </w:pPr>
          </w:p>
        </w:tc>
        <w:tc>
          <w:tcPr>
            <w:tcW w:w="1091" w:type="dxa"/>
            <w:tcBorders>
              <w:top w:val="nil"/>
              <w:left w:val="nil"/>
              <w:bottom w:val="nil"/>
              <w:right w:val="nil"/>
            </w:tcBorders>
            <w:tcMar>
              <w:top w:w="6" w:type="dxa"/>
              <w:left w:w="6" w:type="dxa"/>
              <w:bottom w:w="0" w:type="dxa"/>
              <w:right w:w="6" w:type="dxa"/>
            </w:tcMar>
            <w:vAlign w:val="bottom"/>
          </w:tcPr>
          <w:p w:rsidR="00F9593D" w:rsidRPr="00123353" w:rsidRDefault="00F9593D" w:rsidP="008D176A">
            <w:pPr>
              <w:spacing w:line="360" w:lineRule="auto"/>
              <w:jc w:val="center"/>
              <w:textAlignment w:val="bottom"/>
              <w:rPr>
                <w:rFonts w:ascii="Arial" w:hAnsi="Arial" w:cs="Arial"/>
                <w:sz w:val="20"/>
                <w:szCs w:val="36"/>
              </w:rPr>
            </w:pPr>
            <w:r w:rsidRPr="00123353">
              <w:rPr>
                <w:rFonts w:eastAsia="ヒラギノ角ゴ Pro W3"/>
                <w:b/>
                <w:bCs/>
                <w:color w:val="000000"/>
                <w:kern w:val="24"/>
                <w:sz w:val="20"/>
                <w:szCs w:val="18"/>
              </w:rPr>
              <w:t xml:space="preserve">-11.6% </w:t>
            </w:r>
          </w:p>
        </w:tc>
        <w:tc>
          <w:tcPr>
            <w:tcW w:w="1112" w:type="dxa"/>
            <w:tcBorders>
              <w:top w:val="nil"/>
              <w:left w:val="nil"/>
              <w:bottom w:val="nil"/>
              <w:right w:val="nil"/>
            </w:tcBorders>
            <w:tcMar>
              <w:top w:w="6" w:type="dxa"/>
              <w:left w:w="6" w:type="dxa"/>
              <w:bottom w:w="0" w:type="dxa"/>
              <w:right w:w="6" w:type="dxa"/>
            </w:tcMar>
            <w:vAlign w:val="bottom"/>
          </w:tcPr>
          <w:p w:rsidR="00F9593D" w:rsidRPr="00123353" w:rsidRDefault="00F9593D" w:rsidP="008D176A">
            <w:pPr>
              <w:spacing w:line="360" w:lineRule="auto"/>
              <w:jc w:val="center"/>
              <w:textAlignment w:val="bottom"/>
              <w:rPr>
                <w:rFonts w:ascii="Arial" w:hAnsi="Arial" w:cs="Arial"/>
                <w:sz w:val="20"/>
                <w:szCs w:val="36"/>
              </w:rPr>
            </w:pPr>
            <w:r w:rsidRPr="00123353">
              <w:rPr>
                <w:rFonts w:eastAsia="ヒラギノ角ゴ Pro W3"/>
                <w:b/>
                <w:bCs/>
                <w:color w:val="000000"/>
                <w:kern w:val="24"/>
                <w:sz w:val="20"/>
                <w:szCs w:val="18"/>
              </w:rPr>
              <w:t xml:space="preserve">-12.0% </w:t>
            </w:r>
          </w:p>
        </w:tc>
      </w:tr>
      <w:tr w:rsidR="00F9593D" w:rsidRPr="008C6839" w:rsidTr="002F09FD">
        <w:trPr>
          <w:trHeight w:val="245"/>
        </w:trPr>
        <w:tc>
          <w:tcPr>
            <w:tcW w:w="1530" w:type="dxa"/>
            <w:vMerge/>
            <w:tcBorders>
              <w:left w:val="nil"/>
              <w:bottom w:val="single" w:sz="4" w:space="0" w:color="auto"/>
              <w:right w:val="nil"/>
            </w:tcBorders>
            <w:tcMar>
              <w:top w:w="6" w:type="dxa"/>
              <w:left w:w="6" w:type="dxa"/>
              <w:bottom w:w="0" w:type="dxa"/>
              <w:right w:w="6" w:type="dxa"/>
            </w:tcMar>
            <w:vAlign w:val="bottom"/>
          </w:tcPr>
          <w:p w:rsidR="00F9593D" w:rsidRPr="00123353" w:rsidRDefault="00F9593D" w:rsidP="008D176A">
            <w:pPr>
              <w:spacing w:line="360" w:lineRule="auto"/>
              <w:textAlignment w:val="bottom"/>
              <w:rPr>
                <w:rFonts w:ascii="Arial" w:hAnsi="Arial" w:cs="Arial"/>
                <w:sz w:val="20"/>
                <w:szCs w:val="36"/>
              </w:rPr>
            </w:pPr>
          </w:p>
        </w:tc>
        <w:tc>
          <w:tcPr>
            <w:tcW w:w="889" w:type="dxa"/>
            <w:tcBorders>
              <w:top w:val="nil"/>
              <w:left w:val="nil"/>
              <w:bottom w:val="single" w:sz="4" w:space="0" w:color="auto"/>
              <w:right w:val="nil"/>
            </w:tcBorders>
            <w:tcMar>
              <w:top w:w="6" w:type="dxa"/>
              <w:left w:w="6" w:type="dxa"/>
              <w:bottom w:w="0" w:type="dxa"/>
              <w:right w:w="6" w:type="dxa"/>
            </w:tcMar>
            <w:vAlign w:val="bottom"/>
          </w:tcPr>
          <w:p w:rsidR="00F9593D" w:rsidRPr="00123353" w:rsidRDefault="00F9593D" w:rsidP="008D176A">
            <w:pPr>
              <w:spacing w:line="360" w:lineRule="auto"/>
              <w:textAlignment w:val="bottom"/>
              <w:rPr>
                <w:rFonts w:ascii="Arial" w:hAnsi="Arial" w:cs="Arial"/>
                <w:sz w:val="20"/>
                <w:szCs w:val="36"/>
              </w:rPr>
            </w:pPr>
            <w:r w:rsidRPr="00123353">
              <w:rPr>
                <w:rFonts w:eastAsia="ヒラギノ角ゴ Pro W3"/>
                <w:color w:val="000000"/>
                <w:kern w:val="24"/>
                <w:sz w:val="20"/>
                <w:szCs w:val="18"/>
              </w:rPr>
              <w:t> </w:t>
            </w:r>
            <w:r w:rsidRPr="00123353">
              <w:rPr>
                <w:color w:val="000000"/>
                <w:kern w:val="24"/>
                <w:sz w:val="20"/>
                <w:szCs w:val="18"/>
              </w:rPr>
              <w:t xml:space="preserve"> </w:t>
            </w:r>
          </w:p>
        </w:tc>
        <w:tc>
          <w:tcPr>
            <w:tcW w:w="1721" w:type="dxa"/>
            <w:tcBorders>
              <w:top w:val="nil"/>
              <w:left w:val="nil"/>
              <w:bottom w:val="single" w:sz="4" w:space="0" w:color="auto"/>
              <w:right w:val="nil"/>
            </w:tcBorders>
            <w:tcMar>
              <w:top w:w="6" w:type="dxa"/>
              <w:left w:w="6" w:type="dxa"/>
              <w:bottom w:w="0" w:type="dxa"/>
              <w:right w:w="6" w:type="dxa"/>
            </w:tcMar>
            <w:vAlign w:val="bottom"/>
          </w:tcPr>
          <w:p w:rsidR="00F9593D" w:rsidRPr="00123353" w:rsidRDefault="00F9593D" w:rsidP="008D176A">
            <w:pPr>
              <w:spacing w:line="360" w:lineRule="auto"/>
              <w:textAlignment w:val="bottom"/>
              <w:rPr>
                <w:rFonts w:ascii="Arial" w:hAnsi="Arial" w:cs="Arial"/>
                <w:sz w:val="20"/>
                <w:szCs w:val="36"/>
              </w:rPr>
            </w:pPr>
            <w:r w:rsidRPr="00123353">
              <w:rPr>
                <w:rFonts w:eastAsia="ヒラギノ角ゴ Pro W3"/>
                <w:color w:val="000000"/>
                <w:kern w:val="24"/>
                <w:sz w:val="20"/>
                <w:szCs w:val="18"/>
              </w:rPr>
              <w:t xml:space="preserve">S/G ratio </w:t>
            </w:r>
          </w:p>
        </w:tc>
        <w:tc>
          <w:tcPr>
            <w:tcW w:w="1010" w:type="dxa"/>
            <w:tcBorders>
              <w:top w:val="nil"/>
              <w:left w:val="nil"/>
              <w:bottom w:val="single" w:sz="4" w:space="0" w:color="auto"/>
              <w:right w:val="nil"/>
            </w:tcBorders>
            <w:tcMar>
              <w:top w:w="6" w:type="dxa"/>
              <w:left w:w="6" w:type="dxa"/>
              <w:bottom w:w="0" w:type="dxa"/>
              <w:right w:w="6" w:type="dxa"/>
            </w:tcMar>
            <w:vAlign w:val="bottom"/>
          </w:tcPr>
          <w:p w:rsidR="00F9593D" w:rsidRPr="00123353" w:rsidRDefault="00F9593D" w:rsidP="008D176A">
            <w:pPr>
              <w:spacing w:line="360" w:lineRule="auto"/>
              <w:jc w:val="center"/>
              <w:textAlignment w:val="bottom"/>
              <w:rPr>
                <w:rFonts w:ascii="Arial" w:hAnsi="Arial" w:cs="Arial"/>
                <w:sz w:val="20"/>
                <w:szCs w:val="36"/>
              </w:rPr>
            </w:pPr>
            <w:r w:rsidRPr="00123353">
              <w:rPr>
                <w:rFonts w:eastAsia="ヒラギノ角ゴ Pro W3"/>
                <w:b/>
                <w:bCs/>
                <w:color w:val="000000"/>
                <w:kern w:val="24"/>
                <w:sz w:val="20"/>
                <w:szCs w:val="18"/>
              </w:rPr>
              <w:t xml:space="preserve">-18.5% </w:t>
            </w:r>
          </w:p>
        </w:tc>
        <w:tc>
          <w:tcPr>
            <w:tcW w:w="1003" w:type="dxa"/>
            <w:gridSpan w:val="2"/>
            <w:tcBorders>
              <w:top w:val="nil"/>
              <w:left w:val="nil"/>
              <w:bottom w:val="single" w:sz="4" w:space="0" w:color="auto"/>
              <w:right w:val="nil"/>
            </w:tcBorders>
            <w:tcMar>
              <w:top w:w="6" w:type="dxa"/>
              <w:left w:w="6" w:type="dxa"/>
              <w:bottom w:w="0" w:type="dxa"/>
              <w:right w:w="6" w:type="dxa"/>
            </w:tcMar>
            <w:vAlign w:val="bottom"/>
          </w:tcPr>
          <w:p w:rsidR="00F9593D" w:rsidRPr="00123353" w:rsidRDefault="00F9593D" w:rsidP="008D176A">
            <w:pPr>
              <w:spacing w:line="360" w:lineRule="auto"/>
              <w:jc w:val="center"/>
              <w:textAlignment w:val="bottom"/>
              <w:rPr>
                <w:rFonts w:ascii="Arial" w:hAnsi="Arial" w:cs="Arial"/>
                <w:sz w:val="20"/>
                <w:szCs w:val="36"/>
              </w:rPr>
            </w:pPr>
            <w:r w:rsidRPr="00123353">
              <w:rPr>
                <w:rFonts w:eastAsia="ヒラギノ角ゴ Pro W3"/>
                <w:b/>
                <w:bCs/>
                <w:color w:val="000000"/>
                <w:kern w:val="24"/>
                <w:sz w:val="20"/>
                <w:szCs w:val="18"/>
              </w:rPr>
              <w:t xml:space="preserve">-20.0% </w:t>
            </w:r>
          </w:p>
        </w:tc>
        <w:tc>
          <w:tcPr>
            <w:tcW w:w="284" w:type="dxa"/>
            <w:tcBorders>
              <w:top w:val="nil"/>
              <w:left w:val="nil"/>
              <w:bottom w:val="single" w:sz="4" w:space="0" w:color="auto"/>
              <w:right w:val="nil"/>
            </w:tcBorders>
            <w:tcMar>
              <w:top w:w="6" w:type="dxa"/>
              <w:left w:w="6" w:type="dxa"/>
              <w:bottom w:w="0" w:type="dxa"/>
              <w:right w:w="6" w:type="dxa"/>
            </w:tcMar>
            <w:vAlign w:val="bottom"/>
          </w:tcPr>
          <w:p w:rsidR="00F9593D" w:rsidRPr="00123353" w:rsidRDefault="00F9593D" w:rsidP="008D176A">
            <w:pPr>
              <w:spacing w:line="360" w:lineRule="auto"/>
              <w:rPr>
                <w:rFonts w:ascii="Arial" w:hAnsi="Arial" w:cs="Arial"/>
                <w:sz w:val="20"/>
                <w:szCs w:val="36"/>
              </w:rPr>
            </w:pPr>
          </w:p>
        </w:tc>
        <w:tc>
          <w:tcPr>
            <w:tcW w:w="1091" w:type="dxa"/>
            <w:tcBorders>
              <w:top w:val="nil"/>
              <w:left w:val="nil"/>
              <w:bottom w:val="single" w:sz="4" w:space="0" w:color="auto"/>
              <w:right w:val="nil"/>
            </w:tcBorders>
            <w:tcMar>
              <w:top w:w="6" w:type="dxa"/>
              <w:left w:w="6" w:type="dxa"/>
              <w:bottom w:w="0" w:type="dxa"/>
              <w:right w:w="6" w:type="dxa"/>
            </w:tcMar>
            <w:vAlign w:val="bottom"/>
          </w:tcPr>
          <w:p w:rsidR="00F9593D" w:rsidRPr="00123353" w:rsidRDefault="00F9593D" w:rsidP="008D176A">
            <w:pPr>
              <w:spacing w:line="360" w:lineRule="auto"/>
              <w:jc w:val="center"/>
              <w:textAlignment w:val="bottom"/>
              <w:rPr>
                <w:rFonts w:ascii="Arial" w:hAnsi="Arial" w:cs="Arial"/>
                <w:sz w:val="20"/>
                <w:szCs w:val="36"/>
              </w:rPr>
            </w:pPr>
            <w:r w:rsidRPr="00123353">
              <w:rPr>
                <w:rFonts w:eastAsia="ヒラギノ角ゴ Pro W3"/>
                <w:b/>
                <w:bCs/>
                <w:color w:val="000000"/>
                <w:kern w:val="24"/>
                <w:sz w:val="20"/>
                <w:szCs w:val="18"/>
              </w:rPr>
              <w:t xml:space="preserve">-38.6% </w:t>
            </w:r>
          </w:p>
        </w:tc>
        <w:tc>
          <w:tcPr>
            <w:tcW w:w="1112" w:type="dxa"/>
            <w:tcBorders>
              <w:top w:val="nil"/>
              <w:left w:val="nil"/>
              <w:bottom w:val="single" w:sz="4" w:space="0" w:color="auto"/>
              <w:right w:val="nil"/>
            </w:tcBorders>
            <w:tcMar>
              <w:top w:w="6" w:type="dxa"/>
              <w:left w:w="6" w:type="dxa"/>
              <w:bottom w:w="0" w:type="dxa"/>
              <w:right w:w="6" w:type="dxa"/>
            </w:tcMar>
            <w:vAlign w:val="bottom"/>
          </w:tcPr>
          <w:p w:rsidR="00F9593D" w:rsidRPr="00123353" w:rsidRDefault="00F9593D" w:rsidP="008D176A">
            <w:pPr>
              <w:spacing w:line="360" w:lineRule="auto"/>
              <w:jc w:val="center"/>
              <w:textAlignment w:val="bottom"/>
              <w:rPr>
                <w:rFonts w:ascii="Arial" w:hAnsi="Arial" w:cs="Arial"/>
                <w:sz w:val="20"/>
                <w:szCs w:val="36"/>
              </w:rPr>
            </w:pPr>
            <w:r w:rsidRPr="00123353">
              <w:rPr>
                <w:rFonts w:eastAsia="ヒラギノ角ゴ Pro W3"/>
                <w:b/>
                <w:bCs/>
                <w:color w:val="000000"/>
                <w:kern w:val="24"/>
                <w:sz w:val="20"/>
                <w:szCs w:val="18"/>
              </w:rPr>
              <w:t xml:space="preserve">-35.3% </w:t>
            </w:r>
          </w:p>
        </w:tc>
      </w:tr>
      <w:tr w:rsidR="002F09FD" w:rsidRPr="008C6839" w:rsidTr="002F09FD">
        <w:trPr>
          <w:trHeight w:val="245"/>
        </w:trPr>
        <w:tc>
          <w:tcPr>
            <w:tcW w:w="1530" w:type="dxa"/>
            <w:vMerge w:val="restart"/>
            <w:tcBorders>
              <w:top w:val="single" w:sz="4" w:space="0" w:color="auto"/>
              <w:left w:val="nil"/>
              <w:right w:val="nil"/>
            </w:tcBorders>
            <w:tcMar>
              <w:top w:w="6" w:type="dxa"/>
              <w:left w:w="6" w:type="dxa"/>
              <w:bottom w:w="0" w:type="dxa"/>
              <w:right w:w="6" w:type="dxa"/>
            </w:tcMar>
          </w:tcPr>
          <w:p w:rsidR="002F09FD" w:rsidRPr="00123353" w:rsidRDefault="002F09FD" w:rsidP="002F09FD">
            <w:pPr>
              <w:spacing w:line="360" w:lineRule="auto"/>
              <w:textAlignment w:val="bottom"/>
              <w:rPr>
                <w:rFonts w:eastAsia="ヒラギノ角ゴ Pro W3"/>
                <w:color w:val="000000"/>
                <w:kern w:val="24"/>
                <w:sz w:val="20"/>
                <w:szCs w:val="18"/>
              </w:rPr>
            </w:pPr>
          </w:p>
          <w:p w:rsidR="002F09FD" w:rsidRPr="00123353" w:rsidRDefault="002F09FD" w:rsidP="002F09FD">
            <w:pPr>
              <w:spacing w:line="360" w:lineRule="auto"/>
              <w:textAlignment w:val="bottom"/>
              <w:rPr>
                <w:sz w:val="20"/>
                <w:szCs w:val="18"/>
              </w:rPr>
            </w:pPr>
            <w:r w:rsidRPr="00123353">
              <w:rPr>
                <w:rFonts w:eastAsia="ヒラギノ角ゴ Pro W3"/>
                <w:color w:val="000000"/>
                <w:kern w:val="24"/>
                <w:sz w:val="20"/>
                <w:szCs w:val="18"/>
              </w:rPr>
              <w:t> </w:t>
            </w:r>
            <w:r w:rsidRPr="00123353">
              <w:rPr>
                <w:color w:val="000000"/>
                <w:kern w:val="24"/>
                <w:sz w:val="20"/>
                <w:szCs w:val="18"/>
              </w:rPr>
              <w:t xml:space="preserve"> </w:t>
            </w:r>
          </w:p>
          <w:p w:rsidR="002F09FD" w:rsidRPr="00123353" w:rsidRDefault="002F09FD" w:rsidP="002F09FD">
            <w:pPr>
              <w:spacing w:line="360" w:lineRule="auto"/>
              <w:textAlignment w:val="bottom"/>
              <w:rPr>
                <w:sz w:val="20"/>
                <w:szCs w:val="18"/>
              </w:rPr>
            </w:pPr>
            <w:r w:rsidRPr="00123353">
              <w:rPr>
                <w:rFonts w:eastAsia="ヒラギノ角ゴ Pro W3"/>
                <w:color w:val="000000"/>
                <w:kern w:val="24"/>
                <w:sz w:val="20"/>
                <w:szCs w:val="18"/>
              </w:rPr>
              <w:t> </w:t>
            </w:r>
            <w:r w:rsidRPr="00123353">
              <w:rPr>
                <w:color w:val="000000"/>
                <w:kern w:val="24"/>
                <w:sz w:val="20"/>
                <w:szCs w:val="18"/>
              </w:rPr>
              <w:t>Cell wall</w:t>
            </w:r>
            <w:r>
              <w:rPr>
                <w:color w:val="000000"/>
                <w:kern w:val="24"/>
                <w:sz w:val="20"/>
                <w:szCs w:val="18"/>
              </w:rPr>
              <w:t xml:space="preserve"> characterization</w:t>
            </w:r>
          </w:p>
          <w:p w:rsidR="002F09FD" w:rsidRPr="00123353" w:rsidRDefault="002F09FD" w:rsidP="002F09FD">
            <w:pPr>
              <w:spacing w:line="360" w:lineRule="auto"/>
              <w:textAlignment w:val="bottom"/>
              <w:rPr>
                <w:sz w:val="20"/>
                <w:szCs w:val="18"/>
              </w:rPr>
            </w:pPr>
            <w:r w:rsidRPr="00123353">
              <w:rPr>
                <w:rFonts w:eastAsia="ヒラギノ角ゴ Pro W3"/>
                <w:color w:val="000000"/>
                <w:kern w:val="24"/>
                <w:sz w:val="20"/>
                <w:szCs w:val="18"/>
              </w:rPr>
              <w:t> </w:t>
            </w:r>
            <w:r w:rsidRPr="00123353">
              <w:rPr>
                <w:color w:val="000000"/>
                <w:kern w:val="24"/>
                <w:sz w:val="20"/>
                <w:szCs w:val="18"/>
              </w:rPr>
              <w:t xml:space="preserve"> </w:t>
            </w:r>
          </w:p>
        </w:tc>
        <w:tc>
          <w:tcPr>
            <w:tcW w:w="889" w:type="dxa"/>
            <w:tcBorders>
              <w:top w:val="single" w:sz="4" w:space="0" w:color="auto"/>
              <w:left w:val="nil"/>
              <w:bottom w:val="nil"/>
              <w:right w:val="nil"/>
            </w:tcBorders>
            <w:tcMar>
              <w:top w:w="6" w:type="dxa"/>
              <w:left w:w="6" w:type="dxa"/>
              <w:bottom w:w="0" w:type="dxa"/>
              <w:right w:w="6" w:type="dxa"/>
            </w:tcMar>
            <w:vAlign w:val="bottom"/>
          </w:tcPr>
          <w:p w:rsidR="002F09FD" w:rsidRPr="00123353" w:rsidRDefault="002F09FD" w:rsidP="002F09FD">
            <w:pPr>
              <w:spacing w:line="360" w:lineRule="auto"/>
              <w:textAlignment w:val="bottom"/>
              <w:rPr>
                <w:sz w:val="20"/>
                <w:szCs w:val="18"/>
              </w:rPr>
            </w:pPr>
            <w:r w:rsidRPr="00123353">
              <w:rPr>
                <w:color w:val="000000"/>
                <w:kern w:val="24"/>
                <w:sz w:val="20"/>
                <w:szCs w:val="18"/>
              </w:rPr>
              <w:t>Senesced</w:t>
            </w:r>
          </w:p>
        </w:tc>
        <w:tc>
          <w:tcPr>
            <w:tcW w:w="1721" w:type="dxa"/>
            <w:tcBorders>
              <w:top w:val="single" w:sz="4" w:space="0" w:color="auto"/>
              <w:left w:val="nil"/>
              <w:right w:val="nil"/>
            </w:tcBorders>
            <w:tcMar>
              <w:top w:w="6" w:type="dxa"/>
              <w:left w:w="6" w:type="dxa"/>
              <w:bottom w:w="0" w:type="dxa"/>
              <w:right w:w="6" w:type="dxa"/>
            </w:tcMar>
            <w:vAlign w:val="bottom"/>
          </w:tcPr>
          <w:p w:rsidR="002F09FD" w:rsidRPr="00123353" w:rsidRDefault="002F09FD" w:rsidP="002F09FD">
            <w:pPr>
              <w:spacing w:line="360" w:lineRule="auto"/>
              <w:textAlignment w:val="bottom"/>
              <w:rPr>
                <w:sz w:val="20"/>
                <w:szCs w:val="18"/>
              </w:rPr>
            </w:pPr>
            <w:r>
              <w:rPr>
                <w:sz w:val="20"/>
                <w:szCs w:val="18"/>
              </w:rPr>
              <w:t>Structural ash</w:t>
            </w:r>
          </w:p>
        </w:tc>
        <w:tc>
          <w:tcPr>
            <w:tcW w:w="1010" w:type="dxa"/>
            <w:tcBorders>
              <w:top w:val="nil"/>
              <w:left w:val="nil"/>
              <w:bottom w:val="nil"/>
              <w:right w:val="nil"/>
            </w:tcBorders>
            <w:tcMar>
              <w:top w:w="6" w:type="dxa"/>
              <w:left w:w="6" w:type="dxa"/>
              <w:bottom w:w="0" w:type="dxa"/>
              <w:right w:w="6" w:type="dxa"/>
            </w:tcMar>
            <w:vAlign w:val="bottom"/>
          </w:tcPr>
          <w:p w:rsidR="002F09FD" w:rsidRPr="00123353" w:rsidRDefault="002F09FD" w:rsidP="002F09FD">
            <w:pPr>
              <w:spacing w:line="360" w:lineRule="auto"/>
              <w:jc w:val="center"/>
              <w:textAlignment w:val="bottom"/>
              <w:rPr>
                <w:sz w:val="20"/>
                <w:szCs w:val="18"/>
              </w:rPr>
            </w:pPr>
            <w:r>
              <w:rPr>
                <w:rFonts w:eastAsia="ヒラギノ角ゴ Pro W3"/>
                <w:color w:val="595959"/>
                <w:kern w:val="24"/>
                <w:sz w:val="20"/>
                <w:szCs w:val="18"/>
              </w:rPr>
              <w:t>NS</w:t>
            </w:r>
          </w:p>
        </w:tc>
        <w:tc>
          <w:tcPr>
            <w:tcW w:w="1003" w:type="dxa"/>
            <w:gridSpan w:val="2"/>
            <w:tcBorders>
              <w:top w:val="nil"/>
              <w:left w:val="nil"/>
              <w:bottom w:val="nil"/>
              <w:right w:val="nil"/>
            </w:tcBorders>
            <w:tcMar>
              <w:top w:w="6" w:type="dxa"/>
              <w:left w:w="6" w:type="dxa"/>
              <w:bottom w:w="0" w:type="dxa"/>
              <w:right w:w="6" w:type="dxa"/>
            </w:tcMar>
            <w:vAlign w:val="bottom"/>
          </w:tcPr>
          <w:p w:rsidR="002F09FD" w:rsidRPr="00123353" w:rsidRDefault="002F09FD" w:rsidP="002F09FD">
            <w:pPr>
              <w:spacing w:line="360" w:lineRule="auto"/>
              <w:jc w:val="center"/>
              <w:textAlignment w:val="bottom"/>
              <w:rPr>
                <w:sz w:val="20"/>
                <w:szCs w:val="18"/>
              </w:rPr>
            </w:pPr>
            <w:r w:rsidRPr="00123353">
              <w:rPr>
                <w:rFonts w:eastAsia="ヒラギノ角ゴ Pro W3"/>
                <w:b/>
                <w:bCs/>
                <w:color w:val="000000"/>
                <w:kern w:val="24"/>
                <w:sz w:val="20"/>
                <w:szCs w:val="18"/>
              </w:rPr>
              <w:t>+</w:t>
            </w:r>
            <w:r>
              <w:rPr>
                <w:rFonts w:eastAsia="ヒラギノ角ゴ Pro W3"/>
                <w:b/>
                <w:bCs/>
                <w:color w:val="000000"/>
                <w:kern w:val="24"/>
                <w:sz w:val="20"/>
                <w:szCs w:val="18"/>
              </w:rPr>
              <w:t>1</w:t>
            </w:r>
            <w:r w:rsidRPr="00123353">
              <w:rPr>
                <w:rFonts w:eastAsia="ヒラギノ角ゴ Pro W3"/>
                <w:b/>
                <w:bCs/>
                <w:color w:val="000000"/>
                <w:kern w:val="24"/>
                <w:sz w:val="20"/>
                <w:szCs w:val="18"/>
              </w:rPr>
              <w:t xml:space="preserve">6.4% </w:t>
            </w:r>
          </w:p>
        </w:tc>
        <w:tc>
          <w:tcPr>
            <w:tcW w:w="284" w:type="dxa"/>
            <w:tcBorders>
              <w:top w:val="nil"/>
              <w:left w:val="nil"/>
              <w:bottom w:val="nil"/>
              <w:right w:val="nil"/>
            </w:tcBorders>
            <w:tcMar>
              <w:top w:w="6" w:type="dxa"/>
              <w:left w:w="6" w:type="dxa"/>
              <w:bottom w:w="0" w:type="dxa"/>
              <w:right w:w="6" w:type="dxa"/>
            </w:tcMar>
            <w:vAlign w:val="bottom"/>
          </w:tcPr>
          <w:p w:rsidR="002F09FD" w:rsidRPr="00123353" w:rsidRDefault="002F09FD" w:rsidP="002F09FD">
            <w:pPr>
              <w:spacing w:line="360" w:lineRule="auto"/>
              <w:rPr>
                <w:sz w:val="20"/>
                <w:szCs w:val="18"/>
              </w:rPr>
            </w:pPr>
          </w:p>
        </w:tc>
        <w:tc>
          <w:tcPr>
            <w:tcW w:w="1091" w:type="dxa"/>
            <w:tcBorders>
              <w:top w:val="nil"/>
              <w:left w:val="nil"/>
              <w:bottom w:val="nil"/>
              <w:right w:val="nil"/>
            </w:tcBorders>
            <w:tcMar>
              <w:top w:w="6" w:type="dxa"/>
              <w:left w:w="6" w:type="dxa"/>
              <w:bottom w:w="0" w:type="dxa"/>
              <w:right w:w="6" w:type="dxa"/>
            </w:tcMar>
            <w:vAlign w:val="bottom"/>
          </w:tcPr>
          <w:p w:rsidR="002F09FD" w:rsidRPr="00123353" w:rsidRDefault="002F09FD" w:rsidP="002F09FD">
            <w:pPr>
              <w:spacing w:line="360" w:lineRule="auto"/>
              <w:jc w:val="center"/>
              <w:textAlignment w:val="bottom"/>
              <w:rPr>
                <w:sz w:val="20"/>
                <w:szCs w:val="18"/>
              </w:rPr>
            </w:pPr>
            <w:r>
              <w:rPr>
                <w:rFonts w:eastAsia="ヒラギノ角ゴ Pro W3"/>
                <w:color w:val="595959"/>
                <w:kern w:val="24"/>
                <w:sz w:val="20"/>
                <w:szCs w:val="18"/>
              </w:rPr>
              <w:t>NS</w:t>
            </w:r>
            <w:r w:rsidRPr="00123353">
              <w:rPr>
                <w:rFonts w:eastAsia="ヒラギノ角ゴ Pro W3"/>
                <w:color w:val="595959"/>
                <w:kern w:val="24"/>
                <w:sz w:val="20"/>
                <w:szCs w:val="18"/>
              </w:rPr>
              <w:t xml:space="preserve"> </w:t>
            </w:r>
          </w:p>
        </w:tc>
        <w:tc>
          <w:tcPr>
            <w:tcW w:w="1112" w:type="dxa"/>
            <w:tcBorders>
              <w:top w:val="nil"/>
              <w:left w:val="nil"/>
              <w:bottom w:val="nil"/>
              <w:right w:val="nil"/>
            </w:tcBorders>
            <w:tcMar>
              <w:top w:w="6" w:type="dxa"/>
              <w:left w:w="6" w:type="dxa"/>
              <w:bottom w:w="0" w:type="dxa"/>
              <w:right w:w="6" w:type="dxa"/>
            </w:tcMar>
            <w:vAlign w:val="bottom"/>
          </w:tcPr>
          <w:p w:rsidR="002F09FD" w:rsidRPr="00123353" w:rsidRDefault="002F09FD" w:rsidP="002F09FD">
            <w:pPr>
              <w:spacing w:line="360" w:lineRule="auto"/>
              <w:jc w:val="center"/>
              <w:textAlignment w:val="bottom"/>
              <w:rPr>
                <w:sz w:val="20"/>
                <w:szCs w:val="18"/>
              </w:rPr>
            </w:pPr>
            <w:r>
              <w:rPr>
                <w:rFonts w:eastAsia="ヒラギノ角ゴ Pro W3"/>
                <w:color w:val="595959"/>
                <w:kern w:val="24"/>
                <w:sz w:val="20"/>
                <w:szCs w:val="18"/>
              </w:rPr>
              <w:t>NS</w:t>
            </w:r>
            <w:r w:rsidRPr="00123353">
              <w:rPr>
                <w:rFonts w:eastAsia="ヒラギノ角ゴ Pro W3"/>
                <w:color w:val="595959"/>
                <w:kern w:val="24"/>
                <w:sz w:val="20"/>
                <w:szCs w:val="18"/>
              </w:rPr>
              <w:t xml:space="preserve"> </w:t>
            </w:r>
          </w:p>
        </w:tc>
      </w:tr>
      <w:tr w:rsidR="002F09FD" w:rsidRPr="008C6839" w:rsidTr="002F09FD">
        <w:trPr>
          <w:trHeight w:val="245"/>
        </w:trPr>
        <w:tc>
          <w:tcPr>
            <w:tcW w:w="1530" w:type="dxa"/>
            <w:vMerge/>
            <w:tcBorders>
              <w:left w:val="nil"/>
              <w:right w:val="nil"/>
            </w:tcBorders>
            <w:vAlign w:val="center"/>
          </w:tcPr>
          <w:p w:rsidR="002F09FD" w:rsidRPr="00123353" w:rsidRDefault="002F09FD" w:rsidP="002F09FD">
            <w:pPr>
              <w:spacing w:line="360" w:lineRule="auto"/>
              <w:textAlignment w:val="bottom"/>
              <w:rPr>
                <w:sz w:val="20"/>
                <w:szCs w:val="18"/>
              </w:rPr>
            </w:pPr>
          </w:p>
        </w:tc>
        <w:tc>
          <w:tcPr>
            <w:tcW w:w="889" w:type="dxa"/>
            <w:tcBorders>
              <w:top w:val="nil"/>
              <w:left w:val="nil"/>
              <w:bottom w:val="nil"/>
              <w:right w:val="nil"/>
            </w:tcBorders>
            <w:tcMar>
              <w:top w:w="6" w:type="dxa"/>
              <w:left w:w="6" w:type="dxa"/>
              <w:bottom w:w="0" w:type="dxa"/>
              <w:right w:w="6" w:type="dxa"/>
            </w:tcMar>
            <w:vAlign w:val="bottom"/>
          </w:tcPr>
          <w:p w:rsidR="002F09FD" w:rsidRPr="00123353" w:rsidRDefault="002F09FD" w:rsidP="002F09FD">
            <w:pPr>
              <w:spacing w:line="360" w:lineRule="auto"/>
              <w:textAlignment w:val="bottom"/>
              <w:rPr>
                <w:sz w:val="20"/>
                <w:szCs w:val="18"/>
              </w:rPr>
            </w:pPr>
            <w:r w:rsidRPr="00123353">
              <w:rPr>
                <w:rFonts w:eastAsia="ヒラギノ角ゴ Pro W3"/>
                <w:color w:val="000000"/>
                <w:kern w:val="24"/>
                <w:sz w:val="20"/>
                <w:szCs w:val="18"/>
              </w:rPr>
              <w:t> </w:t>
            </w:r>
            <w:r w:rsidRPr="00123353">
              <w:rPr>
                <w:color w:val="000000"/>
                <w:kern w:val="24"/>
                <w:sz w:val="20"/>
                <w:szCs w:val="18"/>
              </w:rPr>
              <w:t xml:space="preserve"> </w:t>
            </w:r>
          </w:p>
        </w:tc>
        <w:tc>
          <w:tcPr>
            <w:tcW w:w="1721" w:type="dxa"/>
            <w:tcBorders>
              <w:top w:val="nil"/>
              <w:left w:val="nil"/>
              <w:bottom w:val="nil"/>
              <w:right w:val="nil"/>
            </w:tcBorders>
            <w:tcMar>
              <w:top w:w="6" w:type="dxa"/>
              <w:left w:w="6" w:type="dxa"/>
              <w:bottom w:w="0" w:type="dxa"/>
              <w:right w:w="6" w:type="dxa"/>
            </w:tcMar>
            <w:vAlign w:val="bottom"/>
          </w:tcPr>
          <w:p w:rsidR="002F09FD" w:rsidRPr="00123353" w:rsidRDefault="002F09FD" w:rsidP="002F09FD">
            <w:pPr>
              <w:spacing w:line="360" w:lineRule="auto"/>
              <w:textAlignment w:val="bottom"/>
              <w:rPr>
                <w:sz w:val="20"/>
                <w:szCs w:val="18"/>
              </w:rPr>
            </w:pPr>
            <w:r>
              <w:rPr>
                <w:sz w:val="20"/>
                <w:szCs w:val="18"/>
              </w:rPr>
              <w:t>Acetyl</w:t>
            </w:r>
          </w:p>
        </w:tc>
        <w:tc>
          <w:tcPr>
            <w:tcW w:w="1010" w:type="dxa"/>
            <w:tcBorders>
              <w:top w:val="nil"/>
              <w:left w:val="nil"/>
              <w:bottom w:val="nil"/>
              <w:right w:val="nil"/>
            </w:tcBorders>
            <w:tcMar>
              <w:top w:w="6" w:type="dxa"/>
              <w:left w:w="6" w:type="dxa"/>
              <w:bottom w:w="0" w:type="dxa"/>
              <w:right w:w="6" w:type="dxa"/>
            </w:tcMar>
            <w:vAlign w:val="bottom"/>
          </w:tcPr>
          <w:p w:rsidR="002F09FD" w:rsidRPr="00123353" w:rsidRDefault="002F09FD" w:rsidP="002F09FD">
            <w:pPr>
              <w:spacing w:line="360" w:lineRule="auto"/>
              <w:jc w:val="center"/>
              <w:textAlignment w:val="bottom"/>
              <w:rPr>
                <w:sz w:val="20"/>
                <w:szCs w:val="18"/>
              </w:rPr>
            </w:pPr>
            <w:r>
              <w:rPr>
                <w:rFonts w:eastAsia="ヒラギノ角ゴ Pro W3"/>
                <w:color w:val="595959"/>
                <w:kern w:val="24"/>
                <w:sz w:val="20"/>
                <w:szCs w:val="18"/>
              </w:rPr>
              <w:t>NS</w:t>
            </w:r>
          </w:p>
        </w:tc>
        <w:tc>
          <w:tcPr>
            <w:tcW w:w="1003" w:type="dxa"/>
            <w:gridSpan w:val="2"/>
            <w:tcBorders>
              <w:top w:val="nil"/>
              <w:left w:val="nil"/>
              <w:bottom w:val="nil"/>
              <w:right w:val="nil"/>
            </w:tcBorders>
            <w:tcMar>
              <w:top w:w="6" w:type="dxa"/>
              <w:left w:w="6" w:type="dxa"/>
              <w:bottom w:w="0" w:type="dxa"/>
              <w:right w:w="6" w:type="dxa"/>
            </w:tcMar>
            <w:vAlign w:val="bottom"/>
          </w:tcPr>
          <w:p w:rsidR="002F09FD" w:rsidRPr="00123353" w:rsidRDefault="002F09FD" w:rsidP="002F09FD">
            <w:pPr>
              <w:spacing w:line="360" w:lineRule="auto"/>
              <w:jc w:val="center"/>
              <w:textAlignment w:val="bottom"/>
              <w:rPr>
                <w:sz w:val="20"/>
                <w:szCs w:val="18"/>
              </w:rPr>
            </w:pPr>
            <w:r>
              <w:rPr>
                <w:rFonts w:eastAsia="ヒラギノ角ゴ Pro W3"/>
                <w:color w:val="595959"/>
                <w:kern w:val="24"/>
                <w:sz w:val="20"/>
                <w:szCs w:val="18"/>
              </w:rPr>
              <w:t>NS</w:t>
            </w:r>
          </w:p>
        </w:tc>
        <w:tc>
          <w:tcPr>
            <w:tcW w:w="284" w:type="dxa"/>
            <w:tcBorders>
              <w:top w:val="nil"/>
              <w:left w:val="nil"/>
              <w:bottom w:val="nil"/>
              <w:right w:val="nil"/>
            </w:tcBorders>
            <w:tcMar>
              <w:top w:w="6" w:type="dxa"/>
              <w:left w:w="6" w:type="dxa"/>
              <w:bottom w:w="0" w:type="dxa"/>
              <w:right w:w="6" w:type="dxa"/>
            </w:tcMar>
            <w:vAlign w:val="bottom"/>
          </w:tcPr>
          <w:p w:rsidR="002F09FD" w:rsidRPr="00123353" w:rsidRDefault="002F09FD" w:rsidP="002F09FD">
            <w:pPr>
              <w:spacing w:line="360" w:lineRule="auto"/>
              <w:rPr>
                <w:sz w:val="20"/>
                <w:szCs w:val="18"/>
              </w:rPr>
            </w:pPr>
          </w:p>
        </w:tc>
        <w:tc>
          <w:tcPr>
            <w:tcW w:w="1091" w:type="dxa"/>
            <w:tcBorders>
              <w:top w:val="nil"/>
              <w:left w:val="nil"/>
              <w:bottom w:val="nil"/>
              <w:right w:val="nil"/>
            </w:tcBorders>
            <w:tcMar>
              <w:top w:w="6" w:type="dxa"/>
              <w:left w:w="6" w:type="dxa"/>
              <w:bottom w:w="0" w:type="dxa"/>
              <w:right w:w="6" w:type="dxa"/>
            </w:tcMar>
            <w:vAlign w:val="bottom"/>
          </w:tcPr>
          <w:p w:rsidR="002F09FD" w:rsidRPr="00123353" w:rsidRDefault="002F09FD" w:rsidP="002F09FD">
            <w:pPr>
              <w:spacing w:line="360" w:lineRule="auto"/>
              <w:jc w:val="center"/>
              <w:textAlignment w:val="bottom"/>
              <w:rPr>
                <w:sz w:val="20"/>
                <w:szCs w:val="18"/>
              </w:rPr>
            </w:pPr>
            <w:r>
              <w:rPr>
                <w:rFonts w:eastAsia="ヒラギノ角ゴ Pro W3"/>
                <w:color w:val="595959"/>
                <w:kern w:val="24"/>
                <w:sz w:val="20"/>
                <w:szCs w:val="18"/>
              </w:rPr>
              <w:t>NS</w:t>
            </w:r>
            <w:r w:rsidRPr="00123353">
              <w:rPr>
                <w:rFonts w:eastAsia="ヒラギノ角ゴ Pro W3"/>
                <w:color w:val="595959"/>
                <w:kern w:val="24"/>
                <w:sz w:val="20"/>
                <w:szCs w:val="18"/>
              </w:rPr>
              <w:t xml:space="preserve"> </w:t>
            </w:r>
          </w:p>
        </w:tc>
        <w:tc>
          <w:tcPr>
            <w:tcW w:w="1112" w:type="dxa"/>
            <w:tcBorders>
              <w:top w:val="nil"/>
              <w:left w:val="nil"/>
              <w:bottom w:val="nil"/>
              <w:right w:val="nil"/>
            </w:tcBorders>
            <w:tcMar>
              <w:top w:w="6" w:type="dxa"/>
              <w:left w:w="6" w:type="dxa"/>
              <w:bottom w:w="0" w:type="dxa"/>
              <w:right w:w="6" w:type="dxa"/>
            </w:tcMar>
            <w:vAlign w:val="bottom"/>
          </w:tcPr>
          <w:p w:rsidR="002F09FD" w:rsidRPr="002F09FD" w:rsidRDefault="002F09FD" w:rsidP="002F09FD">
            <w:pPr>
              <w:spacing w:line="360" w:lineRule="auto"/>
              <w:jc w:val="center"/>
              <w:textAlignment w:val="bottom"/>
              <w:rPr>
                <w:b/>
                <w:color w:val="000000" w:themeColor="text1"/>
                <w:sz w:val="20"/>
                <w:szCs w:val="18"/>
              </w:rPr>
            </w:pPr>
            <w:r w:rsidRPr="002F09FD">
              <w:rPr>
                <w:rFonts w:eastAsia="ヒラギノ角ゴ Pro W3"/>
                <w:b/>
                <w:color w:val="000000" w:themeColor="text1"/>
                <w:kern w:val="24"/>
                <w:sz w:val="20"/>
                <w:szCs w:val="18"/>
              </w:rPr>
              <w:t xml:space="preserve">+11.6 </w:t>
            </w:r>
          </w:p>
        </w:tc>
      </w:tr>
      <w:tr w:rsidR="002F09FD" w:rsidRPr="008C6839" w:rsidTr="002F09FD">
        <w:trPr>
          <w:trHeight w:val="245"/>
        </w:trPr>
        <w:tc>
          <w:tcPr>
            <w:tcW w:w="1530" w:type="dxa"/>
            <w:vMerge/>
            <w:tcBorders>
              <w:left w:val="nil"/>
              <w:right w:val="nil"/>
            </w:tcBorders>
            <w:vAlign w:val="center"/>
          </w:tcPr>
          <w:p w:rsidR="002F09FD" w:rsidRPr="00123353" w:rsidRDefault="002F09FD" w:rsidP="002F09FD">
            <w:pPr>
              <w:spacing w:line="360" w:lineRule="auto"/>
              <w:textAlignment w:val="bottom"/>
              <w:rPr>
                <w:sz w:val="20"/>
                <w:szCs w:val="18"/>
              </w:rPr>
            </w:pPr>
          </w:p>
        </w:tc>
        <w:tc>
          <w:tcPr>
            <w:tcW w:w="889" w:type="dxa"/>
            <w:tcBorders>
              <w:top w:val="nil"/>
              <w:left w:val="nil"/>
              <w:bottom w:val="nil"/>
              <w:right w:val="nil"/>
            </w:tcBorders>
            <w:tcMar>
              <w:top w:w="6" w:type="dxa"/>
              <w:left w:w="6" w:type="dxa"/>
              <w:bottom w:w="0" w:type="dxa"/>
              <w:right w:w="6" w:type="dxa"/>
            </w:tcMar>
            <w:vAlign w:val="bottom"/>
          </w:tcPr>
          <w:p w:rsidR="002F09FD" w:rsidRPr="00123353" w:rsidRDefault="002F09FD" w:rsidP="002F09FD">
            <w:pPr>
              <w:spacing w:line="360" w:lineRule="auto"/>
              <w:textAlignment w:val="bottom"/>
              <w:rPr>
                <w:sz w:val="20"/>
                <w:szCs w:val="18"/>
              </w:rPr>
            </w:pPr>
            <w:r w:rsidRPr="00123353">
              <w:rPr>
                <w:rFonts w:eastAsia="ヒラギノ角ゴ Pro W3"/>
                <w:color w:val="000000"/>
                <w:kern w:val="24"/>
                <w:sz w:val="20"/>
                <w:szCs w:val="18"/>
              </w:rPr>
              <w:t> </w:t>
            </w:r>
            <w:r w:rsidRPr="00123353">
              <w:rPr>
                <w:color w:val="000000"/>
                <w:kern w:val="24"/>
                <w:sz w:val="20"/>
                <w:szCs w:val="18"/>
              </w:rPr>
              <w:t xml:space="preserve"> </w:t>
            </w:r>
          </w:p>
        </w:tc>
        <w:tc>
          <w:tcPr>
            <w:tcW w:w="1721" w:type="dxa"/>
            <w:tcBorders>
              <w:left w:val="nil"/>
              <w:bottom w:val="nil"/>
              <w:right w:val="nil"/>
            </w:tcBorders>
            <w:tcMar>
              <w:top w:w="6" w:type="dxa"/>
              <w:left w:w="6" w:type="dxa"/>
              <w:bottom w:w="0" w:type="dxa"/>
              <w:right w:w="6" w:type="dxa"/>
            </w:tcMar>
            <w:vAlign w:val="bottom"/>
          </w:tcPr>
          <w:p w:rsidR="002F09FD" w:rsidRPr="00123353" w:rsidRDefault="002F09FD" w:rsidP="002F09FD">
            <w:pPr>
              <w:spacing w:line="360" w:lineRule="auto"/>
              <w:textAlignment w:val="bottom"/>
              <w:rPr>
                <w:sz w:val="20"/>
                <w:szCs w:val="18"/>
              </w:rPr>
            </w:pPr>
            <w:r w:rsidRPr="00123353">
              <w:rPr>
                <w:rFonts w:eastAsia="ヒラギノ角ゴ Pro W3"/>
                <w:color w:val="000000"/>
                <w:kern w:val="24"/>
                <w:sz w:val="20"/>
                <w:szCs w:val="18"/>
              </w:rPr>
              <w:t xml:space="preserve">Lignin </w:t>
            </w:r>
          </w:p>
        </w:tc>
        <w:tc>
          <w:tcPr>
            <w:tcW w:w="1010" w:type="dxa"/>
            <w:tcBorders>
              <w:left w:val="nil"/>
              <w:bottom w:val="nil"/>
              <w:right w:val="nil"/>
            </w:tcBorders>
            <w:tcMar>
              <w:top w:w="6" w:type="dxa"/>
              <w:left w:w="6" w:type="dxa"/>
              <w:bottom w:w="0" w:type="dxa"/>
              <w:right w:w="6" w:type="dxa"/>
            </w:tcMar>
            <w:vAlign w:val="bottom"/>
          </w:tcPr>
          <w:p w:rsidR="002F09FD" w:rsidRPr="00123353" w:rsidRDefault="002F09FD" w:rsidP="002F09FD">
            <w:pPr>
              <w:spacing w:line="360" w:lineRule="auto"/>
              <w:jc w:val="center"/>
              <w:textAlignment w:val="bottom"/>
              <w:rPr>
                <w:sz w:val="20"/>
                <w:szCs w:val="18"/>
              </w:rPr>
            </w:pPr>
            <w:r w:rsidRPr="00123353">
              <w:rPr>
                <w:rFonts w:eastAsia="ヒラギノ角ゴ Pro W3"/>
                <w:b/>
                <w:bCs/>
                <w:color w:val="000000"/>
                <w:kern w:val="24"/>
                <w:sz w:val="20"/>
                <w:szCs w:val="18"/>
              </w:rPr>
              <w:t xml:space="preserve">-5.9% </w:t>
            </w:r>
          </w:p>
        </w:tc>
        <w:tc>
          <w:tcPr>
            <w:tcW w:w="1003" w:type="dxa"/>
            <w:gridSpan w:val="2"/>
            <w:tcBorders>
              <w:left w:val="nil"/>
              <w:bottom w:val="nil"/>
              <w:right w:val="nil"/>
            </w:tcBorders>
            <w:tcMar>
              <w:top w:w="6" w:type="dxa"/>
              <w:left w:w="6" w:type="dxa"/>
              <w:bottom w:w="0" w:type="dxa"/>
              <w:right w:w="6" w:type="dxa"/>
            </w:tcMar>
            <w:vAlign w:val="bottom"/>
          </w:tcPr>
          <w:p w:rsidR="002F09FD" w:rsidRPr="00123353" w:rsidRDefault="002F09FD" w:rsidP="002F09FD">
            <w:pPr>
              <w:spacing w:line="360" w:lineRule="auto"/>
              <w:jc w:val="center"/>
              <w:textAlignment w:val="bottom"/>
              <w:rPr>
                <w:sz w:val="20"/>
                <w:szCs w:val="18"/>
              </w:rPr>
            </w:pPr>
            <w:r w:rsidRPr="00123353">
              <w:rPr>
                <w:rFonts w:eastAsia="ヒラギノ角ゴ Pro W3"/>
                <w:b/>
                <w:bCs/>
                <w:color w:val="000000"/>
                <w:kern w:val="24"/>
                <w:sz w:val="20"/>
                <w:szCs w:val="18"/>
              </w:rPr>
              <w:t xml:space="preserve">-4.9% </w:t>
            </w:r>
          </w:p>
        </w:tc>
        <w:tc>
          <w:tcPr>
            <w:tcW w:w="284" w:type="dxa"/>
            <w:tcBorders>
              <w:left w:val="nil"/>
              <w:bottom w:val="nil"/>
              <w:right w:val="nil"/>
            </w:tcBorders>
            <w:tcMar>
              <w:top w:w="6" w:type="dxa"/>
              <w:left w:w="6" w:type="dxa"/>
              <w:bottom w:w="0" w:type="dxa"/>
              <w:right w:w="6" w:type="dxa"/>
            </w:tcMar>
            <w:vAlign w:val="bottom"/>
          </w:tcPr>
          <w:p w:rsidR="002F09FD" w:rsidRPr="00123353" w:rsidRDefault="002F09FD" w:rsidP="002F09FD">
            <w:pPr>
              <w:spacing w:line="360" w:lineRule="auto"/>
              <w:rPr>
                <w:sz w:val="20"/>
                <w:szCs w:val="18"/>
              </w:rPr>
            </w:pPr>
          </w:p>
        </w:tc>
        <w:tc>
          <w:tcPr>
            <w:tcW w:w="1091" w:type="dxa"/>
            <w:tcBorders>
              <w:left w:val="nil"/>
              <w:bottom w:val="nil"/>
              <w:right w:val="nil"/>
            </w:tcBorders>
            <w:tcMar>
              <w:top w:w="6" w:type="dxa"/>
              <w:left w:w="6" w:type="dxa"/>
              <w:bottom w:w="0" w:type="dxa"/>
              <w:right w:w="6" w:type="dxa"/>
            </w:tcMar>
            <w:vAlign w:val="bottom"/>
          </w:tcPr>
          <w:p w:rsidR="002F09FD" w:rsidRPr="00123353" w:rsidRDefault="002F09FD" w:rsidP="002F09FD">
            <w:pPr>
              <w:spacing w:line="360" w:lineRule="auto"/>
              <w:jc w:val="center"/>
              <w:textAlignment w:val="bottom"/>
              <w:rPr>
                <w:sz w:val="20"/>
                <w:szCs w:val="18"/>
              </w:rPr>
            </w:pPr>
            <w:r w:rsidRPr="00123353">
              <w:rPr>
                <w:rFonts w:eastAsia="ヒラギノ角ゴ Pro W3"/>
                <w:b/>
                <w:bCs/>
                <w:color w:val="000000"/>
                <w:kern w:val="24"/>
                <w:sz w:val="20"/>
                <w:szCs w:val="18"/>
              </w:rPr>
              <w:t xml:space="preserve">-7.2% </w:t>
            </w:r>
          </w:p>
        </w:tc>
        <w:tc>
          <w:tcPr>
            <w:tcW w:w="1112" w:type="dxa"/>
            <w:tcBorders>
              <w:left w:val="nil"/>
              <w:bottom w:val="nil"/>
              <w:right w:val="nil"/>
            </w:tcBorders>
            <w:tcMar>
              <w:top w:w="6" w:type="dxa"/>
              <w:left w:w="6" w:type="dxa"/>
              <w:bottom w:w="0" w:type="dxa"/>
              <w:right w:w="6" w:type="dxa"/>
            </w:tcMar>
            <w:vAlign w:val="bottom"/>
          </w:tcPr>
          <w:p w:rsidR="002F09FD" w:rsidRPr="00123353" w:rsidRDefault="002F09FD" w:rsidP="002F09FD">
            <w:pPr>
              <w:spacing w:line="360" w:lineRule="auto"/>
              <w:jc w:val="center"/>
              <w:textAlignment w:val="bottom"/>
              <w:rPr>
                <w:sz w:val="20"/>
                <w:szCs w:val="18"/>
              </w:rPr>
            </w:pPr>
            <w:r w:rsidRPr="00123353">
              <w:rPr>
                <w:rFonts w:eastAsia="ヒラギノ角ゴ Pro W3"/>
                <w:b/>
                <w:bCs/>
                <w:color w:val="000000"/>
                <w:kern w:val="24"/>
                <w:sz w:val="20"/>
                <w:szCs w:val="18"/>
              </w:rPr>
              <w:t xml:space="preserve">-8.5% </w:t>
            </w:r>
          </w:p>
        </w:tc>
      </w:tr>
      <w:tr w:rsidR="002F09FD" w:rsidRPr="008C6839" w:rsidTr="002F09FD">
        <w:trPr>
          <w:trHeight w:val="245"/>
        </w:trPr>
        <w:tc>
          <w:tcPr>
            <w:tcW w:w="1530" w:type="dxa"/>
            <w:vMerge/>
            <w:tcBorders>
              <w:left w:val="nil"/>
              <w:right w:val="nil"/>
            </w:tcBorders>
            <w:vAlign w:val="center"/>
          </w:tcPr>
          <w:p w:rsidR="002F09FD" w:rsidRPr="00123353" w:rsidRDefault="002F09FD" w:rsidP="002F09FD">
            <w:pPr>
              <w:spacing w:line="360" w:lineRule="auto"/>
              <w:textAlignment w:val="bottom"/>
              <w:rPr>
                <w:sz w:val="20"/>
                <w:szCs w:val="18"/>
              </w:rPr>
            </w:pPr>
          </w:p>
        </w:tc>
        <w:tc>
          <w:tcPr>
            <w:tcW w:w="889" w:type="dxa"/>
            <w:tcBorders>
              <w:top w:val="nil"/>
              <w:left w:val="nil"/>
              <w:bottom w:val="nil"/>
              <w:right w:val="nil"/>
            </w:tcBorders>
            <w:tcMar>
              <w:top w:w="6" w:type="dxa"/>
              <w:left w:w="6" w:type="dxa"/>
              <w:bottom w:w="0" w:type="dxa"/>
              <w:right w:w="6" w:type="dxa"/>
            </w:tcMar>
            <w:vAlign w:val="bottom"/>
          </w:tcPr>
          <w:p w:rsidR="002F09FD" w:rsidRPr="00123353" w:rsidRDefault="002F09FD" w:rsidP="002F09FD">
            <w:pPr>
              <w:spacing w:line="360" w:lineRule="auto"/>
              <w:textAlignment w:val="bottom"/>
              <w:rPr>
                <w:sz w:val="20"/>
                <w:szCs w:val="18"/>
              </w:rPr>
            </w:pPr>
            <w:r w:rsidRPr="00123353">
              <w:rPr>
                <w:rFonts w:eastAsia="ヒラギノ角ゴ Pro W3"/>
                <w:color w:val="000000"/>
                <w:kern w:val="24"/>
                <w:sz w:val="20"/>
                <w:szCs w:val="18"/>
              </w:rPr>
              <w:t> </w:t>
            </w:r>
            <w:r w:rsidRPr="00123353">
              <w:rPr>
                <w:color w:val="000000"/>
                <w:kern w:val="24"/>
                <w:sz w:val="20"/>
                <w:szCs w:val="18"/>
              </w:rPr>
              <w:t xml:space="preserve"> </w:t>
            </w:r>
          </w:p>
        </w:tc>
        <w:tc>
          <w:tcPr>
            <w:tcW w:w="1721" w:type="dxa"/>
            <w:tcBorders>
              <w:top w:val="nil"/>
              <w:left w:val="nil"/>
              <w:bottom w:val="nil"/>
              <w:right w:val="nil"/>
            </w:tcBorders>
            <w:tcMar>
              <w:top w:w="6" w:type="dxa"/>
              <w:left w:w="6" w:type="dxa"/>
              <w:bottom w:w="0" w:type="dxa"/>
              <w:right w:w="6" w:type="dxa"/>
            </w:tcMar>
            <w:vAlign w:val="bottom"/>
          </w:tcPr>
          <w:p w:rsidR="002F09FD" w:rsidRPr="00123353" w:rsidRDefault="002F09FD" w:rsidP="002F09FD">
            <w:pPr>
              <w:spacing w:line="360" w:lineRule="auto"/>
              <w:textAlignment w:val="bottom"/>
              <w:rPr>
                <w:sz w:val="20"/>
                <w:szCs w:val="18"/>
              </w:rPr>
            </w:pPr>
            <w:r w:rsidRPr="00123353">
              <w:rPr>
                <w:rFonts w:eastAsia="ヒラギノ角ゴ Pro W3"/>
                <w:color w:val="000000"/>
                <w:kern w:val="24"/>
                <w:sz w:val="20"/>
                <w:szCs w:val="18"/>
              </w:rPr>
              <w:t>Cellulose</w:t>
            </w:r>
            <w:r w:rsidRPr="00123353">
              <w:rPr>
                <w:color w:val="000000"/>
                <w:kern w:val="24"/>
                <w:sz w:val="20"/>
                <w:szCs w:val="18"/>
              </w:rPr>
              <w:t xml:space="preserve"> </w:t>
            </w:r>
          </w:p>
        </w:tc>
        <w:tc>
          <w:tcPr>
            <w:tcW w:w="1010" w:type="dxa"/>
            <w:tcBorders>
              <w:top w:val="nil"/>
              <w:left w:val="nil"/>
              <w:bottom w:val="nil"/>
              <w:right w:val="nil"/>
            </w:tcBorders>
            <w:tcMar>
              <w:top w:w="6" w:type="dxa"/>
              <w:left w:w="6" w:type="dxa"/>
              <w:bottom w:w="0" w:type="dxa"/>
              <w:right w:w="6" w:type="dxa"/>
            </w:tcMar>
            <w:vAlign w:val="bottom"/>
          </w:tcPr>
          <w:p w:rsidR="002F09FD" w:rsidRPr="00123353" w:rsidRDefault="002F09FD" w:rsidP="002F09FD">
            <w:pPr>
              <w:spacing w:line="360" w:lineRule="auto"/>
              <w:jc w:val="center"/>
              <w:textAlignment w:val="bottom"/>
              <w:rPr>
                <w:sz w:val="20"/>
                <w:szCs w:val="18"/>
              </w:rPr>
            </w:pPr>
            <w:r>
              <w:rPr>
                <w:rFonts w:eastAsia="ヒラギノ角ゴ Pro W3"/>
                <w:color w:val="595959"/>
                <w:kern w:val="24"/>
                <w:sz w:val="20"/>
                <w:szCs w:val="18"/>
              </w:rPr>
              <w:t>NS</w:t>
            </w:r>
          </w:p>
        </w:tc>
        <w:tc>
          <w:tcPr>
            <w:tcW w:w="1003" w:type="dxa"/>
            <w:gridSpan w:val="2"/>
            <w:tcBorders>
              <w:top w:val="nil"/>
              <w:left w:val="nil"/>
              <w:bottom w:val="nil"/>
              <w:right w:val="nil"/>
            </w:tcBorders>
            <w:tcMar>
              <w:top w:w="6" w:type="dxa"/>
              <w:left w:w="6" w:type="dxa"/>
              <w:bottom w:w="0" w:type="dxa"/>
              <w:right w:w="6" w:type="dxa"/>
            </w:tcMar>
            <w:vAlign w:val="bottom"/>
          </w:tcPr>
          <w:p w:rsidR="002F09FD" w:rsidRPr="00123353" w:rsidRDefault="002F09FD" w:rsidP="002F09FD">
            <w:pPr>
              <w:spacing w:line="360" w:lineRule="auto"/>
              <w:jc w:val="center"/>
              <w:textAlignment w:val="bottom"/>
              <w:rPr>
                <w:sz w:val="20"/>
                <w:szCs w:val="18"/>
              </w:rPr>
            </w:pPr>
            <w:r>
              <w:rPr>
                <w:rFonts w:eastAsia="ヒラギノ角ゴ Pro W3"/>
                <w:color w:val="595959"/>
                <w:kern w:val="24"/>
                <w:sz w:val="20"/>
                <w:szCs w:val="18"/>
              </w:rPr>
              <w:t>NS</w:t>
            </w:r>
          </w:p>
        </w:tc>
        <w:tc>
          <w:tcPr>
            <w:tcW w:w="284" w:type="dxa"/>
            <w:tcBorders>
              <w:top w:val="nil"/>
              <w:left w:val="nil"/>
              <w:bottom w:val="nil"/>
              <w:right w:val="nil"/>
            </w:tcBorders>
            <w:tcMar>
              <w:top w:w="6" w:type="dxa"/>
              <w:left w:w="6" w:type="dxa"/>
              <w:bottom w:w="0" w:type="dxa"/>
              <w:right w:w="6" w:type="dxa"/>
            </w:tcMar>
            <w:vAlign w:val="bottom"/>
          </w:tcPr>
          <w:p w:rsidR="002F09FD" w:rsidRPr="00123353" w:rsidRDefault="002F09FD" w:rsidP="002F09FD">
            <w:pPr>
              <w:spacing w:line="360" w:lineRule="auto"/>
              <w:rPr>
                <w:sz w:val="20"/>
                <w:szCs w:val="18"/>
              </w:rPr>
            </w:pPr>
          </w:p>
        </w:tc>
        <w:tc>
          <w:tcPr>
            <w:tcW w:w="1091" w:type="dxa"/>
            <w:tcBorders>
              <w:top w:val="nil"/>
              <w:left w:val="nil"/>
              <w:bottom w:val="nil"/>
              <w:right w:val="nil"/>
            </w:tcBorders>
            <w:tcMar>
              <w:top w:w="6" w:type="dxa"/>
              <w:left w:w="6" w:type="dxa"/>
              <w:bottom w:w="0" w:type="dxa"/>
              <w:right w:w="6" w:type="dxa"/>
            </w:tcMar>
            <w:vAlign w:val="bottom"/>
          </w:tcPr>
          <w:p w:rsidR="002F09FD" w:rsidRPr="00123353" w:rsidRDefault="002F09FD" w:rsidP="002F09FD">
            <w:pPr>
              <w:spacing w:line="360" w:lineRule="auto"/>
              <w:jc w:val="center"/>
              <w:textAlignment w:val="bottom"/>
              <w:rPr>
                <w:sz w:val="20"/>
                <w:szCs w:val="18"/>
              </w:rPr>
            </w:pPr>
            <w:r>
              <w:rPr>
                <w:rFonts w:eastAsia="ヒラギノ角ゴ Pro W3"/>
                <w:color w:val="595959"/>
                <w:kern w:val="24"/>
                <w:sz w:val="20"/>
                <w:szCs w:val="18"/>
              </w:rPr>
              <w:t>NS</w:t>
            </w:r>
            <w:r w:rsidRPr="00123353">
              <w:rPr>
                <w:rFonts w:eastAsia="ヒラギノ角ゴ Pro W3"/>
                <w:color w:val="595959"/>
                <w:kern w:val="24"/>
                <w:sz w:val="20"/>
                <w:szCs w:val="18"/>
              </w:rPr>
              <w:t xml:space="preserve"> </w:t>
            </w:r>
          </w:p>
        </w:tc>
        <w:tc>
          <w:tcPr>
            <w:tcW w:w="1112" w:type="dxa"/>
            <w:tcBorders>
              <w:top w:val="nil"/>
              <w:left w:val="nil"/>
              <w:bottom w:val="nil"/>
              <w:right w:val="nil"/>
            </w:tcBorders>
            <w:tcMar>
              <w:top w:w="6" w:type="dxa"/>
              <w:left w:w="6" w:type="dxa"/>
              <w:bottom w:w="0" w:type="dxa"/>
              <w:right w:w="6" w:type="dxa"/>
            </w:tcMar>
            <w:vAlign w:val="bottom"/>
          </w:tcPr>
          <w:p w:rsidR="002F09FD" w:rsidRPr="00123353" w:rsidRDefault="002F09FD" w:rsidP="002F09FD">
            <w:pPr>
              <w:spacing w:line="360" w:lineRule="auto"/>
              <w:jc w:val="center"/>
              <w:textAlignment w:val="bottom"/>
              <w:rPr>
                <w:sz w:val="20"/>
                <w:szCs w:val="18"/>
              </w:rPr>
            </w:pPr>
            <w:r>
              <w:rPr>
                <w:rFonts w:eastAsia="ヒラギノ角ゴ Pro W3"/>
                <w:color w:val="595959"/>
                <w:kern w:val="24"/>
                <w:sz w:val="20"/>
                <w:szCs w:val="18"/>
              </w:rPr>
              <w:t>NS</w:t>
            </w:r>
            <w:r w:rsidRPr="00123353">
              <w:rPr>
                <w:rFonts w:eastAsia="ヒラギノ角ゴ Pro W3"/>
                <w:color w:val="595959"/>
                <w:kern w:val="24"/>
                <w:sz w:val="20"/>
                <w:szCs w:val="18"/>
              </w:rPr>
              <w:t xml:space="preserve"> </w:t>
            </w:r>
          </w:p>
        </w:tc>
      </w:tr>
      <w:tr w:rsidR="002F09FD" w:rsidRPr="008C6839" w:rsidTr="002F09FD">
        <w:trPr>
          <w:trHeight w:val="245"/>
        </w:trPr>
        <w:tc>
          <w:tcPr>
            <w:tcW w:w="1530" w:type="dxa"/>
            <w:vMerge/>
            <w:tcBorders>
              <w:left w:val="nil"/>
              <w:right w:val="nil"/>
            </w:tcBorders>
            <w:tcMar>
              <w:top w:w="6" w:type="dxa"/>
              <w:left w:w="6" w:type="dxa"/>
              <w:bottom w:w="0" w:type="dxa"/>
              <w:right w:w="6" w:type="dxa"/>
            </w:tcMar>
            <w:vAlign w:val="bottom"/>
          </w:tcPr>
          <w:p w:rsidR="002F09FD" w:rsidRPr="00123353" w:rsidRDefault="002F09FD" w:rsidP="002F09FD">
            <w:pPr>
              <w:spacing w:line="360" w:lineRule="auto"/>
              <w:textAlignment w:val="bottom"/>
              <w:rPr>
                <w:sz w:val="20"/>
                <w:szCs w:val="18"/>
              </w:rPr>
            </w:pPr>
          </w:p>
        </w:tc>
        <w:tc>
          <w:tcPr>
            <w:tcW w:w="889" w:type="dxa"/>
            <w:tcBorders>
              <w:top w:val="nil"/>
              <w:left w:val="nil"/>
              <w:bottom w:val="nil"/>
              <w:right w:val="nil"/>
            </w:tcBorders>
            <w:tcMar>
              <w:top w:w="6" w:type="dxa"/>
              <w:left w:w="6" w:type="dxa"/>
              <w:bottom w:w="0" w:type="dxa"/>
              <w:right w:w="6" w:type="dxa"/>
            </w:tcMar>
            <w:vAlign w:val="bottom"/>
          </w:tcPr>
          <w:p w:rsidR="002F09FD" w:rsidRPr="00123353" w:rsidRDefault="002F09FD" w:rsidP="002F09FD">
            <w:pPr>
              <w:spacing w:line="360" w:lineRule="auto"/>
              <w:textAlignment w:val="bottom"/>
              <w:rPr>
                <w:sz w:val="20"/>
                <w:szCs w:val="18"/>
              </w:rPr>
            </w:pPr>
            <w:r w:rsidRPr="00123353">
              <w:rPr>
                <w:rFonts w:eastAsia="ヒラギノ角ゴ Pro W3"/>
                <w:color w:val="000000"/>
                <w:kern w:val="24"/>
                <w:sz w:val="20"/>
                <w:szCs w:val="18"/>
              </w:rPr>
              <w:t> </w:t>
            </w:r>
            <w:r w:rsidRPr="00123353">
              <w:rPr>
                <w:color w:val="000000"/>
                <w:kern w:val="24"/>
                <w:sz w:val="20"/>
                <w:szCs w:val="18"/>
              </w:rPr>
              <w:t xml:space="preserve"> </w:t>
            </w:r>
          </w:p>
        </w:tc>
        <w:tc>
          <w:tcPr>
            <w:tcW w:w="1721" w:type="dxa"/>
            <w:tcBorders>
              <w:top w:val="nil"/>
              <w:left w:val="nil"/>
              <w:bottom w:val="nil"/>
              <w:right w:val="nil"/>
            </w:tcBorders>
            <w:tcMar>
              <w:top w:w="6" w:type="dxa"/>
              <w:left w:w="6" w:type="dxa"/>
              <w:bottom w:w="0" w:type="dxa"/>
              <w:right w:w="6" w:type="dxa"/>
            </w:tcMar>
            <w:vAlign w:val="bottom"/>
          </w:tcPr>
          <w:p w:rsidR="002F09FD" w:rsidRPr="00123353" w:rsidRDefault="002F09FD" w:rsidP="002F09FD">
            <w:pPr>
              <w:spacing w:line="360" w:lineRule="auto"/>
              <w:textAlignment w:val="bottom"/>
              <w:rPr>
                <w:sz w:val="20"/>
                <w:szCs w:val="18"/>
              </w:rPr>
            </w:pPr>
            <w:r w:rsidRPr="00123353">
              <w:rPr>
                <w:rFonts w:eastAsia="ヒラギノ角ゴ Pro W3"/>
                <w:color w:val="000000"/>
                <w:kern w:val="24"/>
                <w:sz w:val="20"/>
                <w:szCs w:val="18"/>
              </w:rPr>
              <w:t xml:space="preserve">Hemicellulose </w:t>
            </w:r>
          </w:p>
        </w:tc>
        <w:tc>
          <w:tcPr>
            <w:tcW w:w="1010" w:type="dxa"/>
            <w:tcBorders>
              <w:top w:val="nil"/>
              <w:left w:val="nil"/>
              <w:bottom w:val="nil"/>
              <w:right w:val="nil"/>
            </w:tcBorders>
            <w:tcMar>
              <w:top w:w="6" w:type="dxa"/>
              <w:left w:w="6" w:type="dxa"/>
              <w:bottom w:w="0" w:type="dxa"/>
              <w:right w:w="6" w:type="dxa"/>
            </w:tcMar>
            <w:vAlign w:val="bottom"/>
          </w:tcPr>
          <w:p w:rsidR="002F09FD" w:rsidRPr="00123353" w:rsidRDefault="002F09FD" w:rsidP="002F09FD">
            <w:pPr>
              <w:spacing w:line="360" w:lineRule="auto"/>
              <w:jc w:val="center"/>
              <w:textAlignment w:val="bottom"/>
              <w:rPr>
                <w:sz w:val="20"/>
                <w:szCs w:val="18"/>
              </w:rPr>
            </w:pPr>
            <w:r>
              <w:rPr>
                <w:rFonts w:eastAsia="ヒラギノ角ゴ Pro W3"/>
                <w:color w:val="595959"/>
                <w:kern w:val="24"/>
                <w:sz w:val="20"/>
                <w:szCs w:val="18"/>
              </w:rPr>
              <w:t>NS</w:t>
            </w:r>
          </w:p>
        </w:tc>
        <w:tc>
          <w:tcPr>
            <w:tcW w:w="1003" w:type="dxa"/>
            <w:gridSpan w:val="2"/>
            <w:tcBorders>
              <w:top w:val="nil"/>
              <w:left w:val="nil"/>
              <w:bottom w:val="nil"/>
              <w:right w:val="nil"/>
            </w:tcBorders>
            <w:tcMar>
              <w:top w:w="6" w:type="dxa"/>
              <w:left w:w="6" w:type="dxa"/>
              <w:bottom w:w="0" w:type="dxa"/>
              <w:right w:w="6" w:type="dxa"/>
            </w:tcMar>
            <w:vAlign w:val="bottom"/>
          </w:tcPr>
          <w:p w:rsidR="002F09FD" w:rsidRPr="00123353" w:rsidRDefault="002F09FD" w:rsidP="002F09FD">
            <w:pPr>
              <w:spacing w:line="360" w:lineRule="auto"/>
              <w:jc w:val="center"/>
              <w:textAlignment w:val="bottom"/>
              <w:rPr>
                <w:sz w:val="20"/>
                <w:szCs w:val="18"/>
              </w:rPr>
            </w:pPr>
            <w:r>
              <w:rPr>
                <w:rFonts w:eastAsia="ヒラギノ角ゴ Pro W3"/>
                <w:color w:val="595959"/>
                <w:kern w:val="24"/>
                <w:sz w:val="20"/>
                <w:szCs w:val="18"/>
              </w:rPr>
              <w:t>NS</w:t>
            </w:r>
          </w:p>
        </w:tc>
        <w:tc>
          <w:tcPr>
            <w:tcW w:w="284" w:type="dxa"/>
            <w:tcBorders>
              <w:top w:val="nil"/>
              <w:left w:val="nil"/>
              <w:bottom w:val="nil"/>
              <w:right w:val="nil"/>
            </w:tcBorders>
            <w:tcMar>
              <w:top w:w="6" w:type="dxa"/>
              <w:left w:w="6" w:type="dxa"/>
              <w:bottom w:w="0" w:type="dxa"/>
              <w:right w:w="6" w:type="dxa"/>
            </w:tcMar>
            <w:vAlign w:val="bottom"/>
          </w:tcPr>
          <w:p w:rsidR="002F09FD" w:rsidRPr="00123353" w:rsidRDefault="002F09FD" w:rsidP="002F09FD">
            <w:pPr>
              <w:spacing w:line="360" w:lineRule="auto"/>
              <w:rPr>
                <w:sz w:val="20"/>
                <w:szCs w:val="18"/>
              </w:rPr>
            </w:pPr>
          </w:p>
        </w:tc>
        <w:tc>
          <w:tcPr>
            <w:tcW w:w="1091" w:type="dxa"/>
            <w:tcBorders>
              <w:top w:val="nil"/>
              <w:left w:val="nil"/>
              <w:bottom w:val="nil"/>
              <w:right w:val="nil"/>
            </w:tcBorders>
            <w:tcMar>
              <w:top w:w="6" w:type="dxa"/>
              <w:left w:w="6" w:type="dxa"/>
              <w:bottom w:w="0" w:type="dxa"/>
              <w:right w:w="6" w:type="dxa"/>
            </w:tcMar>
            <w:vAlign w:val="bottom"/>
          </w:tcPr>
          <w:p w:rsidR="002F09FD" w:rsidRPr="00123353" w:rsidRDefault="002F09FD" w:rsidP="002F09FD">
            <w:pPr>
              <w:spacing w:line="360" w:lineRule="auto"/>
              <w:jc w:val="center"/>
              <w:textAlignment w:val="bottom"/>
              <w:rPr>
                <w:sz w:val="20"/>
                <w:szCs w:val="18"/>
              </w:rPr>
            </w:pPr>
            <w:r w:rsidRPr="00123353">
              <w:rPr>
                <w:rFonts w:eastAsia="ヒラギノ角ゴ Pro W3"/>
                <w:b/>
                <w:bCs/>
                <w:color w:val="000000"/>
                <w:kern w:val="24"/>
                <w:sz w:val="20"/>
                <w:szCs w:val="18"/>
              </w:rPr>
              <w:t xml:space="preserve">+6.4% </w:t>
            </w:r>
          </w:p>
        </w:tc>
        <w:tc>
          <w:tcPr>
            <w:tcW w:w="1112" w:type="dxa"/>
            <w:tcBorders>
              <w:top w:val="nil"/>
              <w:left w:val="nil"/>
              <w:bottom w:val="nil"/>
              <w:right w:val="nil"/>
            </w:tcBorders>
            <w:tcMar>
              <w:top w:w="6" w:type="dxa"/>
              <w:left w:w="6" w:type="dxa"/>
              <w:bottom w:w="0" w:type="dxa"/>
              <w:right w:w="6" w:type="dxa"/>
            </w:tcMar>
            <w:vAlign w:val="bottom"/>
          </w:tcPr>
          <w:p w:rsidR="002F09FD" w:rsidRPr="00123353" w:rsidRDefault="002F09FD" w:rsidP="002F09FD">
            <w:pPr>
              <w:spacing w:line="360" w:lineRule="auto"/>
              <w:jc w:val="center"/>
              <w:textAlignment w:val="bottom"/>
              <w:rPr>
                <w:sz w:val="20"/>
                <w:szCs w:val="18"/>
              </w:rPr>
            </w:pPr>
            <w:r w:rsidRPr="00123353">
              <w:rPr>
                <w:rFonts w:eastAsia="ヒラギノ角ゴ Pro W3"/>
                <w:b/>
                <w:bCs/>
                <w:color w:val="000000"/>
                <w:kern w:val="24"/>
                <w:sz w:val="20"/>
                <w:szCs w:val="18"/>
              </w:rPr>
              <w:t xml:space="preserve">+7.4% </w:t>
            </w:r>
          </w:p>
        </w:tc>
      </w:tr>
      <w:tr w:rsidR="002F09FD" w:rsidRPr="008C6839" w:rsidTr="002F09FD">
        <w:trPr>
          <w:trHeight w:val="245"/>
        </w:trPr>
        <w:tc>
          <w:tcPr>
            <w:tcW w:w="1530" w:type="dxa"/>
            <w:vMerge/>
            <w:tcBorders>
              <w:left w:val="nil"/>
              <w:right w:val="nil"/>
            </w:tcBorders>
            <w:tcMar>
              <w:top w:w="6" w:type="dxa"/>
              <w:left w:w="6" w:type="dxa"/>
              <w:bottom w:w="0" w:type="dxa"/>
              <w:right w:w="6" w:type="dxa"/>
            </w:tcMar>
            <w:vAlign w:val="bottom"/>
          </w:tcPr>
          <w:p w:rsidR="002F09FD" w:rsidRPr="00123353" w:rsidRDefault="002F09FD" w:rsidP="002F09FD">
            <w:pPr>
              <w:spacing w:line="360" w:lineRule="auto"/>
              <w:textAlignment w:val="bottom"/>
              <w:rPr>
                <w:sz w:val="20"/>
                <w:szCs w:val="18"/>
              </w:rPr>
            </w:pPr>
          </w:p>
        </w:tc>
        <w:tc>
          <w:tcPr>
            <w:tcW w:w="889" w:type="dxa"/>
            <w:tcBorders>
              <w:top w:val="nil"/>
              <w:left w:val="nil"/>
              <w:bottom w:val="nil"/>
              <w:right w:val="nil"/>
            </w:tcBorders>
            <w:tcMar>
              <w:top w:w="6" w:type="dxa"/>
              <w:left w:w="6" w:type="dxa"/>
              <w:bottom w:w="0" w:type="dxa"/>
              <w:right w:w="6" w:type="dxa"/>
            </w:tcMar>
            <w:vAlign w:val="bottom"/>
          </w:tcPr>
          <w:p w:rsidR="002F09FD" w:rsidRPr="00123353" w:rsidRDefault="002F09FD" w:rsidP="002F09FD">
            <w:pPr>
              <w:spacing w:line="360" w:lineRule="auto"/>
              <w:textAlignment w:val="bottom"/>
              <w:rPr>
                <w:sz w:val="20"/>
                <w:szCs w:val="18"/>
              </w:rPr>
            </w:pPr>
            <w:r w:rsidRPr="00123353">
              <w:rPr>
                <w:rFonts w:eastAsia="ヒラギノ角ゴ Pro W3"/>
                <w:color w:val="000000"/>
                <w:kern w:val="24"/>
                <w:sz w:val="20"/>
                <w:szCs w:val="18"/>
              </w:rPr>
              <w:t> </w:t>
            </w:r>
            <w:r w:rsidRPr="00123353">
              <w:rPr>
                <w:color w:val="000000"/>
                <w:kern w:val="24"/>
                <w:sz w:val="20"/>
                <w:szCs w:val="18"/>
              </w:rPr>
              <w:t xml:space="preserve"> </w:t>
            </w:r>
          </w:p>
        </w:tc>
        <w:tc>
          <w:tcPr>
            <w:tcW w:w="1721" w:type="dxa"/>
            <w:tcBorders>
              <w:top w:val="nil"/>
              <w:left w:val="nil"/>
              <w:bottom w:val="nil"/>
              <w:right w:val="nil"/>
            </w:tcBorders>
            <w:tcMar>
              <w:top w:w="6" w:type="dxa"/>
              <w:left w:w="6" w:type="dxa"/>
              <w:bottom w:w="0" w:type="dxa"/>
              <w:right w:w="6" w:type="dxa"/>
            </w:tcMar>
            <w:vAlign w:val="bottom"/>
          </w:tcPr>
          <w:p w:rsidR="002F09FD" w:rsidRPr="00123353" w:rsidRDefault="002F09FD" w:rsidP="002F09FD">
            <w:pPr>
              <w:spacing w:line="360" w:lineRule="auto"/>
              <w:textAlignment w:val="bottom"/>
              <w:rPr>
                <w:sz w:val="20"/>
                <w:szCs w:val="18"/>
              </w:rPr>
            </w:pPr>
            <w:r w:rsidRPr="00123353">
              <w:rPr>
                <w:color w:val="000000"/>
                <w:kern w:val="24"/>
                <w:sz w:val="20"/>
                <w:szCs w:val="18"/>
              </w:rPr>
              <w:t xml:space="preserve">     Xylan </w:t>
            </w:r>
          </w:p>
        </w:tc>
        <w:tc>
          <w:tcPr>
            <w:tcW w:w="1010" w:type="dxa"/>
            <w:tcBorders>
              <w:top w:val="nil"/>
              <w:left w:val="nil"/>
              <w:bottom w:val="nil"/>
              <w:right w:val="nil"/>
            </w:tcBorders>
            <w:tcMar>
              <w:top w:w="6" w:type="dxa"/>
              <w:left w:w="6" w:type="dxa"/>
              <w:bottom w:w="0" w:type="dxa"/>
              <w:right w:w="6" w:type="dxa"/>
            </w:tcMar>
            <w:vAlign w:val="bottom"/>
          </w:tcPr>
          <w:p w:rsidR="002F09FD" w:rsidRPr="00123353" w:rsidRDefault="002F09FD" w:rsidP="002F09FD">
            <w:pPr>
              <w:spacing w:line="360" w:lineRule="auto"/>
              <w:jc w:val="center"/>
              <w:textAlignment w:val="bottom"/>
              <w:rPr>
                <w:sz w:val="20"/>
                <w:szCs w:val="18"/>
              </w:rPr>
            </w:pPr>
            <w:r>
              <w:rPr>
                <w:rFonts w:eastAsia="ヒラギノ角ゴ Pro W3"/>
                <w:color w:val="595959"/>
                <w:kern w:val="24"/>
                <w:sz w:val="20"/>
                <w:szCs w:val="18"/>
              </w:rPr>
              <w:t>NS</w:t>
            </w:r>
          </w:p>
        </w:tc>
        <w:tc>
          <w:tcPr>
            <w:tcW w:w="1003" w:type="dxa"/>
            <w:gridSpan w:val="2"/>
            <w:tcBorders>
              <w:top w:val="nil"/>
              <w:left w:val="nil"/>
              <w:bottom w:val="nil"/>
              <w:right w:val="nil"/>
            </w:tcBorders>
            <w:tcMar>
              <w:top w:w="6" w:type="dxa"/>
              <w:left w:w="6" w:type="dxa"/>
              <w:bottom w:w="0" w:type="dxa"/>
              <w:right w:w="6" w:type="dxa"/>
            </w:tcMar>
            <w:vAlign w:val="bottom"/>
          </w:tcPr>
          <w:p w:rsidR="002F09FD" w:rsidRPr="00123353" w:rsidRDefault="002F09FD" w:rsidP="002F09FD">
            <w:pPr>
              <w:spacing w:line="360" w:lineRule="auto"/>
              <w:jc w:val="center"/>
              <w:textAlignment w:val="bottom"/>
              <w:rPr>
                <w:sz w:val="20"/>
                <w:szCs w:val="18"/>
              </w:rPr>
            </w:pPr>
            <w:r>
              <w:rPr>
                <w:rFonts w:eastAsia="ヒラギノ角ゴ Pro W3"/>
                <w:color w:val="595959"/>
                <w:kern w:val="24"/>
                <w:sz w:val="20"/>
                <w:szCs w:val="18"/>
              </w:rPr>
              <w:t>NS</w:t>
            </w:r>
          </w:p>
        </w:tc>
        <w:tc>
          <w:tcPr>
            <w:tcW w:w="284" w:type="dxa"/>
            <w:tcBorders>
              <w:top w:val="nil"/>
              <w:left w:val="nil"/>
              <w:bottom w:val="nil"/>
              <w:right w:val="nil"/>
            </w:tcBorders>
            <w:tcMar>
              <w:top w:w="6" w:type="dxa"/>
              <w:left w:w="6" w:type="dxa"/>
              <w:bottom w:w="0" w:type="dxa"/>
              <w:right w:w="6" w:type="dxa"/>
            </w:tcMar>
            <w:vAlign w:val="bottom"/>
          </w:tcPr>
          <w:p w:rsidR="002F09FD" w:rsidRPr="00123353" w:rsidRDefault="002F09FD" w:rsidP="002F09FD">
            <w:pPr>
              <w:spacing w:line="360" w:lineRule="auto"/>
              <w:rPr>
                <w:sz w:val="20"/>
                <w:szCs w:val="18"/>
              </w:rPr>
            </w:pPr>
          </w:p>
        </w:tc>
        <w:tc>
          <w:tcPr>
            <w:tcW w:w="1091" w:type="dxa"/>
            <w:tcBorders>
              <w:top w:val="nil"/>
              <w:left w:val="nil"/>
              <w:bottom w:val="nil"/>
              <w:right w:val="nil"/>
            </w:tcBorders>
            <w:tcMar>
              <w:top w:w="6" w:type="dxa"/>
              <w:left w:w="6" w:type="dxa"/>
              <w:bottom w:w="0" w:type="dxa"/>
              <w:right w:w="6" w:type="dxa"/>
            </w:tcMar>
            <w:vAlign w:val="bottom"/>
          </w:tcPr>
          <w:p w:rsidR="002F09FD" w:rsidRPr="00123353" w:rsidRDefault="002F09FD" w:rsidP="002F09FD">
            <w:pPr>
              <w:spacing w:line="360" w:lineRule="auto"/>
              <w:jc w:val="center"/>
              <w:textAlignment w:val="bottom"/>
              <w:rPr>
                <w:sz w:val="20"/>
                <w:szCs w:val="18"/>
              </w:rPr>
            </w:pPr>
            <w:r w:rsidRPr="00123353">
              <w:rPr>
                <w:rFonts w:eastAsia="ヒラギノ角ゴ Pro W3"/>
                <w:b/>
                <w:bCs/>
                <w:color w:val="000000"/>
                <w:kern w:val="24"/>
                <w:sz w:val="20"/>
                <w:szCs w:val="18"/>
              </w:rPr>
              <w:t>+6.5%</w:t>
            </w:r>
            <w:r w:rsidRPr="00123353">
              <w:rPr>
                <w:b/>
                <w:bCs/>
                <w:color w:val="000000"/>
                <w:kern w:val="24"/>
                <w:sz w:val="20"/>
                <w:szCs w:val="18"/>
              </w:rPr>
              <w:t xml:space="preserve"> </w:t>
            </w:r>
          </w:p>
        </w:tc>
        <w:tc>
          <w:tcPr>
            <w:tcW w:w="1112" w:type="dxa"/>
            <w:tcBorders>
              <w:top w:val="nil"/>
              <w:left w:val="nil"/>
              <w:bottom w:val="nil"/>
              <w:right w:val="nil"/>
            </w:tcBorders>
            <w:tcMar>
              <w:top w:w="6" w:type="dxa"/>
              <w:left w:w="6" w:type="dxa"/>
              <w:bottom w:w="0" w:type="dxa"/>
              <w:right w:w="6" w:type="dxa"/>
            </w:tcMar>
            <w:vAlign w:val="bottom"/>
          </w:tcPr>
          <w:p w:rsidR="002F09FD" w:rsidRPr="00123353" w:rsidRDefault="002F09FD" w:rsidP="002F09FD">
            <w:pPr>
              <w:spacing w:line="360" w:lineRule="auto"/>
              <w:jc w:val="center"/>
              <w:textAlignment w:val="bottom"/>
              <w:rPr>
                <w:sz w:val="20"/>
                <w:szCs w:val="18"/>
              </w:rPr>
            </w:pPr>
            <w:r w:rsidRPr="00123353">
              <w:rPr>
                <w:rFonts w:eastAsia="ヒラギノ角ゴ Pro W3"/>
                <w:b/>
                <w:bCs/>
                <w:color w:val="000000"/>
                <w:kern w:val="24"/>
                <w:sz w:val="20"/>
                <w:szCs w:val="18"/>
              </w:rPr>
              <w:t>+7.7%</w:t>
            </w:r>
            <w:r w:rsidRPr="00123353">
              <w:rPr>
                <w:b/>
                <w:bCs/>
                <w:color w:val="000000"/>
                <w:kern w:val="24"/>
                <w:sz w:val="20"/>
                <w:szCs w:val="18"/>
              </w:rPr>
              <w:t xml:space="preserve"> </w:t>
            </w:r>
          </w:p>
        </w:tc>
      </w:tr>
      <w:tr w:rsidR="002F09FD" w:rsidRPr="008C6839" w:rsidTr="002F09FD">
        <w:trPr>
          <w:trHeight w:val="245"/>
        </w:trPr>
        <w:tc>
          <w:tcPr>
            <w:tcW w:w="1530" w:type="dxa"/>
            <w:vMerge/>
            <w:tcBorders>
              <w:left w:val="nil"/>
              <w:right w:val="nil"/>
            </w:tcBorders>
            <w:tcMar>
              <w:top w:w="6" w:type="dxa"/>
              <w:left w:w="6" w:type="dxa"/>
              <w:bottom w:w="0" w:type="dxa"/>
              <w:right w:w="6" w:type="dxa"/>
            </w:tcMar>
            <w:vAlign w:val="bottom"/>
          </w:tcPr>
          <w:p w:rsidR="002F09FD" w:rsidRPr="00123353" w:rsidRDefault="002F09FD" w:rsidP="002F09FD">
            <w:pPr>
              <w:spacing w:line="360" w:lineRule="auto"/>
              <w:textAlignment w:val="bottom"/>
              <w:rPr>
                <w:sz w:val="20"/>
                <w:szCs w:val="18"/>
              </w:rPr>
            </w:pPr>
          </w:p>
        </w:tc>
        <w:tc>
          <w:tcPr>
            <w:tcW w:w="889" w:type="dxa"/>
            <w:tcBorders>
              <w:top w:val="nil"/>
              <w:left w:val="nil"/>
              <w:bottom w:val="nil"/>
              <w:right w:val="nil"/>
            </w:tcBorders>
            <w:tcMar>
              <w:top w:w="6" w:type="dxa"/>
              <w:left w:w="6" w:type="dxa"/>
              <w:bottom w:w="0" w:type="dxa"/>
              <w:right w:w="6" w:type="dxa"/>
            </w:tcMar>
            <w:vAlign w:val="bottom"/>
          </w:tcPr>
          <w:p w:rsidR="002F09FD" w:rsidRPr="00123353" w:rsidRDefault="002F09FD" w:rsidP="002F09FD">
            <w:pPr>
              <w:spacing w:line="360" w:lineRule="auto"/>
              <w:textAlignment w:val="bottom"/>
              <w:rPr>
                <w:sz w:val="20"/>
                <w:szCs w:val="18"/>
              </w:rPr>
            </w:pPr>
            <w:r w:rsidRPr="00123353">
              <w:rPr>
                <w:rFonts w:eastAsia="ヒラギノ角ゴ Pro W3"/>
                <w:color w:val="000000"/>
                <w:kern w:val="24"/>
                <w:sz w:val="20"/>
                <w:szCs w:val="18"/>
              </w:rPr>
              <w:t> </w:t>
            </w:r>
            <w:r w:rsidRPr="00123353">
              <w:rPr>
                <w:color w:val="000000"/>
                <w:kern w:val="24"/>
                <w:sz w:val="20"/>
                <w:szCs w:val="18"/>
              </w:rPr>
              <w:t xml:space="preserve"> </w:t>
            </w:r>
          </w:p>
        </w:tc>
        <w:tc>
          <w:tcPr>
            <w:tcW w:w="1721" w:type="dxa"/>
            <w:tcBorders>
              <w:top w:val="nil"/>
              <w:left w:val="nil"/>
              <w:bottom w:val="nil"/>
              <w:right w:val="nil"/>
            </w:tcBorders>
            <w:tcMar>
              <w:top w:w="6" w:type="dxa"/>
              <w:left w:w="6" w:type="dxa"/>
              <w:bottom w:w="0" w:type="dxa"/>
              <w:right w:w="6" w:type="dxa"/>
            </w:tcMar>
            <w:vAlign w:val="bottom"/>
          </w:tcPr>
          <w:p w:rsidR="002F09FD" w:rsidRPr="00123353" w:rsidRDefault="002F09FD" w:rsidP="002F09FD">
            <w:pPr>
              <w:spacing w:line="360" w:lineRule="auto"/>
              <w:textAlignment w:val="bottom"/>
              <w:rPr>
                <w:sz w:val="20"/>
                <w:szCs w:val="18"/>
              </w:rPr>
            </w:pPr>
            <w:r w:rsidRPr="00123353">
              <w:rPr>
                <w:rFonts w:eastAsia="ヒラギノ角ゴ Pro W3"/>
                <w:color w:val="000000"/>
                <w:kern w:val="24"/>
                <w:sz w:val="20"/>
                <w:szCs w:val="18"/>
              </w:rPr>
              <w:t xml:space="preserve">     Arabinan</w:t>
            </w:r>
            <w:r w:rsidRPr="00123353">
              <w:rPr>
                <w:color w:val="000000"/>
                <w:kern w:val="24"/>
                <w:sz w:val="20"/>
                <w:szCs w:val="18"/>
              </w:rPr>
              <w:t xml:space="preserve"> </w:t>
            </w:r>
          </w:p>
        </w:tc>
        <w:tc>
          <w:tcPr>
            <w:tcW w:w="1010" w:type="dxa"/>
            <w:tcBorders>
              <w:top w:val="nil"/>
              <w:left w:val="nil"/>
              <w:bottom w:val="nil"/>
              <w:right w:val="nil"/>
            </w:tcBorders>
            <w:tcMar>
              <w:top w:w="6" w:type="dxa"/>
              <w:left w:w="6" w:type="dxa"/>
              <w:bottom w:w="0" w:type="dxa"/>
              <w:right w:w="6" w:type="dxa"/>
            </w:tcMar>
            <w:vAlign w:val="bottom"/>
          </w:tcPr>
          <w:p w:rsidR="002F09FD" w:rsidRPr="00123353" w:rsidRDefault="002F09FD" w:rsidP="002F09FD">
            <w:pPr>
              <w:spacing w:line="360" w:lineRule="auto"/>
              <w:jc w:val="center"/>
              <w:textAlignment w:val="bottom"/>
              <w:rPr>
                <w:sz w:val="20"/>
                <w:szCs w:val="18"/>
              </w:rPr>
            </w:pPr>
            <w:r>
              <w:rPr>
                <w:rFonts w:eastAsia="ヒラギノ角ゴ Pro W3"/>
                <w:color w:val="595959"/>
                <w:kern w:val="24"/>
                <w:sz w:val="20"/>
                <w:szCs w:val="18"/>
              </w:rPr>
              <w:t>NS</w:t>
            </w:r>
            <w:r w:rsidRPr="00123353">
              <w:rPr>
                <w:rFonts w:eastAsia="ヒラギノ角ゴ Pro W3"/>
                <w:color w:val="595959"/>
                <w:kern w:val="24"/>
                <w:sz w:val="20"/>
                <w:szCs w:val="18"/>
              </w:rPr>
              <w:t xml:space="preserve"> </w:t>
            </w:r>
          </w:p>
        </w:tc>
        <w:tc>
          <w:tcPr>
            <w:tcW w:w="1003" w:type="dxa"/>
            <w:gridSpan w:val="2"/>
            <w:tcBorders>
              <w:top w:val="nil"/>
              <w:left w:val="nil"/>
              <w:bottom w:val="nil"/>
              <w:right w:val="nil"/>
            </w:tcBorders>
            <w:tcMar>
              <w:top w:w="6" w:type="dxa"/>
              <w:left w:w="6" w:type="dxa"/>
              <w:bottom w:w="0" w:type="dxa"/>
              <w:right w:w="6" w:type="dxa"/>
            </w:tcMar>
            <w:vAlign w:val="bottom"/>
          </w:tcPr>
          <w:p w:rsidR="002F09FD" w:rsidRPr="00123353" w:rsidRDefault="002F09FD" w:rsidP="002F09FD">
            <w:pPr>
              <w:spacing w:line="360" w:lineRule="auto"/>
              <w:jc w:val="center"/>
              <w:textAlignment w:val="bottom"/>
              <w:rPr>
                <w:sz w:val="20"/>
                <w:szCs w:val="18"/>
              </w:rPr>
            </w:pPr>
            <w:r>
              <w:rPr>
                <w:rFonts w:eastAsia="ヒラギノ角ゴ Pro W3"/>
                <w:color w:val="595959"/>
                <w:kern w:val="24"/>
                <w:sz w:val="20"/>
                <w:szCs w:val="18"/>
              </w:rPr>
              <w:t>NS</w:t>
            </w:r>
          </w:p>
        </w:tc>
        <w:tc>
          <w:tcPr>
            <w:tcW w:w="284" w:type="dxa"/>
            <w:tcBorders>
              <w:top w:val="nil"/>
              <w:left w:val="nil"/>
              <w:bottom w:val="nil"/>
              <w:right w:val="nil"/>
            </w:tcBorders>
            <w:tcMar>
              <w:top w:w="6" w:type="dxa"/>
              <w:left w:w="6" w:type="dxa"/>
              <w:bottom w:w="0" w:type="dxa"/>
              <w:right w:w="6" w:type="dxa"/>
            </w:tcMar>
            <w:vAlign w:val="bottom"/>
          </w:tcPr>
          <w:p w:rsidR="002F09FD" w:rsidRPr="00123353" w:rsidRDefault="002F09FD" w:rsidP="002F09FD">
            <w:pPr>
              <w:spacing w:line="360" w:lineRule="auto"/>
              <w:rPr>
                <w:sz w:val="20"/>
                <w:szCs w:val="18"/>
              </w:rPr>
            </w:pPr>
          </w:p>
        </w:tc>
        <w:tc>
          <w:tcPr>
            <w:tcW w:w="1091" w:type="dxa"/>
            <w:tcBorders>
              <w:top w:val="nil"/>
              <w:left w:val="nil"/>
              <w:bottom w:val="nil"/>
              <w:right w:val="nil"/>
            </w:tcBorders>
            <w:tcMar>
              <w:top w:w="6" w:type="dxa"/>
              <w:left w:w="6" w:type="dxa"/>
              <w:bottom w:w="0" w:type="dxa"/>
              <w:right w:w="6" w:type="dxa"/>
            </w:tcMar>
            <w:vAlign w:val="bottom"/>
          </w:tcPr>
          <w:p w:rsidR="002F09FD" w:rsidRPr="00123353" w:rsidRDefault="002F09FD" w:rsidP="002F09FD">
            <w:pPr>
              <w:spacing w:line="360" w:lineRule="auto"/>
              <w:jc w:val="center"/>
              <w:textAlignment w:val="bottom"/>
              <w:rPr>
                <w:sz w:val="20"/>
                <w:szCs w:val="18"/>
              </w:rPr>
            </w:pPr>
            <w:r>
              <w:rPr>
                <w:rFonts w:eastAsia="ヒラギノ角ゴ Pro W3"/>
                <w:color w:val="595959"/>
                <w:kern w:val="24"/>
                <w:sz w:val="20"/>
                <w:szCs w:val="18"/>
              </w:rPr>
              <w:t>NS</w:t>
            </w:r>
            <w:r w:rsidRPr="00123353">
              <w:rPr>
                <w:rFonts w:eastAsia="ヒラギノ角ゴ Pro W3"/>
                <w:color w:val="595959"/>
                <w:kern w:val="24"/>
                <w:sz w:val="20"/>
                <w:szCs w:val="18"/>
              </w:rPr>
              <w:t xml:space="preserve"> </w:t>
            </w:r>
          </w:p>
        </w:tc>
        <w:tc>
          <w:tcPr>
            <w:tcW w:w="1112" w:type="dxa"/>
            <w:tcBorders>
              <w:top w:val="nil"/>
              <w:left w:val="nil"/>
              <w:bottom w:val="nil"/>
              <w:right w:val="nil"/>
            </w:tcBorders>
            <w:tcMar>
              <w:top w:w="6" w:type="dxa"/>
              <w:left w:w="6" w:type="dxa"/>
              <w:bottom w:w="0" w:type="dxa"/>
              <w:right w:w="6" w:type="dxa"/>
            </w:tcMar>
            <w:vAlign w:val="bottom"/>
          </w:tcPr>
          <w:p w:rsidR="002F09FD" w:rsidRPr="00123353" w:rsidRDefault="002F09FD" w:rsidP="002F09FD">
            <w:pPr>
              <w:spacing w:line="360" w:lineRule="auto"/>
              <w:jc w:val="center"/>
              <w:textAlignment w:val="bottom"/>
              <w:rPr>
                <w:sz w:val="20"/>
                <w:szCs w:val="18"/>
              </w:rPr>
            </w:pPr>
            <w:r w:rsidRPr="00123353">
              <w:rPr>
                <w:rFonts w:eastAsia="ヒラギノ角ゴ Pro W3"/>
                <w:b/>
                <w:bCs/>
                <w:color w:val="000000"/>
                <w:kern w:val="24"/>
                <w:sz w:val="20"/>
                <w:szCs w:val="18"/>
              </w:rPr>
              <w:t>+11.5%</w:t>
            </w:r>
            <w:r w:rsidRPr="00123353">
              <w:rPr>
                <w:b/>
                <w:bCs/>
                <w:color w:val="000000"/>
                <w:kern w:val="24"/>
                <w:sz w:val="20"/>
                <w:szCs w:val="18"/>
              </w:rPr>
              <w:t xml:space="preserve"> </w:t>
            </w:r>
          </w:p>
        </w:tc>
      </w:tr>
      <w:tr w:rsidR="00683F7D" w:rsidRPr="008C6839" w:rsidTr="002F09FD">
        <w:trPr>
          <w:trHeight w:val="245"/>
        </w:trPr>
        <w:tc>
          <w:tcPr>
            <w:tcW w:w="1530" w:type="dxa"/>
            <w:vMerge/>
            <w:tcBorders>
              <w:left w:val="nil"/>
              <w:right w:val="nil"/>
            </w:tcBorders>
            <w:tcMar>
              <w:top w:w="6" w:type="dxa"/>
              <w:left w:w="6" w:type="dxa"/>
              <w:bottom w:w="0" w:type="dxa"/>
              <w:right w:w="6" w:type="dxa"/>
            </w:tcMar>
            <w:vAlign w:val="bottom"/>
          </w:tcPr>
          <w:p w:rsidR="00683F7D" w:rsidRPr="00123353" w:rsidRDefault="00683F7D" w:rsidP="00683F7D">
            <w:pPr>
              <w:spacing w:line="360" w:lineRule="auto"/>
              <w:textAlignment w:val="bottom"/>
              <w:rPr>
                <w:sz w:val="20"/>
                <w:szCs w:val="18"/>
              </w:rPr>
            </w:pPr>
          </w:p>
        </w:tc>
        <w:tc>
          <w:tcPr>
            <w:tcW w:w="889" w:type="dxa"/>
            <w:tcBorders>
              <w:top w:val="nil"/>
              <w:left w:val="nil"/>
              <w:right w:val="nil"/>
            </w:tcBorders>
            <w:tcMar>
              <w:top w:w="6" w:type="dxa"/>
              <w:left w:w="6" w:type="dxa"/>
              <w:bottom w:w="0" w:type="dxa"/>
              <w:right w:w="6" w:type="dxa"/>
            </w:tcMar>
            <w:vAlign w:val="bottom"/>
          </w:tcPr>
          <w:p w:rsidR="00683F7D" w:rsidRPr="00123353" w:rsidRDefault="00683F7D" w:rsidP="00683F7D">
            <w:pPr>
              <w:spacing w:line="360" w:lineRule="auto"/>
              <w:textAlignment w:val="bottom"/>
              <w:rPr>
                <w:sz w:val="20"/>
                <w:szCs w:val="18"/>
              </w:rPr>
            </w:pPr>
            <w:r w:rsidRPr="00123353">
              <w:rPr>
                <w:rFonts w:eastAsia="ヒラギノ角ゴ Pro W3"/>
                <w:color w:val="000000"/>
                <w:kern w:val="24"/>
                <w:sz w:val="20"/>
                <w:szCs w:val="18"/>
              </w:rPr>
              <w:t> </w:t>
            </w:r>
            <w:r w:rsidRPr="00123353">
              <w:rPr>
                <w:color w:val="000000"/>
                <w:kern w:val="24"/>
                <w:sz w:val="20"/>
                <w:szCs w:val="18"/>
              </w:rPr>
              <w:t xml:space="preserve"> </w:t>
            </w:r>
          </w:p>
        </w:tc>
        <w:tc>
          <w:tcPr>
            <w:tcW w:w="1721" w:type="dxa"/>
            <w:tcBorders>
              <w:top w:val="nil"/>
              <w:left w:val="nil"/>
              <w:bottom w:val="nil"/>
              <w:right w:val="nil"/>
            </w:tcBorders>
            <w:tcMar>
              <w:top w:w="6" w:type="dxa"/>
              <w:left w:w="6" w:type="dxa"/>
              <w:bottom w:w="0" w:type="dxa"/>
              <w:right w:w="6" w:type="dxa"/>
            </w:tcMar>
            <w:vAlign w:val="bottom"/>
          </w:tcPr>
          <w:p w:rsidR="00683F7D" w:rsidRPr="00123353" w:rsidRDefault="00683F7D" w:rsidP="00683F7D">
            <w:pPr>
              <w:spacing w:line="360" w:lineRule="auto"/>
              <w:textAlignment w:val="bottom"/>
              <w:rPr>
                <w:sz w:val="20"/>
                <w:szCs w:val="18"/>
              </w:rPr>
            </w:pPr>
            <w:r w:rsidRPr="00123353">
              <w:rPr>
                <w:rFonts w:eastAsia="ヒラギノ角ゴ Pro W3"/>
                <w:color w:val="000000"/>
                <w:kern w:val="24"/>
                <w:sz w:val="20"/>
                <w:szCs w:val="18"/>
              </w:rPr>
              <w:t xml:space="preserve">     Galactan</w:t>
            </w:r>
            <w:r w:rsidRPr="00123353">
              <w:rPr>
                <w:color w:val="000000"/>
                <w:kern w:val="24"/>
                <w:sz w:val="20"/>
                <w:szCs w:val="18"/>
              </w:rPr>
              <w:t xml:space="preserve"> </w:t>
            </w:r>
          </w:p>
        </w:tc>
        <w:tc>
          <w:tcPr>
            <w:tcW w:w="1010" w:type="dxa"/>
            <w:tcBorders>
              <w:top w:val="nil"/>
              <w:left w:val="nil"/>
              <w:bottom w:val="nil"/>
              <w:right w:val="nil"/>
            </w:tcBorders>
            <w:tcMar>
              <w:top w:w="6" w:type="dxa"/>
              <w:left w:w="6" w:type="dxa"/>
              <w:bottom w:w="0" w:type="dxa"/>
              <w:right w:w="6" w:type="dxa"/>
            </w:tcMar>
            <w:vAlign w:val="bottom"/>
          </w:tcPr>
          <w:p w:rsidR="00683F7D" w:rsidRPr="00123353" w:rsidRDefault="00683F7D" w:rsidP="00683F7D">
            <w:pPr>
              <w:spacing w:line="360" w:lineRule="auto"/>
              <w:jc w:val="center"/>
              <w:textAlignment w:val="bottom"/>
              <w:rPr>
                <w:sz w:val="20"/>
                <w:szCs w:val="18"/>
              </w:rPr>
            </w:pPr>
            <w:r>
              <w:rPr>
                <w:rFonts w:eastAsia="ヒラギノ角ゴ Pro W3"/>
                <w:color w:val="595959"/>
                <w:kern w:val="24"/>
                <w:sz w:val="20"/>
                <w:szCs w:val="18"/>
              </w:rPr>
              <w:t>NS</w:t>
            </w:r>
          </w:p>
        </w:tc>
        <w:tc>
          <w:tcPr>
            <w:tcW w:w="1003" w:type="dxa"/>
            <w:gridSpan w:val="2"/>
            <w:tcBorders>
              <w:top w:val="nil"/>
              <w:left w:val="nil"/>
              <w:bottom w:val="nil"/>
              <w:right w:val="nil"/>
            </w:tcBorders>
            <w:tcMar>
              <w:top w:w="6" w:type="dxa"/>
              <w:left w:w="6" w:type="dxa"/>
              <w:bottom w:w="0" w:type="dxa"/>
              <w:right w:w="6" w:type="dxa"/>
            </w:tcMar>
            <w:vAlign w:val="bottom"/>
          </w:tcPr>
          <w:p w:rsidR="00683F7D" w:rsidRPr="00123353" w:rsidRDefault="00683F7D" w:rsidP="00683F7D">
            <w:pPr>
              <w:spacing w:line="360" w:lineRule="auto"/>
              <w:jc w:val="center"/>
              <w:textAlignment w:val="bottom"/>
              <w:rPr>
                <w:rFonts w:ascii="Arial" w:hAnsi="Arial" w:cs="Arial"/>
                <w:sz w:val="20"/>
                <w:szCs w:val="36"/>
              </w:rPr>
            </w:pPr>
            <w:r>
              <w:rPr>
                <w:rFonts w:eastAsia="ヒラギノ角ゴ Pro W3"/>
                <w:b/>
                <w:bCs/>
                <w:color w:val="000000"/>
                <w:kern w:val="24"/>
                <w:sz w:val="20"/>
                <w:szCs w:val="18"/>
              </w:rPr>
              <w:t>+21.4</w:t>
            </w:r>
            <w:r w:rsidRPr="00123353">
              <w:rPr>
                <w:rFonts w:eastAsia="ヒラギノ角ゴ Pro W3"/>
                <w:b/>
                <w:bCs/>
                <w:color w:val="000000"/>
                <w:kern w:val="24"/>
                <w:sz w:val="20"/>
                <w:szCs w:val="18"/>
              </w:rPr>
              <w:t xml:space="preserve">% </w:t>
            </w:r>
          </w:p>
        </w:tc>
        <w:tc>
          <w:tcPr>
            <w:tcW w:w="284" w:type="dxa"/>
            <w:tcBorders>
              <w:top w:val="nil"/>
              <w:left w:val="nil"/>
              <w:bottom w:val="nil"/>
              <w:right w:val="nil"/>
            </w:tcBorders>
            <w:tcMar>
              <w:top w:w="6" w:type="dxa"/>
              <w:left w:w="6" w:type="dxa"/>
              <w:bottom w:w="0" w:type="dxa"/>
              <w:right w:w="6" w:type="dxa"/>
            </w:tcMar>
            <w:vAlign w:val="bottom"/>
          </w:tcPr>
          <w:p w:rsidR="00683F7D" w:rsidRPr="00123353" w:rsidRDefault="00683F7D" w:rsidP="00683F7D">
            <w:pPr>
              <w:spacing w:line="360" w:lineRule="auto"/>
              <w:rPr>
                <w:sz w:val="20"/>
                <w:szCs w:val="18"/>
              </w:rPr>
            </w:pPr>
          </w:p>
        </w:tc>
        <w:tc>
          <w:tcPr>
            <w:tcW w:w="1091" w:type="dxa"/>
            <w:tcBorders>
              <w:top w:val="nil"/>
              <w:left w:val="nil"/>
              <w:bottom w:val="nil"/>
              <w:right w:val="nil"/>
            </w:tcBorders>
            <w:tcMar>
              <w:top w:w="6" w:type="dxa"/>
              <w:left w:w="6" w:type="dxa"/>
              <w:bottom w:w="0" w:type="dxa"/>
              <w:right w:w="6" w:type="dxa"/>
            </w:tcMar>
            <w:vAlign w:val="bottom"/>
          </w:tcPr>
          <w:p w:rsidR="00683F7D" w:rsidRPr="00123353" w:rsidRDefault="00683F7D" w:rsidP="00683F7D">
            <w:pPr>
              <w:spacing w:line="360" w:lineRule="auto"/>
              <w:jc w:val="center"/>
              <w:textAlignment w:val="bottom"/>
              <w:rPr>
                <w:sz w:val="20"/>
                <w:szCs w:val="18"/>
              </w:rPr>
            </w:pPr>
            <w:r>
              <w:rPr>
                <w:rFonts w:eastAsia="ヒラギノ角ゴ Pro W3"/>
                <w:color w:val="595959"/>
                <w:kern w:val="24"/>
                <w:sz w:val="20"/>
                <w:szCs w:val="18"/>
              </w:rPr>
              <w:t>NS</w:t>
            </w:r>
            <w:r w:rsidRPr="00123353">
              <w:rPr>
                <w:rFonts w:eastAsia="ヒラギノ角ゴ Pro W3"/>
                <w:color w:val="595959"/>
                <w:kern w:val="24"/>
                <w:sz w:val="20"/>
                <w:szCs w:val="18"/>
              </w:rPr>
              <w:t xml:space="preserve"> </w:t>
            </w:r>
          </w:p>
        </w:tc>
        <w:tc>
          <w:tcPr>
            <w:tcW w:w="1112" w:type="dxa"/>
            <w:tcBorders>
              <w:top w:val="nil"/>
              <w:left w:val="nil"/>
              <w:bottom w:val="nil"/>
              <w:right w:val="nil"/>
            </w:tcBorders>
            <w:tcMar>
              <w:top w:w="6" w:type="dxa"/>
              <w:left w:w="6" w:type="dxa"/>
              <w:bottom w:w="0" w:type="dxa"/>
              <w:right w:w="6" w:type="dxa"/>
            </w:tcMar>
            <w:vAlign w:val="bottom"/>
          </w:tcPr>
          <w:p w:rsidR="00683F7D" w:rsidRPr="00123353" w:rsidRDefault="00683F7D" w:rsidP="00683F7D">
            <w:pPr>
              <w:spacing w:line="360" w:lineRule="auto"/>
              <w:jc w:val="center"/>
              <w:textAlignment w:val="bottom"/>
              <w:rPr>
                <w:sz w:val="20"/>
                <w:szCs w:val="18"/>
              </w:rPr>
            </w:pPr>
            <w:r>
              <w:rPr>
                <w:rFonts w:eastAsia="ヒラギノ角ゴ Pro W3"/>
                <w:color w:val="595959"/>
                <w:kern w:val="24"/>
                <w:sz w:val="20"/>
                <w:szCs w:val="18"/>
              </w:rPr>
              <w:t>NS</w:t>
            </w:r>
            <w:r w:rsidRPr="00123353">
              <w:rPr>
                <w:rFonts w:eastAsia="ヒラギノ角ゴ Pro W3"/>
                <w:color w:val="595959"/>
                <w:kern w:val="24"/>
                <w:sz w:val="20"/>
                <w:szCs w:val="18"/>
              </w:rPr>
              <w:t xml:space="preserve"> </w:t>
            </w:r>
          </w:p>
        </w:tc>
      </w:tr>
      <w:tr w:rsidR="002F09FD" w:rsidRPr="008C6839" w:rsidTr="002F09FD">
        <w:trPr>
          <w:trHeight w:val="245"/>
        </w:trPr>
        <w:tc>
          <w:tcPr>
            <w:tcW w:w="1530" w:type="dxa"/>
            <w:tcBorders>
              <w:left w:val="nil"/>
              <w:right w:val="nil"/>
            </w:tcBorders>
            <w:tcMar>
              <w:top w:w="6" w:type="dxa"/>
              <w:left w:w="6" w:type="dxa"/>
              <w:bottom w:w="0" w:type="dxa"/>
              <w:right w:w="6" w:type="dxa"/>
            </w:tcMar>
            <w:vAlign w:val="bottom"/>
          </w:tcPr>
          <w:p w:rsidR="002F09FD" w:rsidRPr="00123353" w:rsidRDefault="002F09FD" w:rsidP="002F09FD">
            <w:pPr>
              <w:spacing w:line="360" w:lineRule="auto"/>
              <w:textAlignment w:val="bottom"/>
              <w:rPr>
                <w:sz w:val="20"/>
                <w:szCs w:val="18"/>
              </w:rPr>
            </w:pPr>
          </w:p>
        </w:tc>
        <w:tc>
          <w:tcPr>
            <w:tcW w:w="889" w:type="dxa"/>
            <w:tcBorders>
              <w:top w:val="nil"/>
              <w:left w:val="nil"/>
              <w:right w:val="nil"/>
            </w:tcBorders>
            <w:tcMar>
              <w:top w:w="6" w:type="dxa"/>
              <w:left w:w="6" w:type="dxa"/>
              <w:bottom w:w="0" w:type="dxa"/>
              <w:right w:w="6" w:type="dxa"/>
            </w:tcMar>
            <w:vAlign w:val="bottom"/>
          </w:tcPr>
          <w:p w:rsidR="002F09FD" w:rsidRPr="00123353" w:rsidRDefault="002F09FD" w:rsidP="002F09FD">
            <w:pPr>
              <w:spacing w:line="360" w:lineRule="auto"/>
              <w:textAlignment w:val="bottom"/>
              <w:rPr>
                <w:rFonts w:eastAsia="ヒラギノ角ゴ Pro W3"/>
                <w:color w:val="000000"/>
                <w:kern w:val="24"/>
                <w:sz w:val="20"/>
                <w:szCs w:val="18"/>
              </w:rPr>
            </w:pPr>
          </w:p>
        </w:tc>
        <w:tc>
          <w:tcPr>
            <w:tcW w:w="1721" w:type="dxa"/>
            <w:tcBorders>
              <w:top w:val="nil"/>
              <w:left w:val="nil"/>
              <w:bottom w:val="nil"/>
              <w:right w:val="nil"/>
            </w:tcBorders>
            <w:tcMar>
              <w:top w:w="6" w:type="dxa"/>
              <w:left w:w="6" w:type="dxa"/>
              <w:bottom w:w="0" w:type="dxa"/>
              <w:right w:w="6" w:type="dxa"/>
            </w:tcMar>
            <w:vAlign w:val="bottom"/>
          </w:tcPr>
          <w:p w:rsidR="002F09FD" w:rsidRPr="00123353" w:rsidRDefault="002F09FD" w:rsidP="002F09FD">
            <w:pPr>
              <w:spacing w:line="360" w:lineRule="auto"/>
              <w:textAlignment w:val="bottom"/>
              <w:rPr>
                <w:sz w:val="20"/>
                <w:szCs w:val="18"/>
              </w:rPr>
            </w:pPr>
            <w:r w:rsidRPr="00123353">
              <w:rPr>
                <w:rFonts w:eastAsia="ヒラギノ角ゴ Pro W3"/>
                <w:color w:val="000000"/>
                <w:kern w:val="24"/>
                <w:sz w:val="20"/>
                <w:szCs w:val="18"/>
              </w:rPr>
              <w:t xml:space="preserve">     Mannan</w:t>
            </w:r>
            <w:r w:rsidRPr="00123353">
              <w:rPr>
                <w:color w:val="000000"/>
                <w:kern w:val="24"/>
                <w:sz w:val="20"/>
                <w:szCs w:val="18"/>
              </w:rPr>
              <w:t xml:space="preserve"> </w:t>
            </w:r>
          </w:p>
        </w:tc>
        <w:tc>
          <w:tcPr>
            <w:tcW w:w="1010" w:type="dxa"/>
            <w:tcBorders>
              <w:top w:val="nil"/>
              <w:left w:val="nil"/>
              <w:bottom w:val="nil"/>
              <w:right w:val="nil"/>
            </w:tcBorders>
            <w:tcMar>
              <w:top w:w="6" w:type="dxa"/>
              <w:left w:w="6" w:type="dxa"/>
              <w:bottom w:w="0" w:type="dxa"/>
              <w:right w:w="6" w:type="dxa"/>
            </w:tcMar>
            <w:vAlign w:val="bottom"/>
          </w:tcPr>
          <w:p w:rsidR="002F09FD" w:rsidRPr="00123353" w:rsidRDefault="002F09FD" w:rsidP="002F09FD">
            <w:pPr>
              <w:spacing w:line="360" w:lineRule="auto"/>
              <w:jc w:val="center"/>
              <w:textAlignment w:val="bottom"/>
              <w:rPr>
                <w:sz w:val="20"/>
                <w:szCs w:val="18"/>
              </w:rPr>
            </w:pPr>
            <w:r>
              <w:rPr>
                <w:rFonts w:eastAsia="ヒラギノ角ゴ Pro W3"/>
                <w:color w:val="595959"/>
                <w:kern w:val="24"/>
                <w:sz w:val="20"/>
                <w:szCs w:val="18"/>
              </w:rPr>
              <w:t>NS</w:t>
            </w:r>
          </w:p>
        </w:tc>
        <w:tc>
          <w:tcPr>
            <w:tcW w:w="1003" w:type="dxa"/>
            <w:gridSpan w:val="2"/>
            <w:tcBorders>
              <w:top w:val="nil"/>
              <w:left w:val="nil"/>
              <w:bottom w:val="nil"/>
              <w:right w:val="nil"/>
            </w:tcBorders>
            <w:tcMar>
              <w:top w:w="6" w:type="dxa"/>
              <w:left w:w="6" w:type="dxa"/>
              <w:bottom w:w="0" w:type="dxa"/>
              <w:right w:w="6" w:type="dxa"/>
            </w:tcMar>
            <w:vAlign w:val="bottom"/>
          </w:tcPr>
          <w:p w:rsidR="002F09FD" w:rsidRPr="00123353" w:rsidRDefault="002F09FD" w:rsidP="002F09FD">
            <w:pPr>
              <w:spacing w:line="360" w:lineRule="auto"/>
              <w:jc w:val="center"/>
              <w:textAlignment w:val="bottom"/>
              <w:rPr>
                <w:sz w:val="20"/>
                <w:szCs w:val="18"/>
              </w:rPr>
            </w:pPr>
            <w:r>
              <w:rPr>
                <w:rFonts w:eastAsia="ヒラギノ角ゴ Pro W3"/>
                <w:color w:val="595959"/>
                <w:kern w:val="24"/>
                <w:sz w:val="20"/>
                <w:szCs w:val="18"/>
              </w:rPr>
              <w:t>NS</w:t>
            </w:r>
          </w:p>
        </w:tc>
        <w:tc>
          <w:tcPr>
            <w:tcW w:w="284" w:type="dxa"/>
            <w:tcBorders>
              <w:top w:val="nil"/>
              <w:left w:val="nil"/>
              <w:bottom w:val="nil"/>
              <w:right w:val="nil"/>
            </w:tcBorders>
            <w:tcMar>
              <w:top w:w="6" w:type="dxa"/>
              <w:left w:w="6" w:type="dxa"/>
              <w:bottom w:w="0" w:type="dxa"/>
              <w:right w:w="6" w:type="dxa"/>
            </w:tcMar>
            <w:vAlign w:val="bottom"/>
          </w:tcPr>
          <w:p w:rsidR="002F09FD" w:rsidRPr="00123353" w:rsidRDefault="002F09FD" w:rsidP="002F09FD">
            <w:pPr>
              <w:spacing w:line="360" w:lineRule="auto"/>
              <w:rPr>
                <w:sz w:val="20"/>
                <w:szCs w:val="18"/>
              </w:rPr>
            </w:pPr>
          </w:p>
        </w:tc>
        <w:tc>
          <w:tcPr>
            <w:tcW w:w="1091" w:type="dxa"/>
            <w:tcBorders>
              <w:top w:val="nil"/>
              <w:left w:val="nil"/>
              <w:bottom w:val="nil"/>
              <w:right w:val="nil"/>
            </w:tcBorders>
            <w:tcMar>
              <w:top w:w="6" w:type="dxa"/>
              <w:left w:w="6" w:type="dxa"/>
              <w:bottom w:w="0" w:type="dxa"/>
              <w:right w:w="6" w:type="dxa"/>
            </w:tcMar>
            <w:vAlign w:val="bottom"/>
          </w:tcPr>
          <w:p w:rsidR="002F09FD" w:rsidRPr="00123353" w:rsidRDefault="002F09FD" w:rsidP="002F09FD">
            <w:pPr>
              <w:spacing w:line="360" w:lineRule="auto"/>
              <w:jc w:val="center"/>
              <w:textAlignment w:val="bottom"/>
              <w:rPr>
                <w:sz w:val="20"/>
                <w:szCs w:val="18"/>
              </w:rPr>
            </w:pPr>
            <w:r>
              <w:rPr>
                <w:rFonts w:eastAsia="ヒラギノ角ゴ Pro W3"/>
                <w:color w:val="595959"/>
                <w:kern w:val="24"/>
                <w:sz w:val="20"/>
                <w:szCs w:val="18"/>
              </w:rPr>
              <w:t>NS</w:t>
            </w:r>
            <w:r w:rsidRPr="00123353">
              <w:rPr>
                <w:rFonts w:eastAsia="ヒラギノ角ゴ Pro W3"/>
                <w:color w:val="595959"/>
                <w:kern w:val="24"/>
                <w:sz w:val="20"/>
                <w:szCs w:val="18"/>
              </w:rPr>
              <w:t xml:space="preserve"> </w:t>
            </w:r>
          </w:p>
        </w:tc>
        <w:tc>
          <w:tcPr>
            <w:tcW w:w="1112" w:type="dxa"/>
            <w:tcBorders>
              <w:top w:val="nil"/>
              <w:left w:val="nil"/>
              <w:bottom w:val="nil"/>
              <w:right w:val="nil"/>
            </w:tcBorders>
            <w:tcMar>
              <w:top w:w="6" w:type="dxa"/>
              <w:left w:w="6" w:type="dxa"/>
              <w:bottom w:w="0" w:type="dxa"/>
              <w:right w:w="6" w:type="dxa"/>
            </w:tcMar>
            <w:vAlign w:val="bottom"/>
          </w:tcPr>
          <w:p w:rsidR="002F09FD" w:rsidRPr="00123353" w:rsidRDefault="002F09FD" w:rsidP="002F09FD">
            <w:pPr>
              <w:spacing w:line="360" w:lineRule="auto"/>
              <w:jc w:val="center"/>
              <w:textAlignment w:val="bottom"/>
              <w:rPr>
                <w:sz w:val="20"/>
                <w:szCs w:val="18"/>
              </w:rPr>
            </w:pPr>
            <w:r>
              <w:rPr>
                <w:rFonts w:eastAsia="ヒラギノ角ゴ Pro W3"/>
                <w:color w:val="595959"/>
                <w:kern w:val="24"/>
                <w:sz w:val="20"/>
                <w:szCs w:val="18"/>
              </w:rPr>
              <w:t>NS</w:t>
            </w:r>
            <w:r w:rsidRPr="00123353">
              <w:rPr>
                <w:rFonts w:eastAsia="ヒラギノ角ゴ Pro W3"/>
                <w:color w:val="595959"/>
                <w:kern w:val="24"/>
                <w:sz w:val="20"/>
                <w:szCs w:val="18"/>
              </w:rPr>
              <w:t xml:space="preserve"> </w:t>
            </w:r>
          </w:p>
        </w:tc>
      </w:tr>
      <w:tr w:rsidR="002F09FD" w:rsidRPr="008C6839" w:rsidTr="002F09FD">
        <w:trPr>
          <w:trHeight w:val="245"/>
        </w:trPr>
        <w:tc>
          <w:tcPr>
            <w:tcW w:w="1530" w:type="dxa"/>
            <w:tcBorders>
              <w:left w:val="nil"/>
              <w:bottom w:val="single" w:sz="4" w:space="0" w:color="auto"/>
              <w:right w:val="nil"/>
            </w:tcBorders>
            <w:tcMar>
              <w:top w:w="6" w:type="dxa"/>
              <w:left w:w="6" w:type="dxa"/>
              <w:bottom w:w="0" w:type="dxa"/>
              <w:right w:w="6" w:type="dxa"/>
            </w:tcMar>
            <w:vAlign w:val="bottom"/>
          </w:tcPr>
          <w:p w:rsidR="002F09FD" w:rsidRPr="00123353" w:rsidRDefault="002F09FD" w:rsidP="002F09FD">
            <w:pPr>
              <w:spacing w:line="360" w:lineRule="auto"/>
              <w:textAlignment w:val="bottom"/>
              <w:rPr>
                <w:sz w:val="20"/>
                <w:szCs w:val="18"/>
              </w:rPr>
            </w:pPr>
          </w:p>
        </w:tc>
        <w:tc>
          <w:tcPr>
            <w:tcW w:w="889" w:type="dxa"/>
            <w:tcBorders>
              <w:top w:val="nil"/>
              <w:left w:val="nil"/>
              <w:bottom w:val="single" w:sz="4" w:space="0" w:color="auto"/>
              <w:right w:val="nil"/>
            </w:tcBorders>
            <w:tcMar>
              <w:top w:w="6" w:type="dxa"/>
              <w:left w:w="6" w:type="dxa"/>
              <w:bottom w:w="0" w:type="dxa"/>
              <w:right w:w="6" w:type="dxa"/>
            </w:tcMar>
            <w:vAlign w:val="bottom"/>
          </w:tcPr>
          <w:p w:rsidR="002F09FD" w:rsidRPr="00123353" w:rsidRDefault="002F09FD" w:rsidP="002F09FD">
            <w:pPr>
              <w:spacing w:line="360" w:lineRule="auto"/>
              <w:textAlignment w:val="bottom"/>
              <w:rPr>
                <w:rFonts w:eastAsia="ヒラギノ角ゴ Pro W3"/>
                <w:color w:val="000000"/>
                <w:kern w:val="24"/>
                <w:sz w:val="20"/>
                <w:szCs w:val="18"/>
              </w:rPr>
            </w:pPr>
          </w:p>
        </w:tc>
        <w:tc>
          <w:tcPr>
            <w:tcW w:w="1721" w:type="dxa"/>
            <w:tcBorders>
              <w:top w:val="nil"/>
              <w:left w:val="nil"/>
              <w:right w:val="nil"/>
            </w:tcBorders>
            <w:tcMar>
              <w:top w:w="6" w:type="dxa"/>
              <w:left w:w="6" w:type="dxa"/>
              <w:bottom w:w="0" w:type="dxa"/>
              <w:right w:w="6" w:type="dxa"/>
            </w:tcMar>
            <w:vAlign w:val="bottom"/>
          </w:tcPr>
          <w:p w:rsidR="002F09FD" w:rsidRPr="00123353" w:rsidRDefault="002F09FD" w:rsidP="002F09FD">
            <w:pPr>
              <w:spacing w:line="360" w:lineRule="auto"/>
              <w:textAlignment w:val="bottom"/>
              <w:rPr>
                <w:sz w:val="20"/>
                <w:szCs w:val="18"/>
              </w:rPr>
            </w:pPr>
            <w:r w:rsidRPr="00123353">
              <w:rPr>
                <w:rFonts w:eastAsia="ヒラギノ角ゴ Pro W3"/>
                <w:color w:val="000000"/>
                <w:kern w:val="24"/>
                <w:sz w:val="20"/>
                <w:szCs w:val="18"/>
              </w:rPr>
              <w:t xml:space="preserve">Index of crystallinity </w:t>
            </w:r>
          </w:p>
        </w:tc>
        <w:tc>
          <w:tcPr>
            <w:tcW w:w="1010" w:type="dxa"/>
            <w:tcBorders>
              <w:top w:val="nil"/>
              <w:left w:val="nil"/>
              <w:right w:val="nil"/>
            </w:tcBorders>
            <w:tcMar>
              <w:top w:w="6" w:type="dxa"/>
              <w:left w:w="6" w:type="dxa"/>
              <w:bottom w:w="0" w:type="dxa"/>
              <w:right w:w="6" w:type="dxa"/>
            </w:tcMar>
            <w:vAlign w:val="bottom"/>
          </w:tcPr>
          <w:p w:rsidR="002F09FD" w:rsidRPr="00123353" w:rsidRDefault="002F09FD" w:rsidP="002F09FD">
            <w:pPr>
              <w:spacing w:line="360" w:lineRule="auto"/>
              <w:jc w:val="center"/>
              <w:textAlignment w:val="bottom"/>
              <w:rPr>
                <w:sz w:val="20"/>
                <w:szCs w:val="18"/>
              </w:rPr>
            </w:pPr>
            <w:r>
              <w:rPr>
                <w:rFonts w:eastAsia="ヒラギノ角ゴ Pro W3"/>
                <w:color w:val="595959"/>
                <w:kern w:val="24"/>
                <w:sz w:val="20"/>
                <w:szCs w:val="18"/>
              </w:rPr>
              <w:t>NS</w:t>
            </w:r>
          </w:p>
        </w:tc>
        <w:tc>
          <w:tcPr>
            <w:tcW w:w="1003" w:type="dxa"/>
            <w:gridSpan w:val="2"/>
            <w:tcBorders>
              <w:top w:val="nil"/>
              <w:left w:val="nil"/>
              <w:right w:val="nil"/>
            </w:tcBorders>
            <w:tcMar>
              <w:top w:w="6" w:type="dxa"/>
              <w:left w:w="6" w:type="dxa"/>
              <w:bottom w:w="0" w:type="dxa"/>
              <w:right w:w="6" w:type="dxa"/>
            </w:tcMar>
            <w:vAlign w:val="bottom"/>
          </w:tcPr>
          <w:p w:rsidR="002F09FD" w:rsidRPr="00123353" w:rsidRDefault="002F09FD" w:rsidP="002F09FD">
            <w:pPr>
              <w:spacing w:line="360" w:lineRule="auto"/>
              <w:jc w:val="center"/>
              <w:textAlignment w:val="bottom"/>
              <w:rPr>
                <w:sz w:val="20"/>
                <w:szCs w:val="18"/>
              </w:rPr>
            </w:pPr>
            <w:r>
              <w:rPr>
                <w:rFonts w:eastAsia="ヒラギノ角ゴ Pro W3"/>
                <w:color w:val="595959"/>
                <w:kern w:val="24"/>
                <w:sz w:val="20"/>
                <w:szCs w:val="18"/>
              </w:rPr>
              <w:t>NS</w:t>
            </w:r>
          </w:p>
        </w:tc>
        <w:tc>
          <w:tcPr>
            <w:tcW w:w="284" w:type="dxa"/>
            <w:tcBorders>
              <w:top w:val="nil"/>
              <w:left w:val="nil"/>
              <w:right w:val="nil"/>
            </w:tcBorders>
            <w:tcMar>
              <w:top w:w="6" w:type="dxa"/>
              <w:left w:w="6" w:type="dxa"/>
              <w:bottom w:w="0" w:type="dxa"/>
              <w:right w:w="6" w:type="dxa"/>
            </w:tcMar>
            <w:vAlign w:val="bottom"/>
          </w:tcPr>
          <w:p w:rsidR="002F09FD" w:rsidRPr="00123353" w:rsidRDefault="002F09FD" w:rsidP="002F09FD">
            <w:pPr>
              <w:spacing w:line="360" w:lineRule="auto"/>
              <w:rPr>
                <w:sz w:val="20"/>
                <w:szCs w:val="18"/>
              </w:rPr>
            </w:pPr>
          </w:p>
        </w:tc>
        <w:tc>
          <w:tcPr>
            <w:tcW w:w="1091" w:type="dxa"/>
            <w:tcBorders>
              <w:top w:val="nil"/>
              <w:left w:val="nil"/>
              <w:right w:val="nil"/>
            </w:tcBorders>
            <w:tcMar>
              <w:top w:w="6" w:type="dxa"/>
              <w:left w:w="6" w:type="dxa"/>
              <w:bottom w:w="0" w:type="dxa"/>
              <w:right w:w="6" w:type="dxa"/>
            </w:tcMar>
            <w:vAlign w:val="bottom"/>
          </w:tcPr>
          <w:p w:rsidR="002F09FD" w:rsidRPr="00123353" w:rsidRDefault="002F09FD" w:rsidP="002F09FD">
            <w:pPr>
              <w:spacing w:line="360" w:lineRule="auto"/>
              <w:jc w:val="center"/>
              <w:textAlignment w:val="bottom"/>
              <w:rPr>
                <w:sz w:val="20"/>
                <w:szCs w:val="18"/>
              </w:rPr>
            </w:pPr>
            <w:r w:rsidRPr="00123353">
              <w:rPr>
                <w:rFonts w:eastAsia="ヒラギノ角ゴ Pro W3"/>
                <w:b/>
                <w:bCs/>
                <w:color w:val="000000"/>
                <w:kern w:val="24"/>
                <w:sz w:val="20"/>
                <w:szCs w:val="18"/>
              </w:rPr>
              <w:t xml:space="preserve">-18.6% </w:t>
            </w:r>
          </w:p>
        </w:tc>
        <w:tc>
          <w:tcPr>
            <w:tcW w:w="1112" w:type="dxa"/>
            <w:tcBorders>
              <w:top w:val="nil"/>
              <w:left w:val="nil"/>
              <w:right w:val="nil"/>
            </w:tcBorders>
            <w:tcMar>
              <w:top w:w="6" w:type="dxa"/>
              <w:left w:w="6" w:type="dxa"/>
              <w:bottom w:w="0" w:type="dxa"/>
              <w:right w:w="6" w:type="dxa"/>
            </w:tcMar>
            <w:vAlign w:val="bottom"/>
          </w:tcPr>
          <w:p w:rsidR="002F09FD" w:rsidRPr="00123353" w:rsidRDefault="002F09FD" w:rsidP="002F09FD">
            <w:pPr>
              <w:spacing w:line="360" w:lineRule="auto"/>
              <w:jc w:val="center"/>
              <w:textAlignment w:val="bottom"/>
              <w:rPr>
                <w:sz w:val="20"/>
                <w:szCs w:val="18"/>
              </w:rPr>
            </w:pPr>
            <w:r w:rsidRPr="00123353">
              <w:rPr>
                <w:rFonts w:eastAsia="ヒラギノ角ゴ Pro W3"/>
                <w:b/>
                <w:bCs/>
                <w:color w:val="000000"/>
                <w:kern w:val="24"/>
                <w:sz w:val="20"/>
                <w:szCs w:val="18"/>
              </w:rPr>
              <w:t xml:space="preserve">-16.0% </w:t>
            </w:r>
          </w:p>
        </w:tc>
      </w:tr>
      <w:tr w:rsidR="002F09FD" w:rsidRPr="008C6839" w:rsidTr="002F09FD">
        <w:trPr>
          <w:trHeight w:val="245"/>
        </w:trPr>
        <w:tc>
          <w:tcPr>
            <w:tcW w:w="1530" w:type="dxa"/>
            <w:vMerge w:val="restart"/>
            <w:tcBorders>
              <w:top w:val="single" w:sz="4" w:space="0" w:color="auto"/>
              <w:left w:val="nil"/>
              <w:right w:val="nil"/>
            </w:tcBorders>
            <w:tcMar>
              <w:top w:w="6" w:type="dxa"/>
              <w:left w:w="6" w:type="dxa"/>
              <w:bottom w:w="0" w:type="dxa"/>
              <w:right w:w="6" w:type="dxa"/>
            </w:tcMar>
          </w:tcPr>
          <w:p w:rsidR="002F09FD" w:rsidRPr="00123353" w:rsidRDefault="002F09FD" w:rsidP="002F09FD">
            <w:pPr>
              <w:spacing w:line="360" w:lineRule="auto"/>
              <w:textAlignment w:val="bottom"/>
              <w:rPr>
                <w:sz w:val="20"/>
                <w:szCs w:val="18"/>
              </w:rPr>
            </w:pPr>
          </w:p>
          <w:p w:rsidR="002F09FD" w:rsidRPr="00123353" w:rsidRDefault="002F09FD" w:rsidP="002F09FD">
            <w:pPr>
              <w:spacing w:line="360" w:lineRule="auto"/>
              <w:textAlignment w:val="bottom"/>
              <w:rPr>
                <w:sz w:val="20"/>
                <w:szCs w:val="18"/>
              </w:rPr>
            </w:pPr>
            <w:r w:rsidRPr="00123353">
              <w:rPr>
                <w:sz w:val="20"/>
                <w:szCs w:val="18"/>
              </w:rPr>
              <w:t>Sugar release</w:t>
            </w:r>
          </w:p>
        </w:tc>
        <w:tc>
          <w:tcPr>
            <w:tcW w:w="889" w:type="dxa"/>
            <w:tcBorders>
              <w:top w:val="single" w:sz="4" w:space="0" w:color="auto"/>
              <w:left w:val="nil"/>
              <w:right w:val="nil"/>
            </w:tcBorders>
            <w:tcMar>
              <w:top w:w="6" w:type="dxa"/>
              <w:left w:w="6" w:type="dxa"/>
              <w:bottom w:w="0" w:type="dxa"/>
              <w:right w:w="6" w:type="dxa"/>
            </w:tcMar>
            <w:vAlign w:val="bottom"/>
          </w:tcPr>
          <w:p w:rsidR="002F09FD" w:rsidRPr="00123353" w:rsidRDefault="002F09FD" w:rsidP="002F09FD">
            <w:pPr>
              <w:spacing w:line="360" w:lineRule="auto"/>
              <w:textAlignment w:val="bottom"/>
              <w:rPr>
                <w:rFonts w:ascii="Arial" w:hAnsi="Arial" w:cs="Arial"/>
                <w:sz w:val="20"/>
                <w:szCs w:val="36"/>
              </w:rPr>
            </w:pPr>
            <w:r w:rsidRPr="00123353">
              <w:rPr>
                <w:rFonts w:eastAsia="ヒラギノ角ゴ Pro W3"/>
                <w:color w:val="000000"/>
                <w:kern w:val="24"/>
                <w:sz w:val="20"/>
                <w:szCs w:val="18"/>
              </w:rPr>
              <w:t xml:space="preserve">Green </w:t>
            </w:r>
          </w:p>
        </w:tc>
        <w:tc>
          <w:tcPr>
            <w:tcW w:w="1721" w:type="dxa"/>
            <w:tcBorders>
              <w:top w:val="single" w:sz="4" w:space="0" w:color="auto"/>
              <w:left w:val="nil"/>
              <w:bottom w:val="nil"/>
              <w:right w:val="nil"/>
            </w:tcBorders>
            <w:tcMar>
              <w:top w:w="6" w:type="dxa"/>
              <w:left w:w="6" w:type="dxa"/>
              <w:bottom w:w="0" w:type="dxa"/>
              <w:right w:w="6" w:type="dxa"/>
            </w:tcMar>
            <w:vAlign w:val="bottom"/>
          </w:tcPr>
          <w:p w:rsidR="002F09FD" w:rsidRPr="00123353" w:rsidRDefault="002F09FD" w:rsidP="002F09FD">
            <w:pPr>
              <w:spacing w:line="360" w:lineRule="auto"/>
              <w:textAlignment w:val="bottom"/>
              <w:rPr>
                <w:rFonts w:ascii="Arial" w:hAnsi="Arial" w:cs="Arial"/>
                <w:sz w:val="20"/>
                <w:szCs w:val="36"/>
              </w:rPr>
            </w:pPr>
            <w:r w:rsidRPr="00123353">
              <w:rPr>
                <w:rFonts w:eastAsia="ヒラギノ角ゴ Pro W3"/>
                <w:color w:val="000000"/>
                <w:kern w:val="24"/>
                <w:sz w:val="20"/>
                <w:szCs w:val="18"/>
              </w:rPr>
              <w:t xml:space="preserve">Total sugar release </w:t>
            </w:r>
          </w:p>
        </w:tc>
        <w:tc>
          <w:tcPr>
            <w:tcW w:w="1062" w:type="dxa"/>
            <w:gridSpan w:val="2"/>
            <w:tcBorders>
              <w:top w:val="single" w:sz="4" w:space="0" w:color="auto"/>
              <w:left w:val="nil"/>
              <w:bottom w:val="nil"/>
              <w:right w:val="nil"/>
            </w:tcBorders>
            <w:tcMar>
              <w:top w:w="6" w:type="dxa"/>
              <w:left w:w="6" w:type="dxa"/>
              <w:bottom w:w="0" w:type="dxa"/>
              <w:right w:w="6" w:type="dxa"/>
            </w:tcMar>
            <w:vAlign w:val="bottom"/>
          </w:tcPr>
          <w:p w:rsidR="002F09FD" w:rsidRPr="00123353" w:rsidRDefault="002F09FD" w:rsidP="002F09FD">
            <w:pPr>
              <w:spacing w:line="360" w:lineRule="auto"/>
              <w:jc w:val="center"/>
              <w:textAlignment w:val="bottom"/>
              <w:rPr>
                <w:rFonts w:ascii="Arial" w:hAnsi="Arial" w:cs="Arial"/>
                <w:sz w:val="20"/>
                <w:szCs w:val="36"/>
              </w:rPr>
            </w:pPr>
            <w:r w:rsidRPr="00123353">
              <w:rPr>
                <w:rFonts w:eastAsia="ヒラギノ角ゴ Pro W3"/>
                <w:b/>
                <w:bCs/>
                <w:color w:val="000000"/>
                <w:kern w:val="24"/>
                <w:sz w:val="20"/>
                <w:szCs w:val="18"/>
              </w:rPr>
              <w:t xml:space="preserve">+11.7% </w:t>
            </w:r>
          </w:p>
        </w:tc>
        <w:tc>
          <w:tcPr>
            <w:tcW w:w="951" w:type="dxa"/>
            <w:tcBorders>
              <w:top w:val="single" w:sz="4" w:space="0" w:color="auto"/>
              <w:left w:val="nil"/>
              <w:bottom w:val="nil"/>
              <w:right w:val="nil"/>
            </w:tcBorders>
            <w:tcMar>
              <w:top w:w="6" w:type="dxa"/>
              <w:left w:w="6" w:type="dxa"/>
              <w:bottom w:w="0" w:type="dxa"/>
              <w:right w:w="6" w:type="dxa"/>
            </w:tcMar>
            <w:vAlign w:val="bottom"/>
          </w:tcPr>
          <w:p w:rsidR="002F09FD" w:rsidRPr="00123353" w:rsidRDefault="002F09FD" w:rsidP="002F09FD">
            <w:pPr>
              <w:spacing w:line="360" w:lineRule="auto"/>
              <w:jc w:val="center"/>
              <w:textAlignment w:val="bottom"/>
              <w:rPr>
                <w:rFonts w:ascii="Arial" w:hAnsi="Arial" w:cs="Arial"/>
                <w:sz w:val="20"/>
                <w:szCs w:val="36"/>
              </w:rPr>
            </w:pPr>
            <w:r w:rsidRPr="00123353">
              <w:rPr>
                <w:rFonts w:eastAsia="ヒラギノ角ゴ Pro W3"/>
                <w:b/>
                <w:bCs/>
                <w:color w:val="000000"/>
                <w:kern w:val="24"/>
                <w:sz w:val="20"/>
                <w:szCs w:val="18"/>
              </w:rPr>
              <w:t xml:space="preserve">+9.0% </w:t>
            </w:r>
          </w:p>
        </w:tc>
        <w:tc>
          <w:tcPr>
            <w:tcW w:w="284" w:type="dxa"/>
            <w:tcBorders>
              <w:top w:val="single" w:sz="4" w:space="0" w:color="auto"/>
              <w:left w:val="nil"/>
              <w:bottom w:val="nil"/>
              <w:right w:val="nil"/>
            </w:tcBorders>
            <w:tcMar>
              <w:top w:w="6" w:type="dxa"/>
              <w:left w:w="6" w:type="dxa"/>
              <w:bottom w:w="0" w:type="dxa"/>
              <w:right w:w="6" w:type="dxa"/>
            </w:tcMar>
            <w:vAlign w:val="bottom"/>
          </w:tcPr>
          <w:p w:rsidR="002F09FD" w:rsidRPr="00123353" w:rsidRDefault="002F09FD" w:rsidP="002F09FD">
            <w:pPr>
              <w:spacing w:line="360" w:lineRule="auto"/>
              <w:rPr>
                <w:rFonts w:ascii="Arial" w:hAnsi="Arial" w:cs="Arial"/>
                <w:sz w:val="20"/>
                <w:szCs w:val="36"/>
              </w:rPr>
            </w:pPr>
          </w:p>
        </w:tc>
        <w:tc>
          <w:tcPr>
            <w:tcW w:w="1091" w:type="dxa"/>
            <w:tcBorders>
              <w:top w:val="single" w:sz="4" w:space="0" w:color="auto"/>
              <w:left w:val="nil"/>
              <w:bottom w:val="nil"/>
              <w:right w:val="nil"/>
            </w:tcBorders>
            <w:tcMar>
              <w:top w:w="6" w:type="dxa"/>
              <w:left w:w="6" w:type="dxa"/>
              <w:bottom w:w="0" w:type="dxa"/>
              <w:right w:w="6" w:type="dxa"/>
            </w:tcMar>
            <w:vAlign w:val="bottom"/>
          </w:tcPr>
          <w:p w:rsidR="002F09FD" w:rsidRPr="00123353" w:rsidRDefault="002F09FD" w:rsidP="002F09FD">
            <w:pPr>
              <w:spacing w:line="360" w:lineRule="auto"/>
              <w:jc w:val="center"/>
              <w:textAlignment w:val="bottom"/>
              <w:rPr>
                <w:rFonts w:ascii="Arial" w:hAnsi="Arial" w:cs="Arial"/>
                <w:sz w:val="20"/>
                <w:szCs w:val="36"/>
              </w:rPr>
            </w:pPr>
            <w:r w:rsidRPr="00123353">
              <w:rPr>
                <w:rFonts w:eastAsia="ヒラギノ角ゴ Pro W3"/>
                <w:b/>
                <w:bCs/>
                <w:color w:val="000000"/>
                <w:kern w:val="24"/>
                <w:sz w:val="20"/>
                <w:szCs w:val="18"/>
              </w:rPr>
              <w:t xml:space="preserve">+14.7% </w:t>
            </w:r>
          </w:p>
        </w:tc>
        <w:tc>
          <w:tcPr>
            <w:tcW w:w="1112" w:type="dxa"/>
            <w:tcBorders>
              <w:top w:val="single" w:sz="4" w:space="0" w:color="auto"/>
              <w:left w:val="nil"/>
              <w:bottom w:val="nil"/>
              <w:right w:val="nil"/>
            </w:tcBorders>
            <w:tcMar>
              <w:top w:w="6" w:type="dxa"/>
              <w:left w:w="6" w:type="dxa"/>
              <w:bottom w:w="0" w:type="dxa"/>
              <w:right w:w="6" w:type="dxa"/>
            </w:tcMar>
            <w:vAlign w:val="bottom"/>
          </w:tcPr>
          <w:p w:rsidR="002F09FD" w:rsidRPr="00123353" w:rsidRDefault="002F09FD" w:rsidP="002F09FD">
            <w:pPr>
              <w:spacing w:line="360" w:lineRule="auto"/>
              <w:jc w:val="center"/>
              <w:textAlignment w:val="bottom"/>
              <w:rPr>
                <w:rFonts w:ascii="Arial" w:hAnsi="Arial" w:cs="Arial"/>
                <w:sz w:val="20"/>
                <w:szCs w:val="36"/>
              </w:rPr>
            </w:pPr>
            <w:r w:rsidRPr="00123353">
              <w:rPr>
                <w:rFonts w:eastAsia="ヒラギノ角ゴ Pro W3"/>
                <w:b/>
                <w:bCs/>
                <w:color w:val="000000"/>
                <w:kern w:val="24"/>
                <w:sz w:val="20"/>
                <w:szCs w:val="18"/>
              </w:rPr>
              <w:t xml:space="preserve">+18.7% </w:t>
            </w:r>
          </w:p>
        </w:tc>
      </w:tr>
      <w:tr w:rsidR="002F09FD" w:rsidRPr="008C6839" w:rsidTr="002F09FD">
        <w:trPr>
          <w:trHeight w:val="245"/>
        </w:trPr>
        <w:tc>
          <w:tcPr>
            <w:tcW w:w="1530" w:type="dxa"/>
            <w:vMerge/>
            <w:tcBorders>
              <w:left w:val="nil"/>
              <w:right w:val="nil"/>
            </w:tcBorders>
            <w:vAlign w:val="center"/>
          </w:tcPr>
          <w:p w:rsidR="002F09FD" w:rsidRPr="00123353" w:rsidRDefault="002F09FD" w:rsidP="002F09FD">
            <w:pPr>
              <w:spacing w:line="360" w:lineRule="auto"/>
              <w:rPr>
                <w:rFonts w:ascii="Arial" w:hAnsi="Arial" w:cs="Arial"/>
                <w:sz w:val="20"/>
                <w:szCs w:val="36"/>
              </w:rPr>
            </w:pPr>
          </w:p>
        </w:tc>
        <w:tc>
          <w:tcPr>
            <w:tcW w:w="889" w:type="dxa"/>
            <w:tcBorders>
              <w:left w:val="nil"/>
              <w:right w:val="nil"/>
            </w:tcBorders>
            <w:tcMar>
              <w:top w:w="6" w:type="dxa"/>
              <w:left w:w="6" w:type="dxa"/>
              <w:bottom w:w="0" w:type="dxa"/>
              <w:right w:w="6" w:type="dxa"/>
            </w:tcMar>
            <w:vAlign w:val="bottom"/>
          </w:tcPr>
          <w:p w:rsidR="002F09FD" w:rsidRPr="00123353" w:rsidRDefault="002F09FD" w:rsidP="002F09FD">
            <w:pPr>
              <w:spacing w:line="360" w:lineRule="auto"/>
              <w:rPr>
                <w:rFonts w:ascii="Arial" w:hAnsi="Arial" w:cs="Arial"/>
                <w:sz w:val="20"/>
                <w:szCs w:val="36"/>
              </w:rPr>
            </w:pPr>
          </w:p>
        </w:tc>
        <w:tc>
          <w:tcPr>
            <w:tcW w:w="1721" w:type="dxa"/>
            <w:tcBorders>
              <w:top w:val="nil"/>
              <w:left w:val="nil"/>
              <w:bottom w:val="nil"/>
              <w:right w:val="nil"/>
            </w:tcBorders>
            <w:tcMar>
              <w:top w:w="6" w:type="dxa"/>
              <w:left w:w="6" w:type="dxa"/>
              <w:bottom w:w="0" w:type="dxa"/>
              <w:right w:w="6" w:type="dxa"/>
            </w:tcMar>
            <w:vAlign w:val="bottom"/>
          </w:tcPr>
          <w:p w:rsidR="002F09FD" w:rsidRPr="00123353" w:rsidRDefault="002F09FD" w:rsidP="002F09FD">
            <w:pPr>
              <w:spacing w:line="360" w:lineRule="auto"/>
              <w:rPr>
                <w:rFonts w:ascii="Arial" w:hAnsi="Arial" w:cs="Arial"/>
                <w:sz w:val="20"/>
                <w:szCs w:val="36"/>
              </w:rPr>
            </w:pPr>
          </w:p>
        </w:tc>
        <w:tc>
          <w:tcPr>
            <w:tcW w:w="1062" w:type="dxa"/>
            <w:gridSpan w:val="2"/>
            <w:tcBorders>
              <w:top w:val="nil"/>
              <w:left w:val="nil"/>
              <w:bottom w:val="nil"/>
              <w:right w:val="nil"/>
            </w:tcBorders>
            <w:tcMar>
              <w:top w:w="6" w:type="dxa"/>
              <w:left w:w="6" w:type="dxa"/>
              <w:bottom w:w="0" w:type="dxa"/>
              <w:right w:w="6" w:type="dxa"/>
            </w:tcMar>
            <w:vAlign w:val="bottom"/>
          </w:tcPr>
          <w:p w:rsidR="002F09FD" w:rsidRPr="00123353" w:rsidRDefault="002F09FD" w:rsidP="002F09FD">
            <w:pPr>
              <w:spacing w:line="360" w:lineRule="auto"/>
              <w:rPr>
                <w:rFonts w:ascii="Arial" w:hAnsi="Arial" w:cs="Arial"/>
                <w:sz w:val="20"/>
                <w:szCs w:val="36"/>
              </w:rPr>
            </w:pPr>
          </w:p>
        </w:tc>
        <w:tc>
          <w:tcPr>
            <w:tcW w:w="951" w:type="dxa"/>
            <w:tcBorders>
              <w:top w:val="nil"/>
              <w:left w:val="nil"/>
              <w:bottom w:val="nil"/>
              <w:right w:val="nil"/>
            </w:tcBorders>
            <w:tcMar>
              <w:top w:w="6" w:type="dxa"/>
              <w:left w:w="6" w:type="dxa"/>
              <w:bottom w:w="0" w:type="dxa"/>
              <w:right w:w="6" w:type="dxa"/>
            </w:tcMar>
            <w:vAlign w:val="bottom"/>
          </w:tcPr>
          <w:p w:rsidR="002F09FD" w:rsidRPr="00123353" w:rsidRDefault="002F09FD" w:rsidP="002F09FD">
            <w:pPr>
              <w:spacing w:line="360" w:lineRule="auto"/>
              <w:rPr>
                <w:rFonts w:ascii="Arial" w:hAnsi="Arial" w:cs="Arial"/>
                <w:sz w:val="20"/>
                <w:szCs w:val="36"/>
              </w:rPr>
            </w:pPr>
          </w:p>
        </w:tc>
        <w:tc>
          <w:tcPr>
            <w:tcW w:w="284" w:type="dxa"/>
            <w:tcBorders>
              <w:top w:val="nil"/>
              <w:left w:val="nil"/>
              <w:bottom w:val="nil"/>
              <w:right w:val="nil"/>
            </w:tcBorders>
            <w:tcMar>
              <w:top w:w="6" w:type="dxa"/>
              <w:left w:w="6" w:type="dxa"/>
              <w:bottom w:w="0" w:type="dxa"/>
              <w:right w:w="6" w:type="dxa"/>
            </w:tcMar>
            <w:vAlign w:val="bottom"/>
          </w:tcPr>
          <w:p w:rsidR="002F09FD" w:rsidRPr="00123353" w:rsidRDefault="002F09FD" w:rsidP="002F09FD">
            <w:pPr>
              <w:spacing w:line="360" w:lineRule="auto"/>
              <w:rPr>
                <w:rFonts w:ascii="Arial" w:hAnsi="Arial" w:cs="Arial"/>
                <w:sz w:val="20"/>
                <w:szCs w:val="36"/>
              </w:rPr>
            </w:pPr>
          </w:p>
        </w:tc>
        <w:tc>
          <w:tcPr>
            <w:tcW w:w="1091" w:type="dxa"/>
            <w:tcBorders>
              <w:top w:val="nil"/>
              <w:left w:val="nil"/>
              <w:bottom w:val="nil"/>
              <w:right w:val="nil"/>
            </w:tcBorders>
            <w:tcMar>
              <w:top w:w="6" w:type="dxa"/>
              <w:left w:w="6" w:type="dxa"/>
              <w:bottom w:w="0" w:type="dxa"/>
              <w:right w:w="6" w:type="dxa"/>
            </w:tcMar>
            <w:vAlign w:val="bottom"/>
          </w:tcPr>
          <w:p w:rsidR="002F09FD" w:rsidRPr="00123353" w:rsidRDefault="002F09FD" w:rsidP="002F09FD">
            <w:pPr>
              <w:spacing w:line="360" w:lineRule="auto"/>
              <w:rPr>
                <w:rFonts w:ascii="Arial" w:hAnsi="Arial" w:cs="Arial"/>
                <w:sz w:val="20"/>
                <w:szCs w:val="36"/>
              </w:rPr>
            </w:pPr>
          </w:p>
        </w:tc>
        <w:tc>
          <w:tcPr>
            <w:tcW w:w="1112" w:type="dxa"/>
            <w:tcBorders>
              <w:top w:val="nil"/>
              <w:left w:val="nil"/>
              <w:bottom w:val="nil"/>
              <w:right w:val="nil"/>
            </w:tcBorders>
            <w:tcMar>
              <w:top w:w="6" w:type="dxa"/>
              <w:left w:w="6" w:type="dxa"/>
              <w:bottom w:w="0" w:type="dxa"/>
              <w:right w:w="6" w:type="dxa"/>
            </w:tcMar>
            <w:vAlign w:val="bottom"/>
          </w:tcPr>
          <w:p w:rsidR="002F09FD" w:rsidRPr="00123353" w:rsidRDefault="002F09FD" w:rsidP="002F09FD">
            <w:pPr>
              <w:spacing w:line="360" w:lineRule="auto"/>
              <w:rPr>
                <w:rFonts w:ascii="Arial" w:hAnsi="Arial" w:cs="Arial"/>
                <w:sz w:val="20"/>
                <w:szCs w:val="36"/>
              </w:rPr>
            </w:pPr>
          </w:p>
        </w:tc>
      </w:tr>
      <w:tr w:rsidR="002F09FD" w:rsidRPr="008C6839" w:rsidTr="002F09FD">
        <w:trPr>
          <w:trHeight w:val="245"/>
        </w:trPr>
        <w:tc>
          <w:tcPr>
            <w:tcW w:w="1530" w:type="dxa"/>
            <w:vMerge/>
            <w:tcBorders>
              <w:left w:val="nil"/>
              <w:bottom w:val="single" w:sz="4" w:space="0" w:color="auto"/>
              <w:right w:val="nil"/>
            </w:tcBorders>
            <w:vAlign w:val="center"/>
          </w:tcPr>
          <w:p w:rsidR="002F09FD" w:rsidRPr="00123353" w:rsidRDefault="002F09FD" w:rsidP="002F09FD">
            <w:pPr>
              <w:spacing w:line="360" w:lineRule="auto"/>
              <w:rPr>
                <w:rFonts w:ascii="Arial" w:hAnsi="Arial" w:cs="Arial"/>
                <w:sz w:val="20"/>
                <w:szCs w:val="36"/>
              </w:rPr>
            </w:pPr>
          </w:p>
        </w:tc>
        <w:tc>
          <w:tcPr>
            <w:tcW w:w="889" w:type="dxa"/>
            <w:tcBorders>
              <w:left w:val="nil"/>
              <w:bottom w:val="single" w:sz="4" w:space="0" w:color="auto"/>
              <w:right w:val="nil"/>
            </w:tcBorders>
            <w:tcMar>
              <w:top w:w="6" w:type="dxa"/>
              <w:left w:w="6" w:type="dxa"/>
              <w:bottom w:w="0" w:type="dxa"/>
              <w:right w:w="6" w:type="dxa"/>
            </w:tcMar>
            <w:vAlign w:val="bottom"/>
          </w:tcPr>
          <w:p w:rsidR="002F09FD" w:rsidRPr="00123353" w:rsidRDefault="002F09FD" w:rsidP="002F09FD">
            <w:pPr>
              <w:spacing w:line="360" w:lineRule="auto"/>
              <w:textAlignment w:val="bottom"/>
              <w:rPr>
                <w:rFonts w:ascii="Arial" w:hAnsi="Arial" w:cs="Arial"/>
                <w:sz w:val="20"/>
                <w:szCs w:val="36"/>
              </w:rPr>
            </w:pPr>
            <w:r w:rsidRPr="00123353">
              <w:rPr>
                <w:rFonts w:eastAsia="ヒラギノ角ゴ Pro W3"/>
                <w:color w:val="000000"/>
                <w:kern w:val="24"/>
                <w:sz w:val="20"/>
                <w:szCs w:val="18"/>
              </w:rPr>
              <w:t xml:space="preserve">Senesced </w:t>
            </w:r>
          </w:p>
        </w:tc>
        <w:tc>
          <w:tcPr>
            <w:tcW w:w="1721" w:type="dxa"/>
            <w:tcBorders>
              <w:top w:val="nil"/>
              <w:left w:val="nil"/>
              <w:bottom w:val="single" w:sz="4" w:space="0" w:color="auto"/>
              <w:right w:val="nil"/>
            </w:tcBorders>
            <w:tcMar>
              <w:top w:w="6" w:type="dxa"/>
              <w:left w:w="6" w:type="dxa"/>
              <w:bottom w:w="0" w:type="dxa"/>
              <w:right w:w="6" w:type="dxa"/>
            </w:tcMar>
            <w:vAlign w:val="bottom"/>
          </w:tcPr>
          <w:p w:rsidR="002F09FD" w:rsidRPr="00123353" w:rsidRDefault="002F09FD" w:rsidP="002F09FD">
            <w:pPr>
              <w:spacing w:line="360" w:lineRule="auto"/>
              <w:textAlignment w:val="bottom"/>
              <w:rPr>
                <w:rFonts w:ascii="Arial" w:hAnsi="Arial" w:cs="Arial"/>
                <w:sz w:val="20"/>
                <w:szCs w:val="36"/>
              </w:rPr>
            </w:pPr>
            <w:r w:rsidRPr="00123353">
              <w:rPr>
                <w:rFonts w:eastAsia="ヒラギノ角ゴ Pro W3"/>
                <w:color w:val="000000"/>
                <w:kern w:val="24"/>
                <w:sz w:val="20"/>
                <w:szCs w:val="18"/>
              </w:rPr>
              <w:t xml:space="preserve">Total sugar release </w:t>
            </w:r>
          </w:p>
        </w:tc>
        <w:tc>
          <w:tcPr>
            <w:tcW w:w="1062" w:type="dxa"/>
            <w:gridSpan w:val="2"/>
            <w:tcBorders>
              <w:top w:val="nil"/>
              <w:left w:val="nil"/>
              <w:bottom w:val="single" w:sz="4" w:space="0" w:color="auto"/>
              <w:right w:val="nil"/>
            </w:tcBorders>
            <w:tcMar>
              <w:top w:w="6" w:type="dxa"/>
              <w:left w:w="6" w:type="dxa"/>
              <w:bottom w:w="0" w:type="dxa"/>
              <w:right w:w="6" w:type="dxa"/>
            </w:tcMar>
            <w:vAlign w:val="bottom"/>
          </w:tcPr>
          <w:p w:rsidR="002F09FD" w:rsidRPr="00123353" w:rsidRDefault="002F09FD" w:rsidP="002F09FD">
            <w:pPr>
              <w:spacing w:line="360" w:lineRule="auto"/>
              <w:jc w:val="center"/>
              <w:textAlignment w:val="bottom"/>
              <w:rPr>
                <w:rFonts w:ascii="Arial" w:hAnsi="Arial" w:cs="Arial"/>
                <w:sz w:val="20"/>
                <w:szCs w:val="36"/>
              </w:rPr>
            </w:pPr>
            <w:r>
              <w:rPr>
                <w:rFonts w:eastAsia="ヒラギノ角ゴ Pro W3"/>
                <w:b/>
                <w:bCs/>
                <w:color w:val="000000"/>
                <w:kern w:val="24"/>
                <w:sz w:val="20"/>
                <w:szCs w:val="18"/>
              </w:rPr>
              <w:t>+5.6</w:t>
            </w:r>
            <w:r w:rsidRPr="00123353">
              <w:rPr>
                <w:rFonts w:eastAsia="ヒラギノ角ゴ Pro W3"/>
                <w:b/>
                <w:bCs/>
                <w:color w:val="000000"/>
                <w:kern w:val="24"/>
                <w:sz w:val="20"/>
                <w:szCs w:val="18"/>
              </w:rPr>
              <w:t xml:space="preserve">% </w:t>
            </w:r>
          </w:p>
        </w:tc>
        <w:tc>
          <w:tcPr>
            <w:tcW w:w="951" w:type="dxa"/>
            <w:tcBorders>
              <w:top w:val="nil"/>
              <w:left w:val="nil"/>
              <w:bottom w:val="single" w:sz="4" w:space="0" w:color="auto"/>
              <w:right w:val="nil"/>
            </w:tcBorders>
            <w:tcMar>
              <w:top w:w="6" w:type="dxa"/>
              <w:left w:w="6" w:type="dxa"/>
              <w:bottom w:w="0" w:type="dxa"/>
              <w:right w:w="6" w:type="dxa"/>
            </w:tcMar>
            <w:vAlign w:val="bottom"/>
          </w:tcPr>
          <w:p w:rsidR="002F09FD" w:rsidRPr="00123353" w:rsidRDefault="002F09FD" w:rsidP="002F09FD">
            <w:pPr>
              <w:spacing w:line="360" w:lineRule="auto"/>
              <w:jc w:val="center"/>
              <w:textAlignment w:val="bottom"/>
              <w:rPr>
                <w:rFonts w:ascii="Arial" w:hAnsi="Arial" w:cs="Arial"/>
                <w:sz w:val="20"/>
                <w:szCs w:val="36"/>
              </w:rPr>
            </w:pPr>
            <w:r>
              <w:rPr>
                <w:rFonts w:eastAsia="ヒラギノ角ゴ Pro W3"/>
                <w:color w:val="595959"/>
                <w:kern w:val="24"/>
                <w:sz w:val="20"/>
                <w:szCs w:val="18"/>
              </w:rPr>
              <w:t>NS</w:t>
            </w:r>
            <w:r w:rsidRPr="00123353">
              <w:rPr>
                <w:rFonts w:eastAsia="ヒラギノ角ゴ Pro W3"/>
                <w:color w:val="595959"/>
                <w:kern w:val="24"/>
                <w:sz w:val="20"/>
                <w:szCs w:val="18"/>
              </w:rPr>
              <w:t xml:space="preserve"> </w:t>
            </w:r>
          </w:p>
        </w:tc>
        <w:tc>
          <w:tcPr>
            <w:tcW w:w="284" w:type="dxa"/>
            <w:tcBorders>
              <w:top w:val="nil"/>
              <w:left w:val="nil"/>
              <w:bottom w:val="single" w:sz="4" w:space="0" w:color="auto"/>
              <w:right w:val="nil"/>
            </w:tcBorders>
            <w:tcMar>
              <w:top w:w="6" w:type="dxa"/>
              <w:left w:w="6" w:type="dxa"/>
              <w:bottom w:w="0" w:type="dxa"/>
              <w:right w:w="6" w:type="dxa"/>
            </w:tcMar>
            <w:vAlign w:val="bottom"/>
          </w:tcPr>
          <w:p w:rsidR="002F09FD" w:rsidRPr="00123353" w:rsidRDefault="002F09FD" w:rsidP="002F09FD">
            <w:pPr>
              <w:spacing w:line="360" w:lineRule="auto"/>
              <w:rPr>
                <w:rFonts w:ascii="Arial" w:hAnsi="Arial" w:cs="Arial"/>
                <w:sz w:val="20"/>
                <w:szCs w:val="36"/>
              </w:rPr>
            </w:pPr>
          </w:p>
        </w:tc>
        <w:tc>
          <w:tcPr>
            <w:tcW w:w="1091" w:type="dxa"/>
            <w:tcBorders>
              <w:top w:val="nil"/>
              <w:left w:val="nil"/>
              <w:bottom w:val="single" w:sz="4" w:space="0" w:color="auto"/>
              <w:right w:val="nil"/>
            </w:tcBorders>
            <w:tcMar>
              <w:top w:w="6" w:type="dxa"/>
              <w:left w:w="6" w:type="dxa"/>
              <w:bottom w:w="0" w:type="dxa"/>
              <w:right w:w="6" w:type="dxa"/>
            </w:tcMar>
            <w:vAlign w:val="bottom"/>
          </w:tcPr>
          <w:p w:rsidR="002F09FD" w:rsidRPr="00123353" w:rsidRDefault="002F09FD" w:rsidP="002F09FD">
            <w:pPr>
              <w:spacing w:line="360" w:lineRule="auto"/>
              <w:jc w:val="center"/>
              <w:textAlignment w:val="bottom"/>
              <w:rPr>
                <w:rFonts w:ascii="Arial" w:hAnsi="Arial" w:cs="Arial"/>
                <w:sz w:val="20"/>
                <w:szCs w:val="36"/>
              </w:rPr>
            </w:pPr>
            <w:r w:rsidRPr="00123353">
              <w:rPr>
                <w:rFonts w:eastAsia="ヒラギノ角ゴ Pro W3"/>
                <w:b/>
                <w:bCs/>
                <w:color w:val="000000"/>
                <w:kern w:val="24"/>
                <w:sz w:val="20"/>
                <w:szCs w:val="18"/>
              </w:rPr>
              <w:t xml:space="preserve">+32.0% </w:t>
            </w:r>
          </w:p>
        </w:tc>
        <w:tc>
          <w:tcPr>
            <w:tcW w:w="1112" w:type="dxa"/>
            <w:tcBorders>
              <w:top w:val="nil"/>
              <w:left w:val="nil"/>
              <w:bottom w:val="single" w:sz="4" w:space="0" w:color="auto"/>
              <w:right w:val="nil"/>
            </w:tcBorders>
            <w:tcMar>
              <w:top w:w="6" w:type="dxa"/>
              <w:left w:w="6" w:type="dxa"/>
              <w:bottom w:w="0" w:type="dxa"/>
              <w:right w:w="6" w:type="dxa"/>
            </w:tcMar>
            <w:vAlign w:val="bottom"/>
          </w:tcPr>
          <w:p w:rsidR="002F09FD" w:rsidRPr="00123353" w:rsidRDefault="002F09FD" w:rsidP="002F09FD">
            <w:pPr>
              <w:spacing w:line="360" w:lineRule="auto"/>
              <w:jc w:val="center"/>
              <w:textAlignment w:val="bottom"/>
              <w:rPr>
                <w:rFonts w:ascii="Arial" w:hAnsi="Arial" w:cs="Arial"/>
                <w:sz w:val="20"/>
                <w:szCs w:val="36"/>
              </w:rPr>
            </w:pPr>
            <w:r w:rsidRPr="00123353">
              <w:rPr>
                <w:rFonts w:eastAsia="ヒラギノ角ゴ Pro W3"/>
                <w:b/>
                <w:bCs/>
                <w:color w:val="000000"/>
                <w:kern w:val="24"/>
                <w:sz w:val="20"/>
                <w:szCs w:val="18"/>
              </w:rPr>
              <w:t xml:space="preserve">+34.2% </w:t>
            </w:r>
          </w:p>
        </w:tc>
      </w:tr>
      <w:tr w:rsidR="002F09FD" w:rsidRPr="008C6839" w:rsidTr="002F09FD">
        <w:trPr>
          <w:trHeight w:val="245"/>
        </w:trPr>
        <w:tc>
          <w:tcPr>
            <w:tcW w:w="1530" w:type="dxa"/>
            <w:tcBorders>
              <w:top w:val="single" w:sz="4" w:space="0" w:color="auto"/>
              <w:left w:val="nil"/>
              <w:bottom w:val="single" w:sz="4" w:space="0" w:color="auto"/>
              <w:right w:val="nil"/>
            </w:tcBorders>
            <w:tcMar>
              <w:top w:w="6" w:type="dxa"/>
              <w:left w:w="6" w:type="dxa"/>
              <w:bottom w:w="0" w:type="dxa"/>
              <w:right w:w="6" w:type="dxa"/>
            </w:tcMar>
            <w:vAlign w:val="bottom"/>
          </w:tcPr>
          <w:p w:rsidR="002F09FD" w:rsidRPr="00123353" w:rsidRDefault="002F09FD" w:rsidP="002F09FD">
            <w:pPr>
              <w:spacing w:line="360" w:lineRule="auto"/>
              <w:textAlignment w:val="bottom"/>
              <w:rPr>
                <w:rFonts w:ascii="Arial" w:hAnsi="Arial" w:cs="Arial"/>
                <w:sz w:val="20"/>
                <w:szCs w:val="36"/>
              </w:rPr>
            </w:pPr>
            <w:r w:rsidRPr="00123353">
              <w:rPr>
                <w:color w:val="000000"/>
                <w:kern w:val="24"/>
                <w:sz w:val="20"/>
                <w:szCs w:val="18"/>
              </w:rPr>
              <w:t>Fermentation</w:t>
            </w:r>
          </w:p>
        </w:tc>
        <w:tc>
          <w:tcPr>
            <w:tcW w:w="889" w:type="dxa"/>
            <w:tcBorders>
              <w:top w:val="single" w:sz="4" w:space="0" w:color="auto"/>
              <w:left w:val="nil"/>
              <w:bottom w:val="single" w:sz="4" w:space="0" w:color="auto"/>
              <w:right w:val="nil"/>
            </w:tcBorders>
            <w:tcMar>
              <w:top w:w="6" w:type="dxa"/>
              <w:left w:w="6" w:type="dxa"/>
              <w:bottom w:w="0" w:type="dxa"/>
              <w:right w:w="6" w:type="dxa"/>
            </w:tcMar>
            <w:vAlign w:val="bottom"/>
          </w:tcPr>
          <w:p w:rsidR="002F09FD" w:rsidRPr="00123353" w:rsidRDefault="002F09FD" w:rsidP="002F09FD">
            <w:pPr>
              <w:spacing w:line="360" w:lineRule="auto"/>
              <w:textAlignment w:val="bottom"/>
              <w:rPr>
                <w:rFonts w:ascii="Arial" w:hAnsi="Arial" w:cs="Arial"/>
                <w:sz w:val="20"/>
                <w:szCs w:val="36"/>
              </w:rPr>
            </w:pPr>
            <w:r w:rsidRPr="00123353">
              <w:rPr>
                <w:rFonts w:eastAsia="ヒラギノ角ゴ Pro W3"/>
                <w:bCs/>
                <w:color w:val="000000"/>
                <w:kern w:val="24"/>
                <w:sz w:val="20"/>
                <w:szCs w:val="18"/>
              </w:rPr>
              <w:t>Senesced</w:t>
            </w:r>
          </w:p>
        </w:tc>
        <w:tc>
          <w:tcPr>
            <w:tcW w:w="1721" w:type="dxa"/>
            <w:tcBorders>
              <w:top w:val="single" w:sz="4" w:space="0" w:color="auto"/>
              <w:left w:val="nil"/>
              <w:bottom w:val="single" w:sz="4" w:space="0" w:color="auto"/>
              <w:right w:val="nil"/>
            </w:tcBorders>
            <w:tcMar>
              <w:top w:w="6" w:type="dxa"/>
              <w:left w:w="6" w:type="dxa"/>
              <w:bottom w:w="0" w:type="dxa"/>
              <w:right w:w="6" w:type="dxa"/>
            </w:tcMar>
            <w:vAlign w:val="bottom"/>
          </w:tcPr>
          <w:p w:rsidR="002F09FD" w:rsidRPr="00123353" w:rsidRDefault="002F09FD" w:rsidP="002F09FD">
            <w:pPr>
              <w:spacing w:line="360" w:lineRule="auto"/>
              <w:textAlignment w:val="bottom"/>
              <w:rPr>
                <w:rFonts w:ascii="Arial" w:hAnsi="Arial" w:cs="Arial"/>
                <w:sz w:val="20"/>
                <w:szCs w:val="36"/>
              </w:rPr>
            </w:pPr>
            <w:r w:rsidRPr="00123353">
              <w:rPr>
                <w:rFonts w:eastAsia="ヒラギノ角ゴ Pro W3"/>
                <w:color w:val="000000"/>
                <w:kern w:val="24"/>
                <w:sz w:val="20"/>
                <w:szCs w:val="18"/>
              </w:rPr>
              <w:t xml:space="preserve">Ethanol yield </w:t>
            </w:r>
          </w:p>
        </w:tc>
        <w:tc>
          <w:tcPr>
            <w:tcW w:w="1062" w:type="dxa"/>
            <w:gridSpan w:val="2"/>
            <w:tcBorders>
              <w:top w:val="single" w:sz="4" w:space="0" w:color="auto"/>
              <w:left w:val="nil"/>
              <w:bottom w:val="single" w:sz="4" w:space="0" w:color="auto"/>
              <w:right w:val="nil"/>
            </w:tcBorders>
            <w:tcMar>
              <w:top w:w="6" w:type="dxa"/>
              <w:left w:w="6" w:type="dxa"/>
              <w:bottom w:w="0" w:type="dxa"/>
              <w:right w:w="6" w:type="dxa"/>
            </w:tcMar>
            <w:vAlign w:val="bottom"/>
          </w:tcPr>
          <w:p w:rsidR="002F09FD" w:rsidRPr="00123353" w:rsidRDefault="002F09FD" w:rsidP="002F09FD">
            <w:pPr>
              <w:spacing w:line="360" w:lineRule="auto"/>
              <w:jc w:val="center"/>
              <w:textAlignment w:val="bottom"/>
              <w:rPr>
                <w:rFonts w:ascii="Arial" w:hAnsi="Arial" w:cs="Arial"/>
                <w:sz w:val="20"/>
                <w:szCs w:val="36"/>
              </w:rPr>
            </w:pPr>
            <w:r>
              <w:rPr>
                <w:rFonts w:eastAsia="ヒラギノ角ゴ Pro W3"/>
                <w:color w:val="595959"/>
                <w:kern w:val="24"/>
                <w:sz w:val="20"/>
                <w:szCs w:val="18"/>
              </w:rPr>
              <w:t>NS</w:t>
            </w:r>
            <w:r w:rsidRPr="00123353">
              <w:rPr>
                <w:rFonts w:eastAsia="ヒラギノ角ゴ Pro W3"/>
                <w:color w:val="595959"/>
                <w:kern w:val="24"/>
                <w:sz w:val="20"/>
                <w:szCs w:val="18"/>
              </w:rPr>
              <w:t xml:space="preserve"> </w:t>
            </w:r>
          </w:p>
        </w:tc>
        <w:tc>
          <w:tcPr>
            <w:tcW w:w="951" w:type="dxa"/>
            <w:tcBorders>
              <w:top w:val="single" w:sz="4" w:space="0" w:color="auto"/>
              <w:left w:val="nil"/>
              <w:bottom w:val="single" w:sz="4" w:space="0" w:color="auto"/>
              <w:right w:val="nil"/>
            </w:tcBorders>
            <w:tcMar>
              <w:top w:w="6" w:type="dxa"/>
              <w:left w:w="6" w:type="dxa"/>
              <w:bottom w:w="0" w:type="dxa"/>
              <w:right w:w="6" w:type="dxa"/>
            </w:tcMar>
            <w:vAlign w:val="bottom"/>
          </w:tcPr>
          <w:p w:rsidR="002F09FD" w:rsidRPr="00123353" w:rsidRDefault="002F09FD" w:rsidP="002F09FD">
            <w:pPr>
              <w:spacing w:line="360" w:lineRule="auto"/>
              <w:jc w:val="center"/>
              <w:textAlignment w:val="bottom"/>
              <w:rPr>
                <w:rFonts w:ascii="Arial" w:hAnsi="Arial" w:cs="Arial"/>
                <w:sz w:val="20"/>
                <w:szCs w:val="36"/>
              </w:rPr>
            </w:pPr>
            <w:r w:rsidRPr="00123353">
              <w:rPr>
                <w:rFonts w:eastAsia="ヒラギノ角ゴ Pro W3"/>
                <w:b/>
                <w:bCs/>
                <w:color w:val="000000"/>
                <w:kern w:val="24"/>
                <w:sz w:val="20"/>
                <w:szCs w:val="18"/>
              </w:rPr>
              <w:t xml:space="preserve">+21.2% </w:t>
            </w:r>
          </w:p>
        </w:tc>
        <w:tc>
          <w:tcPr>
            <w:tcW w:w="284" w:type="dxa"/>
            <w:tcBorders>
              <w:top w:val="single" w:sz="4" w:space="0" w:color="auto"/>
              <w:left w:val="nil"/>
              <w:bottom w:val="single" w:sz="4" w:space="0" w:color="auto"/>
              <w:right w:val="nil"/>
            </w:tcBorders>
            <w:tcMar>
              <w:top w:w="6" w:type="dxa"/>
              <w:left w:w="6" w:type="dxa"/>
              <w:bottom w:w="0" w:type="dxa"/>
              <w:right w:w="6" w:type="dxa"/>
            </w:tcMar>
            <w:vAlign w:val="bottom"/>
          </w:tcPr>
          <w:p w:rsidR="002F09FD" w:rsidRPr="00123353" w:rsidRDefault="002F09FD" w:rsidP="002F09FD">
            <w:pPr>
              <w:spacing w:line="360" w:lineRule="auto"/>
              <w:rPr>
                <w:rFonts w:ascii="Arial" w:hAnsi="Arial" w:cs="Arial"/>
                <w:sz w:val="20"/>
                <w:szCs w:val="36"/>
              </w:rPr>
            </w:pPr>
          </w:p>
        </w:tc>
        <w:tc>
          <w:tcPr>
            <w:tcW w:w="1091" w:type="dxa"/>
            <w:tcBorders>
              <w:top w:val="single" w:sz="4" w:space="0" w:color="auto"/>
              <w:left w:val="nil"/>
              <w:bottom w:val="single" w:sz="4" w:space="0" w:color="auto"/>
              <w:right w:val="nil"/>
            </w:tcBorders>
            <w:tcMar>
              <w:top w:w="6" w:type="dxa"/>
              <w:left w:w="6" w:type="dxa"/>
              <w:bottom w:w="0" w:type="dxa"/>
              <w:right w:w="6" w:type="dxa"/>
            </w:tcMar>
            <w:vAlign w:val="bottom"/>
          </w:tcPr>
          <w:p w:rsidR="002F09FD" w:rsidRPr="00123353" w:rsidRDefault="002F09FD" w:rsidP="002F09FD">
            <w:pPr>
              <w:spacing w:line="360" w:lineRule="auto"/>
              <w:jc w:val="center"/>
              <w:textAlignment w:val="bottom"/>
              <w:rPr>
                <w:rFonts w:ascii="Arial" w:hAnsi="Arial" w:cs="Arial"/>
                <w:sz w:val="20"/>
                <w:szCs w:val="36"/>
              </w:rPr>
            </w:pPr>
            <w:r w:rsidRPr="00123353">
              <w:rPr>
                <w:rFonts w:eastAsia="ヒラギノ角ゴ Pro W3"/>
                <w:b/>
                <w:bCs/>
                <w:color w:val="000000"/>
                <w:kern w:val="24"/>
                <w:sz w:val="20"/>
                <w:szCs w:val="18"/>
              </w:rPr>
              <w:t xml:space="preserve">+28.2% </w:t>
            </w:r>
          </w:p>
        </w:tc>
        <w:tc>
          <w:tcPr>
            <w:tcW w:w="1112" w:type="dxa"/>
            <w:tcBorders>
              <w:top w:val="single" w:sz="4" w:space="0" w:color="auto"/>
              <w:left w:val="nil"/>
              <w:bottom w:val="single" w:sz="4" w:space="0" w:color="auto"/>
              <w:right w:val="nil"/>
            </w:tcBorders>
            <w:tcMar>
              <w:top w:w="6" w:type="dxa"/>
              <w:left w:w="6" w:type="dxa"/>
              <w:bottom w:w="0" w:type="dxa"/>
              <w:right w:w="6" w:type="dxa"/>
            </w:tcMar>
            <w:vAlign w:val="bottom"/>
          </w:tcPr>
          <w:p w:rsidR="002F09FD" w:rsidRPr="00123353" w:rsidRDefault="002F09FD" w:rsidP="002F09FD">
            <w:pPr>
              <w:spacing w:line="360" w:lineRule="auto"/>
              <w:jc w:val="center"/>
              <w:textAlignment w:val="bottom"/>
              <w:rPr>
                <w:rFonts w:ascii="Arial" w:hAnsi="Arial" w:cs="Arial"/>
                <w:sz w:val="20"/>
                <w:szCs w:val="36"/>
              </w:rPr>
            </w:pPr>
            <w:r w:rsidRPr="00123353">
              <w:rPr>
                <w:rFonts w:eastAsia="ヒラギノ角ゴ Pro W3"/>
                <w:b/>
                <w:bCs/>
                <w:color w:val="000000"/>
                <w:kern w:val="24"/>
                <w:sz w:val="20"/>
                <w:szCs w:val="18"/>
              </w:rPr>
              <w:t xml:space="preserve">+21.4% </w:t>
            </w:r>
          </w:p>
        </w:tc>
      </w:tr>
      <w:tr w:rsidR="002F09FD" w:rsidRPr="008C6839" w:rsidTr="002F09FD">
        <w:trPr>
          <w:trHeight w:val="245"/>
        </w:trPr>
        <w:tc>
          <w:tcPr>
            <w:tcW w:w="1530" w:type="dxa"/>
            <w:vMerge w:val="restart"/>
            <w:tcBorders>
              <w:top w:val="single" w:sz="4" w:space="0" w:color="auto"/>
              <w:left w:val="nil"/>
              <w:right w:val="nil"/>
            </w:tcBorders>
            <w:tcMar>
              <w:top w:w="6" w:type="dxa"/>
              <w:left w:w="6" w:type="dxa"/>
              <w:bottom w:w="0" w:type="dxa"/>
              <w:right w:w="6" w:type="dxa"/>
            </w:tcMar>
          </w:tcPr>
          <w:p w:rsidR="002F09FD" w:rsidRPr="00123353" w:rsidRDefault="002F09FD" w:rsidP="002F09FD">
            <w:pPr>
              <w:spacing w:line="360" w:lineRule="auto"/>
              <w:textAlignment w:val="bottom"/>
              <w:rPr>
                <w:sz w:val="20"/>
                <w:szCs w:val="18"/>
              </w:rPr>
            </w:pPr>
          </w:p>
          <w:p w:rsidR="002F09FD" w:rsidRPr="00123353" w:rsidRDefault="002F09FD" w:rsidP="002F09FD">
            <w:pPr>
              <w:spacing w:line="360" w:lineRule="auto"/>
              <w:textAlignment w:val="bottom"/>
              <w:rPr>
                <w:sz w:val="20"/>
                <w:szCs w:val="18"/>
              </w:rPr>
            </w:pPr>
            <w:r w:rsidRPr="00123353">
              <w:rPr>
                <w:sz w:val="20"/>
                <w:szCs w:val="18"/>
              </w:rPr>
              <w:t>Agronomic performance</w:t>
            </w:r>
          </w:p>
        </w:tc>
        <w:tc>
          <w:tcPr>
            <w:tcW w:w="889" w:type="dxa"/>
            <w:tcBorders>
              <w:top w:val="single" w:sz="4" w:space="0" w:color="auto"/>
              <w:left w:val="nil"/>
              <w:right w:val="nil"/>
            </w:tcBorders>
            <w:tcMar>
              <w:top w:w="6" w:type="dxa"/>
              <w:left w:w="6" w:type="dxa"/>
              <w:bottom w:w="0" w:type="dxa"/>
              <w:right w:w="6" w:type="dxa"/>
            </w:tcMar>
            <w:vAlign w:val="bottom"/>
          </w:tcPr>
          <w:p w:rsidR="002F09FD" w:rsidRPr="00123353" w:rsidRDefault="002F09FD" w:rsidP="002F09FD">
            <w:pPr>
              <w:spacing w:line="360" w:lineRule="auto"/>
              <w:textAlignment w:val="bottom"/>
              <w:rPr>
                <w:rFonts w:ascii="Arial" w:hAnsi="Arial" w:cs="Arial"/>
                <w:sz w:val="20"/>
                <w:szCs w:val="36"/>
              </w:rPr>
            </w:pPr>
            <w:r w:rsidRPr="00123353">
              <w:rPr>
                <w:rFonts w:eastAsia="ヒラギノ角ゴ Pro W3"/>
                <w:color w:val="000000"/>
                <w:kern w:val="24"/>
                <w:sz w:val="20"/>
                <w:szCs w:val="18"/>
              </w:rPr>
              <w:t> </w:t>
            </w:r>
            <w:r w:rsidRPr="00123353">
              <w:rPr>
                <w:color w:val="000000"/>
                <w:kern w:val="24"/>
                <w:sz w:val="20"/>
                <w:szCs w:val="18"/>
              </w:rPr>
              <w:t xml:space="preserve"> </w:t>
            </w:r>
          </w:p>
        </w:tc>
        <w:tc>
          <w:tcPr>
            <w:tcW w:w="1721" w:type="dxa"/>
            <w:tcBorders>
              <w:top w:val="single" w:sz="4" w:space="0" w:color="auto"/>
              <w:left w:val="nil"/>
              <w:right w:val="nil"/>
            </w:tcBorders>
            <w:tcMar>
              <w:top w:w="6" w:type="dxa"/>
              <w:left w:w="6" w:type="dxa"/>
              <w:bottom w:w="0" w:type="dxa"/>
              <w:right w:w="6" w:type="dxa"/>
            </w:tcMar>
            <w:vAlign w:val="bottom"/>
          </w:tcPr>
          <w:p w:rsidR="002F09FD" w:rsidRPr="00123353" w:rsidRDefault="002F09FD" w:rsidP="002F09FD">
            <w:pPr>
              <w:spacing w:line="360" w:lineRule="auto"/>
              <w:textAlignment w:val="bottom"/>
              <w:rPr>
                <w:rFonts w:ascii="Arial" w:hAnsi="Arial" w:cs="Arial"/>
                <w:sz w:val="20"/>
                <w:szCs w:val="36"/>
              </w:rPr>
            </w:pPr>
            <w:r w:rsidRPr="00123353">
              <w:rPr>
                <w:rFonts w:eastAsia="ヒラギノ角ゴ Pro W3"/>
                <w:color w:val="000000"/>
                <w:kern w:val="24"/>
                <w:sz w:val="20"/>
                <w:szCs w:val="18"/>
              </w:rPr>
              <w:t xml:space="preserve">Tiller height </w:t>
            </w:r>
          </w:p>
        </w:tc>
        <w:tc>
          <w:tcPr>
            <w:tcW w:w="1062" w:type="dxa"/>
            <w:gridSpan w:val="2"/>
            <w:tcBorders>
              <w:top w:val="single" w:sz="4" w:space="0" w:color="auto"/>
              <w:left w:val="nil"/>
              <w:right w:val="nil"/>
            </w:tcBorders>
            <w:tcMar>
              <w:top w:w="6" w:type="dxa"/>
              <w:left w:w="6" w:type="dxa"/>
              <w:bottom w:w="0" w:type="dxa"/>
              <w:right w:w="6" w:type="dxa"/>
            </w:tcMar>
            <w:vAlign w:val="bottom"/>
          </w:tcPr>
          <w:p w:rsidR="002F09FD" w:rsidRPr="00123353" w:rsidRDefault="002F09FD" w:rsidP="002F09FD">
            <w:pPr>
              <w:spacing w:line="360" w:lineRule="auto"/>
              <w:jc w:val="center"/>
              <w:textAlignment w:val="bottom"/>
              <w:rPr>
                <w:rFonts w:ascii="Arial" w:hAnsi="Arial" w:cs="Arial"/>
                <w:sz w:val="20"/>
                <w:szCs w:val="36"/>
              </w:rPr>
            </w:pPr>
            <w:r>
              <w:rPr>
                <w:rFonts w:eastAsia="ヒラギノ角ゴ Pro W3"/>
                <w:color w:val="595959"/>
                <w:kern w:val="24"/>
                <w:sz w:val="20"/>
                <w:szCs w:val="18"/>
              </w:rPr>
              <w:t>NS</w:t>
            </w:r>
            <w:r w:rsidRPr="00123353">
              <w:rPr>
                <w:rFonts w:eastAsia="ヒラギノ角ゴ Pro W3"/>
                <w:color w:val="595959"/>
                <w:kern w:val="24"/>
                <w:sz w:val="20"/>
                <w:szCs w:val="18"/>
              </w:rPr>
              <w:t xml:space="preserve"> </w:t>
            </w:r>
          </w:p>
        </w:tc>
        <w:tc>
          <w:tcPr>
            <w:tcW w:w="951" w:type="dxa"/>
            <w:tcBorders>
              <w:top w:val="single" w:sz="4" w:space="0" w:color="auto"/>
              <w:left w:val="nil"/>
              <w:right w:val="nil"/>
            </w:tcBorders>
            <w:tcMar>
              <w:top w:w="6" w:type="dxa"/>
              <w:left w:w="6" w:type="dxa"/>
              <w:bottom w:w="0" w:type="dxa"/>
              <w:right w:w="6" w:type="dxa"/>
            </w:tcMar>
            <w:vAlign w:val="bottom"/>
          </w:tcPr>
          <w:p w:rsidR="002F09FD" w:rsidRPr="00123353" w:rsidRDefault="002F09FD" w:rsidP="002F09FD">
            <w:pPr>
              <w:spacing w:line="360" w:lineRule="auto"/>
              <w:jc w:val="center"/>
              <w:textAlignment w:val="bottom"/>
              <w:rPr>
                <w:rFonts w:ascii="Arial" w:hAnsi="Arial" w:cs="Arial"/>
                <w:sz w:val="20"/>
                <w:szCs w:val="36"/>
              </w:rPr>
            </w:pPr>
            <w:r w:rsidRPr="00123353">
              <w:rPr>
                <w:rFonts w:eastAsia="ヒラギノ角ゴ Pro W3"/>
                <w:b/>
                <w:bCs/>
                <w:color w:val="000000"/>
                <w:kern w:val="24"/>
                <w:sz w:val="20"/>
                <w:szCs w:val="18"/>
              </w:rPr>
              <w:t xml:space="preserve">-15.3% </w:t>
            </w:r>
          </w:p>
        </w:tc>
        <w:tc>
          <w:tcPr>
            <w:tcW w:w="284" w:type="dxa"/>
            <w:tcBorders>
              <w:top w:val="single" w:sz="4" w:space="0" w:color="auto"/>
              <w:left w:val="nil"/>
              <w:right w:val="nil"/>
            </w:tcBorders>
            <w:tcMar>
              <w:top w:w="6" w:type="dxa"/>
              <w:left w:w="6" w:type="dxa"/>
              <w:bottom w:w="0" w:type="dxa"/>
              <w:right w:w="6" w:type="dxa"/>
            </w:tcMar>
            <w:vAlign w:val="bottom"/>
          </w:tcPr>
          <w:p w:rsidR="002F09FD" w:rsidRPr="00123353" w:rsidRDefault="002F09FD" w:rsidP="002F09FD">
            <w:pPr>
              <w:spacing w:line="360" w:lineRule="auto"/>
              <w:rPr>
                <w:rFonts w:ascii="Arial" w:hAnsi="Arial" w:cs="Arial"/>
                <w:sz w:val="20"/>
                <w:szCs w:val="36"/>
              </w:rPr>
            </w:pPr>
          </w:p>
        </w:tc>
        <w:tc>
          <w:tcPr>
            <w:tcW w:w="1091" w:type="dxa"/>
            <w:tcBorders>
              <w:top w:val="single" w:sz="4" w:space="0" w:color="auto"/>
              <w:left w:val="nil"/>
              <w:right w:val="nil"/>
            </w:tcBorders>
            <w:tcMar>
              <w:top w:w="6" w:type="dxa"/>
              <w:left w:w="6" w:type="dxa"/>
              <w:bottom w:w="0" w:type="dxa"/>
              <w:right w:w="6" w:type="dxa"/>
            </w:tcMar>
            <w:vAlign w:val="bottom"/>
          </w:tcPr>
          <w:p w:rsidR="002F09FD" w:rsidRPr="00123353" w:rsidRDefault="002F09FD" w:rsidP="002F09FD">
            <w:pPr>
              <w:spacing w:line="360" w:lineRule="auto"/>
              <w:jc w:val="center"/>
              <w:textAlignment w:val="bottom"/>
              <w:rPr>
                <w:rFonts w:ascii="Arial" w:hAnsi="Arial" w:cs="Arial"/>
                <w:sz w:val="20"/>
                <w:szCs w:val="36"/>
              </w:rPr>
            </w:pPr>
            <w:r w:rsidRPr="00123353">
              <w:rPr>
                <w:rFonts w:eastAsia="ヒラギノ角ゴ Pro W3"/>
                <w:b/>
                <w:bCs/>
                <w:color w:val="000000"/>
                <w:kern w:val="24"/>
                <w:sz w:val="20"/>
                <w:szCs w:val="18"/>
              </w:rPr>
              <w:t xml:space="preserve">+6.7% </w:t>
            </w:r>
          </w:p>
        </w:tc>
        <w:tc>
          <w:tcPr>
            <w:tcW w:w="1112" w:type="dxa"/>
            <w:tcBorders>
              <w:top w:val="single" w:sz="4" w:space="0" w:color="auto"/>
              <w:left w:val="nil"/>
              <w:right w:val="nil"/>
            </w:tcBorders>
            <w:tcMar>
              <w:top w:w="6" w:type="dxa"/>
              <w:left w:w="6" w:type="dxa"/>
              <w:bottom w:w="0" w:type="dxa"/>
              <w:right w:w="6" w:type="dxa"/>
            </w:tcMar>
            <w:vAlign w:val="bottom"/>
          </w:tcPr>
          <w:p w:rsidR="002F09FD" w:rsidRPr="00123353" w:rsidRDefault="002F09FD" w:rsidP="002F09FD">
            <w:pPr>
              <w:spacing w:line="360" w:lineRule="auto"/>
              <w:jc w:val="center"/>
              <w:textAlignment w:val="bottom"/>
              <w:rPr>
                <w:rFonts w:ascii="Arial" w:hAnsi="Arial" w:cs="Arial"/>
                <w:sz w:val="20"/>
                <w:szCs w:val="36"/>
              </w:rPr>
            </w:pPr>
            <w:r>
              <w:rPr>
                <w:rFonts w:eastAsia="ヒラギノ角ゴ Pro W3"/>
                <w:color w:val="595959"/>
                <w:kern w:val="24"/>
                <w:sz w:val="20"/>
                <w:szCs w:val="18"/>
              </w:rPr>
              <w:t>NS</w:t>
            </w:r>
            <w:r w:rsidRPr="00123353">
              <w:rPr>
                <w:rFonts w:eastAsia="ヒラギノ角ゴ Pro W3"/>
                <w:color w:val="595959"/>
                <w:kern w:val="24"/>
                <w:sz w:val="20"/>
                <w:szCs w:val="18"/>
              </w:rPr>
              <w:t xml:space="preserve"> </w:t>
            </w:r>
          </w:p>
        </w:tc>
      </w:tr>
      <w:tr w:rsidR="002F09FD" w:rsidRPr="008C6839" w:rsidTr="002F09FD">
        <w:trPr>
          <w:trHeight w:val="245"/>
        </w:trPr>
        <w:tc>
          <w:tcPr>
            <w:tcW w:w="1530" w:type="dxa"/>
            <w:vMerge/>
            <w:tcBorders>
              <w:left w:val="nil"/>
              <w:right w:val="nil"/>
            </w:tcBorders>
            <w:tcMar>
              <w:top w:w="6" w:type="dxa"/>
              <w:left w:w="6" w:type="dxa"/>
              <w:bottom w:w="0" w:type="dxa"/>
              <w:right w:w="6" w:type="dxa"/>
            </w:tcMar>
            <w:vAlign w:val="center"/>
          </w:tcPr>
          <w:p w:rsidR="002F09FD" w:rsidRPr="00123353" w:rsidRDefault="002F09FD" w:rsidP="002F09FD">
            <w:pPr>
              <w:spacing w:line="360" w:lineRule="auto"/>
              <w:textAlignment w:val="bottom"/>
              <w:rPr>
                <w:rFonts w:eastAsia="ヒラギノ角ゴ Pro W3"/>
                <w:color w:val="000000"/>
                <w:kern w:val="24"/>
                <w:sz w:val="20"/>
                <w:szCs w:val="18"/>
              </w:rPr>
            </w:pPr>
          </w:p>
        </w:tc>
        <w:tc>
          <w:tcPr>
            <w:tcW w:w="889" w:type="dxa"/>
            <w:tcBorders>
              <w:left w:val="nil"/>
              <w:right w:val="nil"/>
            </w:tcBorders>
            <w:tcMar>
              <w:top w:w="6" w:type="dxa"/>
              <w:left w:w="6" w:type="dxa"/>
              <w:bottom w:w="0" w:type="dxa"/>
              <w:right w:w="6" w:type="dxa"/>
            </w:tcMar>
            <w:vAlign w:val="bottom"/>
          </w:tcPr>
          <w:p w:rsidR="002F09FD" w:rsidRPr="00123353" w:rsidRDefault="002F09FD" w:rsidP="002F09FD">
            <w:pPr>
              <w:spacing w:line="360" w:lineRule="auto"/>
              <w:rPr>
                <w:rFonts w:ascii="Arial" w:hAnsi="Arial" w:cs="Arial"/>
                <w:sz w:val="20"/>
                <w:szCs w:val="36"/>
              </w:rPr>
            </w:pPr>
            <w:r w:rsidRPr="00123353">
              <w:rPr>
                <w:rFonts w:eastAsia="ヒラギノ角ゴ Pro W3"/>
                <w:color w:val="000000"/>
                <w:kern w:val="24"/>
                <w:sz w:val="20"/>
                <w:szCs w:val="18"/>
              </w:rPr>
              <w:t> </w:t>
            </w:r>
            <w:r w:rsidRPr="00123353">
              <w:rPr>
                <w:color w:val="000000"/>
                <w:kern w:val="24"/>
                <w:sz w:val="20"/>
                <w:szCs w:val="18"/>
              </w:rPr>
              <w:t xml:space="preserve"> </w:t>
            </w:r>
          </w:p>
        </w:tc>
        <w:tc>
          <w:tcPr>
            <w:tcW w:w="1721" w:type="dxa"/>
            <w:tcBorders>
              <w:left w:val="nil"/>
              <w:right w:val="nil"/>
            </w:tcBorders>
            <w:tcMar>
              <w:top w:w="6" w:type="dxa"/>
              <w:left w:w="6" w:type="dxa"/>
              <w:bottom w:w="0" w:type="dxa"/>
              <w:right w:w="6" w:type="dxa"/>
            </w:tcMar>
            <w:vAlign w:val="bottom"/>
          </w:tcPr>
          <w:p w:rsidR="002F09FD" w:rsidRPr="00123353" w:rsidRDefault="002F09FD" w:rsidP="002F09FD">
            <w:pPr>
              <w:spacing w:line="360" w:lineRule="auto"/>
              <w:rPr>
                <w:rFonts w:ascii="Arial" w:hAnsi="Arial" w:cs="Arial"/>
                <w:sz w:val="20"/>
                <w:szCs w:val="36"/>
              </w:rPr>
            </w:pPr>
            <w:r w:rsidRPr="00123353">
              <w:rPr>
                <w:rFonts w:eastAsia="ヒラギノ角ゴ Pro W3"/>
                <w:color w:val="000000"/>
                <w:kern w:val="24"/>
                <w:sz w:val="20"/>
                <w:szCs w:val="18"/>
              </w:rPr>
              <w:t>Plant diameter</w:t>
            </w:r>
            <w:r w:rsidRPr="00123353">
              <w:rPr>
                <w:color w:val="000000"/>
                <w:kern w:val="24"/>
                <w:sz w:val="20"/>
                <w:szCs w:val="18"/>
              </w:rPr>
              <w:t xml:space="preserve"> </w:t>
            </w:r>
          </w:p>
        </w:tc>
        <w:tc>
          <w:tcPr>
            <w:tcW w:w="1062" w:type="dxa"/>
            <w:gridSpan w:val="2"/>
            <w:tcBorders>
              <w:left w:val="nil"/>
              <w:right w:val="nil"/>
            </w:tcBorders>
            <w:tcMar>
              <w:top w:w="6" w:type="dxa"/>
              <w:left w:w="6" w:type="dxa"/>
              <w:bottom w:w="0" w:type="dxa"/>
              <w:right w:w="6" w:type="dxa"/>
            </w:tcMar>
            <w:vAlign w:val="bottom"/>
          </w:tcPr>
          <w:p w:rsidR="002F09FD" w:rsidRPr="00123353" w:rsidRDefault="002F09FD" w:rsidP="002F09FD">
            <w:pPr>
              <w:spacing w:line="360" w:lineRule="auto"/>
              <w:jc w:val="center"/>
              <w:textAlignment w:val="bottom"/>
              <w:rPr>
                <w:rFonts w:eastAsia="ヒラギノ角ゴ Pro W3"/>
                <w:color w:val="595959"/>
                <w:kern w:val="24"/>
                <w:sz w:val="20"/>
                <w:szCs w:val="18"/>
              </w:rPr>
            </w:pPr>
            <w:r>
              <w:rPr>
                <w:rFonts w:eastAsia="ヒラギノ角ゴ Pro W3"/>
                <w:color w:val="595959"/>
                <w:kern w:val="24"/>
                <w:sz w:val="20"/>
                <w:szCs w:val="18"/>
              </w:rPr>
              <w:t>NS</w:t>
            </w:r>
            <w:r w:rsidRPr="00123353">
              <w:rPr>
                <w:rFonts w:eastAsia="ヒラギノ角ゴ Pro W3"/>
                <w:color w:val="595959"/>
                <w:kern w:val="24"/>
                <w:sz w:val="20"/>
                <w:szCs w:val="18"/>
              </w:rPr>
              <w:t xml:space="preserve"> </w:t>
            </w:r>
          </w:p>
        </w:tc>
        <w:tc>
          <w:tcPr>
            <w:tcW w:w="951" w:type="dxa"/>
            <w:tcBorders>
              <w:left w:val="nil"/>
              <w:right w:val="nil"/>
            </w:tcBorders>
            <w:tcMar>
              <w:top w:w="6" w:type="dxa"/>
              <w:left w:w="6" w:type="dxa"/>
              <w:bottom w:w="0" w:type="dxa"/>
              <w:right w:w="6" w:type="dxa"/>
            </w:tcMar>
            <w:vAlign w:val="bottom"/>
          </w:tcPr>
          <w:p w:rsidR="002F09FD" w:rsidRPr="00123353" w:rsidRDefault="002F09FD" w:rsidP="002F09FD">
            <w:pPr>
              <w:spacing w:line="360" w:lineRule="auto"/>
              <w:jc w:val="center"/>
              <w:textAlignment w:val="bottom"/>
              <w:rPr>
                <w:rFonts w:eastAsia="ヒラギノ角ゴ Pro W3"/>
                <w:b/>
                <w:bCs/>
                <w:color w:val="595959"/>
                <w:kern w:val="24"/>
                <w:sz w:val="20"/>
                <w:szCs w:val="18"/>
              </w:rPr>
            </w:pPr>
            <w:r w:rsidRPr="00123353">
              <w:rPr>
                <w:rFonts w:eastAsia="ヒラギノ角ゴ Pro W3"/>
                <w:b/>
                <w:bCs/>
                <w:color w:val="000000"/>
                <w:kern w:val="24"/>
                <w:sz w:val="20"/>
                <w:szCs w:val="18"/>
              </w:rPr>
              <w:t xml:space="preserve">-8.1% </w:t>
            </w:r>
          </w:p>
        </w:tc>
        <w:tc>
          <w:tcPr>
            <w:tcW w:w="284" w:type="dxa"/>
            <w:tcBorders>
              <w:left w:val="nil"/>
              <w:right w:val="nil"/>
            </w:tcBorders>
            <w:tcMar>
              <w:top w:w="6" w:type="dxa"/>
              <w:left w:w="6" w:type="dxa"/>
              <w:bottom w:w="0" w:type="dxa"/>
              <w:right w:w="6" w:type="dxa"/>
            </w:tcMar>
            <w:vAlign w:val="bottom"/>
          </w:tcPr>
          <w:p w:rsidR="002F09FD" w:rsidRPr="00123353" w:rsidRDefault="002F09FD" w:rsidP="002F09FD">
            <w:pPr>
              <w:spacing w:line="360" w:lineRule="auto"/>
              <w:rPr>
                <w:rFonts w:ascii="Arial" w:hAnsi="Arial" w:cs="Arial"/>
                <w:sz w:val="20"/>
                <w:szCs w:val="36"/>
              </w:rPr>
            </w:pPr>
          </w:p>
        </w:tc>
        <w:tc>
          <w:tcPr>
            <w:tcW w:w="1091" w:type="dxa"/>
            <w:tcBorders>
              <w:left w:val="nil"/>
              <w:right w:val="nil"/>
            </w:tcBorders>
            <w:tcMar>
              <w:top w:w="6" w:type="dxa"/>
              <w:left w:w="6" w:type="dxa"/>
              <w:bottom w:w="0" w:type="dxa"/>
              <w:right w:w="6" w:type="dxa"/>
            </w:tcMar>
            <w:vAlign w:val="bottom"/>
          </w:tcPr>
          <w:p w:rsidR="002F09FD" w:rsidRPr="00123353" w:rsidRDefault="002F09FD" w:rsidP="002F09FD">
            <w:pPr>
              <w:spacing w:line="360" w:lineRule="auto"/>
              <w:jc w:val="center"/>
              <w:textAlignment w:val="bottom"/>
              <w:rPr>
                <w:rFonts w:eastAsia="ヒラギノ角ゴ Pro W3"/>
                <w:color w:val="595959"/>
                <w:kern w:val="24"/>
                <w:sz w:val="20"/>
                <w:szCs w:val="18"/>
              </w:rPr>
            </w:pPr>
            <w:r w:rsidRPr="00123353">
              <w:rPr>
                <w:rFonts w:eastAsia="ヒラギノ角ゴ Pro W3"/>
                <w:b/>
                <w:bCs/>
                <w:color w:val="000000"/>
                <w:kern w:val="24"/>
                <w:sz w:val="20"/>
                <w:szCs w:val="18"/>
              </w:rPr>
              <w:t xml:space="preserve">+16.2% </w:t>
            </w:r>
          </w:p>
        </w:tc>
        <w:tc>
          <w:tcPr>
            <w:tcW w:w="1112" w:type="dxa"/>
            <w:tcBorders>
              <w:left w:val="nil"/>
              <w:right w:val="nil"/>
            </w:tcBorders>
            <w:tcMar>
              <w:top w:w="6" w:type="dxa"/>
              <w:left w:w="6" w:type="dxa"/>
              <w:bottom w:w="0" w:type="dxa"/>
              <w:right w:w="6" w:type="dxa"/>
            </w:tcMar>
            <w:vAlign w:val="bottom"/>
          </w:tcPr>
          <w:p w:rsidR="002F09FD" w:rsidRPr="00123353" w:rsidRDefault="002F09FD" w:rsidP="002F09FD">
            <w:pPr>
              <w:spacing w:line="360" w:lineRule="auto"/>
              <w:jc w:val="center"/>
              <w:textAlignment w:val="bottom"/>
              <w:rPr>
                <w:rFonts w:eastAsia="ヒラギノ角ゴ Pro W3"/>
                <w:color w:val="595959"/>
                <w:kern w:val="24"/>
                <w:sz w:val="20"/>
                <w:szCs w:val="18"/>
              </w:rPr>
            </w:pPr>
            <w:r>
              <w:rPr>
                <w:rFonts w:eastAsia="ヒラギノ角ゴ Pro W3"/>
                <w:color w:val="595959"/>
                <w:kern w:val="24"/>
                <w:sz w:val="20"/>
                <w:szCs w:val="18"/>
              </w:rPr>
              <w:t>NS</w:t>
            </w:r>
            <w:r w:rsidRPr="00123353">
              <w:rPr>
                <w:rFonts w:eastAsia="ヒラギノ角ゴ Pro W3"/>
                <w:color w:val="595959"/>
                <w:kern w:val="24"/>
                <w:sz w:val="20"/>
                <w:szCs w:val="18"/>
              </w:rPr>
              <w:t xml:space="preserve"> </w:t>
            </w:r>
          </w:p>
        </w:tc>
      </w:tr>
      <w:tr w:rsidR="002F09FD" w:rsidRPr="008C6839" w:rsidTr="002F09FD">
        <w:trPr>
          <w:trHeight w:val="245"/>
        </w:trPr>
        <w:tc>
          <w:tcPr>
            <w:tcW w:w="1530" w:type="dxa"/>
            <w:vMerge/>
            <w:tcBorders>
              <w:left w:val="nil"/>
              <w:right w:val="nil"/>
            </w:tcBorders>
            <w:tcMar>
              <w:top w:w="6" w:type="dxa"/>
              <w:left w:w="6" w:type="dxa"/>
              <w:bottom w:w="0" w:type="dxa"/>
              <w:right w:w="6" w:type="dxa"/>
            </w:tcMar>
            <w:vAlign w:val="center"/>
          </w:tcPr>
          <w:p w:rsidR="002F09FD" w:rsidRPr="00123353" w:rsidRDefault="002F09FD" w:rsidP="002F09FD">
            <w:pPr>
              <w:spacing w:line="360" w:lineRule="auto"/>
              <w:textAlignment w:val="bottom"/>
              <w:rPr>
                <w:rFonts w:eastAsia="ヒラギノ角ゴ Pro W3"/>
                <w:color w:val="000000"/>
                <w:kern w:val="24"/>
                <w:sz w:val="20"/>
                <w:szCs w:val="18"/>
              </w:rPr>
            </w:pPr>
          </w:p>
        </w:tc>
        <w:tc>
          <w:tcPr>
            <w:tcW w:w="889" w:type="dxa"/>
            <w:tcBorders>
              <w:left w:val="nil"/>
              <w:right w:val="nil"/>
            </w:tcBorders>
            <w:tcMar>
              <w:top w:w="6" w:type="dxa"/>
              <w:left w:w="6" w:type="dxa"/>
              <w:bottom w:w="0" w:type="dxa"/>
              <w:right w:w="6" w:type="dxa"/>
            </w:tcMar>
            <w:vAlign w:val="bottom"/>
          </w:tcPr>
          <w:p w:rsidR="002F09FD" w:rsidRPr="00123353" w:rsidRDefault="002F09FD" w:rsidP="002F09FD">
            <w:pPr>
              <w:spacing w:line="360" w:lineRule="auto"/>
              <w:rPr>
                <w:rFonts w:ascii="Arial" w:hAnsi="Arial" w:cs="Arial"/>
                <w:sz w:val="20"/>
                <w:szCs w:val="36"/>
              </w:rPr>
            </w:pPr>
            <w:r w:rsidRPr="00123353">
              <w:rPr>
                <w:rFonts w:eastAsia="ヒラギノ角ゴ Pro W3"/>
                <w:color w:val="000000"/>
                <w:kern w:val="24"/>
                <w:sz w:val="20"/>
                <w:szCs w:val="18"/>
              </w:rPr>
              <w:t> </w:t>
            </w:r>
            <w:r w:rsidRPr="00123353">
              <w:rPr>
                <w:color w:val="000000"/>
                <w:kern w:val="24"/>
                <w:sz w:val="20"/>
                <w:szCs w:val="18"/>
              </w:rPr>
              <w:t xml:space="preserve"> </w:t>
            </w:r>
          </w:p>
        </w:tc>
        <w:tc>
          <w:tcPr>
            <w:tcW w:w="1721" w:type="dxa"/>
            <w:tcBorders>
              <w:left w:val="nil"/>
              <w:right w:val="nil"/>
            </w:tcBorders>
            <w:tcMar>
              <w:top w:w="6" w:type="dxa"/>
              <w:left w:w="6" w:type="dxa"/>
              <w:bottom w:w="0" w:type="dxa"/>
              <w:right w:w="6" w:type="dxa"/>
            </w:tcMar>
            <w:vAlign w:val="bottom"/>
          </w:tcPr>
          <w:p w:rsidR="002F09FD" w:rsidRPr="00123353" w:rsidRDefault="002F09FD" w:rsidP="002F09FD">
            <w:pPr>
              <w:spacing w:line="360" w:lineRule="auto"/>
              <w:rPr>
                <w:rFonts w:ascii="Arial" w:hAnsi="Arial" w:cs="Arial"/>
                <w:sz w:val="20"/>
                <w:szCs w:val="36"/>
              </w:rPr>
            </w:pPr>
            <w:r w:rsidRPr="00123353">
              <w:rPr>
                <w:rFonts w:eastAsia="ヒラギノ角ゴ Pro W3"/>
                <w:color w:val="000000"/>
                <w:kern w:val="24"/>
                <w:sz w:val="20"/>
                <w:szCs w:val="18"/>
              </w:rPr>
              <w:t>Tiller number</w:t>
            </w:r>
            <w:r w:rsidRPr="00123353">
              <w:rPr>
                <w:color w:val="000000"/>
                <w:kern w:val="24"/>
                <w:sz w:val="20"/>
                <w:szCs w:val="18"/>
              </w:rPr>
              <w:t xml:space="preserve"> </w:t>
            </w:r>
          </w:p>
        </w:tc>
        <w:tc>
          <w:tcPr>
            <w:tcW w:w="1062" w:type="dxa"/>
            <w:gridSpan w:val="2"/>
            <w:tcBorders>
              <w:left w:val="nil"/>
              <w:right w:val="nil"/>
            </w:tcBorders>
            <w:tcMar>
              <w:top w:w="6" w:type="dxa"/>
              <w:left w:w="6" w:type="dxa"/>
              <w:bottom w:w="0" w:type="dxa"/>
              <w:right w:w="6" w:type="dxa"/>
            </w:tcMar>
            <w:vAlign w:val="bottom"/>
          </w:tcPr>
          <w:p w:rsidR="002F09FD" w:rsidRPr="00123353" w:rsidRDefault="002F09FD" w:rsidP="002F09FD">
            <w:pPr>
              <w:spacing w:line="360" w:lineRule="auto"/>
              <w:jc w:val="center"/>
              <w:textAlignment w:val="bottom"/>
              <w:rPr>
                <w:rFonts w:eastAsia="ヒラギノ角ゴ Pro W3"/>
                <w:color w:val="595959"/>
                <w:kern w:val="24"/>
                <w:sz w:val="20"/>
                <w:szCs w:val="18"/>
              </w:rPr>
            </w:pPr>
            <w:r>
              <w:rPr>
                <w:rFonts w:eastAsia="ヒラギノ角ゴ Pro W3"/>
                <w:color w:val="595959"/>
                <w:kern w:val="24"/>
                <w:sz w:val="20"/>
                <w:szCs w:val="18"/>
              </w:rPr>
              <w:t>NS</w:t>
            </w:r>
            <w:r w:rsidRPr="00123353">
              <w:rPr>
                <w:rFonts w:eastAsia="ヒラギノ角ゴ Pro W3"/>
                <w:color w:val="595959"/>
                <w:kern w:val="24"/>
                <w:sz w:val="20"/>
                <w:szCs w:val="18"/>
              </w:rPr>
              <w:t xml:space="preserve"> </w:t>
            </w:r>
          </w:p>
        </w:tc>
        <w:tc>
          <w:tcPr>
            <w:tcW w:w="951" w:type="dxa"/>
            <w:tcBorders>
              <w:left w:val="nil"/>
              <w:right w:val="nil"/>
            </w:tcBorders>
            <w:tcMar>
              <w:top w:w="6" w:type="dxa"/>
              <w:left w:w="6" w:type="dxa"/>
              <w:bottom w:w="0" w:type="dxa"/>
              <w:right w:w="6" w:type="dxa"/>
            </w:tcMar>
            <w:vAlign w:val="bottom"/>
          </w:tcPr>
          <w:p w:rsidR="002F09FD" w:rsidRPr="00123353" w:rsidRDefault="002F09FD" w:rsidP="002F09FD">
            <w:pPr>
              <w:spacing w:line="360" w:lineRule="auto"/>
              <w:jc w:val="center"/>
              <w:textAlignment w:val="bottom"/>
              <w:rPr>
                <w:rFonts w:eastAsia="ヒラギノ角ゴ Pro W3"/>
                <w:b/>
                <w:bCs/>
                <w:color w:val="595959"/>
                <w:kern w:val="24"/>
                <w:sz w:val="20"/>
                <w:szCs w:val="18"/>
              </w:rPr>
            </w:pPr>
            <w:r>
              <w:rPr>
                <w:rFonts w:eastAsia="ヒラギノ角ゴ Pro W3"/>
                <w:color w:val="595959"/>
                <w:kern w:val="24"/>
                <w:sz w:val="20"/>
                <w:szCs w:val="18"/>
              </w:rPr>
              <w:t>NS</w:t>
            </w:r>
            <w:r w:rsidRPr="00123353">
              <w:rPr>
                <w:rFonts w:eastAsia="ヒラギノ角ゴ Pro W3"/>
                <w:color w:val="595959"/>
                <w:kern w:val="24"/>
                <w:sz w:val="20"/>
                <w:szCs w:val="18"/>
              </w:rPr>
              <w:t xml:space="preserve"> </w:t>
            </w:r>
          </w:p>
        </w:tc>
        <w:tc>
          <w:tcPr>
            <w:tcW w:w="284" w:type="dxa"/>
            <w:tcBorders>
              <w:left w:val="nil"/>
              <w:right w:val="nil"/>
            </w:tcBorders>
            <w:tcMar>
              <w:top w:w="6" w:type="dxa"/>
              <w:left w:w="6" w:type="dxa"/>
              <w:bottom w:w="0" w:type="dxa"/>
              <w:right w:w="6" w:type="dxa"/>
            </w:tcMar>
            <w:vAlign w:val="bottom"/>
          </w:tcPr>
          <w:p w:rsidR="002F09FD" w:rsidRPr="00123353" w:rsidRDefault="002F09FD" w:rsidP="002F09FD">
            <w:pPr>
              <w:spacing w:line="360" w:lineRule="auto"/>
              <w:rPr>
                <w:rFonts w:ascii="Arial" w:hAnsi="Arial" w:cs="Arial"/>
                <w:sz w:val="20"/>
                <w:szCs w:val="36"/>
              </w:rPr>
            </w:pPr>
          </w:p>
        </w:tc>
        <w:tc>
          <w:tcPr>
            <w:tcW w:w="1091" w:type="dxa"/>
            <w:tcBorders>
              <w:left w:val="nil"/>
              <w:right w:val="nil"/>
            </w:tcBorders>
            <w:tcMar>
              <w:top w:w="6" w:type="dxa"/>
              <w:left w:w="6" w:type="dxa"/>
              <w:bottom w:w="0" w:type="dxa"/>
              <w:right w:w="6" w:type="dxa"/>
            </w:tcMar>
            <w:vAlign w:val="bottom"/>
          </w:tcPr>
          <w:p w:rsidR="002F09FD" w:rsidRPr="00123353" w:rsidRDefault="002F09FD" w:rsidP="002F09FD">
            <w:pPr>
              <w:spacing w:line="360" w:lineRule="auto"/>
              <w:jc w:val="center"/>
              <w:textAlignment w:val="bottom"/>
              <w:rPr>
                <w:rFonts w:eastAsia="ヒラギノ角ゴ Pro W3"/>
                <w:color w:val="595959"/>
                <w:kern w:val="24"/>
                <w:sz w:val="20"/>
                <w:szCs w:val="18"/>
              </w:rPr>
            </w:pPr>
            <w:r>
              <w:rPr>
                <w:rFonts w:eastAsia="ヒラギノ角ゴ Pro W3"/>
                <w:color w:val="595959"/>
                <w:kern w:val="24"/>
                <w:sz w:val="20"/>
                <w:szCs w:val="18"/>
              </w:rPr>
              <w:t>NS</w:t>
            </w:r>
            <w:r w:rsidRPr="00123353">
              <w:rPr>
                <w:rFonts w:eastAsia="ヒラギノ角ゴ Pro W3"/>
                <w:color w:val="595959"/>
                <w:kern w:val="24"/>
                <w:sz w:val="20"/>
                <w:szCs w:val="18"/>
              </w:rPr>
              <w:t xml:space="preserve"> </w:t>
            </w:r>
          </w:p>
        </w:tc>
        <w:tc>
          <w:tcPr>
            <w:tcW w:w="1112" w:type="dxa"/>
            <w:tcBorders>
              <w:left w:val="nil"/>
              <w:right w:val="nil"/>
            </w:tcBorders>
            <w:tcMar>
              <w:top w:w="6" w:type="dxa"/>
              <w:left w:w="6" w:type="dxa"/>
              <w:bottom w:w="0" w:type="dxa"/>
              <w:right w:w="6" w:type="dxa"/>
            </w:tcMar>
            <w:vAlign w:val="bottom"/>
          </w:tcPr>
          <w:p w:rsidR="002F09FD" w:rsidRPr="00123353" w:rsidRDefault="002F09FD" w:rsidP="002F09FD">
            <w:pPr>
              <w:spacing w:line="360" w:lineRule="auto"/>
              <w:jc w:val="center"/>
              <w:textAlignment w:val="bottom"/>
              <w:rPr>
                <w:rFonts w:eastAsia="ヒラギノ角ゴ Pro W3"/>
                <w:color w:val="595959"/>
                <w:kern w:val="24"/>
                <w:sz w:val="20"/>
                <w:szCs w:val="18"/>
              </w:rPr>
            </w:pPr>
            <w:r>
              <w:rPr>
                <w:rFonts w:eastAsia="ヒラギノ角ゴ Pro W3"/>
                <w:color w:val="595959"/>
                <w:kern w:val="24"/>
                <w:sz w:val="20"/>
                <w:szCs w:val="18"/>
              </w:rPr>
              <w:t>NS</w:t>
            </w:r>
            <w:r w:rsidRPr="00123353">
              <w:rPr>
                <w:rFonts w:eastAsia="ヒラギノ角ゴ Pro W3"/>
                <w:color w:val="595959"/>
                <w:kern w:val="24"/>
                <w:sz w:val="20"/>
                <w:szCs w:val="18"/>
              </w:rPr>
              <w:t xml:space="preserve"> </w:t>
            </w:r>
          </w:p>
        </w:tc>
      </w:tr>
      <w:tr w:rsidR="002F09FD" w:rsidRPr="008C6839" w:rsidTr="002F09FD">
        <w:trPr>
          <w:trHeight w:val="245"/>
        </w:trPr>
        <w:tc>
          <w:tcPr>
            <w:tcW w:w="1530" w:type="dxa"/>
            <w:vMerge/>
            <w:tcBorders>
              <w:left w:val="nil"/>
              <w:bottom w:val="single" w:sz="4" w:space="0" w:color="auto"/>
              <w:right w:val="nil"/>
            </w:tcBorders>
            <w:tcMar>
              <w:top w:w="6" w:type="dxa"/>
              <w:left w:w="6" w:type="dxa"/>
              <w:bottom w:w="0" w:type="dxa"/>
              <w:right w:w="6" w:type="dxa"/>
            </w:tcMar>
            <w:vAlign w:val="center"/>
          </w:tcPr>
          <w:p w:rsidR="002F09FD" w:rsidRPr="00123353" w:rsidRDefault="002F09FD" w:rsidP="002F09FD">
            <w:pPr>
              <w:spacing w:line="360" w:lineRule="auto"/>
              <w:textAlignment w:val="bottom"/>
              <w:rPr>
                <w:rFonts w:eastAsia="ヒラギノ角ゴ Pro W3"/>
                <w:color w:val="000000"/>
                <w:kern w:val="24"/>
                <w:sz w:val="20"/>
                <w:szCs w:val="18"/>
              </w:rPr>
            </w:pPr>
          </w:p>
        </w:tc>
        <w:tc>
          <w:tcPr>
            <w:tcW w:w="889" w:type="dxa"/>
            <w:tcBorders>
              <w:left w:val="nil"/>
              <w:bottom w:val="single" w:sz="4" w:space="0" w:color="auto"/>
              <w:right w:val="nil"/>
            </w:tcBorders>
            <w:tcMar>
              <w:top w:w="6" w:type="dxa"/>
              <w:left w:w="6" w:type="dxa"/>
              <w:bottom w:w="0" w:type="dxa"/>
              <w:right w:w="6" w:type="dxa"/>
            </w:tcMar>
            <w:vAlign w:val="bottom"/>
          </w:tcPr>
          <w:p w:rsidR="002F09FD" w:rsidRPr="00123353" w:rsidRDefault="002F09FD" w:rsidP="002F09FD">
            <w:pPr>
              <w:spacing w:line="360" w:lineRule="auto"/>
              <w:rPr>
                <w:rFonts w:ascii="Arial" w:hAnsi="Arial" w:cs="Arial"/>
                <w:sz w:val="20"/>
                <w:szCs w:val="36"/>
              </w:rPr>
            </w:pPr>
            <w:r w:rsidRPr="00123353">
              <w:rPr>
                <w:rFonts w:eastAsia="ヒラギノ角ゴ Pro W3"/>
                <w:color w:val="000000"/>
                <w:kern w:val="24"/>
                <w:sz w:val="20"/>
                <w:szCs w:val="18"/>
              </w:rPr>
              <w:t> </w:t>
            </w:r>
            <w:r w:rsidRPr="00123353">
              <w:rPr>
                <w:color w:val="000000"/>
                <w:kern w:val="24"/>
                <w:sz w:val="20"/>
                <w:szCs w:val="18"/>
              </w:rPr>
              <w:t xml:space="preserve"> </w:t>
            </w:r>
          </w:p>
        </w:tc>
        <w:tc>
          <w:tcPr>
            <w:tcW w:w="1721" w:type="dxa"/>
            <w:tcBorders>
              <w:left w:val="nil"/>
              <w:bottom w:val="single" w:sz="4" w:space="0" w:color="auto"/>
              <w:right w:val="nil"/>
            </w:tcBorders>
            <w:tcMar>
              <w:top w:w="6" w:type="dxa"/>
              <w:left w:w="6" w:type="dxa"/>
              <w:bottom w:w="0" w:type="dxa"/>
              <w:right w:w="6" w:type="dxa"/>
            </w:tcMar>
            <w:vAlign w:val="bottom"/>
          </w:tcPr>
          <w:p w:rsidR="002F09FD" w:rsidRPr="00123353" w:rsidRDefault="002F09FD" w:rsidP="002F09FD">
            <w:pPr>
              <w:spacing w:line="360" w:lineRule="auto"/>
              <w:rPr>
                <w:rFonts w:ascii="Arial" w:hAnsi="Arial" w:cs="Arial"/>
                <w:sz w:val="20"/>
                <w:szCs w:val="36"/>
              </w:rPr>
            </w:pPr>
            <w:r w:rsidRPr="00123353">
              <w:rPr>
                <w:rFonts w:eastAsia="ヒラギノ角ゴ Pro W3"/>
                <w:color w:val="000000"/>
                <w:kern w:val="24"/>
                <w:sz w:val="20"/>
                <w:szCs w:val="18"/>
              </w:rPr>
              <w:t>Biomass yield</w:t>
            </w:r>
            <w:r w:rsidRPr="00123353">
              <w:rPr>
                <w:color w:val="000000"/>
                <w:kern w:val="24"/>
                <w:sz w:val="20"/>
                <w:szCs w:val="18"/>
              </w:rPr>
              <w:t xml:space="preserve"> </w:t>
            </w:r>
          </w:p>
        </w:tc>
        <w:tc>
          <w:tcPr>
            <w:tcW w:w="1062" w:type="dxa"/>
            <w:gridSpan w:val="2"/>
            <w:tcBorders>
              <w:left w:val="nil"/>
              <w:bottom w:val="single" w:sz="4" w:space="0" w:color="auto"/>
              <w:right w:val="nil"/>
            </w:tcBorders>
            <w:tcMar>
              <w:top w:w="6" w:type="dxa"/>
              <w:left w:w="6" w:type="dxa"/>
              <w:bottom w:w="0" w:type="dxa"/>
              <w:right w:w="6" w:type="dxa"/>
            </w:tcMar>
            <w:vAlign w:val="bottom"/>
          </w:tcPr>
          <w:p w:rsidR="002F09FD" w:rsidRPr="00123353" w:rsidRDefault="002F09FD" w:rsidP="002F09FD">
            <w:pPr>
              <w:spacing w:line="360" w:lineRule="auto"/>
              <w:jc w:val="center"/>
              <w:textAlignment w:val="bottom"/>
              <w:rPr>
                <w:rFonts w:eastAsia="ヒラギノ角ゴ Pro W3"/>
                <w:color w:val="595959"/>
                <w:kern w:val="24"/>
                <w:sz w:val="20"/>
                <w:szCs w:val="18"/>
              </w:rPr>
            </w:pPr>
            <w:r>
              <w:rPr>
                <w:rFonts w:eastAsia="ヒラギノ角ゴ Pro W3"/>
                <w:color w:val="595959"/>
                <w:kern w:val="24"/>
                <w:sz w:val="20"/>
                <w:szCs w:val="18"/>
              </w:rPr>
              <w:t>NS</w:t>
            </w:r>
            <w:r w:rsidRPr="00123353">
              <w:rPr>
                <w:rFonts w:eastAsia="ヒラギノ角ゴ Pro W3"/>
                <w:color w:val="595959"/>
                <w:kern w:val="24"/>
                <w:sz w:val="20"/>
                <w:szCs w:val="18"/>
              </w:rPr>
              <w:t xml:space="preserve"> </w:t>
            </w:r>
          </w:p>
        </w:tc>
        <w:tc>
          <w:tcPr>
            <w:tcW w:w="951" w:type="dxa"/>
            <w:tcBorders>
              <w:left w:val="nil"/>
              <w:bottom w:val="single" w:sz="4" w:space="0" w:color="auto"/>
              <w:right w:val="nil"/>
            </w:tcBorders>
            <w:tcMar>
              <w:top w:w="6" w:type="dxa"/>
              <w:left w:w="6" w:type="dxa"/>
              <w:bottom w:w="0" w:type="dxa"/>
              <w:right w:w="6" w:type="dxa"/>
            </w:tcMar>
            <w:vAlign w:val="bottom"/>
          </w:tcPr>
          <w:p w:rsidR="002F09FD" w:rsidRPr="00123353" w:rsidRDefault="002F09FD" w:rsidP="002F09FD">
            <w:pPr>
              <w:spacing w:line="360" w:lineRule="auto"/>
              <w:jc w:val="center"/>
              <w:textAlignment w:val="bottom"/>
              <w:rPr>
                <w:rFonts w:eastAsia="ヒラギノ角ゴ Pro W3"/>
                <w:b/>
                <w:bCs/>
                <w:color w:val="595959"/>
                <w:kern w:val="24"/>
                <w:sz w:val="20"/>
                <w:szCs w:val="18"/>
              </w:rPr>
            </w:pPr>
            <w:r w:rsidRPr="00123353">
              <w:rPr>
                <w:rFonts w:eastAsia="ヒラギノ角ゴ Pro W3"/>
                <w:b/>
                <w:bCs/>
                <w:color w:val="000000"/>
                <w:kern w:val="24"/>
                <w:sz w:val="20"/>
                <w:szCs w:val="18"/>
              </w:rPr>
              <w:t xml:space="preserve">-50.5% </w:t>
            </w:r>
          </w:p>
        </w:tc>
        <w:tc>
          <w:tcPr>
            <w:tcW w:w="284" w:type="dxa"/>
            <w:tcBorders>
              <w:left w:val="nil"/>
              <w:bottom w:val="single" w:sz="4" w:space="0" w:color="auto"/>
              <w:right w:val="nil"/>
            </w:tcBorders>
            <w:tcMar>
              <w:top w:w="6" w:type="dxa"/>
              <w:left w:w="6" w:type="dxa"/>
              <w:bottom w:w="0" w:type="dxa"/>
              <w:right w:w="6" w:type="dxa"/>
            </w:tcMar>
            <w:vAlign w:val="bottom"/>
          </w:tcPr>
          <w:p w:rsidR="002F09FD" w:rsidRPr="00123353" w:rsidRDefault="002F09FD" w:rsidP="002F09FD">
            <w:pPr>
              <w:spacing w:line="360" w:lineRule="auto"/>
              <w:rPr>
                <w:rFonts w:ascii="Arial" w:hAnsi="Arial" w:cs="Arial"/>
                <w:sz w:val="20"/>
                <w:szCs w:val="36"/>
              </w:rPr>
            </w:pPr>
          </w:p>
        </w:tc>
        <w:tc>
          <w:tcPr>
            <w:tcW w:w="1091" w:type="dxa"/>
            <w:tcBorders>
              <w:left w:val="nil"/>
              <w:bottom w:val="single" w:sz="4" w:space="0" w:color="auto"/>
              <w:right w:val="nil"/>
            </w:tcBorders>
            <w:tcMar>
              <w:top w:w="6" w:type="dxa"/>
              <w:left w:w="6" w:type="dxa"/>
              <w:bottom w:w="0" w:type="dxa"/>
              <w:right w:w="6" w:type="dxa"/>
            </w:tcMar>
            <w:vAlign w:val="bottom"/>
          </w:tcPr>
          <w:p w:rsidR="002F09FD" w:rsidRPr="00123353" w:rsidRDefault="002F09FD" w:rsidP="002F09FD">
            <w:pPr>
              <w:spacing w:line="360" w:lineRule="auto"/>
              <w:jc w:val="center"/>
              <w:textAlignment w:val="bottom"/>
              <w:rPr>
                <w:rFonts w:eastAsia="ヒラギノ角ゴ Pro W3"/>
                <w:color w:val="595959"/>
                <w:kern w:val="24"/>
                <w:sz w:val="20"/>
                <w:szCs w:val="18"/>
              </w:rPr>
            </w:pPr>
            <w:r w:rsidRPr="00123353">
              <w:rPr>
                <w:rFonts w:eastAsia="ヒラギノ角ゴ Pro W3"/>
                <w:b/>
                <w:kern w:val="24"/>
                <w:sz w:val="20"/>
                <w:szCs w:val="18"/>
              </w:rPr>
              <w:t xml:space="preserve">+18.2% </w:t>
            </w:r>
          </w:p>
        </w:tc>
        <w:tc>
          <w:tcPr>
            <w:tcW w:w="1112" w:type="dxa"/>
            <w:tcBorders>
              <w:left w:val="nil"/>
              <w:bottom w:val="single" w:sz="4" w:space="0" w:color="auto"/>
              <w:right w:val="nil"/>
            </w:tcBorders>
            <w:tcMar>
              <w:top w:w="6" w:type="dxa"/>
              <w:left w:w="6" w:type="dxa"/>
              <w:bottom w:w="0" w:type="dxa"/>
              <w:right w:w="6" w:type="dxa"/>
            </w:tcMar>
            <w:vAlign w:val="bottom"/>
          </w:tcPr>
          <w:p w:rsidR="002F09FD" w:rsidRPr="00123353" w:rsidRDefault="002F09FD" w:rsidP="002F09FD">
            <w:pPr>
              <w:spacing w:line="360" w:lineRule="auto"/>
              <w:jc w:val="center"/>
              <w:textAlignment w:val="bottom"/>
              <w:rPr>
                <w:rFonts w:eastAsia="ヒラギノ角ゴ Pro W3"/>
                <w:color w:val="595959"/>
                <w:kern w:val="24"/>
                <w:sz w:val="20"/>
                <w:szCs w:val="18"/>
              </w:rPr>
            </w:pPr>
            <w:r>
              <w:rPr>
                <w:rFonts w:eastAsia="ヒラギノ角ゴ Pro W3"/>
                <w:color w:val="595959"/>
                <w:kern w:val="24"/>
                <w:sz w:val="20"/>
                <w:szCs w:val="18"/>
              </w:rPr>
              <w:t>NS</w:t>
            </w:r>
            <w:r w:rsidRPr="00123353">
              <w:rPr>
                <w:rFonts w:eastAsia="ヒラギノ角ゴ Pro W3"/>
                <w:color w:val="595959"/>
                <w:kern w:val="24"/>
                <w:sz w:val="20"/>
                <w:szCs w:val="18"/>
              </w:rPr>
              <w:t xml:space="preserve"> </w:t>
            </w:r>
          </w:p>
        </w:tc>
      </w:tr>
      <w:tr w:rsidR="002F09FD" w:rsidRPr="008C6839" w:rsidTr="002F09FD">
        <w:trPr>
          <w:trHeight w:val="245"/>
        </w:trPr>
        <w:tc>
          <w:tcPr>
            <w:tcW w:w="1530" w:type="dxa"/>
            <w:tcBorders>
              <w:top w:val="single" w:sz="4" w:space="0" w:color="auto"/>
              <w:left w:val="nil"/>
              <w:bottom w:val="single" w:sz="4" w:space="0" w:color="auto"/>
              <w:right w:val="nil"/>
            </w:tcBorders>
            <w:tcMar>
              <w:top w:w="6" w:type="dxa"/>
              <w:left w:w="6" w:type="dxa"/>
              <w:bottom w:w="0" w:type="dxa"/>
              <w:right w:w="6" w:type="dxa"/>
            </w:tcMar>
            <w:vAlign w:val="bottom"/>
          </w:tcPr>
          <w:p w:rsidR="002F09FD" w:rsidRPr="00123353" w:rsidRDefault="002F09FD" w:rsidP="002F09FD">
            <w:pPr>
              <w:spacing w:line="360" w:lineRule="auto"/>
              <w:textAlignment w:val="bottom"/>
              <w:rPr>
                <w:rFonts w:ascii="Arial" w:hAnsi="Arial" w:cs="Arial"/>
                <w:sz w:val="20"/>
                <w:szCs w:val="36"/>
              </w:rPr>
            </w:pPr>
            <w:r w:rsidRPr="00123353">
              <w:rPr>
                <w:rFonts w:eastAsia="ヒラギノ角ゴ Pro W3"/>
                <w:color w:val="000000"/>
                <w:kern w:val="24"/>
                <w:sz w:val="20"/>
                <w:szCs w:val="18"/>
              </w:rPr>
              <w:t xml:space="preserve">Rust susceptibility </w:t>
            </w:r>
          </w:p>
        </w:tc>
        <w:tc>
          <w:tcPr>
            <w:tcW w:w="889" w:type="dxa"/>
            <w:tcBorders>
              <w:top w:val="single" w:sz="4" w:space="0" w:color="auto"/>
              <w:left w:val="nil"/>
              <w:bottom w:val="single" w:sz="4" w:space="0" w:color="auto"/>
              <w:right w:val="nil"/>
            </w:tcBorders>
            <w:tcMar>
              <w:top w:w="6" w:type="dxa"/>
              <w:left w:w="6" w:type="dxa"/>
              <w:bottom w:w="0" w:type="dxa"/>
              <w:right w:w="6" w:type="dxa"/>
            </w:tcMar>
            <w:vAlign w:val="bottom"/>
          </w:tcPr>
          <w:p w:rsidR="002F09FD" w:rsidRPr="00123353" w:rsidRDefault="002F09FD" w:rsidP="002F09FD">
            <w:pPr>
              <w:spacing w:line="360" w:lineRule="auto"/>
              <w:rPr>
                <w:rFonts w:ascii="Arial" w:hAnsi="Arial" w:cs="Arial"/>
                <w:sz w:val="20"/>
                <w:szCs w:val="36"/>
              </w:rPr>
            </w:pPr>
          </w:p>
        </w:tc>
        <w:tc>
          <w:tcPr>
            <w:tcW w:w="1721" w:type="dxa"/>
            <w:tcBorders>
              <w:top w:val="single" w:sz="4" w:space="0" w:color="auto"/>
              <w:left w:val="nil"/>
              <w:bottom w:val="single" w:sz="4" w:space="0" w:color="auto"/>
              <w:right w:val="nil"/>
            </w:tcBorders>
            <w:tcMar>
              <w:top w:w="6" w:type="dxa"/>
              <w:left w:w="6" w:type="dxa"/>
              <w:bottom w:w="0" w:type="dxa"/>
              <w:right w:w="6" w:type="dxa"/>
            </w:tcMar>
            <w:vAlign w:val="bottom"/>
          </w:tcPr>
          <w:p w:rsidR="002F09FD" w:rsidRPr="00123353" w:rsidRDefault="002F09FD" w:rsidP="002F09FD">
            <w:pPr>
              <w:spacing w:line="360" w:lineRule="auto"/>
              <w:rPr>
                <w:rFonts w:ascii="Arial" w:hAnsi="Arial" w:cs="Arial"/>
                <w:sz w:val="20"/>
                <w:szCs w:val="36"/>
              </w:rPr>
            </w:pPr>
          </w:p>
        </w:tc>
        <w:tc>
          <w:tcPr>
            <w:tcW w:w="1062" w:type="dxa"/>
            <w:gridSpan w:val="2"/>
            <w:tcBorders>
              <w:top w:val="single" w:sz="4" w:space="0" w:color="auto"/>
              <w:left w:val="nil"/>
              <w:bottom w:val="single" w:sz="4" w:space="0" w:color="auto"/>
              <w:right w:val="nil"/>
            </w:tcBorders>
            <w:tcMar>
              <w:top w:w="6" w:type="dxa"/>
              <w:left w:w="6" w:type="dxa"/>
              <w:bottom w:w="0" w:type="dxa"/>
              <w:right w:w="6" w:type="dxa"/>
            </w:tcMar>
            <w:vAlign w:val="bottom"/>
          </w:tcPr>
          <w:p w:rsidR="002F09FD" w:rsidRPr="00123353" w:rsidRDefault="002F09FD" w:rsidP="002F09FD">
            <w:pPr>
              <w:spacing w:line="360" w:lineRule="auto"/>
              <w:jc w:val="center"/>
              <w:textAlignment w:val="bottom"/>
              <w:rPr>
                <w:rFonts w:ascii="Arial" w:hAnsi="Arial" w:cs="Arial"/>
                <w:sz w:val="20"/>
                <w:szCs w:val="36"/>
              </w:rPr>
            </w:pPr>
            <w:r w:rsidRPr="00123353">
              <w:rPr>
                <w:rFonts w:eastAsia="ヒラギノ角ゴ Pro W3"/>
                <w:color w:val="595959"/>
                <w:kern w:val="24"/>
                <w:sz w:val="20"/>
                <w:szCs w:val="18"/>
              </w:rPr>
              <w:t xml:space="preserve">-- </w:t>
            </w:r>
          </w:p>
        </w:tc>
        <w:tc>
          <w:tcPr>
            <w:tcW w:w="951" w:type="dxa"/>
            <w:tcBorders>
              <w:top w:val="single" w:sz="4" w:space="0" w:color="auto"/>
              <w:left w:val="nil"/>
              <w:bottom w:val="single" w:sz="4" w:space="0" w:color="auto"/>
              <w:right w:val="nil"/>
            </w:tcBorders>
            <w:tcMar>
              <w:top w:w="6" w:type="dxa"/>
              <w:left w:w="6" w:type="dxa"/>
              <w:bottom w:w="0" w:type="dxa"/>
              <w:right w:w="6" w:type="dxa"/>
            </w:tcMar>
            <w:vAlign w:val="bottom"/>
          </w:tcPr>
          <w:p w:rsidR="002F09FD" w:rsidRPr="00123353" w:rsidRDefault="002F09FD" w:rsidP="002F09FD">
            <w:pPr>
              <w:spacing w:line="360" w:lineRule="auto"/>
              <w:jc w:val="center"/>
              <w:textAlignment w:val="bottom"/>
              <w:rPr>
                <w:rFonts w:ascii="Arial" w:hAnsi="Arial" w:cs="Arial"/>
                <w:sz w:val="20"/>
                <w:szCs w:val="36"/>
              </w:rPr>
            </w:pPr>
            <w:r w:rsidRPr="00123353">
              <w:rPr>
                <w:rFonts w:eastAsia="ヒラギノ角ゴ Pro W3"/>
                <w:color w:val="595959"/>
                <w:kern w:val="24"/>
                <w:sz w:val="20"/>
                <w:szCs w:val="18"/>
              </w:rPr>
              <w:t>--</w:t>
            </w:r>
          </w:p>
        </w:tc>
        <w:tc>
          <w:tcPr>
            <w:tcW w:w="284" w:type="dxa"/>
            <w:tcBorders>
              <w:top w:val="single" w:sz="4" w:space="0" w:color="auto"/>
              <w:left w:val="nil"/>
              <w:bottom w:val="single" w:sz="4" w:space="0" w:color="auto"/>
              <w:right w:val="nil"/>
            </w:tcBorders>
            <w:tcMar>
              <w:top w:w="6" w:type="dxa"/>
              <w:left w:w="6" w:type="dxa"/>
              <w:bottom w:w="0" w:type="dxa"/>
              <w:right w:w="6" w:type="dxa"/>
            </w:tcMar>
            <w:vAlign w:val="bottom"/>
          </w:tcPr>
          <w:p w:rsidR="002F09FD" w:rsidRPr="00123353" w:rsidRDefault="002F09FD" w:rsidP="002F09FD">
            <w:pPr>
              <w:spacing w:line="360" w:lineRule="auto"/>
              <w:rPr>
                <w:rFonts w:ascii="Arial" w:hAnsi="Arial" w:cs="Arial"/>
                <w:sz w:val="20"/>
                <w:szCs w:val="36"/>
              </w:rPr>
            </w:pPr>
          </w:p>
        </w:tc>
        <w:tc>
          <w:tcPr>
            <w:tcW w:w="1091" w:type="dxa"/>
            <w:tcBorders>
              <w:top w:val="single" w:sz="4" w:space="0" w:color="auto"/>
              <w:left w:val="nil"/>
              <w:bottom w:val="single" w:sz="4" w:space="0" w:color="auto"/>
              <w:right w:val="nil"/>
            </w:tcBorders>
            <w:tcMar>
              <w:top w:w="6" w:type="dxa"/>
              <w:left w:w="6" w:type="dxa"/>
              <w:bottom w:w="0" w:type="dxa"/>
              <w:right w:w="6" w:type="dxa"/>
            </w:tcMar>
            <w:vAlign w:val="bottom"/>
          </w:tcPr>
          <w:p w:rsidR="002F09FD" w:rsidRPr="00123353" w:rsidRDefault="002F09FD" w:rsidP="002F09FD">
            <w:pPr>
              <w:spacing w:line="360" w:lineRule="auto"/>
              <w:jc w:val="center"/>
              <w:textAlignment w:val="bottom"/>
              <w:rPr>
                <w:rFonts w:ascii="Arial" w:hAnsi="Arial" w:cs="Arial"/>
                <w:sz w:val="20"/>
                <w:szCs w:val="36"/>
              </w:rPr>
            </w:pPr>
            <w:r>
              <w:rPr>
                <w:rFonts w:eastAsia="ヒラギノ角ゴ Pro W3"/>
                <w:color w:val="595959"/>
                <w:kern w:val="24"/>
                <w:sz w:val="20"/>
                <w:szCs w:val="18"/>
              </w:rPr>
              <w:t>NS</w:t>
            </w:r>
            <w:r w:rsidRPr="00123353">
              <w:rPr>
                <w:rFonts w:eastAsia="ヒラギノ角ゴ Pro W3"/>
                <w:color w:val="595959"/>
                <w:kern w:val="24"/>
                <w:sz w:val="20"/>
                <w:szCs w:val="18"/>
              </w:rPr>
              <w:t xml:space="preserve"> </w:t>
            </w:r>
          </w:p>
        </w:tc>
        <w:tc>
          <w:tcPr>
            <w:tcW w:w="1112" w:type="dxa"/>
            <w:tcBorders>
              <w:top w:val="single" w:sz="4" w:space="0" w:color="auto"/>
              <w:left w:val="nil"/>
              <w:bottom w:val="single" w:sz="4" w:space="0" w:color="auto"/>
              <w:right w:val="nil"/>
            </w:tcBorders>
            <w:tcMar>
              <w:top w:w="6" w:type="dxa"/>
              <w:left w:w="6" w:type="dxa"/>
              <w:bottom w:w="0" w:type="dxa"/>
              <w:right w:w="6" w:type="dxa"/>
            </w:tcMar>
            <w:vAlign w:val="bottom"/>
          </w:tcPr>
          <w:p w:rsidR="002F09FD" w:rsidRPr="00123353" w:rsidRDefault="002F09FD" w:rsidP="002F09FD">
            <w:pPr>
              <w:spacing w:line="360" w:lineRule="auto"/>
              <w:jc w:val="center"/>
              <w:textAlignment w:val="bottom"/>
              <w:rPr>
                <w:rFonts w:ascii="Arial" w:hAnsi="Arial" w:cs="Arial"/>
                <w:sz w:val="20"/>
                <w:szCs w:val="36"/>
              </w:rPr>
            </w:pPr>
            <w:r>
              <w:rPr>
                <w:rFonts w:eastAsia="ヒラギノ角ゴ Pro W3"/>
                <w:color w:val="595959"/>
                <w:kern w:val="24"/>
                <w:sz w:val="20"/>
                <w:szCs w:val="18"/>
              </w:rPr>
              <w:t>NS</w:t>
            </w:r>
            <w:r w:rsidRPr="00123353">
              <w:rPr>
                <w:rFonts w:eastAsia="ヒラギノ角ゴ Pro W3"/>
                <w:color w:val="595959"/>
                <w:kern w:val="24"/>
                <w:sz w:val="20"/>
                <w:szCs w:val="18"/>
              </w:rPr>
              <w:t xml:space="preserve"> </w:t>
            </w:r>
          </w:p>
        </w:tc>
      </w:tr>
    </w:tbl>
    <w:p w:rsidR="00F9593D" w:rsidRDefault="00F9593D" w:rsidP="00097A19">
      <w:pPr>
        <w:spacing w:line="480" w:lineRule="auto"/>
        <w:rPr>
          <w:color w:val="000000"/>
          <w:kern w:val="24"/>
        </w:rPr>
      </w:pPr>
      <w:r>
        <w:rPr>
          <w:color w:val="000000"/>
          <w:kern w:val="24"/>
        </w:rPr>
        <w:t>Values are the percent difference between each transgenic event and its corresponding control. S</w:t>
      </w:r>
      <w:r w:rsidRPr="00B225FC">
        <w:rPr>
          <w:color w:val="000000"/>
          <w:kern w:val="24"/>
        </w:rPr>
        <w:t>ignifican</w:t>
      </w:r>
      <w:r>
        <w:rPr>
          <w:color w:val="000000"/>
          <w:kern w:val="24"/>
        </w:rPr>
        <w:t xml:space="preserve">ce was determined by a </w:t>
      </w:r>
      <w:r w:rsidRPr="004C3931">
        <w:rPr>
          <w:i/>
        </w:rPr>
        <w:t>t</w:t>
      </w:r>
      <w:r>
        <w:t>-test</w:t>
      </w:r>
      <w:r>
        <w:rPr>
          <w:color w:val="000000"/>
          <w:kern w:val="24"/>
        </w:rPr>
        <w:t xml:space="preserve"> (</w:t>
      </w:r>
      <w:r w:rsidRPr="00B225FC">
        <w:rPr>
          <w:color w:val="000000"/>
          <w:kern w:val="24"/>
        </w:rPr>
        <w:t>P &lt; 0.05).</w:t>
      </w:r>
      <w:r>
        <w:rPr>
          <w:color w:val="000000"/>
          <w:kern w:val="24"/>
        </w:rPr>
        <w:t xml:space="preserve"> A negative sign (-) indicates a decrease relative to the control; a positive sign (+) indicates an increase relative to the control. </w:t>
      </w:r>
      <w:r w:rsidRPr="00B225FC">
        <w:rPr>
          <w:color w:val="000000"/>
          <w:kern w:val="24"/>
        </w:rPr>
        <w:t xml:space="preserve"> </w:t>
      </w:r>
      <w:r w:rsidR="00730010">
        <w:rPr>
          <w:color w:val="000000"/>
          <w:kern w:val="24"/>
        </w:rPr>
        <w:t>NS, not significant</w:t>
      </w:r>
      <w:r w:rsidR="003737CC">
        <w:rPr>
          <w:color w:val="000000"/>
          <w:kern w:val="24"/>
        </w:rPr>
        <w:t>.</w:t>
      </w:r>
    </w:p>
    <w:p w:rsidR="001330AB" w:rsidRDefault="00D219AF" w:rsidP="001330AB">
      <w:pPr>
        <w:pStyle w:val="Heading1"/>
      </w:pPr>
      <w:r>
        <w:br w:type="page"/>
      </w:r>
      <w:r>
        <w:lastRenderedPageBreak/>
        <w:t>CHAPTER 4</w:t>
      </w:r>
      <w:r w:rsidRPr="000F6FE1">
        <w:br/>
      </w:r>
      <w:r w:rsidR="00BC2D26">
        <w:t>Conclusion</w:t>
      </w:r>
    </w:p>
    <w:p w:rsidR="001330AB" w:rsidRDefault="001330AB">
      <w:pPr>
        <w:rPr>
          <w:b/>
          <w:bCs/>
          <w:caps/>
          <w:sz w:val="28"/>
        </w:rPr>
      </w:pPr>
      <w:r>
        <w:br w:type="page"/>
      </w:r>
    </w:p>
    <w:p w:rsidR="00E550DE" w:rsidRDefault="00E550DE" w:rsidP="000002F7">
      <w:pPr>
        <w:spacing w:line="480" w:lineRule="auto"/>
      </w:pPr>
    </w:p>
    <w:p w:rsidR="00E550DE" w:rsidRDefault="00E550DE" w:rsidP="000002F7">
      <w:pPr>
        <w:spacing w:line="480" w:lineRule="auto"/>
      </w:pPr>
      <w:r>
        <w:t xml:space="preserve">Transgenic modification of </w:t>
      </w:r>
      <w:r w:rsidR="00376AE6">
        <w:t xml:space="preserve">lignin </w:t>
      </w:r>
      <w:r w:rsidR="004F37CB">
        <w:t xml:space="preserve">biosynthesis </w:t>
      </w:r>
      <w:r w:rsidR="00376AE6">
        <w:t xml:space="preserve">in </w:t>
      </w:r>
      <w:r>
        <w:t xml:space="preserve">lignocellulosic </w:t>
      </w:r>
      <w:r w:rsidR="00376AE6">
        <w:t>feedstocks</w:t>
      </w:r>
      <w:r>
        <w:t xml:space="preserve"> offers a direct and effective route for </w:t>
      </w:r>
      <w:r w:rsidR="004F37CB">
        <w:t>i</w:t>
      </w:r>
      <w:r>
        <w:t>ncreasing the availability of sugars for fermentation</w:t>
      </w:r>
      <w:r w:rsidR="003B5DC1">
        <w:t xml:space="preserve">. </w:t>
      </w:r>
      <w:r w:rsidR="001938EE">
        <w:t>However,</w:t>
      </w:r>
      <w:r w:rsidR="00DD457B">
        <w:t xml:space="preserve"> modifications to the lignin pathway </w:t>
      </w:r>
      <w:r w:rsidR="00B75CF7">
        <w:t>can</w:t>
      </w:r>
      <w:r w:rsidR="00DD457B">
        <w:t xml:space="preserve"> affect stress-related pathways, which could ultimately influence </w:t>
      </w:r>
      <w:r w:rsidR="00FF6B99">
        <w:t>plant performance</w:t>
      </w:r>
      <w:r w:rsidR="00B75CF7">
        <w:t xml:space="preserve"> in a field setting</w:t>
      </w:r>
      <w:r w:rsidR="00DD457B">
        <w:t xml:space="preserve">. </w:t>
      </w:r>
      <w:r w:rsidR="00BC2D26">
        <w:t>T</w:t>
      </w:r>
      <w:r w:rsidR="004B2A8B">
        <w:t xml:space="preserve">he </w:t>
      </w:r>
      <w:r w:rsidR="00053FD1">
        <w:t>development</w:t>
      </w:r>
      <w:r w:rsidR="003B5DC1">
        <w:t xml:space="preserve"> of</w:t>
      </w:r>
      <w:r w:rsidR="004F37CB">
        <w:t xml:space="preserve"> sustainable</w:t>
      </w:r>
      <w:r w:rsidR="003B5DC1">
        <w:t xml:space="preserve"> low-lignin </w:t>
      </w:r>
      <w:r w:rsidR="00053FD1">
        <w:t>bioenergy</w:t>
      </w:r>
      <w:r w:rsidR="003B5DC1">
        <w:t xml:space="preserve"> feedstocks requires a</w:t>
      </w:r>
      <w:r w:rsidR="001330AB">
        <w:t xml:space="preserve">n improved </w:t>
      </w:r>
      <w:r w:rsidR="003B5DC1">
        <w:t xml:space="preserve">understanding of the possible downstream effects of lignin modification on plant growth, fitness, and </w:t>
      </w:r>
      <w:r w:rsidR="00FF6B99">
        <w:t>stress tolerance</w:t>
      </w:r>
      <w:r w:rsidR="003B5DC1">
        <w:t xml:space="preserve"> in an agronomic setting.</w:t>
      </w:r>
      <w:r w:rsidR="001330AB">
        <w:t xml:space="preserve"> </w:t>
      </w:r>
    </w:p>
    <w:p w:rsidR="00FE61C1" w:rsidRDefault="00FE61C1" w:rsidP="000002F7">
      <w:pPr>
        <w:spacing w:line="480" w:lineRule="auto"/>
      </w:pPr>
    </w:p>
    <w:p w:rsidR="00D219AF" w:rsidRDefault="00115E5C" w:rsidP="000002F7">
      <w:pPr>
        <w:spacing w:line="480" w:lineRule="auto"/>
        <w:rPr>
          <w:b/>
          <w:bCs/>
          <w:caps/>
          <w:sz w:val="28"/>
        </w:rPr>
      </w:pPr>
      <w:r>
        <w:t xml:space="preserve">In </w:t>
      </w:r>
      <w:r w:rsidR="0060028D">
        <w:t>the study presented in Chapter three</w:t>
      </w:r>
      <w:r>
        <w:t xml:space="preserve">, </w:t>
      </w:r>
      <w:r w:rsidR="00255851">
        <w:t>COMT-downregulated switchgrass</w:t>
      </w:r>
      <w:r w:rsidR="002D235D">
        <w:t xml:space="preserve"> harvested during the</w:t>
      </w:r>
      <w:r w:rsidR="00255851">
        <w:t xml:space="preserve"> second year of </w:t>
      </w:r>
      <w:r w:rsidR="002D235D">
        <w:t>the field trial</w:t>
      </w:r>
      <w:r w:rsidR="00255851">
        <w:t xml:space="preserve"> produced results </w:t>
      </w:r>
      <w:r w:rsidR="002D235D">
        <w:t>that were comparable</w:t>
      </w:r>
      <w:r w:rsidR="00255851">
        <w:t xml:space="preserve"> to those which were observed in greenhouse experiments</w:t>
      </w:r>
      <w:r w:rsidR="004B2A8B">
        <w:t xml:space="preserve">. Furthermore, the reduced lignin content and </w:t>
      </w:r>
      <w:r w:rsidR="00DD457B">
        <w:t xml:space="preserve">altered </w:t>
      </w:r>
      <w:r w:rsidR="00FF6B99">
        <w:t xml:space="preserve">lignin </w:t>
      </w:r>
      <w:r w:rsidR="00DD457B">
        <w:t>composition</w:t>
      </w:r>
      <w:r w:rsidR="004B2A8B">
        <w:t xml:space="preserve"> had no negative impact on disease susceptibility or biomass yield</w:t>
      </w:r>
      <w:r w:rsidR="00FF6B99">
        <w:t xml:space="preserve"> in fully-</w:t>
      </w:r>
      <w:r w:rsidR="000002F7">
        <w:t>established plants</w:t>
      </w:r>
      <w:r w:rsidR="00053FD1">
        <w:t xml:space="preserve">. </w:t>
      </w:r>
      <w:r w:rsidR="00B55776">
        <w:t>An</w:t>
      </w:r>
      <w:r w:rsidR="00053FD1">
        <w:t xml:space="preserve"> </w:t>
      </w:r>
      <w:r w:rsidR="004B2A8B">
        <w:t xml:space="preserve">18% </w:t>
      </w:r>
      <w:r w:rsidR="00053FD1">
        <w:t xml:space="preserve">increase in biomass yield </w:t>
      </w:r>
      <w:r w:rsidR="004B2A8B">
        <w:t xml:space="preserve">was observed in one transgenic </w:t>
      </w:r>
      <w:r w:rsidR="00B55776">
        <w:t>event</w:t>
      </w:r>
      <w:r w:rsidR="004B2A8B">
        <w:t>, which, when combined with the</w:t>
      </w:r>
      <w:r w:rsidR="000002F7">
        <w:t xml:space="preserve"> gains in ethanol yield, resulted</w:t>
      </w:r>
      <w:r w:rsidR="004B2A8B">
        <w:t xml:space="preserve"> in over 50% more liters of ethanol per hectare than </w:t>
      </w:r>
      <w:r w:rsidR="000002F7">
        <w:t>its</w:t>
      </w:r>
      <w:r w:rsidR="004B2A8B">
        <w:t xml:space="preserve"> control.</w:t>
      </w:r>
      <w:r w:rsidR="00F505A1" w:rsidRPr="00F505A1">
        <w:t xml:space="preserve"> </w:t>
      </w:r>
      <w:r w:rsidR="00FF6B99">
        <w:t>These results validate the previously conducted greenhouse research in a more realistic setting,</w:t>
      </w:r>
      <w:r w:rsidR="00F505A1">
        <w:t xml:space="preserve"> </w:t>
      </w:r>
      <w:r w:rsidR="00FF6B99">
        <w:t>further demonstrating</w:t>
      </w:r>
      <w:r w:rsidR="00F505A1">
        <w:t xml:space="preserve"> the feasibility of using a transgenic </w:t>
      </w:r>
      <w:r w:rsidR="00FF6B99">
        <w:t>approach to improve</w:t>
      </w:r>
      <w:r w:rsidR="00F505A1">
        <w:t xml:space="preserve"> </w:t>
      </w:r>
      <w:r w:rsidR="00FF6B99">
        <w:t>lignocellulosic feedstock quality</w:t>
      </w:r>
      <w:r w:rsidR="00F505A1">
        <w:t xml:space="preserve"> for biofuel production. </w:t>
      </w:r>
      <w:r w:rsidR="00770626">
        <w:t>Further</w:t>
      </w:r>
      <w:r w:rsidR="00FE61C1">
        <w:t xml:space="preserve"> research is needed to evaluate </w:t>
      </w:r>
      <w:r w:rsidR="00FF6B99">
        <w:t>the growth and resilience of</w:t>
      </w:r>
      <w:r w:rsidR="00FE61C1">
        <w:t xml:space="preserve"> transgenic switchgrass</w:t>
      </w:r>
      <w:r w:rsidR="00FF6B99">
        <w:t>,</w:t>
      </w:r>
      <w:r w:rsidR="00770626">
        <w:t xml:space="preserve"> and other </w:t>
      </w:r>
      <w:r w:rsidR="00FF6B99">
        <w:t xml:space="preserve">low-lignin </w:t>
      </w:r>
      <w:r w:rsidR="0060028D">
        <w:t xml:space="preserve">transgenic </w:t>
      </w:r>
      <w:r w:rsidR="00770626">
        <w:t>feedstocks</w:t>
      </w:r>
      <w:r w:rsidR="00FF6B99">
        <w:t>,</w:t>
      </w:r>
      <w:r w:rsidR="00FE61C1">
        <w:t xml:space="preserve"> </w:t>
      </w:r>
      <w:r w:rsidR="00FF6B99">
        <w:t xml:space="preserve">when exposed to more extreme environmental conditions </w:t>
      </w:r>
      <w:r w:rsidR="008E7F87">
        <w:t>not present in this study</w:t>
      </w:r>
      <w:r w:rsidR="00770626">
        <w:t xml:space="preserve">. </w:t>
      </w:r>
      <w:r w:rsidR="00D219AF">
        <w:br w:type="page"/>
      </w:r>
    </w:p>
    <w:p w:rsidR="00236E6D" w:rsidRPr="000F6FE1" w:rsidRDefault="003D63DF" w:rsidP="008D176A">
      <w:pPr>
        <w:pStyle w:val="Heading1"/>
      </w:pPr>
      <w:r w:rsidRPr="000F6FE1">
        <w:rPr>
          <w:rStyle w:val="StyleHeading1CenteredChar"/>
          <w:rFonts w:ascii="Times New Roman" w:hAnsi="Times New Roman"/>
          <w:b/>
          <w:bCs/>
          <w:caps/>
          <w:szCs w:val="24"/>
        </w:rPr>
        <w:lastRenderedPageBreak/>
        <w:t>Vita</w:t>
      </w:r>
      <w:bookmarkEnd w:id="267"/>
    </w:p>
    <w:p w:rsidR="003D63DF" w:rsidRPr="000F6FE1" w:rsidRDefault="003D63DF" w:rsidP="00097A19">
      <w:pPr>
        <w:spacing w:line="480" w:lineRule="auto"/>
      </w:pPr>
    </w:p>
    <w:p w:rsidR="003D63DF" w:rsidRPr="000F6FE1" w:rsidRDefault="002C1C5F" w:rsidP="00097A19">
      <w:pPr>
        <w:spacing w:line="480" w:lineRule="auto"/>
      </w:pPr>
      <w:r>
        <w:t xml:space="preserve">Holly Lauren Baxter was born in Knoxville, Tennessee on December 15, 1983. She completed a </w:t>
      </w:r>
      <w:r w:rsidR="00980477">
        <w:t>Bachelor of Science degree</w:t>
      </w:r>
      <w:r>
        <w:t xml:space="preserve"> in Ecology and Evolutionary Biology from the University of Tennessee in August of 2007. After two years of working in the </w:t>
      </w:r>
      <w:r w:rsidR="002D235D">
        <w:t xml:space="preserve">department of </w:t>
      </w:r>
      <w:r>
        <w:t>Plant Sciences as a research technician, she began her graduate studies in Plant Sciences under Dr. Neal Stewart in January of 2011.</w:t>
      </w:r>
    </w:p>
    <w:p w:rsidR="00097A19" w:rsidRPr="000F6FE1" w:rsidRDefault="00097A19" w:rsidP="00097A19">
      <w:pPr>
        <w:spacing w:line="480" w:lineRule="auto"/>
      </w:pPr>
    </w:p>
    <w:sectPr w:rsidR="00097A19" w:rsidRPr="000F6FE1" w:rsidSect="001E6579">
      <w:pgSz w:w="12240" w:h="15840" w:code="1"/>
      <w:pgMar w:top="1440" w:right="1800" w:bottom="1440" w:left="1800" w:header="720" w:footer="1440"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2F4E" w:rsidRDefault="000A2F4E">
      <w:r>
        <w:separator/>
      </w:r>
    </w:p>
    <w:p w:rsidR="000A2F4E" w:rsidRDefault="000A2F4E"/>
  </w:endnote>
  <w:endnote w:type="continuationSeparator" w:id="0">
    <w:p w:rsidR="000A2F4E" w:rsidRDefault="000A2F4E">
      <w:r>
        <w:continuationSeparator/>
      </w:r>
    </w:p>
    <w:p w:rsidR="000A2F4E" w:rsidRDefault="000A2F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P MathA">
    <w:charset w:val="02"/>
    <w:family w:val="auto"/>
    <w:pitch w:val="variable"/>
    <w:sig w:usb0="00000000" w:usb1="10000000" w:usb2="00000000" w:usb3="00000000" w:csb0="80000000" w:csb1="00000000"/>
  </w:font>
  <w:font w:name="WP TypographicSymbols">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ヒラギノ角ゴ Pro W3">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5158654"/>
      <w:docPartObj>
        <w:docPartGallery w:val="Page Numbers (Bottom of Page)"/>
        <w:docPartUnique/>
      </w:docPartObj>
    </w:sdtPr>
    <w:sdtEndPr>
      <w:rPr>
        <w:noProof/>
      </w:rPr>
    </w:sdtEndPr>
    <w:sdtContent>
      <w:p w:rsidR="00631FB3" w:rsidRDefault="00631FB3">
        <w:pPr>
          <w:pStyle w:val="Footer"/>
          <w:jc w:val="center"/>
        </w:pPr>
        <w:r>
          <w:fldChar w:fldCharType="begin"/>
        </w:r>
        <w:r>
          <w:instrText xml:space="preserve"> PAGE   \* MERGEFORMAT </w:instrText>
        </w:r>
        <w:r>
          <w:fldChar w:fldCharType="separate"/>
        </w:r>
        <w:r w:rsidR="00AC1D18">
          <w:rPr>
            <w:noProof/>
          </w:rPr>
          <w:t>v</w:t>
        </w:r>
        <w:r>
          <w:rPr>
            <w:noProof/>
          </w:rPr>
          <w:fldChar w:fldCharType="end"/>
        </w:r>
      </w:p>
    </w:sdtContent>
  </w:sdt>
  <w:p w:rsidR="00631FB3" w:rsidRDefault="00631FB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0271754"/>
      <w:docPartObj>
        <w:docPartGallery w:val="Page Numbers (Bottom of Page)"/>
        <w:docPartUnique/>
      </w:docPartObj>
    </w:sdtPr>
    <w:sdtEndPr>
      <w:rPr>
        <w:noProof/>
      </w:rPr>
    </w:sdtEndPr>
    <w:sdtContent>
      <w:p w:rsidR="00631FB3" w:rsidRDefault="00631FB3">
        <w:pPr>
          <w:pStyle w:val="Footer"/>
          <w:jc w:val="center"/>
        </w:pPr>
        <w:r>
          <w:fldChar w:fldCharType="begin"/>
        </w:r>
        <w:r>
          <w:instrText xml:space="preserve"> PAGE   \* MERGEFORMAT </w:instrText>
        </w:r>
        <w:r>
          <w:fldChar w:fldCharType="separate"/>
        </w:r>
        <w:r w:rsidR="00AC1D18">
          <w:rPr>
            <w:noProof/>
          </w:rPr>
          <w:t>103</w:t>
        </w:r>
        <w:r>
          <w:rPr>
            <w:noProof/>
          </w:rPr>
          <w:fldChar w:fldCharType="end"/>
        </w:r>
      </w:p>
    </w:sdtContent>
  </w:sdt>
  <w:p w:rsidR="00631FB3" w:rsidRDefault="00631FB3"/>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1FB3" w:rsidRDefault="00631F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2F4E" w:rsidRDefault="000A2F4E">
      <w:r>
        <w:separator/>
      </w:r>
    </w:p>
    <w:p w:rsidR="000A2F4E" w:rsidRDefault="000A2F4E"/>
  </w:footnote>
  <w:footnote w:type="continuationSeparator" w:id="0">
    <w:p w:rsidR="000A2F4E" w:rsidRDefault="000A2F4E">
      <w:r>
        <w:continuationSeparator/>
      </w:r>
    </w:p>
    <w:p w:rsidR="000A2F4E" w:rsidRDefault="000A2F4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1FB3" w:rsidRDefault="00631FB3">
    <w:pPr>
      <w:spacing w:line="34" w:lineRule="auto"/>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1FB3" w:rsidRDefault="00631FB3">
    <w:pPr>
      <w:spacing w:line="34" w:lineRule="aut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E5047366"/>
    <w:lvl w:ilvl="0">
      <w:numFmt w:val="decimal"/>
      <w:lvlText w:val="*"/>
      <w:lvlJc w:val="left"/>
    </w:lvl>
  </w:abstractNum>
  <w:abstractNum w:abstractNumId="1">
    <w:nsid w:val="0267629D"/>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
    <w:nsid w:val="0357453A"/>
    <w:multiLevelType w:val="hybridMultilevel"/>
    <w:tmpl w:val="E5BAAC04"/>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5A7073D"/>
    <w:multiLevelType w:val="hybridMultilevel"/>
    <w:tmpl w:val="CF34A7FC"/>
    <w:lvl w:ilvl="0" w:tplc="CFD26552">
      <w:start w:val="1"/>
      <w:numFmt w:val="bullet"/>
      <w:lvlText w:val=""/>
      <w:lvlJc w:val="left"/>
      <w:pPr>
        <w:tabs>
          <w:tab w:val="num" w:pos="1440"/>
        </w:tabs>
        <w:ind w:left="1440" w:hanging="108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0D4D7C46"/>
    <w:multiLevelType w:val="hybridMultilevel"/>
    <w:tmpl w:val="DBE0CF50"/>
    <w:lvl w:ilvl="0" w:tplc="140A07A2">
      <w:start w:val="1"/>
      <w:numFmt w:val="decimal"/>
      <w:lvlText w:val="%1"/>
      <w:lvlJc w:val="left"/>
      <w:pPr>
        <w:ind w:left="360" w:hanging="360"/>
      </w:pPr>
      <w:rPr>
        <w:rFonts w:cs="Times New Roman" w:hint="default"/>
        <w:b w:val="0"/>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nsid w:val="10EC705F"/>
    <w:multiLevelType w:val="hybridMultilevel"/>
    <w:tmpl w:val="55B200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1CE37A4"/>
    <w:multiLevelType w:val="hybridMultilevel"/>
    <w:tmpl w:val="AAFC0618"/>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2422D9E"/>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8">
    <w:nsid w:val="1A19755C"/>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9">
    <w:nsid w:val="1AF13B19"/>
    <w:multiLevelType w:val="hybridMultilevel"/>
    <w:tmpl w:val="D1D2E2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DAE4992"/>
    <w:multiLevelType w:val="hybridMultilevel"/>
    <w:tmpl w:val="72A23138"/>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F1C2A38"/>
    <w:multiLevelType w:val="hybridMultilevel"/>
    <w:tmpl w:val="A6463686"/>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44230C7"/>
    <w:multiLevelType w:val="hybridMultilevel"/>
    <w:tmpl w:val="0F848366"/>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4CA1C62"/>
    <w:multiLevelType w:val="multilevel"/>
    <w:tmpl w:val="176E2302"/>
    <w:lvl w:ilvl="0">
      <w:start w:val="1"/>
      <w:numFmt w:val="decimal"/>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lowerRoman"/>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Roman"/>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4">
    <w:nsid w:val="25DB6FEB"/>
    <w:multiLevelType w:val="multilevel"/>
    <w:tmpl w:val="176E2302"/>
    <w:lvl w:ilvl="0">
      <w:start w:val="1"/>
      <w:numFmt w:val="decimal"/>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lowerRoman"/>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Roman"/>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5">
    <w:nsid w:val="269E45E3"/>
    <w:multiLevelType w:val="hybridMultilevel"/>
    <w:tmpl w:val="C7906770"/>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6E9038E"/>
    <w:multiLevelType w:val="hybridMultilevel"/>
    <w:tmpl w:val="0434BE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7F75888"/>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8">
    <w:nsid w:val="2C4A52D6"/>
    <w:multiLevelType w:val="hybridMultilevel"/>
    <w:tmpl w:val="4586AAF0"/>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5FE021B"/>
    <w:multiLevelType w:val="hybridMultilevel"/>
    <w:tmpl w:val="E42E70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7F31592"/>
    <w:multiLevelType w:val="multilevel"/>
    <w:tmpl w:val="C562C8FE"/>
    <w:lvl w:ilvl="0">
      <w:start w:val="1"/>
      <w:numFmt w:val="upperRoman"/>
      <w:lvlText w:val="%1."/>
      <w:legacy w:legacy="1" w:legacySpace="0" w:legacyIndent="0"/>
      <w:lvlJc w:val="left"/>
      <w:pPr>
        <w:ind w:left="0" w:firstLine="0"/>
      </w:pPr>
    </w:lvl>
    <w:lvl w:ilvl="1">
      <w:start w:val="1"/>
      <w:numFmt w:val="upperRoman"/>
      <w:lvlText w:val="%2."/>
      <w:legacy w:legacy="1" w:legacySpace="0" w:legacyIndent="0"/>
      <w:lvlJc w:val="left"/>
      <w:pPr>
        <w:ind w:left="0" w:firstLine="0"/>
      </w:pPr>
    </w:lvl>
    <w:lvl w:ilvl="2">
      <w:start w:val="1"/>
      <w:numFmt w:val="upperRoman"/>
      <w:lvlText w:val="%3."/>
      <w:legacy w:legacy="1" w:legacySpace="0" w:legacyIndent="0"/>
      <w:lvlJc w:val="left"/>
      <w:pPr>
        <w:ind w:left="0" w:firstLine="0"/>
      </w:pPr>
    </w:lvl>
    <w:lvl w:ilvl="3">
      <w:start w:val="1"/>
      <w:numFmt w:val="upperRoman"/>
      <w:lvlText w:val="%4."/>
      <w:legacy w:legacy="1" w:legacySpace="0" w:legacyIndent="0"/>
      <w:lvlJc w:val="left"/>
      <w:pPr>
        <w:ind w:left="0" w:firstLine="0"/>
      </w:pPr>
    </w:lvl>
    <w:lvl w:ilvl="4">
      <w:start w:val="1"/>
      <w:numFmt w:val="upperRoman"/>
      <w:lvlText w:val="%5."/>
      <w:legacy w:legacy="1" w:legacySpace="0" w:legacyIndent="0"/>
      <w:lvlJc w:val="left"/>
      <w:pPr>
        <w:ind w:left="0" w:firstLine="0"/>
      </w:pPr>
    </w:lvl>
    <w:lvl w:ilvl="5">
      <w:start w:val="1"/>
      <w:numFmt w:val="upperRoman"/>
      <w:lvlText w:val="%6."/>
      <w:legacy w:legacy="1" w:legacySpace="0" w:legacyIndent="0"/>
      <w:lvlJc w:val="left"/>
      <w:pPr>
        <w:ind w:left="0" w:firstLine="0"/>
      </w:pPr>
    </w:lvl>
    <w:lvl w:ilvl="6">
      <w:start w:val="1"/>
      <w:numFmt w:val="upperRoman"/>
      <w:lvlText w:val="%7."/>
      <w:legacy w:legacy="1" w:legacySpace="0" w:legacyIndent="0"/>
      <w:lvlJc w:val="left"/>
      <w:pPr>
        <w:ind w:left="0" w:firstLine="0"/>
      </w:pPr>
    </w:lvl>
    <w:lvl w:ilvl="7">
      <w:start w:val="1"/>
      <w:numFmt w:val="upperRoman"/>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1">
    <w:nsid w:val="3E77254B"/>
    <w:multiLevelType w:val="hybridMultilevel"/>
    <w:tmpl w:val="EB8613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5480D41"/>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3">
    <w:nsid w:val="47875639"/>
    <w:multiLevelType w:val="hybridMultilevel"/>
    <w:tmpl w:val="0AAA88B4"/>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9F343DA"/>
    <w:multiLevelType w:val="hybridMultilevel"/>
    <w:tmpl w:val="9ED8453E"/>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E351D6F"/>
    <w:multiLevelType w:val="multilevel"/>
    <w:tmpl w:val="C562C8FE"/>
    <w:lvl w:ilvl="0">
      <w:start w:val="1"/>
      <w:numFmt w:val="upperRoman"/>
      <w:lvlText w:val="%1."/>
      <w:legacy w:legacy="1" w:legacySpace="0" w:legacyIndent="0"/>
      <w:lvlJc w:val="left"/>
      <w:pPr>
        <w:ind w:left="0" w:firstLine="0"/>
      </w:pPr>
    </w:lvl>
    <w:lvl w:ilvl="1">
      <w:start w:val="1"/>
      <w:numFmt w:val="upperRoman"/>
      <w:lvlText w:val="%2."/>
      <w:legacy w:legacy="1" w:legacySpace="0" w:legacyIndent="0"/>
      <w:lvlJc w:val="left"/>
      <w:pPr>
        <w:ind w:left="0" w:firstLine="0"/>
      </w:pPr>
    </w:lvl>
    <w:lvl w:ilvl="2">
      <w:start w:val="1"/>
      <w:numFmt w:val="upperRoman"/>
      <w:lvlText w:val="%3."/>
      <w:legacy w:legacy="1" w:legacySpace="0" w:legacyIndent="0"/>
      <w:lvlJc w:val="left"/>
      <w:pPr>
        <w:ind w:left="0" w:firstLine="0"/>
      </w:pPr>
    </w:lvl>
    <w:lvl w:ilvl="3">
      <w:start w:val="1"/>
      <w:numFmt w:val="upperRoman"/>
      <w:lvlText w:val="%4."/>
      <w:legacy w:legacy="1" w:legacySpace="0" w:legacyIndent="0"/>
      <w:lvlJc w:val="left"/>
      <w:pPr>
        <w:ind w:left="0" w:firstLine="0"/>
      </w:pPr>
    </w:lvl>
    <w:lvl w:ilvl="4">
      <w:start w:val="1"/>
      <w:numFmt w:val="upperRoman"/>
      <w:lvlText w:val="%5."/>
      <w:legacy w:legacy="1" w:legacySpace="0" w:legacyIndent="0"/>
      <w:lvlJc w:val="left"/>
      <w:pPr>
        <w:ind w:left="0" w:firstLine="0"/>
      </w:pPr>
    </w:lvl>
    <w:lvl w:ilvl="5">
      <w:start w:val="1"/>
      <w:numFmt w:val="upperRoman"/>
      <w:lvlText w:val="%6."/>
      <w:legacy w:legacy="1" w:legacySpace="0" w:legacyIndent="0"/>
      <w:lvlJc w:val="left"/>
      <w:pPr>
        <w:ind w:left="0" w:firstLine="0"/>
      </w:pPr>
    </w:lvl>
    <w:lvl w:ilvl="6">
      <w:start w:val="1"/>
      <w:numFmt w:val="upperRoman"/>
      <w:lvlText w:val="%7."/>
      <w:legacy w:legacy="1" w:legacySpace="0" w:legacyIndent="0"/>
      <w:lvlJc w:val="left"/>
      <w:pPr>
        <w:ind w:left="0" w:firstLine="0"/>
      </w:pPr>
    </w:lvl>
    <w:lvl w:ilvl="7">
      <w:start w:val="1"/>
      <w:numFmt w:val="upperRoman"/>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6">
    <w:nsid w:val="4EFB3CD0"/>
    <w:multiLevelType w:val="hybridMultilevel"/>
    <w:tmpl w:val="6DC22B76"/>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4F2B76F6"/>
    <w:multiLevelType w:val="hybridMultilevel"/>
    <w:tmpl w:val="358E059E"/>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534A10AD"/>
    <w:multiLevelType w:val="hybridMultilevel"/>
    <w:tmpl w:val="D50A5F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82C5EDA"/>
    <w:multiLevelType w:val="hybridMultilevel"/>
    <w:tmpl w:val="2854769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596F5296"/>
    <w:multiLevelType w:val="hybridMultilevel"/>
    <w:tmpl w:val="B01A54FA"/>
    <w:lvl w:ilvl="0" w:tplc="F5F8E4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B2A3561"/>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2">
    <w:nsid w:val="5DD16336"/>
    <w:multiLevelType w:val="multilevel"/>
    <w:tmpl w:val="29B4509E"/>
    <w:lvl w:ilvl="0">
      <w:start w:val="1"/>
      <w:numFmt w:val="decimal"/>
      <w:lvlText w:val="A-%1. "/>
      <w:legacy w:legacy="1" w:legacySpace="0" w:legacyIndent="0"/>
      <w:lvlJc w:val="left"/>
      <w:pPr>
        <w:ind w:left="0" w:firstLine="0"/>
      </w:pPr>
    </w:lvl>
    <w:lvl w:ilvl="1">
      <w:start w:val="1"/>
      <w:numFmt w:val="decimal"/>
      <w:lvlText w:val="A-%1. %2. "/>
      <w:legacy w:legacy="1" w:legacySpace="0" w:legacyIndent="0"/>
      <w:lvlJc w:val="left"/>
      <w:pPr>
        <w:ind w:left="0" w:firstLine="0"/>
      </w:pPr>
    </w:lvl>
    <w:lvl w:ilvl="2">
      <w:start w:val="1"/>
      <w:numFmt w:val="decimal"/>
      <w:lvlText w:val="A-%1. %2. %3. _"/>
      <w:legacy w:legacy="1" w:legacySpace="0" w:legacyIndent="0"/>
      <w:lvlJc w:val="left"/>
      <w:pPr>
        <w:ind w:left="0" w:firstLine="0"/>
      </w:pPr>
    </w:lvl>
    <w:lvl w:ilvl="3">
      <w:start w:val="1"/>
      <w:numFmt w:val="decimal"/>
      <w:lvlText w:val="A-%1. %2. %3. _%4. "/>
      <w:legacy w:legacy="1" w:legacySpace="0" w:legacyIndent="0"/>
      <w:lvlJc w:val="left"/>
      <w:pPr>
        <w:ind w:left="0" w:firstLine="0"/>
      </w:pPr>
    </w:lvl>
    <w:lvl w:ilvl="4">
      <w:start w:val="1"/>
      <w:numFmt w:val="decimal"/>
      <w:lvlText w:val="A-%1. %2. %3. _%4. %5. "/>
      <w:legacy w:legacy="1" w:legacySpace="0" w:legacyIndent="0"/>
      <w:lvlJc w:val="left"/>
      <w:pPr>
        <w:ind w:left="0" w:firstLine="0"/>
      </w:pPr>
    </w:lvl>
    <w:lvl w:ilvl="5">
      <w:start w:val="1"/>
      <w:numFmt w:val="decimal"/>
      <w:lvlText w:val="A-%1. %2. %3. _%4. %5. %6. "/>
      <w:legacy w:legacy="1" w:legacySpace="0" w:legacyIndent="0"/>
      <w:lvlJc w:val="left"/>
      <w:pPr>
        <w:ind w:left="0" w:firstLine="0"/>
      </w:pPr>
    </w:lvl>
    <w:lvl w:ilvl="6">
      <w:start w:val="1"/>
      <w:numFmt w:val="decimal"/>
      <w:lvlText w:val="A-%1. %2. %3. _%4. %5. %6. %7. "/>
      <w:legacy w:legacy="1" w:legacySpace="0" w:legacyIndent="0"/>
      <w:lvlJc w:val="left"/>
      <w:pPr>
        <w:ind w:left="0" w:firstLine="0"/>
      </w:pPr>
    </w:lvl>
    <w:lvl w:ilvl="7">
      <w:start w:val="1"/>
      <w:numFmt w:val="decimal"/>
      <w:lvlText w:val="A-%1. %2. %3. _%4. %5. %6. %7. %8. "/>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3">
    <w:nsid w:val="63185177"/>
    <w:multiLevelType w:val="hybridMultilevel"/>
    <w:tmpl w:val="1952A9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5E54949"/>
    <w:multiLevelType w:val="hybridMultilevel"/>
    <w:tmpl w:val="839A28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67A74446"/>
    <w:multiLevelType w:val="hybridMultilevel"/>
    <w:tmpl w:val="C6DEBA6A"/>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6C3A4274"/>
    <w:multiLevelType w:val="hybridMultilevel"/>
    <w:tmpl w:val="588C5D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6FD629BB"/>
    <w:multiLevelType w:val="multilevel"/>
    <w:tmpl w:val="29B4509E"/>
    <w:lvl w:ilvl="0">
      <w:start w:val="1"/>
      <w:numFmt w:val="decimal"/>
      <w:lvlText w:val="A-%1. "/>
      <w:legacy w:legacy="1" w:legacySpace="0" w:legacyIndent="0"/>
      <w:lvlJc w:val="left"/>
      <w:pPr>
        <w:ind w:left="0" w:firstLine="0"/>
      </w:pPr>
    </w:lvl>
    <w:lvl w:ilvl="1">
      <w:start w:val="1"/>
      <w:numFmt w:val="decimal"/>
      <w:lvlText w:val="A-%1. %2. "/>
      <w:legacy w:legacy="1" w:legacySpace="0" w:legacyIndent="0"/>
      <w:lvlJc w:val="left"/>
      <w:pPr>
        <w:ind w:left="0" w:firstLine="0"/>
      </w:pPr>
    </w:lvl>
    <w:lvl w:ilvl="2">
      <w:start w:val="1"/>
      <w:numFmt w:val="decimal"/>
      <w:lvlText w:val="A-%1. %2. %3. _"/>
      <w:legacy w:legacy="1" w:legacySpace="0" w:legacyIndent="0"/>
      <w:lvlJc w:val="left"/>
      <w:pPr>
        <w:ind w:left="0" w:firstLine="0"/>
      </w:pPr>
    </w:lvl>
    <w:lvl w:ilvl="3">
      <w:start w:val="1"/>
      <w:numFmt w:val="decimal"/>
      <w:lvlText w:val="A-%1. %2. %3. _%4. "/>
      <w:legacy w:legacy="1" w:legacySpace="0" w:legacyIndent="0"/>
      <w:lvlJc w:val="left"/>
      <w:pPr>
        <w:ind w:left="0" w:firstLine="0"/>
      </w:pPr>
    </w:lvl>
    <w:lvl w:ilvl="4">
      <w:start w:val="1"/>
      <w:numFmt w:val="decimal"/>
      <w:lvlText w:val="A-%1. %2. %3. _%4. %5. "/>
      <w:legacy w:legacy="1" w:legacySpace="0" w:legacyIndent="0"/>
      <w:lvlJc w:val="left"/>
      <w:pPr>
        <w:ind w:left="0" w:firstLine="0"/>
      </w:pPr>
    </w:lvl>
    <w:lvl w:ilvl="5">
      <w:start w:val="1"/>
      <w:numFmt w:val="decimal"/>
      <w:lvlText w:val="A-%1. %2. %3. _%4. %5. %6. "/>
      <w:legacy w:legacy="1" w:legacySpace="0" w:legacyIndent="0"/>
      <w:lvlJc w:val="left"/>
      <w:pPr>
        <w:ind w:left="0" w:firstLine="0"/>
      </w:pPr>
    </w:lvl>
    <w:lvl w:ilvl="6">
      <w:start w:val="1"/>
      <w:numFmt w:val="decimal"/>
      <w:lvlText w:val="A-%1. %2. %3. _%4. %5. %6. %7. "/>
      <w:legacy w:legacy="1" w:legacySpace="0" w:legacyIndent="0"/>
      <w:lvlJc w:val="left"/>
      <w:pPr>
        <w:ind w:left="0" w:firstLine="0"/>
      </w:pPr>
    </w:lvl>
    <w:lvl w:ilvl="7">
      <w:start w:val="1"/>
      <w:numFmt w:val="decimal"/>
      <w:lvlText w:val="A-%1. %2. %3. _%4. %5. %6. %7. %8. "/>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8">
    <w:nsid w:val="75D12A81"/>
    <w:multiLevelType w:val="hybridMultilevel"/>
    <w:tmpl w:val="AE2EB21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7A9C75E4"/>
    <w:multiLevelType w:val="multilevel"/>
    <w:tmpl w:val="109221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CC61AC8"/>
    <w:multiLevelType w:val="hybridMultilevel"/>
    <w:tmpl w:val="28547694"/>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CF34EC4"/>
    <w:multiLevelType w:val="hybridMultilevel"/>
    <w:tmpl w:val="E42E704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EA55920"/>
    <w:multiLevelType w:val="hybridMultilevel"/>
    <w:tmpl w:val="B64E43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1"/>
        <w:lvlJc w:val="left"/>
        <w:pPr>
          <w:ind w:left="1" w:hanging="1"/>
        </w:pPr>
        <w:rPr>
          <w:rFonts w:ascii="Arial" w:hAnsi="Arial" w:hint="default"/>
        </w:rPr>
      </w:lvl>
    </w:lvlOverride>
  </w:num>
  <w:num w:numId="2">
    <w:abstractNumId w:val="25"/>
  </w:num>
  <w:num w:numId="3">
    <w:abstractNumId w:val="17"/>
  </w:num>
  <w:num w:numId="4">
    <w:abstractNumId w:val="37"/>
  </w:num>
  <w:num w:numId="5">
    <w:abstractNumId w:val="0"/>
    <w:lvlOverride w:ilvl="0">
      <w:lvl w:ilvl="0">
        <w:start w:val="1"/>
        <w:numFmt w:val="bullet"/>
        <w:lvlText w:val=""/>
        <w:legacy w:legacy="1" w:legacySpace="0" w:legacyIndent="1"/>
        <w:lvlJc w:val="left"/>
        <w:pPr>
          <w:ind w:left="1" w:hanging="1"/>
        </w:pPr>
        <w:rPr>
          <w:rFonts w:ascii="WP MathA" w:hAnsi="WP MathA" w:hint="default"/>
        </w:rPr>
      </w:lvl>
    </w:lvlOverride>
  </w:num>
  <w:num w:numId="6">
    <w:abstractNumId w:val="0"/>
    <w:lvlOverride w:ilvl="0">
      <w:lvl w:ilvl="0">
        <w:start w:val="1"/>
        <w:numFmt w:val="bullet"/>
        <w:lvlText w:val="#"/>
        <w:legacy w:legacy="1" w:legacySpace="0" w:legacyIndent="1"/>
        <w:lvlJc w:val="left"/>
        <w:pPr>
          <w:ind w:left="1" w:hanging="1"/>
        </w:pPr>
        <w:rPr>
          <w:rFonts w:ascii="WP TypographicSymbols" w:hAnsi="WP TypographicSymbols" w:hint="default"/>
        </w:rPr>
      </w:lvl>
    </w:lvlOverride>
  </w:num>
  <w:num w:numId="7">
    <w:abstractNumId w:val="13"/>
  </w:num>
  <w:num w:numId="8">
    <w:abstractNumId w:val="22"/>
  </w:num>
  <w:num w:numId="9">
    <w:abstractNumId w:val="7"/>
  </w:num>
  <w:num w:numId="10">
    <w:abstractNumId w:val="20"/>
  </w:num>
  <w:num w:numId="11">
    <w:abstractNumId w:val="31"/>
  </w:num>
  <w:num w:numId="12">
    <w:abstractNumId w:val="32"/>
  </w:num>
  <w:num w:numId="13">
    <w:abstractNumId w:val="14"/>
  </w:num>
  <w:num w:numId="14">
    <w:abstractNumId w:val="8"/>
  </w:num>
  <w:num w:numId="15">
    <w:abstractNumId w:val="1"/>
  </w:num>
  <w:num w:numId="16">
    <w:abstractNumId w:val="5"/>
  </w:num>
  <w:num w:numId="17">
    <w:abstractNumId w:val="42"/>
  </w:num>
  <w:num w:numId="18">
    <w:abstractNumId w:val="34"/>
  </w:num>
  <w:num w:numId="19">
    <w:abstractNumId w:val="16"/>
  </w:num>
  <w:num w:numId="20">
    <w:abstractNumId w:val="36"/>
  </w:num>
  <w:num w:numId="21">
    <w:abstractNumId w:val="9"/>
  </w:num>
  <w:num w:numId="22">
    <w:abstractNumId w:val="19"/>
  </w:num>
  <w:num w:numId="23">
    <w:abstractNumId w:val="41"/>
  </w:num>
  <w:num w:numId="24">
    <w:abstractNumId w:val="18"/>
  </w:num>
  <w:num w:numId="25">
    <w:abstractNumId w:val="11"/>
  </w:num>
  <w:num w:numId="26">
    <w:abstractNumId w:val="3"/>
  </w:num>
  <w:num w:numId="27">
    <w:abstractNumId w:val="21"/>
  </w:num>
  <w:num w:numId="28">
    <w:abstractNumId w:val="38"/>
  </w:num>
  <w:num w:numId="29">
    <w:abstractNumId w:val="23"/>
  </w:num>
  <w:num w:numId="30">
    <w:abstractNumId w:val="2"/>
  </w:num>
  <w:num w:numId="31">
    <w:abstractNumId w:val="24"/>
  </w:num>
  <w:num w:numId="32">
    <w:abstractNumId w:val="28"/>
  </w:num>
  <w:num w:numId="33">
    <w:abstractNumId w:val="10"/>
  </w:num>
  <w:num w:numId="34">
    <w:abstractNumId w:val="27"/>
  </w:num>
  <w:num w:numId="35">
    <w:abstractNumId w:val="35"/>
  </w:num>
  <w:num w:numId="36">
    <w:abstractNumId w:val="6"/>
  </w:num>
  <w:num w:numId="37">
    <w:abstractNumId w:val="12"/>
  </w:num>
  <w:num w:numId="38">
    <w:abstractNumId w:val="15"/>
  </w:num>
  <w:num w:numId="39">
    <w:abstractNumId w:val="26"/>
  </w:num>
  <w:num w:numId="40">
    <w:abstractNumId w:val="40"/>
  </w:num>
  <w:num w:numId="41">
    <w:abstractNumId w:val="29"/>
  </w:num>
  <w:num w:numId="42">
    <w:abstractNumId w:val="39"/>
  </w:num>
  <w:num w:numId="43">
    <w:abstractNumId w:val="30"/>
  </w:num>
  <w:num w:numId="44">
    <w:abstractNumId w:val="4"/>
  </w:num>
  <w:num w:numId="4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7"/>
  <w:removePersonalInformation/>
  <w:removeDateAndTim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A05"/>
    <w:rsid w:val="00000240"/>
    <w:rsid w:val="000002F7"/>
    <w:rsid w:val="00000304"/>
    <w:rsid w:val="0000467A"/>
    <w:rsid w:val="00007706"/>
    <w:rsid w:val="00014A3E"/>
    <w:rsid w:val="00014CC9"/>
    <w:rsid w:val="000166A9"/>
    <w:rsid w:val="00022E6D"/>
    <w:rsid w:val="00053FD1"/>
    <w:rsid w:val="00057004"/>
    <w:rsid w:val="000621F8"/>
    <w:rsid w:val="000623D8"/>
    <w:rsid w:val="00071FB8"/>
    <w:rsid w:val="00076A95"/>
    <w:rsid w:val="00085EBF"/>
    <w:rsid w:val="00097A19"/>
    <w:rsid w:val="000A2F4E"/>
    <w:rsid w:val="000A64F4"/>
    <w:rsid w:val="000B237D"/>
    <w:rsid w:val="000B5C42"/>
    <w:rsid w:val="000D3F86"/>
    <w:rsid w:val="000D4958"/>
    <w:rsid w:val="000D5148"/>
    <w:rsid w:val="000E4B9C"/>
    <w:rsid w:val="000F6FE1"/>
    <w:rsid w:val="000F7C20"/>
    <w:rsid w:val="0010217F"/>
    <w:rsid w:val="00102990"/>
    <w:rsid w:val="00102AC8"/>
    <w:rsid w:val="001035E1"/>
    <w:rsid w:val="001120E0"/>
    <w:rsid w:val="00115E5C"/>
    <w:rsid w:val="00123353"/>
    <w:rsid w:val="001330AB"/>
    <w:rsid w:val="00136890"/>
    <w:rsid w:val="00140EA7"/>
    <w:rsid w:val="00145CCE"/>
    <w:rsid w:val="00152D54"/>
    <w:rsid w:val="00153339"/>
    <w:rsid w:val="00155C99"/>
    <w:rsid w:val="00160114"/>
    <w:rsid w:val="001700E3"/>
    <w:rsid w:val="00176E89"/>
    <w:rsid w:val="001854FB"/>
    <w:rsid w:val="001901C9"/>
    <w:rsid w:val="00191D64"/>
    <w:rsid w:val="00193642"/>
    <w:rsid w:val="001938EE"/>
    <w:rsid w:val="001A2F1E"/>
    <w:rsid w:val="001B1034"/>
    <w:rsid w:val="001B34F2"/>
    <w:rsid w:val="001B7C2F"/>
    <w:rsid w:val="001C39F6"/>
    <w:rsid w:val="001C5FC2"/>
    <w:rsid w:val="001C66FE"/>
    <w:rsid w:val="001D4908"/>
    <w:rsid w:val="001D6904"/>
    <w:rsid w:val="001E52EE"/>
    <w:rsid w:val="001E6579"/>
    <w:rsid w:val="001F522F"/>
    <w:rsid w:val="0023582D"/>
    <w:rsid w:val="00236E6D"/>
    <w:rsid w:val="002370A1"/>
    <w:rsid w:val="002429E5"/>
    <w:rsid w:val="00243CB7"/>
    <w:rsid w:val="00250B5F"/>
    <w:rsid w:val="002518CD"/>
    <w:rsid w:val="00255851"/>
    <w:rsid w:val="00280CEF"/>
    <w:rsid w:val="0028757A"/>
    <w:rsid w:val="002959D0"/>
    <w:rsid w:val="00295DFD"/>
    <w:rsid w:val="002A78F3"/>
    <w:rsid w:val="002B12D9"/>
    <w:rsid w:val="002B20F6"/>
    <w:rsid w:val="002B2E70"/>
    <w:rsid w:val="002C1C5F"/>
    <w:rsid w:val="002D235D"/>
    <w:rsid w:val="002E2492"/>
    <w:rsid w:val="002F09FD"/>
    <w:rsid w:val="002F2B58"/>
    <w:rsid w:val="002F2C92"/>
    <w:rsid w:val="00303CE0"/>
    <w:rsid w:val="00304BD0"/>
    <w:rsid w:val="00307D77"/>
    <w:rsid w:val="003123A3"/>
    <w:rsid w:val="00312415"/>
    <w:rsid w:val="00313E9E"/>
    <w:rsid w:val="003150D5"/>
    <w:rsid w:val="003206F1"/>
    <w:rsid w:val="00320F78"/>
    <w:rsid w:val="00330DCC"/>
    <w:rsid w:val="0034092C"/>
    <w:rsid w:val="00350449"/>
    <w:rsid w:val="0035485D"/>
    <w:rsid w:val="0035768F"/>
    <w:rsid w:val="0036251E"/>
    <w:rsid w:val="00370AC9"/>
    <w:rsid w:val="00370C8F"/>
    <w:rsid w:val="003737CC"/>
    <w:rsid w:val="00376AE6"/>
    <w:rsid w:val="0038177C"/>
    <w:rsid w:val="00382322"/>
    <w:rsid w:val="003836EB"/>
    <w:rsid w:val="00387024"/>
    <w:rsid w:val="00387A63"/>
    <w:rsid w:val="003A1563"/>
    <w:rsid w:val="003A18EB"/>
    <w:rsid w:val="003B5DC1"/>
    <w:rsid w:val="003C1575"/>
    <w:rsid w:val="003C63BA"/>
    <w:rsid w:val="003D07F7"/>
    <w:rsid w:val="003D1795"/>
    <w:rsid w:val="003D5275"/>
    <w:rsid w:val="003D63DF"/>
    <w:rsid w:val="003D737F"/>
    <w:rsid w:val="003F7474"/>
    <w:rsid w:val="00404616"/>
    <w:rsid w:val="00407B6A"/>
    <w:rsid w:val="0041158C"/>
    <w:rsid w:val="00414400"/>
    <w:rsid w:val="00417C37"/>
    <w:rsid w:val="00421CD4"/>
    <w:rsid w:val="00421F89"/>
    <w:rsid w:val="00422932"/>
    <w:rsid w:val="00427833"/>
    <w:rsid w:val="0043082E"/>
    <w:rsid w:val="00436E04"/>
    <w:rsid w:val="0044196E"/>
    <w:rsid w:val="00452D64"/>
    <w:rsid w:val="0046123A"/>
    <w:rsid w:val="00467946"/>
    <w:rsid w:val="00474210"/>
    <w:rsid w:val="00476C55"/>
    <w:rsid w:val="00480B96"/>
    <w:rsid w:val="004810A1"/>
    <w:rsid w:val="0048303E"/>
    <w:rsid w:val="0048574D"/>
    <w:rsid w:val="004874E7"/>
    <w:rsid w:val="004918FE"/>
    <w:rsid w:val="004920F6"/>
    <w:rsid w:val="004921C9"/>
    <w:rsid w:val="00493160"/>
    <w:rsid w:val="004939B2"/>
    <w:rsid w:val="004A1826"/>
    <w:rsid w:val="004A418F"/>
    <w:rsid w:val="004A5AEF"/>
    <w:rsid w:val="004A67E8"/>
    <w:rsid w:val="004B254D"/>
    <w:rsid w:val="004B2A8B"/>
    <w:rsid w:val="004B6223"/>
    <w:rsid w:val="004C3D65"/>
    <w:rsid w:val="004C501E"/>
    <w:rsid w:val="004D1136"/>
    <w:rsid w:val="004D37C1"/>
    <w:rsid w:val="004D6472"/>
    <w:rsid w:val="004E73E9"/>
    <w:rsid w:val="004F37C3"/>
    <w:rsid w:val="004F37CB"/>
    <w:rsid w:val="004F7294"/>
    <w:rsid w:val="00512790"/>
    <w:rsid w:val="00536C46"/>
    <w:rsid w:val="0054294F"/>
    <w:rsid w:val="0055649C"/>
    <w:rsid w:val="00563611"/>
    <w:rsid w:val="005705DB"/>
    <w:rsid w:val="0057231A"/>
    <w:rsid w:val="0057388D"/>
    <w:rsid w:val="00573A23"/>
    <w:rsid w:val="00575CB8"/>
    <w:rsid w:val="005960A4"/>
    <w:rsid w:val="00596241"/>
    <w:rsid w:val="00596FDD"/>
    <w:rsid w:val="00597D3F"/>
    <w:rsid w:val="005A1C77"/>
    <w:rsid w:val="005A2BCA"/>
    <w:rsid w:val="005A3834"/>
    <w:rsid w:val="005A5539"/>
    <w:rsid w:val="005B18BE"/>
    <w:rsid w:val="005B29C3"/>
    <w:rsid w:val="005B79E9"/>
    <w:rsid w:val="005C2CC2"/>
    <w:rsid w:val="005D0D91"/>
    <w:rsid w:val="005D4915"/>
    <w:rsid w:val="005E0CDA"/>
    <w:rsid w:val="005E14BF"/>
    <w:rsid w:val="005E3F93"/>
    <w:rsid w:val="005E4912"/>
    <w:rsid w:val="005E6F1F"/>
    <w:rsid w:val="005F28C7"/>
    <w:rsid w:val="005F3594"/>
    <w:rsid w:val="005F44D1"/>
    <w:rsid w:val="0060028D"/>
    <w:rsid w:val="00605769"/>
    <w:rsid w:val="00621129"/>
    <w:rsid w:val="0062494E"/>
    <w:rsid w:val="00626C53"/>
    <w:rsid w:val="00631FB3"/>
    <w:rsid w:val="00632A6A"/>
    <w:rsid w:val="00633916"/>
    <w:rsid w:val="00641D2B"/>
    <w:rsid w:val="0064340A"/>
    <w:rsid w:val="00652687"/>
    <w:rsid w:val="00654695"/>
    <w:rsid w:val="006615DB"/>
    <w:rsid w:val="00662D3E"/>
    <w:rsid w:val="006632D6"/>
    <w:rsid w:val="00665C7E"/>
    <w:rsid w:val="006665A5"/>
    <w:rsid w:val="00666BD4"/>
    <w:rsid w:val="00666D50"/>
    <w:rsid w:val="006702A6"/>
    <w:rsid w:val="00672DDD"/>
    <w:rsid w:val="00674171"/>
    <w:rsid w:val="00676C91"/>
    <w:rsid w:val="00677DED"/>
    <w:rsid w:val="0068070B"/>
    <w:rsid w:val="00683588"/>
    <w:rsid w:val="00683F7D"/>
    <w:rsid w:val="00690B77"/>
    <w:rsid w:val="006973BE"/>
    <w:rsid w:val="006A2F5E"/>
    <w:rsid w:val="006A5745"/>
    <w:rsid w:val="006B69A6"/>
    <w:rsid w:val="006C1007"/>
    <w:rsid w:val="006C4000"/>
    <w:rsid w:val="006C5035"/>
    <w:rsid w:val="006E56E8"/>
    <w:rsid w:val="006E5B01"/>
    <w:rsid w:val="006F5AA4"/>
    <w:rsid w:val="00711200"/>
    <w:rsid w:val="00711244"/>
    <w:rsid w:val="00720FA0"/>
    <w:rsid w:val="007237C9"/>
    <w:rsid w:val="0072397F"/>
    <w:rsid w:val="00730010"/>
    <w:rsid w:val="00730585"/>
    <w:rsid w:val="00731922"/>
    <w:rsid w:val="00731ACB"/>
    <w:rsid w:val="00731CC2"/>
    <w:rsid w:val="00736788"/>
    <w:rsid w:val="007368AD"/>
    <w:rsid w:val="0073704D"/>
    <w:rsid w:val="0074133D"/>
    <w:rsid w:val="00743AFA"/>
    <w:rsid w:val="0075196D"/>
    <w:rsid w:val="0075558C"/>
    <w:rsid w:val="00761EFA"/>
    <w:rsid w:val="00764873"/>
    <w:rsid w:val="00767D87"/>
    <w:rsid w:val="00770626"/>
    <w:rsid w:val="007773E9"/>
    <w:rsid w:val="007778DD"/>
    <w:rsid w:val="007849B6"/>
    <w:rsid w:val="00787617"/>
    <w:rsid w:val="00792A55"/>
    <w:rsid w:val="00794450"/>
    <w:rsid w:val="00796693"/>
    <w:rsid w:val="007A44D6"/>
    <w:rsid w:val="007A528F"/>
    <w:rsid w:val="007B04E9"/>
    <w:rsid w:val="007B1B93"/>
    <w:rsid w:val="007B5CD1"/>
    <w:rsid w:val="007B7E33"/>
    <w:rsid w:val="007C314B"/>
    <w:rsid w:val="007C38A8"/>
    <w:rsid w:val="007C6D69"/>
    <w:rsid w:val="007C71B9"/>
    <w:rsid w:val="007C7591"/>
    <w:rsid w:val="007D3AC3"/>
    <w:rsid w:val="007D5CD5"/>
    <w:rsid w:val="007D7362"/>
    <w:rsid w:val="007E098D"/>
    <w:rsid w:val="007E628E"/>
    <w:rsid w:val="007E7B4D"/>
    <w:rsid w:val="007F6AE9"/>
    <w:rsid w:val="008014BD"/>
    <w:rsid w:val="0080315A"/>
    <w:rsid w:val="008049E8"/>
    <w:rsid w:val="00810B90"/>
    <w:rsid w:val="008119C5"/>
    <w:rsid w:val="008240E4"/>
    <w:rsid w:val="00824B62"/>
    <w:rsid w:val="00826D54"/>
    <w:rsid w:val="00830E7E"/>
    <w:rsid w:val="00831D05"/>
    <w:rsid w:val="00834CBF"/>
    <w:rsid w:val="00836F89"/>
    <w:rsid w:val="00843ECE"/>
    <w:rsid w:val="00846459"/>
    <w:rsid w:val="0085757D"/>
    <w:rsid w:val="00857CB8"/>
    <w:rsid w:val="00863435"/>
    <w:rsid w:val="00865546"/>
    <w:rsid w:val="008666FD"/>
    <w:rsid w:val="00870B1C"/>
    <w:rsid w:val="00872827"/>
    <w:rsid w:val="00872AF0"/>
    <w:rsid w:val="0087349A"/>
    <w:rsid w:val="00875B6A"/>
    <w:rsid w:val="008766FA"/>
    <w:rsid w:val="008865B6"/>
    <w:rsid w:val="008877B0"/>
    <w:rsid w:val="00895DF4"/>
    <w:rsid w:val="00897179"/>
    <w:rsid w:val="008B0DE5"/>
    <w:rsid w:val="008B1A4D"/>
    <w:rsid w:val="008B747C"/>
    <w:rsid w:val="008B7D4C"/>
    <w:rsid w:val="008C09FB"/>
    <w:rsid w:val="008C1F64"/>
    <w:rsid w:val="008C557A"/>
    <w:rsid w:val="008D176A"/>
    <w:rsid w:val="008D589C"/>
    <w:rsid w:val="008D5949"/>
    <w:rsid w:val="008D7C58"/>
    <w:rsid w:val="008E1D8D"/>
    <w:rsid w:val="008E7085"/>
    <w:rsid w:val="008E7F87"/>
    <w:rsid w:val="008F01A5"/>
    <w:rsid w:val="008F29AA"/>
    <w:rsid w:val="008F3196"/>
    <w:rsid w:val="008F3F3F"/>
    <w:rsid w:val="008F49A4"/>
    <w:rsid w:val="008F60C3"/>
    <w:rsid w:val="00907D6A"/>
    <w:rsid w:val="00910569"/>
    <w:rsid w:val="00911F3E"/>
    <w:rsid w:val="0091281D"/>
    <w:rsid w:val="009254D6"/>
    <w:rsid w:val="0092669B"/>
    <w:rsid w:val="0093163E"/>
    <w:rsid w:val="00936436"/>
    <w:rsid w:val="009371D8"/>
    <w:rsid w:val="009540EC"/>
    <w:rsid w:val="00956898"/>
    <w:rsid w:val="00957266"/>
    <w:rsid w:val="00966BAC"/>
    <w:rsid w:val="009701AA"/>
    <w:rsid w:val="0097104A"/>
    <w:rsid w:val="00975137"/>
    <w:rsid w:val="00980477"/>
    <w:rsid w:val="009863DA"/>
    <w:rsid w:val="00990B02"/>
    <w:rsid w:val="00993CB3"/>
    <w:rsid w:val="009A1EF5"/>
    <w:rsid w:val="009A2289"/>
    <w:rsid w:val="009A2ABE"/>
    <w:rsid w:val="009A387D"/>
    <w:rsid w:val="009A5716"/>
    <w:rsid w:val="009A6A2F"/>
    <w:rsid w:val="009B0FA9"/>
    <w:rsid w:val="009B22C3"/>
    <w:rsid w:val="009C755C"/>
    <w:rsid w:val="009C780F"/>
    <w:rsid w:val="009D794C"/>
    <w:rsid w:val="009E1917"/>
    <w:rsid w:val="009E219E"/>
    <w:rsid w:val="00A0010B"/>
    <w:rsid w:val="00A0310F"/>
    <w:rsid w:val="00A07127"/>
    <w:rsid w:val="00A2186A"/>
    <w:rsid w:val="00A23570"/>
    <w:rsid w:val="00A25215"/>
    <w:rsid w:val="00A25353"/>
    <w:rsid w:val="00A32EA2"/>
    <w:rsid w:val="00A34F5F"/>
    <w:rsid w:val="00A41AB5"/>
    <w:rsid w:val="00A44424"/>
    <w:rsid w:val="00A46036"/>
    <w:rsid w:val="00A46A68"/>
    <w:rsid w:val="00A47D4F"/>
    <w:rsid w:val="00A50EE9"/>
    <w:rsid w:val="00A54CA8"/>
    <w:rsid w:val="00A67C10"/>
    <w:rsid w:val="00A76BE8"/>
    <w:rsid w:val="00A847CB"/>
    <w:rsid w:val="00A86D01"/>
    <w:rsid w:val="00A86F48"/>
    <w:rsid w:val="00A96223"/>
    <w:rsid w:val="00AB59E0"/>
    <w:rsid w:val="00AC1D18"/>
    <w:rsid w:val="00AC6AD2"/>
    <w:rsid w:val="00AD0A33"/>
    <w:rsid w:val="00AD30A9"/>
    <w:rsid w:val="00AD750F"/>
    <w:rsid w:val="00AE0982"/>
    <w:rsid w:val="00AE48C7"/>
    <w:rsid w:val="00AF58ED"/>
    <w:rsid w:val="00B07524"/>
    <w:rsid w:val="00B113E7"/>
    <w:rsid w:val="00B17F4A"/>
    <w:rsid w:val="00B25253"/>
    <w:rsid w:val="00B27E69"/>
    <w:rsid w:val="00B35B7C"/>
    <w:rsid w:val="00B373F8"/>
    <w:rsid w:val="00B5077B"/>
    <w:rsid w:val="00B53C15"/>
    <w:rsid w:val="00B55776"/>
    <w:rsid w:val="00B633C9"/>
    <w:rsid w:val="00B64324"/>
    <w:rsid w:val="00B741E9"/>
    <w:rsid w:val="00B75CF7"/>
    <w:rsid w:val="00B8037F"/>
    <w:rsid w:val="00B90095"/>
    <w:rsid w:val="00BA3093"/>
    <w:rsid w:val="00BA39E6"/>
    <w:rsid w:val="00BB3998"/>
    <w:rsid w:val="00BC2D26"/>
    <w:rsid w:val="00BC47C8"/>
    <w:rsid w:val="00BD3522"/>
    <w:rsid w:val="00BD43E6"/>
    <w:rsid w:val="00BD5693"/>
    <w:rsid w:val="00BE0EBD"/>
    <w:rsid w:val="00BE531D"/>
    <w:rsid w:val="00BF2B9D"/>
    <w:rsid w:val="00BF6B06"/>
    <w:rsid w:val="00C00F50"/>
    <w:rsid w:val="00C02BCB"/>
    <w:rsid w:val="00C050E8"/>
    <w:rsid w:val="00C06FC3"/>
    <w:rsid w:val="00C0799A"/>
    <w:rsid w:val="00C11D0D"/>
    <w:rsid w:val="00C20360"/>
    <w:rsid w:val="00C21FBD"/>
    <w:rsid w:val="00C3177F"/>
    <w:rsid w:val="00C47964"/>
    <w:rsid w:val="00C509C3"/>
    <w:rsid w:val="00C50A17"/>
    <w:rsid w:val="00C70EAE"/>
    <w:rsid w:val="00C77D75"/>
    <w:rsid w:val="00C83B65"/>
    <w:rsid w:val="00C862C9"/>
    <w:rsid w:val="00C918EF"/>
    <w:rsid w:val="00CA6A3C"/>
    <w:rsid w:val="00CA7F74"/>
    <w:rsid w:val="00CB01B8"/>
    <w:rsid w:val="00CB11C4"/>
    <w:rsid w:val="00CB2F62"/>
    <w:rsid w:val="00CD1254"/>
    <w:rsid w:val="00CD2C0E"/>
    <w:rsid w:val="00CD50B5"/>
    <w:rsid w:val="00CD6AB1"/>
    <w:rsid w:val="00CD73A9"/>
    <w:rsid w:val="00CE5ABD"/>
    <w:rsid w:val="00CE66DB"/>
    <w:rsid w:val="00CF3807"/>
    <w:rsid w:val="00CF6531"/>
    <w:rsid w:val="00CF6E76"/>
    <w:rsid w:val="00D03A49"/>
    <w:rsid w:val="00D06F12"/>
    <w:rsid w:val="00D07F4E"/>
    <w:rsid w:val="00D219AF"/>
    <w:rsid w:val="00D21EF3"/>
    <w:rsid w:val="00D3035A"/>
    <w:rsid w:val="00D329FB"/>
    <w:rsid w:val="00D41205"/>
    <w:rsid w:val="00D42074"/>
    <w:rsid w:val="00D46790"/>
    <w:rsid w:val="00D5150B"/>
    <w:rsid w:val="00D54390"/>
    <w:rsid w:val="00D61AB3"/>
    <w:rsid w:val="00D65D6B"/>
    <w:rsid w:val="00D71D89"/>
    <w:rsid w:val="00D72E81"/>
    <w:rsid w:val="00D73F4D"/>
    <w:rsid w:val="00D81976"/>
    <w:rsid w:val="00D81FC1"/>
    <w:rsid w:val="00D82E57"/>
    <w:rsid w:val="00D91C27"/>
    <w:rsid w:val="00D97DEF"/>
    <w:rsid w:val="00DC03D0"/>
    <w:rsid w:val="00DC207C"/>
    <w:rsid w:val="00DC4CFF"/>
    <w:rsid w:val="00DC5925"/>
    <w:rsid w:val="00DC5BE0"/>
    <w:rsid w:val="00DC60FA"/>
    <w:rsid w:val="00DD00DE"/>
    <w:rsid w:val="00DD457B"/>
    <w:rsid w:val="00DE0E11"/>
    <w:rsid w:val="00DE23AF"/>
    <w:rsid w:val="00DE3488"/>
    <w:rsid w:val="00DF02AF"/>
    <w:rsid w:val="00DF3B9A"/>
    <w:rsid w:val="00DF6087"/>
    <w:rsid w:val="00E028CC"/>
    <w:rsid w:val="00E03CEC"/>
    <w:rsid w:val="00E075FD"/>
    <w:rsid w:val="00E17598"/>
    <w:rsid w:val="00E22AC9"/>
    <w:rsid w:val="00E27B17"/>
    <w:rsid w:val="00E41C75"/>
    <w:rsid w:val="00E459DC"/>
    <w:rsid w:val="00E53B3A"/>
    <w:rsid w:val="00E53F59"/>
    <w:rsid w:val="00E550DE"/>
    <w:rsid w:val="00E579B9"/>
    <w:rsid w:val="00E62A4F"/>
    <w:rsid w:val="00E64EF7"/>
    <w:rsid w:val="00E673F4"/>
    <w:rsid w:val="00E968B8"/>
    <w:rsid w:val="00EA03CD"/>
    <w:rsid w:val="00EA1B3C"/>
    <w:rsid w:val="00EA464C"/>
    <w:rsid w:val="00EA4CCF"/>
    <w:rsid w:val="00EA5199"/>
    <w:rsid w:val="00EC2E37"/>
    <w:rsid w:val="00ED7A05"/>
    <w:rsid w:val="00EE334C"/>
    <w:rsid w:val="00EE3458"/>
    <w:rsid w:val="00F016CB"/>
    <w:rsid w:val="00F02153"/>
    <w:rsid w:val="00F058DF"/>
    <w:rsid w:val="00F063AE"/>
    <w:rsid w:val="00F10CE2"/>
    <w:rsid w:val="00F15675"/>
    <w:rsid w:val="00F2081A"/>
    <w:rsid w:val="00F20897"/>
    <w:rsid w:val="00F21250"/>
    <w:rsid w:val="00F2398D"/>
    <w:rsid w:val="00F26493"/>
    <w:rsid w:val="00F40CBD"/>
    <w:rsid w:val="00F505A1"/>
    <w:rsid w:val="00F53980"/>
    <w:rsid w:val="00F634A3"/>
    <w:rsid w:val="00F710F9"/>
    <w:rsid w:val="00F7620F"/>
    <w:rsid w:val="00F87F40"/>
    <w:rsid w:val="00F928BE"/>
    <w:rsid w:val="00F9593D"/>
    <w:rsid w:val="00F96274"/>
    <w:rsid w:val="00FA0AE4"/>
    <w:rsid w:val="00FA6B90"/>
    <w:rsid w:val="00FB4DBA"/>
    <w:rsid w:val="00FB667E"/>
    <w:rsid w:val="00FD4610"/>
    <w:rsid w:val="00FE552D"/>
    <w:rsid w:val="00FE61C1"/>
    <w:rsid w:val="00FF0130"/>
    <w:rsid w:val="00FF195C"/>
    <w:rsid w:val="00FF31C3"/>
    <w:rsid w:val="00FF32E6"/>
    <w:rsid w:val="00FF6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6898"/>
    <w:rPr>
      <w:sz w:val="24"/>
      <w:szCs w:val="24"/>
    </w:rPr>
  </w:style>
  <w:style w:type="paragraph" w:styleId="Heading1">
    <w:name w:val="heading 1"/>
    <w:basedOn w:val="Normal"/>
    <w:next w:val="Normal"/>
    <w:link w:val="Heading1Char"/>
    <w:uiPriority w:val="99"/>
    <w:qFormat/>
    <w:rsid w:val="00A67C10"/>
    <w:pPr>
      <w:autoSpaceDE w:val="0"/>
      <w:autoSpaceDN w:val="0"/>
      <w:adjustRightInd w:val="0"/>
      <w:jc w:val="center"/>
      <w:outlineLvl w:val="0"/>
    </w:pPr>
    <w:rPr>
      <w:b/>
      <w:bCs/>
      <w:caps/>
      <w:sz w:val="28"/>
    </w:rPr>
  </w:style>
  <w:style w:type="paragraph" w:styleId="Heading2">
    <w:name w:val="heading 2"/>
    <w:basedOn w:val="Normal"/>
    <w:next w:val="Normal"/>
    <w:qFormat/>
    <w:rsid w:val="00CF3807"/>
    <w:pPr>
      <w:keepNext/>
      <w:spacing w:before="240" w:after="60"/>
      <w:jc w:val="center"/>
      <w:outlineLvl w:val="1"/>
    </w:pPr>
    <w:rPr>
      <w:rFonts w:cs="Arial"/>
      <w:b/>
      <w:bCs/>
      <w:iCs/>
      <w:sz w:val="28"/>
      <w:szCs w:val="28"/>
    </w:rPr>
  </w:style>
  <w:style w:type="paragraph" w:styleId="Heading3">
    <w:name w:val="heading 3"/>
    <w:basedOn w:val="Normal"/>
    <w:next w:val="Normal"/>
    <w:qFormat/>
    <w:rsid w:val="000F7C20"/>
    <w:pPr>
      <w:keepNext/>
      <w:spacing w:before="240" w:after="60"/>
      <w:outlineLvl w:val="2"/>
    </w:pPr>
    <w:rPr>
      <w:rFonts w:cs="Arial"/>
      <w:b/>
      <w:bCs/>
      <w:i/>
      <w:szCs w:val="26"/>
    </w:rPr>
  </w:style>
  <w:style w:type="paragraph" w:styleId="Heading4">
    <w:name w:val="heading 4"/>
    <w:basedOn w:val="Normal"/>
    <w:next w:val="Normal"/>
    <w:link w:val="Heading4Char"/>
    <w:unhideWhenUsed/>
    <w:qFormat/>
    <w:rsid w:val="000F7C20"/>
    <w:pPr>
      <w:keepNext/>
      <w:spacing w:before="240" w:after="60"/>
      <w:outlineLvl w:val="3"/>
    </w:pPr>
    <w:rPr>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link w:val="HeaderChar"/>
    <w:uiPriority w:val="99"/>
    <w:rsid w:val="00665C7E"/>
    <w:pPr>
      <w:tabs>
        <w:tab w:val="center" w:pos="4320"/>
        <w:tab w:val="right" w:pos="8640"/>
      </w:tabs>
    </w:pPr>
  </w:style>
  <w:style w:type="paragraph" w:customStyle="1" w:styleId="Level1">
    <w:name w:val="Level 1"/>
    <w:rsid w:val="00665C7E"/>
    <w:pPr>
      <w:autoSpaceDE w:val="0"/>
      <w:autoSpaceDN w:val="0"/>
      <w:adjustRightInd w:val="0"/>
      <w:ind w:left="720"/>
    </w:pPr>
    <w:rPr>
      <w:sz w:val="24"/>
      <w:szCs w:val="24"/>
    </w:r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qFormat/>
    <w:rsid w:val="00665C7E"/>
    <w:pPr>
      <w:autoSpaceDE w:val="0"/>
      <w:autoSpaceDN w:val="0"/>
      <w:adjustRightInd w:val="0"/>
      <w:jc w:val="center"/>
    </w:pPr>
    <w:rPr>
      <w:sz w:val="28"/>
      <w:szCs w:val="28"/>
    </w:rPr>
  </w:style>
  <w:style w:type="paragraph" w:styleId="BodyText">
    <w:name w:val="Body Text"/>
    <w:basedOn w:val="Normal"/>
    <w:rsid w:val="00665C7E"/>
    <w:pPr>
      <w:autoSpaceDE w:val="0"/>
      <w:autoSpaceDN w:val="0"/>
      <w:adjustRightInd w:val="0"/>
    </w:pPr>
    <w:rPr>
      <w:sz w:val="22"/>
      <w:szCs w:val="22"/>
    </w:rPr>
  </w:style>
  <w:style w:type="paragraph" w:styleId="Subtitle">
    <w:name w:val="Subtitle"/>
    <w:basedOn w:val="Normal"/>
    <w:qFormat/>
    <w:rsid w:val="00665C7E"/>
    <w:pPr>
      <w:autoSpaceDE w:val="0"/>
      <w:autoSpaceDN w:val="0"/>
      <w:adjustRightInd w:val="0"/>
    </w:pPr>
    <w:rPr>
      <w:b/>
      <w:bCs/>
    </w:rPr>
  </w:style>
  <w:style w:type="paragraph" w:styleId="BodyTextIndent">
    <w:name w:val="Body Text Indent"/>
    <w:basedOn w:val="Normal"/>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rPr>
      <w:rFonts w:ascii="Arial" w:hAnsi="Arial" w:cs="Arial"/>
      <w:sz w:val="24"/>
      <w:szCs w:val="24"/>
    </w:r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qFormat/>
    <w:rsid w:val="00665C7E"/>
    <w:pPr>
      <w:spacing w:before="120" w:after="120"/>
    </w:pPr>
    <w:rPr>
      <w:b/>
      <w:bCs/>
      <w:sz w:val="20"/>
      <w:szCs w:val="20"/>
    </w:rPr>
  </w:style>
  <w:style w:type="paragraph" w:styleId="TableofFigures">
    <w:name w:val="table of figures"/>
    <w:basedOn w:val="Normal"/>
    <w:next w:val="Normal"/>
    <w:semiHidden/>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176E89"/>
    <w:pPr>
      <w:tabs>
        <w:tab w:val="right" w:leader="dot" w:pos="8630"/>
      </w:tabs>
      <w:ind w:left="480"/>
    </w:pPr>
    <w:rPr>
      <w:rFonts w:eastAsia="Calibri"/>
      <w:color w:val="000000"/>
      <w:shd w:val="clear" w:color="auto" w:fill="FFFFFF"/>
    </w:r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szCs w:val="28"/>
    </w:rPr>
  </w:style>
  <w:style w:type="character" w:customStyle="1" w:styleId="Heading1Char">
    <w:name w:val="Heading 1 Char"/>
    <w:link w:val="Heading1"/>
    <w:uiPriority w:val="99"/>
    <w:rsid w:val="00A67C10"/>
    <w:rPr>
      <w:b/>
      <w:bCs/>
      <w:caps/>
      <w:sz w:val="28"/>
      <w:szCs w:val="24"/>
    </w:rPr>
  </w:style>
  <w:style w:type="character" w:customStyle="1" w:styleId="StyleHeading1CenteredChar">
    <w:name w:val="Style Heading 1 + Centered Char"/>
    <w:link w:val="StyleHeading1Centered"/>
    <w:rsid w:val="003C1575"/>
    <w:rPr>
      <w:rFonts w:ascii="Arial" w:hAnsi="Arial"/>
      <w:b/>
      <w:bCs/>
      <w:caps/>
      <w:sz w:val="28"/>
      <w:szCs w:val="28"/>
      <w:lang w:val="en-US" w:eastAsia="en-US" w:bidi="ar-SA"/>
    </w:rPr>
  </w:style>
  <w:style w:type="character" w:customStyle="1" w:styleId="HeaderChar">
    <w:name w:val="Header Char"/>
    <w:link w:val="Header"/>
    <w:uiPriority w:val="99"/>
    <w:rsid w:val="00CB11C4"/>
    <w:rPr>
      <w:sz w:val="24"/>
      <w:szCs w:val="24"/>
    </w:rPr>
  </w:style>
  <w:style w:type="numbering" w:customStyle="1" w:styleId="NoList1">
    <w:name w:val="No List1"/>
    <w:next w:val="NoList"/>
    <w:uiPriority w:val="99"/>
    <w:semiHidden/>
    <w:unhideWhenUsed/>
    <w:rsid w:val="000E4B9C"/>
  </w:style>
  <w:style w:type="paragraph" w:styleId="BalloonText">
    <w:name w:val="Balloon Text"/>
    <w:basedOn w:val="Normal"/>
    <w:link w:val="BalloonTextChar"/>
    <w:uiPriority w:val="99"/>
    <w:unhideWhenUsed/>
    <w:rsid w:val="000E4B9C"/>
    <w:pPr>
      <w:ind w:left="1440"/>
    </w:pPr>
    <w:rPr>
      <w:rFonts w:ascii="Tahoma" w:eastAsia="Calibri" w:hAnsi="Tahoma" w:cs="Tahoma"/>
      <w:sz w:val="16"/>
      <w:szCs w:val="16"/>
    </w:rPr>
  </w:style>
  <w:style w:type="character" w:customStyle="1" w:styleId="BalloonTextChar">
    <w:name w:val="Balloon Text Char"/>
    <w:link w:val="BalloonText"/>
    <w:uiPriority w:val="99"/>
    <w:rsid w:val="000E4B9C"/>
    <w:rPr>
      <w:rFonts w:ascii="Tahoma" w:eastAsia="Calibri" w:hAnsi="Tahoma" w:cs="Tahoma"/>
      <w:sz w:val="16"/>
      <w:szCs w:val="16"/>
    </w:rPr>
  </w:style>
  <w:style w:type="character" w:styleId="Emphasis">
    <w:name w:val="Emphasis"/>
    <w:uiPriority w:val="99"/>
    <w:qFormat/>
    <w:rsid w:val="000E4B9C"/>
    <w:rPr>
      <w:i/>
      <w:iCs/>
    </w:rPr>
  </w:style>
  <w:style w:type="character" w:customStyle="1" w:styleId="apple-converted-space">
    <w:name w:val="apple-converted-space"/>
    <w:uiPriority w:val="99"/>
    <w:rsid w:val="000E4B9C"/>
  </w:style>
  <w:style w:type="paragraph" w:styleId="NormalWeb">
    <w:name w:val="Normal (Web)"/>
    <w:basedOn w:val="Normal"/>
    <w:uiPriority w:val="99"/>
    <w:unhideWhenUsed/>
    <w:rsid w:val="000E4B9C"/>
    <w:pPr>
      <w:spacing w:before="100" w:beforeAutospacing="1" w:after="100" w:afterAutospacing="1"/>
    </w:pPr>
  </w:style>
  <w:style w:type="character" w:customStyle="1" w:styleId="FollowedHyperlink1">
    <w:name w:val="FollowedHyperlink1"/>
    <w:uiPriority w:val="99"/>
    <w:semiHidden/>
    <w:unhideWhenUsed/>
    <w:rsid w:val="000E4B9C"/>
    <w:rPr>
      <w:color w:val="800080"/>
      <w:u w:val="single"/>
    </w:rPr>
  </w:style>
  <w:style w:type="paragraph" w:styleId="ListParagraph">
    <w:name w:val="List Paragraph"/>
    <w:basedOn w:val="Normal"/>
    <w:uiPriority w:val="99"/>
    <w:qFormat/>
    <w:rsid w:val="000E4B9C"/>
    <w:pPr>
      <w:spacing w:after="200" w:line="276" w:lineRule="auto"/>
      <w:ind w:left="720"/>
      <w:contextualSpacing/>
    </w:pPr>
    <w:rPr>
      <w:rFonts w:ascii="Calibri" w:eastAsia="Calibri" w:hAnsi="Calibri"/>
      <w:sz w:val="22"/>
      <w:szCs w:val="22"/>
    </w:rPr>
  </w:style>
  <w:style w:type="character" w:customStyle="1" w:styleId="author">
    <w:name w:val="author"/>
    <w:uiPriority w:val="99"/>
    <w:rsid w:val="000E4B9C"/>
    <w:rPr>
      <w:rFonts w:cs="Times New Roman"/>
    </w:rPr>
  </w:style>
  <w:style w:type="character" w:customStyle="1" w:styleId="pubyear">
    <w:name w:val="pubyear"/>
    <w:uiPriority w:val="99"/>
    <w:rsid w:val="000E4B9C"/>
    <w:rPr>
      <w:rFonts w:cs="Times New Roman"/>
    </w:rPr>
  </w:style>
  <w:style w:type="character" w:customStyle="1" w:styleId="articletitle">
    <w:name w:val="articletitle"/>
    <w:uiPriority w:val="99"/>
    <w:rsid w:val="000E4B9C"/>
    <w:rPr>
      <w:rFonts w:cs="Times New Roman"/>
    </w:rPr>
  </w:style>
  <w:style w:type="character" w:customStyle="1" w:styleId="journaltitle">
    <w:name w:val="journaltitle"/>
    <w:uiPriority w:val="99"/>
    <w:rsid w:val="000E4B9C"/>
    <w:rPr>
      <w:rFonts w:cs="Times New Roman"/>
    </w:rPr>
  </w:style>
  <w:style w:type="character" w:customStyle="1" w:styleId="vol">
    <w:name w:val="vol"/>
    <w:uiPriority w:val="99"/>
    <w:rsid w:val="000E4B9C"/>
    <w:rPr>
      <w:rFonts w:cs="Times New Roman"/>
    </w:rPr>
  </w:style>
  <w:style w:type="character" w:customStyle="1" w:styleId="pagefirst">
    <w:name w:val="pagefirst"/>
    <w:uiPriority w:val="99"/>
    <w:rsid w:val="000E4B9C"/>
    <w:rPr>
      <w:rFonts w:cs="Times New Roman"/>
    </w:rPr>
  </w:style>
  <w:style w:type="character" w:customStyle="1" w:styleId="pagelast">
    <w:name w:val="pagelast"/>
    <w:uiPriority w:val="99"/>
    <w:rsid w:val="000E4B9C"/>
    <w:rPr>
      <w:rFonts w:cs="Times New Roman"/>
    </w:rPr>
  </w:style>
  <w:style w:type="character" w:styleId="FollowedHyperlink">
    <w:name w:val="FollowedHyperlink"/>
    <w:uiPriority w:val="99"/>
    <w:rsid w:val="000E4B9C"/>
    <w:rPr>
      <w:color w:val="954F72"/>
      <w:u w:val="single"/>
    </w:rPr>
  </w:style>
  <w:style w:type="character" w:customStyle="1" w:styleId="Heading4Char">
    <w:name w:val="Heading 4 Char"/>
    <w:link w:val="Heading4"/>
    <w:rsid w:val="000F7C20"/>
    <w:rPr>
      <w:rFonts w:eastAsia="Times New Roman" w:cs="Times New Roman"/>
      <w:bCs/>
      <w:sz w:val="24"/>
      <w:szCs w:val="28"/>
    </w:rPr>
  </w:style>
  <w:style w:type="paragraph" w:styleId="Revision">
    <w:name w:val="Revision"/>
    <w:hidden/>
    <w:uiPriority w:val="99"/>
    <w:semiHidden/>
    <w:rsid w:val="00DC207C"/>
    <w:rPr>
      <w:rFonts w:ascii="Calibri" w:eastAsia="Calibri" w:hAnsi="Calibri"/>
      <w:sz w:val="22"/>
      <w:szCs w:val="22"/>
    </w:rPr>
  </w:style>
  <w:style w:type="character" w:customStyle="1" w:styleId="FooterChar">
    <w:name w:val="Footer Char"/>
    <w:link w:val="Footer"/>
    <w:uiPriority w:val="99"/>
    <w:rsid w:val="00DC207C"/>
    <w:rPr>
      <w:sz w:val="24"/>
      <w:szCs w:val="24"/>
    </w:rPr>
  </w:style>
  <w:style w:type="paragraph" w:styleId="TOCHeading">
    <w:name w:val="TOC Heading"/>
    <w:basedOn w:val="Heading1"/>
    <w:next w:val="Normal"/>
    <w:uiPriority w:val="39"/>
    <w:unhideWhenUsed/>
    <w:qFormat/>
    <w:rsid w:val="00153339"/>
    <w:pPr>
      <w:keepNext/>
      <w:keepLines/>
      <w:autoSpaceDE/>
      <w:autoSpaceDN/>
      <w:adjustRightInd/>
      <w:spacing w:before="240" w:line="259" w:lineRule="auto"/>
      <w:jc w:val="left"/>
      <w:outlineLvl w:val="9"/>
    </w:pPr>
    <w:rPr>
      <w:rFonts w:asciiTheme="majorHAnsi" w:eastAsiaTheme="majorEastAsia" w:hAnsiTheme="majorHAnsi" w:cstheme="majorBidi"/>
      <w:b w:val="0"/>
      <w:bCs w:val="0"/>
      <w:caps w:val="0"/>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chart" Target="charts/chart5.xml"/><Relationship Id="rId26" Type="http://schemas.openxmlformats.org/officeDocument/2006/relationships/chart" Target="charts/chart13.xml"/><Relationship Id="rId3" Type="http://schemas.openxmlformats.org/officeDocument/2006/relationships/styles" Target="styles.xml"/><Relationship Id="rId21" Type="http://schemas.openxmlformats.org/officeDocument/2006/relationships/chart" Target="charts/chart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chart" Target="charts/chart4.xml"/><Relationship Id="rId25" Type="http://schemas.openxmlformats.org/officeDocument/2006/relationships/chart" Target="charts/chart12.xml"/><Relationship Id="rId33"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7.xml"/><Relationship Id="rId29" Type="http://schemas.openxmlformats.org/officeDocument/2006/relationships/chart" Target="charts/chart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hart" Target="charts/chart11.xml"/><Relationship Id="rId32"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chart" Target="charts/chart10.xml"/><Relationship Id="rId28" Type="http://schemas.openxmlformats.org/officeDocument/2006/relationships/chart" Target="charts/chart15.xml"/><Relationship Id="rId10" Type="http://schemas.openxmlformats.org/officeDocument/2006/relationships/footer" Target="footer1.xml"/><Relationship Id="rId19" Type="http://schemas.openxmlformats.org/officeDocument/2006/relationships/chart" Target="charts/chart6.xml"/><Relationship Id="rId31" Type="http://schemas.openxmlformats.org/officeDocument/2006/relationships/chart" Target="charts/chart1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hart" Target="charts/chart1.xml"/><Relationship Id="rId22" Type="http://schemas.openxmlformats.org/officeDocument/2006/relationships/chart" Target="charts/chart9.xml"/><Relationship Id="rId27" Type="http://schemas.openxmlformats.org/officeDocument/2006/relationships/chart" Target="charts/chart14.xml"/><Relationship Id="rId30" Type="http://schemas.openxmlformats.org/officeDocument/2006/relationships/chart" Target="charts/chart17.xml"/><Relationship Id="rId35"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C:\Users\Holly\Desktop\COMT%20relative%20expression%20level-field%20materials%20HLB.xlsx"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3" Type="http://schemas.openxmlformats.org/officeDocument/2006/relationships/chartUserShapes" Target="../drawings/drawing10.xml"/><Relationship Id="rId2" Type="http://schemas.openxmlformats.org/officeDocument/2006/relationships/oleObject" Target="file:///C:\Users\Holly\Desktop\COMT%20field%20trial\Raw%20data\Raw%20data%20(2012)\Monthly%20sampling\COMT%202012%20lignin%20&amp;%20SG%20per%20month.xlsx" TargetMode="External"/><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3" Type="http://schemas.openxmlformats.org/officeDocument/2006/relationships/chartUserShapes" Target="../drawings/drawing11.xml"/><Relationship Id="rId2" Type="http://schemas.openxmlformats.org/officeDocument/2006/relationships/oleObject" Target="file:///C:\Users\Holly\Downloads\Raw%20wet%20chemistry%20data%20(1).xlsx" TargetMode="External"/><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3" Type="http://schemas.openxmlformats.org/officeDocument/2006/relationships/chartUserShapes" Target="../drawings/drawing12.xml"/><Relationship Id="rId2" Type="http://schemas.openxmlformats.org/officeDocument/2006/relationships/oleObject" Target="file:///C:\Users\Holly\Downloads\Raw%20wet%20chemistry%20data%20(1).xlsx" TargetMode="External"/><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oleObject" Target="file:///C:\Users\Holly\Desktop\Ethanol%20fermentations\Fermentation\2011\New%20folder\New%20folder%20(2)\COMT%20ethanol%20yield%20analyses%20(2011)%20CORRECTED.xlsx" TargetMode="External"/><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oleObject" Target="file:///C:\Users\Holly\Desktop\Ethanol%20fermentations\Fermentation\2011\New%20folder\New%20folder%20(2)\COMT%20ethanol%20yield%20analyses%20(2011)%20CORRECTED.xlsx" TargetMode="External"/><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3" Type="http://schemas.openxmlformats.org/officeDocument/2006/relationships/chartUserShapes" Target="../drawings/drawing13.xml"/><Relationship Id="rId2" Type="http://schemas.openxmlformats.org/officeDocument/2006/relationships/oleObject" Target="file:///C:\Users\Holly\Desktop\Ethanol%20fermentations\Fermentation\2011\New%20folder\New%20folder%20(2)\COMT%20ethanol%20yield%20analyses%20(2011)%20CORRECTED.xlsx" TargetMode="External"/><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oleObject" Target="file:///C:\Users\Holly\Desktop\Ethanol%20fermentations\Fermentation\Ethanol%20yield%20summary%202012%20(MS).xlsx" TargetMode="External"/><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oleObject" Target="file:///C:\Users\Holly\Desktop\Ethanol%20fermentations\Fermentation\Ethanol%20yield%20summary%202012%20(MS).xlsx" TargetMode="External"/><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3" Type="http://schemas.openxmlformats.org/officeDocument/2006/relationships/chartUserShapes" Target="../drawings/drawing14.xml"/><Relationship Id="rId2" Type="http://schemas.openxmlformats.org/officeDocument/2006/relationships/oleObject" Target="file:///C:\Users\Holly\Desktop\Ethanol%20fermentations\Fermentation\Ethanol%20yield%20summary%202012%20(MS).xlsx" TargetMode="External"/><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3" Type="http://schemas.openxmlformats.org/officeDocument/2006/relationships/chartUserShapes" Target="../drawings/drawing15.xml"/><Relationship Id="rId2" Type="http://schemas.openxmlformats.org/officeDocument/2006/relationships/oleObject" Target="NULL" TargetMode="External"/><Relationship Id="rId1" Type="http://schemas.openxmlformats.org/officeDocument/2006/relationships/themeOverride" Target="../theme/themeOverride19.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oleObject" Target="file:///C:\Users\Holly\Desktop\COMT%20Field%20Trial\Raw%20data\Raw%20data%20(2011)\Lignin%20content%20-%20green%20tissue%20(2011).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oleObject" Target="file:///C:\Users\Holly\Desktop\COMT%20field%20trial\Raw%20data\Raw%20data%20(2011)\Lignin%20content%20-%20green%20tissue%20(2011).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3" Type="http://schemas.openxmlformats.org/officeDocument/2006/relationships/chartUserShapes" Target="../drawings/drawing5.xml"/><Relationship Id="rId2" Type="http://schemas.openxmlformats.org/officeDocument/2006/relationships/oleObject" Target="file:///C:\Users\Holly\Desktop\COMT%20field%20trial\Raw%20data\Raw%20data%20(2012)\Monthly%20sampling\COMT%202012%20lignin%20&amp;%20SG%20per%20month.xlsx"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6.xml"/><Relationship Id="rId2" Type="http://schemas.openxmlformats.org/officeDocument/2006/relationships/oleObject" Target="file:///C:\Users\Holly\Desktop\COMT%20field%20trial\Raw%20data\Raw%20data%20(2012)\Monthly%20sampling\COMT%202012%20lignin%20&amp;%20SG%20per%20month.xlsx"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3" Type="http://schemas.openxmlformats.org/officeDocument/2006/relationships/chartUserShapes" Target="../drawings/drawing7.xml"/><Relationship Id="rId2" Type="http://schemas.openxmlformats.org/officeDocument/2006/relationships/oleObject" Target="file:///C:\Users\Holly\Desktop\COMT%20Field%20Trial\Raw%20data\Raw%20data%20(2011)\Senesced%20lignin%202011%20(MS).xlsx"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3" Type="http://schemas.openxmlformats.org/officeDocument/2006/relationships/chartUserShapes" Target="../drawings/drawing8.xml"/><Relationship Id="rId2" Type="http://schemas.openxmlformats.org/officeDocument/2006/relationships/oleObject" Target="file:///C:\Users\Holly\Desktop\COMT%20Field%20Trial\Raw%20data\Raw%20data%20(2011)\Senesced%20lignin%202011%20(MS).xlsx" TargetMode="External"/><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3" Type="http://schemas.openxmlformats.org/officeDocument/2006/relationships/chartUserShapes" Target="../drawings/drawing9.xml"/><Relationship Id="rId2" Type="http://schemas.openxmlformats.org/officeDocument/2006/relationships/oleObject" Target="file:///C:\Users\Holly\Desktop\COMT%20field%20trial\Raw%20data\Raw%20data%20(2012)\Monthly%20sampling\COMT%202012%20lignin%20&amp;%20SG%20per%20month.xlsx" TargetMode="External"/><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a:solidFill>
                  <a:sysClr val="windowText" lastClr="000000"/>
                </a:solidFill>
                <a:latin typeface="Times New Roman" panose="02020603050405020304" pitchFamily="18" charset="0"/>
                <a:cs typeface="Times New Roman" panose="02020603050405020304" pitchFamily="18" charset="0"/>
              </a:rPr>
              <a:t>(a)</a:t>
            </a:r>
          </a:p>
        </c:rich>
      </c:tx>
      <c:layout>
        <c:manualLayout>
          <c:xMode val="edge"/>
          <c:yMode val="edge"/>
          <c:x val="3.9066707570644555E-3"/>
          <c:y val="0"/>
        </c:manualLayout>
      </c:layout>
      <c:overlay val="0"/>
      <c:spPr>
        <a:noFill/>
        <a:ln>
          <a:noFill/>
        </a:ln>
        <a:effectLst/>
      </c:spPr>
    </c:title>
    <c:autoTitleDeleted val="0"/>
    <c:plotArea>
      <c:layout>
        <c:manualLayout>
          <c:layoutTarget val="inner"/>
          <c:xMode val="edge"/>
          <c:yMode val="edge"/>
          <c:x val="0.24029264551256516"/>
          <c:y val="5.1944439899874018E-2"/>
          <c:w val="0.56330094958851862"/>
          <c:h val="0.86310916249105252"/>
        </c:manualLayout>
      </c:layout>
      <c:barChart>
        <c:barDir val="col"/>
        <c:grouping val="clustered"/>
        <c:varyColors val="0"/>
        <c:ser>
          <c:idx val="0"/>
          <c:order val="0"/>
          <c:tx>
            <c:strRef>
              <c:f>Sheet1!$A$2</c:f>
              <c:strCache>
                <c:ptCount val="1"/>
                <c:pt idx="0">
                  <c:v>Control</c:v>
                </c:pt>
              </c:strCache>
            </c:strRef>
          </c:tx>
          <c:spPr>
            <a:solidFill>
              <a:schemeClr val="dk1">
                <a:tint val="88500"/>
              </a:schemeClr>
            </a:solidFill>
            <a:ln>
              <a:noFill/>
            </a:ln>
            <a:effectLst/>
          </c:spPr>
          <c:invertIfNegative val="0"/>
          <c:errBars>
            <c:errBarType val="both"/>
            <c:errValType val="cust"/>
            <c:noEndCap val="0"/>
            <c:plus>
              <c:numRef>
                <c:f>Sheet1!$D$2</c:f>
                <c:numCache>
                  <c:formatCode>General</c:formatCode>
                  <c:ptCount val="1"/>
                  <c:pt idx="0">
                    <c:v>19.086362191883634</c:v>
                  </c:pt>
                </c:numCache>
              </c:numRef>
            </c:plus>
            <c:minus>
              <c:numRef>
                <c:f>Sheet1!$D$2</c:f>
                <c:numCache>
                  <c:formatCode>General</c:formatCode>
                  <c:ptCount val="1"/>
                  <c:pt idx="0">
                    <c:v>19.086362191883634</c:v>
                  </c:pt>
                </c:numCache>
              </c:numRef>
            </c:minus>
            <c:spPr>
              <a:noFill/>
              <a:ln w="9525" cap="flat" cmpd="sng" algn="ctr">
                <a:solidFill>
                  <a:schemeClr val="tx1"/>
                </a:solidFill>
                <a:round/>
              </a:ln>
              <a:effectLst/>
            </c:spPr>
          </c:errBars>
          <c:cat>
            <c:numRef>
              <c:f>Sheet1!$Q$2</c:f>
              <c:numCache>
                <c:formatCode>General</c:formatCode>
                <c:ptCount val="1"/>
              </c:numCache>
            </c:numRef>
          </c:cat>
          <c:val>
            <c:numRef>
              <c:f>Sheet1!$B$2</c:f>
              <c:numCache>
                <c:formatCode>0.0</c:formatCode>
                <c:ptCount val="1"/>
                <c:pt idx="0">
                  <c:v>99.999953698663688</c:v>
                </c:pt>
              </c:numCache>
            </c:numRef>
          </c:val>
        </c:ser>
        <c:ser>
          <c:idx val="1"/>
          <c:order val="1"/>
          <c:tx>
            <c:v>Transgenic</c:v>
          </c:tx>
          <c:spPr>
            <a:solidFill>
              <a:schemeClr val="bg1">
                <a:lumMod val="65000"/>
              </a:schemeClr>
            </a:solidFill>
            <a:ln>
              <a:noFill/>
            </a:ln>
            <a:effectLst/>
          </c:spPr>
          <c:invertIfNegative val="0"/>
          <c:errBars>
            <c:errBarType val="both"/>
            <c:errValType val="cust"/>
            <c:noEndCap val="0"/>
            <c:plus>
              <c:numRef>
                <c:f>Sheet1!$D$3</c:f>
                <c:numCache>
                  <c:formatCode>General</c:formatCode>
                  <c:ptCount val="1"/>
                  <c:pt idx="0">
                    <c:v>1.77766789974635</c:v>
                  </c:pt>
                </c:numCache>
              </c:numRef>
            </c:plus>
            <c:minus>
              <c:numRef>
                <c:f>Sheet1!$D$3</c:f>
                <c:numCache>
                  <c:formatCode>General</c:formatCode>
                  <c:ptCount val="1"/>
                  <c:pt idx="0">
                    <c:v>1.77766789974635</c:v>
                  </c:pt>
                </c:numCache>
              </c:numRef>
            </c:minus>
            <c:spPr>
              <a:noFill/>
              <a:ln w="9525" cap="flat" cmpd="sng" algn="ctr">
                <a:solidFill>
                  <a:schemeClr val="tx1"/>
                </a:solidFill>
                <a:round/>
              </a:ln>
              <a:effectLst/>
            </c:spPr>
          </c:errBars>
          <c:cat>
            <c:numRef>
              <c:f>Sheet1!$Q$2</c:f>
              <c:numCache>
                <c:formatCode>General</c:formatCode>
                <c:ptCount val="1"/>
              </c:numCache>
            </c:numRef>
          </c:cat>
          <c:val>
            <c:numRef>
              <c:f>Sheet1!$B$3</c:f>
              <c:numCache>
                <c:formatCode>0.0</c:formatCode>
                <c:ptCount val="1"/>
                <c:pt idx="0">
                  <c:v>3.0361846113292477</c:v>
                </c:pt>
              </c:numCache>
            </c:numRef>
          </c:val>
        </c:ser>
        <c:ser>
          <c:idx val="2"/>
          <c:order val="2"/>
          <c:tx>
            <c:strRef>
              <c:f>Sheet1!$A$4</c:f>
              <c:strCache>
                <c:ptCount val="1"/>
              </c:strCache>
            </c:strRef>
          </c:tx>
          <c:spPr>
            <a:solidFill>
              <a:schemeClr val="dk1">
                <a:tint val="75000"/>
              </a:schemeClr>
            </a:solidFill>
            <a:ln>
              <a:noFill/>
            </a:ln>
            <a:effectLst/>
          </c:spPr>
          <c:invertIfNegative val="0"/>
          <c:cat>
            <c:numRef>
              <c:f>Sheet1!$Q$2</c:f>
              <c:numCache>
                <c:formatCode>General</c:formatCode>
                <c:ptCount val="1"/>
              </c:numCache>
            </c:numRef>
          </c:cat>
          <c:val>
            <c:numRef>
              <c:f>Sheet1!$B$4</c:f>
              <c:numCache>
                <c:formatCode>General</c:formatCode>
                <c:ptCount val="1"/>
              </c:numCache>
            </c:numRef>
          </c:val>
        </c:ser>
        <c:ser>
          <c:idx val="3"/>
          <c:order val="3"/>
          <c:tx>
            <c:strRef>
              <c:f>Sheet1!$A$5</c:f>
              <c:strCache>
                <c:ptCount val="1"/>
                <c:pt idx="0">
                  <c:v>Control</c:v>
                </c:pt>
              </c:strCache>
            </c:strRef>
          </c:tx>
          <c:spPr>
            <a:solidFill>
              <a:schemeClr val="tx1">
                <a:lumMod val="65000"/>
                <a:lumOff val="35000"/>
              </a:schemeClr>
            </a:solidFill>
            <a:ln>
              <a:noFill/>
            </a:ln>
            <a:effectLst/>
          </c:spPr>
          <c:invertIfNegative val="0"/>
          <c:errBars>
            <c:errBarType val="both"/>
            <c:errValType val="cust"/>
            <c:noEndCap val="0"/>
            <c:plus>
              <c:numRef>
                <c:f>Sheet1!$D$5</c:f>
                <c:numCache>
                  <c:formatCode>General</c:formatCode>
                  <c:ptCount val="1"/>
                  <c:pt idx="0">
                    <c:v>18.628983222635611</c:v>
                  </c:pt>
                </c:numCache>
              </c:numRef>
            </c:plus>
            <c:minus>
              <c:numRef>
                <c:f>Sheet1!$D$5</c:f>
                <c:numCache>
                  <c:formatCode>General</c:formatCode>
                  <c:ptCount val="1"/>
                  <c:pt idx="0">
                    <c:v>18.628983222635611</c:v>
                  </c:pt>
                </c:numCache>
              </c:numRef>
            </c:minus>
            <c:spPr>
              <a:noFill/>
              <a:ln w="9525" cap="flat" cmpd="sng" algn="ctr">
                <a:solidFill>
                  <a:schemeClr val="tx1"/>
                </a:solidFill>
                <a:round/>
              </a:ln>
              <a:effectLst/>
            </c:spPr>
          </c:errBars>
          <c:cat>
            <c:numRef>
              <c:f>Sheet1!$Q$2</c:f>
              <c:numCache>
                <c:formatCode>General</c:formatCode>
                <c:ptCount val="1"/>
              </c:numCache>
            </c:numRef>
          </c:cat>
          <c:val>
            <c:numRef>
              <c:f>Sheet1!$B$5</c:f>
              <c:numCache>
                <c:formatCode>0.0</c:formatCode>
                <c:ptCount val="1"/>
                <c:pt idx="0">
                  <c:v>100.00006146454488</c:v>
                </c:pt>
              </c:numCache>
            </c:numRef>
          </c:val>
        </c:ser>
        <c:ser>
          <c:idx val="4"/>
          <c:order val="4"/>
          <c:tx>
            <c:strRef>
              <c:f>Sheet1!$A$6</c:f>
              <c:strCache>
                <c:ptCount val="1"/>
                <c:pt idx="0">
                  <c:v>T1COMT3</c:v>
                </c:pt>
              </c:strCache>
            </c:strRef>
          </c:tx>
          <c:spPr>
            <a:solidFill>
              <a:schemeClr val="bg1">
                <a:lumMod val="65000"/>
              </a:schemeClr>
            </a:solidFill>
            <a:ln>
              <a:noFill/>
            </a:ln>
            <a:effectLst/>
          </c:spPr>
          <c:invertIfNegative val="0"/>
          <c:errBars>
            <c:errBarType val="both"/>
            <c:errValType val="cust"/>
            <c:noEndCap val="0"/>
            <c:plus>
              <c:numRef>
                <c:f>Sheet1!$D$6</c:f>
                <c:numCache>
                  <c:formatCode>General</c:formatCode>
                  <c:ptCount val="1"/>
                  <c:pt idx="0">
                    <c:v>0.9611504354922068</c:v>
                  </c:pt>
                </c:numCache>
              </c:numRef>
            </c:plus>
            <c:minus>
              <c:numRef>
                <c:f>Sheet1!$D$6</c:f>
                <c:numCache>
                  <c:formatCode>General</c:formatCode>
                  <c:ptCount val="1"/>
                  <c:pt idx="0">
                    <c:v>0.9611504354922068</c:v>
                  </c:pt>
                </c:numCache>
              </c:numRef>
            </c:minus>
            <c:spPr>
              <a:noFill/>
              <a:ln w="9525" cap="flat" cmpd="sng" algn="ctr">
                <a:solidFill>
                  <a:schemeClr val="tx1"/>
                </a:solidFill>
                <a:round/>
              </a:ln>
              <a:effectLst/>
            </c:spPr>
          </c:errBars>
          <c:cat>
            <c:numRef>
              <c:f>Sheet1!$Q$2</c:f>
              <c:numCache>
                <c:formatCode>General</c:formatCode>
                <c:ptCount val="1"/>
              </c:numCache>
            </c:numRef>
          </c:cat>
          <c:val>
            <c:numRef>
              <c:f>Sheet1!$B$6</c:f>
              <c:numCache>
                <c:formatCode>0.0</c:formatCode>
                <c:ptCount val="1"/>
                <c:pt idx="0">
                  <c:v>2.1823836262339942</c:v>
                </c:pt>
              </c:numCache>
            </c:numRef>
          </c:val>
        </c:ser>
        <c:dLbls>
          <c:showLegendKey val="0"/>
          <c:showVal val="0"/>
          <c:showCatName val="0"/>
          <c:showSerName val="0"/>
          <c:showPercent val="0"/>
          <c:showBubbleSize val="0"/>
        </c:dLbls>
        <c:gapWidth val="150"/>
        <c:axId val="298205328"/>
        <c:axId val="298210424"/>
      </c:barChart>
      <c:catAx>
        <c:axId val="298205328"/>
        <c:scaling>
          <c:orientation val="minMax"/>
        </c:scaling>
        <c:delete val="0"/>
        <c:axPos val="b"/>
        <c:numFmt formatCode="General" sourceLinked="1"/>
        <c:majorTickMark val="none"/>
        <c:minorTickMark val="none"/>
        <c:tickLblPos val="nextTo"/>
        <c:spPr>
          <a:noFill/>
          <a:ln w="9525" cap="flat" cmpd="sng" algn="ctr">
            <a:solidFill>
              <a:schemeClr val="tx1">
                <a:lumMod val="50000"/>
                <a:lumOff val="50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8210424"/>
        <c:crosses val="autoZero"/>
        <c:auto val="1"/>
        <c:lblAlgn val="ctr"/>
        <c:lblOffset val="100"/>
        <c:noMultiLvlLbl val="0"/>
      </c:catAx>
      <c:valAx>
        <c:axId val="298210424"/>
        <c:scaling>
          <c:orientation val="minMax"/>
        </c:scaling>
        <c:delete val="0"/>
        <c:axPos val="l"/>
        <c:title>
          <c:tx>
            <c:rich>
              <a:bodyPr rot="-54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900" i="1">
                    <a:solidFill>
                      <a:schemeClr val="tx1"/>
                    </a:solidFill>
                    <a:latin typeface="Times New Roman" panose="02020603050405020304" pitchFamily="18" charset="0"/>
                    <a:cs typeface="Times New Roman" panose="02020603050405020304" pitchFamily="18" charset="0"/>
                  </a:rPr>
                  <a:t>COMT</a:t>
                </a:r>
                <a:r>
                  <a:rPr lang="en-US" sz="900">
                    <a:solidFill>
                      <a:schemeClr val="tx1"/>
                    </a:solidFill>
                    <a:latin typeface="Times New Roman" panose="02020603050405020304" pitchFamily="18" charset="0"/>
                    <a:cs typeface="Times New Roman" panose="02020603050405020304" pitchFamily="18" charset="0"/>
                  </a:rPr>
                  <a:t> relative expression level (%control)</a:t>
                </a:r>
              </a:p>
            </c:rich>
          </c:tx>
          <c:overlay val="0"/>
          <c:spPr>
            <a:noFill/>
            <a:ln>
              <a:noFill/>
            </a:ln>
            <a:effectLst/>
          </c:spPr>
        </c:title>
        <c:numFmt formatCode="0" sourceLinked="0"/>
        <c:majorTickMark val="out"/>
        <c:minorTickMark val="none"/>
        <c:tickLblPos val="nextTo"/>
        <c:spPr>
          <a:noFill/>
          <a:ln>
            <a:solidFill>
              <a:schemeClr val="tx1">
                <a:lumMod val="50000"/>
                <a:lumOff val="50000"/>
              </a:schemeClr>
            </a:solid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98205328"/>
        <c:crosses val="autoZero"/>
        <c:crossBetween val="between"/>
      </c:valAx>
      <c:spPr>
        <a:noFill/>
        <a:ln>
          <a:noFill/>
        </a:ln>
        <a:effectLst/>
      </c:spPr>
    </c:plotArea>
    <c:legend>
      <c:legendPos val="r"/>
      <c:layout>
        <c:manualLayout>
          <c:xMode val="edge"/>
          <c:yMode val="edge"/>
          <c:x val="0.69965041400857431"/>
          <c:y val="5.3690546483766706E-2"/>
          <c:w val="0.25332400375505293"/>
          <c:h val="0.1082203266258384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userShapes r:id="rId3"/>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a:lstStyle/>
          <a:p>
            <a:pPr>
              <a:defRPr sz="900" b="0"/>
            </a:pPr>
            <a:r>
              <a:rPr lang="en-US" sz="900" b="0"/>
              <a:t>(d)</a:t>
            </a:r>
          </a:p>
        </c:rich>
      </c:tx>
      <c:layout>
        <c:manualLayout>
          <c:xMode val="edge"/>
          <c:yMode val="edge"/>
          <c:x val="2.1636609939886483E-3"/>
          <c:y val="0"/>
        </c:manualLayout>
      </c:layout>
      <c:overlay val="0"/>
    </c:title>
    <c:autoTitleDeleted val="0"/>
    <c:plotArea>
      <c:layout>
        <c:manualLayout>
          <c:layoutTarget val="inner"/>
          <c:xMode val="edge"/>
          <c:yMode val="edge"/>
          <c:x val="0.19091863517060631"/>
          <c:y val="7.6788976377952761E-2"/>
          <c:w val="0.60218906104478875"/>
          <c:h val="0.81199055118110264"/>
        </c:manualLayout>
      </c:layout>
      <c:barChart>
        <c:barDir val="col"/>
        <c:grouping val="clustered"/>
        <c:varyColors val="0"/>
        <c:ser>
          <c:idx val="0"/>
          <c:order val="0"/>
          <c:tx>
            <c:v>Control</c:v>
          </c:tx>
          <c:invertIfNegative val="0"/>
          <c:dLbls>
            <c:delete val="1"/>
          </c:dLbls>
          <c:errBars>
            <c:errBarType val="both"/>
            <c:errValType val="cust"/>
            <c:noEndCap val="0"/>
            <c:plus>
              <c:numRef>
                <c:f>'12-2012 lignin results'!$K$33</c:f>
                <c:numCache>
                  <c:formatCode>General</c:formatCode>
                  <c:ptCount val="1"/>
                  <c:pt idx="0">
                    <c:v>2.1423351745233531E-2</c:v>
                  </c:pt>
                </c:numCache>
              </c:numRef>
            </c:plus>
            <c:minus>
              <c:numRef>
                <c:f>'12-2012 lignin results'!$K$33</c:f>
                <c:numCache>
                  <c:formatCode>General</c:formatCode>
                  <c:ptCount val="1"/>
                  <c:pt idx="0">
                    <c:v>2.1423351745233531E-2</c:v>
                  </c:pt>
                </c:numCache>
              </c:numRef>
            </c:minus>
          </c:errBars>
          <c:cat>
            <c:numRef>
              <c:f>'12-2012 lignin results'!$H$19</c:f>
              <c:numCache>
                <c:formatCode>General</c:formatCode>
                <c:ptCount val="1"/>
              </c:numCache>
            </c:numRef>
          </c:cat>
          <c:val>
            <c:numRef>
              <c:f>'12-2012 lignin results'!$J$30</c:f>
              <c:numCache>
                <c:formatCode>0.00</c:formatCode>
                <c:ptCount val="1"/>
                <c:pt idx="0">
                  <c:v>0.73660000000000025</c:v>
                </c:pt>
              </c:numCache>
            </c:numRef>
          </c:val>
        </c:ser>
        <c:ser>
          <c:idx val="1"/>
          <c:order val="1"/>
          <c:tx>
            <c:v>Transgenic</c:v>
          </c:tx>
          <c:invertIfNegative val="0"/>
          <c:dLbls>
            <c:dLbl>
              <c:idx val="0"/>
              <c:layout>
                <c:manualLayout>
                  <c:x val="0"/>
                  <c:y val="4.0000000000000022E-2"/>
                </c:manualLayout>
              </c:layout>
              <c:tx>
                <c:rich>
                  <a:bodyPr/>
                  <a:lstStyle/>
                  <a:p>
                    <a:r>
                      <a:rPr lang="en-US" sz="900"/>
                      <a:t>*</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'12-2012 lignin results'!$K$34</c:f>
                <c:numCache>
                  <c:formatCode>General</c:formatCode>
                  <c:ptCount val="1"/>
                  <c:pt idx="0">
                    <c:v>6.2161081071680233E-3</c:v>
                  </c:pt>
                </c:numCache>
              </c:numRef>
            </c:plus>
            <c:minus>
              <c:numRef>
                <c:f>'12-2012 lignin results'!$K$34</c:f>
                <c:numCache>
                  <c:formatCode>General</c:formatCode>
                  <c:ptCount val="1"/>
                  <c:pt idx="0">
                    <c:v>6.2161081071680233E-3</c:v>
                  </c:pt>
                </c:numCache>
              </c:numRef>
            </c:minus>
          </c:errBars>
          <c:cat>
            <c:numRef>
              <c:f>'12-2012 lignin results'!$H$19</c:f>
              <c:numCache>
                <c:formatCode>General</c:formatCode>
                <c:ptCount val="1"/>
              </c:numCache>
            </c:numRef>
          </c:cat>
          <c:val>
            <c:numRef>
              <c:f>'12-2012 lignin results'!$K$30</c:f>
              <c:numCache>
                <c:formatCode>0.00</c:formatCode>
                <c:ptCount val="1"/>
                <c:pt idx="0">
                  <c:v>0.45220000000000005</c:v>
                </c:pt>
              </c:numCache>
            </c:numRef>
          </c:val>
        </c:ser>
        <c:ser>
          <c:idx val="2"/>
          <c:order val="2"/>
          <c:tx>
            <c:strRef>
              <c:f>'12-2012 lignin results'!$L$28</c:f>
              <c:strCache>
                <c:ptCount val="1"/>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'12-2012 lignin results'!$H$19</c:f>
              <c:numCache>
                <c:formatCode>General</c:formatCode>
                <c:ptCount val="1"/>
              </c:numCache>
            </c:numRef>
          </c:cat>
          <c:val>
            <c:numRef>
              <c:f>'12-2012 lignin results'!$L$30</c:f>
              <c:numCache>
                <c:formatCode>General</c:formatCode>
                <c:ptCount val="1"/>
              </c:numCache>
            </c:numRef>
          </c:val>
        </c:ser>
        <c:ser>
          <c:idx val="3"/>
          <c:order val="3"/>
          <c:tx>
            <c:strRef>
              <c:f>'12-2012 lignin results'!$M$28</c:f>
              <c:strCache>
                <c:ptCount val="1"/>
                <c:pt idx="0">
                  <c:v>T1-COMT3(-)</c:v>
                </c:pt>
              </c:strCache>
            </c:strRef>
          </c:tx>
          <c:invertIfNegative val="0"/>
          <c:dLbls>
            <c:delete val="1"/>
          </c:dLbls>
          <c:errBars>
            <c:errBarType val="both"/>
            <c:errValType val="cust"/>
            <c:noEndCap val="0"/>
            <c:plus>
              <c:numRef>
                <c:f>'12-2012 lignin results'!$K$35</c:f>
                <c:numCache>
                  <c:formatCode>General</c:formatCode>
                  <c:ptCount val="1"/>
                  <c:pt idx="0">
                    <c:v>1.8518639258865655E-2</c:v>
                  </c:pt>
                </c:numCache>
              </c:numRef>
            </c:plus>
            <c:minus>
              <c:numRef>
                <c:f>'12-2012 lignin results'!$K$35</c:f>
                <c:numCache>
                  <c:formatCode>General</c:formatCode>
                  <c:ptCount val="1"/>
                  <c:pt idx="0">
                    <c:v>1.8518639258865655E-2</c:v>
                  </c:pt>
                </c:numCache>
              </c:numRef>
            </c:minus>
          </c:errBars>
          <c:cat>
            <c:numRef>
              <c:f>'12-2012 lignin results'!$H$19</c:f>
              <c:numCache>
                <c:formatCode>General</c:formatCode>
                <c:ptCount val="1"/>
              </c:numCache>
            </c:numRef>
          </c:cat>
          <c:val>
            <c:numRef>
              <c:f>'12-2012 lignin results'!$M$30</c:f>
              <c:numCache>
                <c:formatCode>0.00</c:formatCode>
                <c:ptCount val="1"/>
                <c:pt idx="0">
                  <c:v>0.73380000000000023</c:v>
                </c:pt>
              </c:numCache>
            </c:numRef>
          </c:val>
        </c:ser>
        <c:ser>
          <c:idx val="4"/>
          <c:order val="4"/>
          <c:tx>
            <c:strRef>
              <c:f>'12-2012 lignin results'!$N$28</c:f>
              <c:strCache>
                <c:ptCount val="1"/>
                <c:pt idx="0">
                  <c:v>T1-COMT3(+)</c:v>
                </c:pt>
              </c:strCache>
            </c:strRef>
          </c:tx>
          <c:invertIfNegative val="0"/>
          <c:dLbls>
            <c:dLbl>
              <c:idx val="0"/>
              <c:layout>
                <c:manualLayout>
                  <c:x val="0"/>
                  <c:y val="3.333333333333334E-2"/>
                </c:manualLayout>
              </c:layout>
              <c:tx>
                <c:rich>
                  <a:bodyPr/>
                  <a:lstStyle/>
                  <a:p>
                    <a:r>
                      <a:rPr lang="en-US" sz="1050"/>
                      <a:t>*</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'12-2012 lignin results'!$K$36</c:f>
                <c:numCache>
                  <c:formatCode>General</c:formatCode>
                  <c:ptCount val="1"/>
                  <c:pt idx="0">
                    <c:v>5.2579041029249991E-3</c:v>
                  </c:pt>
                </c:numCache>
              </c:numRef>
            </c:plus>
            <c:minus>
              <c:numRef>
                <c:f>'12-2012 lignin results'!$K$36</c:f>
                <c:numCache>
                  <c:formatCode>General</c:formatCode>
                  <c:ptCount val="1"/>
                  <c:pt idx="0">
                    <c:v>5.2579041029249991E-3</c:v>
                  </c:pt>
                </c:numCache>
              </c:numRef>
            </c:minus>
          </c:errBars>
          <c:cat>
            <c:numRef>
              <c:f>'12-2012 lignin results'!$H$19</c:f>
              <c:numCache>
                <c:formatCode>General</c:formatCode>
                <c:ptCount val="1"/>
              </c:numCache>
            </c:numRef>
          </c:cat>
          <c:val>
            <c:numRef>
              <c:f>'12-2012 lignin results'!$N$30</c:f>
              <c:numCache>
                <c:formatCode>0.000</c:formatCode>
                <c:ptCount val="1"/>
                <c:pt idx="0">
                  <c:v>0.47460000000000002</c:v>
                </c:pt>
              </c:numCache>
            </c:numRef>
          </c:val>
        </c:ser>
        <c:dLbls>
          <c:showLegendKey val="0"/>
          <c:showVal val="1"/>
          <c:showCatName val="0"/>
          <c:showSerName val="0"/>
          <c:showPercent val="0"/>
          <c:showBubbleSize val="0"/>
        </c:dLbls>
        <c:gapWidth val="351"/>
        <c:axId val="562640072"/>
        <c:axId val="562639288"/>
      </c:barChart>
      <c:catAx>
        <c:axId val="562640072"/>
        <c:scaling>
          <c:orientation val="minMax"/>
        </c:scaling>
        <c:delete val="0"/>
        <c:axPos val="b"/>
        <c:numFmt formatCode="General" sourceLinked="1"/>
        <c:majorTickMark val="out"/>
        <c:minorTickMark val="none"/>
        <c:tickLblPos val="nextTo"/>
        <c:crossAx val="562639288"/>
        <c:crosses val="autoZero"/>
        <c:auto val="1"/>
        <c:lblAlgn val="ctr"/>
        <c:lblOffset val="100"/>
        <c:noMultiLvlLbl val="0"/>
      </c:catAx>
      <c:valAx>
        <c:axId val="562639288"/>
        <c:scaling>
          <c:orientation val="minMax"/>
        </c:scaling>
        <c:delete val="0"/>
        <c:axPos val="l"/>
        <c:title>
          <c:tx>
            <c:rich>
              <a:bodyPr rot="-5400000" vert="horz"/>
              <a:lstStyle/>
              <a:p>
                <a:pPr>
                  <a:defRPr b="0"/>
                </a:pPr>
                <a:r>
                  <a:rPr lang="en-US" b="0"/>
                  <a:t>S/G ratio</a:t>
                </a:r>
              </a:p>
            </c:rich>
          </c:tx>
          <c:layout>
            <c:manualLayout>
              <c:xMode val="edge"/>
              <c:yMode val="edge"/>
              <c:x val="1.5413597493861661E-3"/>
              <c:y val="0.36411758530184507"/>
            </c:manualLayout>
          </c:layout>
          <c:overlay val="0"/>
        </c:title>
        <c:numFmt formatCode="0.0" sourceLinked="0"/>
        <c:majorTickMark val="out"/>
        <c:minorTickMark val="none"/>
        <c:tickLblPos val="nextTo"/>
        <c:crossAx val="562640072"/>
        <c:crosses val="autoZero"/>
        <c:crossBetween val="between"/>
        <c:majorUnit val="0.2"/>
      </c:valAx>
    </c:plotArea>
    <c:legend>
      <c:legendPos val="r"/>
      <c:layout>
        <c:manualLayout>
          <c:xMode val="edge"/>
          <c:yMode val="edge"/>
          <c:x val="0.63927525188384815"/>
          <c:y val="8.096115485564305E-2"/>
          <c:w val="0.35478282956566687"/>
          <c:h val="0.16712020997375024"/>
        </c:manualLayout>
      </c:layout>
      <c:overlay val="0"/>
    </c:legend>
    <c:plotVisOnly val="1"/>
    <c:dispBlanksAs val="gap"/>
    <c:showDLblsOverMax val="0"/>
  </c:chart>
  <c:spPr>
    <a:ln>
      <a:noFill/>
    </a:ln>
  </c:spPr>
  <c:txPr>
    <a:bodyPr/>
    <a:lstStyle/>
    <a:p>
      <a:pPr>
        <a:defRPr sz="900">
          <a:latin typeface="Times New Roman" pitchFamily="18" charset="0"/>
          <a:cs typeface="Times New Roman" pitchFamily="18" charset="0"/>
        </a:defRPr>
      </a:pPr>
      <a:endParaRPr lang="en-US"/>
    </a:p>
  </c:txPr>
  <c:externalData r:id="rId2">
    <c:autoUpdate val="0"/>
  </c:externalData>
  <c:userShapes r:id="rId3"/>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a:lstStyle/>
          <a:p>
            <a:pPr>
              <a:defRPr sz="900" b="0"/>
            </a:pPr>
            <a:r>
              <a:rPr lang="en-US" sz="900" b="0"/>
              <a:t>(a)</a:t>
            </a:r>
          </a:p>
        </c:rich>
      </c:tx>
      <c:layout>
        <c:manualLayout>
          <c:xMode val="edge"/>
          <c:yMode val="edge"/>
          <c:x val="3.0126522646207687E-3"/>
          <c:y val="0"/>
        </c:manualLayout>
      </c:layout>
      <c:overlay val="0"/>
    </c:title>
    <c:autoTitleDeleted val="0"/>
    <c:plotArea>
      <c:layout>
        <c:manualLayout>
          <c:layoutTarget val="inner"/>
          <c:xMode val="edge"/>
          <c:yMode val="edge"/>
          <c:x val="0.20932394418748237"/>
          <c:y val="6.1700482345869702E-2"/>
          <c:w val="0.56196446598020544"/>
          <c:h val="0.86475357247012385"/>
        </c:manualLayout>
      </c:layout>
      <c:barChart>
        <c:barDir val="col"/>
        <c:grouping val="clustered"/>
        <c:varyColors val="0"/>
        <c:ser>
          <c:idx val="0"/>
          <c:order val="0"/>
          <c:tx>
            <c:v>Control</c:v>
          </c:tx>
          <c:invertIfNegative val="0"/>
          <c:dLbls>
            <c:delete val="1"/>
          </c:dLbls>
          <c:errBars>
            <c:errBarType val="both"/>
            <c:errValType val="cust"/>
            <c:noEndCap val="0"/>
            <c:plus>
              <c:numRef>
                <c:f>IoC!$B$3</c:f>
                <c:numCache>
                  <c:formatCode>General</c:formatCode>
                  <c:ptCount val="1"/>
                  <c:pt idx="0">
                    <c:v>4.0000000000000022E-2</c:v>
                  </c:pt>
                </c:numCache>
              </c:numRef>
            </c:plus>
            <c:minus>
              <c:numRef>
                <c:f>IoC!$B$3</c:f>
                <c:numCache>
                  <c:formatCode>General</c:formatCode>
                  <c:ptCount val="1"/>
                  <c:pt idx="0">
                    <c:v>4.0000000000000022E-2</c:v>
                  </c:pt>
                </c:numCache>
              </c:numRef>
            </c:minus>
          </c:errBars>
          <c:cat>
            <c:numRef>
              <c:f>IoC!$R$15</c:f>
              <c:numCache>
                <c:formatCode>General</c:formatCode>
                <c:ptCount val="1"/>
              </c:numCache>
            </c:numRef>
          </c:cat>
          <c:val>
            <c:numRef>
              <c:f>IoC!$B$2</c:f>
              <c:numCache>
                <c:formatCode>General</c:formatCode>
                <c:ptCount val="1"/>
                <c:pt idx="0">
                  <c:v>0.70000000000000029</c:v>
                </c:pt>
              </c:numCache>
            </c:numRef>
          </c:val>
        </c:ser>
        <c:ser>
          <c:idx val="1"/>
          <c:order val="1"/>
          <c:tx>
            <c:v>Transgenic</c:v>
          </c:tx>
          <c:invertIfNegative val="0"/>
          <c:dLbls>
            <c:delete val="1"/>
          </c:dLbls>
          <c:errBars>
            <c:errBarType val="both"/>
            <c:errValType val="cust"/>
            <c:noEndCap val="0"/>
            <c:plus>
              <c:numRef>
                <c:f>IoC!$C$3</c:f>
                <c:numCache>
                  <c:formatCode>General</c:formatCode>
                  <c:ptCount val="1"/>
                  <c:pt idx="0">
                    <c:v>0.05</c:v>
                  </c:pt>
                </c:numCache>
              </c:numRef>
            </c:plus>
            <c:minus>
              <c:numRef>
                <c:f>IoC!$C$3</c:f>
                <c:numCache>
                  <c:formatCode>General</c:formatCode>
                  <c:ptCount val="1"/>
                  <c:pt idx="0">
                    <c:v>0.05</c:v>
                  </c:pt>
                </c:numCache>
              </c:numRef>
            </c:minus>
          </c:errBars>
          <c:cat>
            <c:numRef>
              <c:f>IoC!$R$15</c:f>
              <c:numCache>
                <c:formatCode>General</c:formatCode>
                <c:ptCount val="1"/>
              </c:numCache>
            </c:numRef>
          </c:cat>
          <c:val>
            <c:numRef>
              <c:f>IoC!$C$2</c:f>
              <c:numCache>
                <c:formatCode>General</c:formatCode>
                <c:ptCount val="1"/>
                <c:pt idx="0">
                  <c:v>0.56999999999999995</c:v>
                </c:pt>
              </c:numCache>
            </c:numRef>
          </c:val>
        </c:ser>
        <c:ser>
          <c:idx val="2"/>
          <c:order val="2"/>
          <c:tx>
            <c:strRef>
              <c:f>IoC!$D$1</c:f>
              <c:strCache>
                <c:ptCount val="1"/>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IoC!$R$15</c:f>
              <c:numCache>
                <c:formatCode>General</c:formatCode>
                <c:ptCount val="1"/>
              </c:numCache>
            </c:numRef>
          </c:cat>
          <c:val>
            <c:numRef>
              <c:f>IoC!$D$2</c:f>
              <c:numCache>
                <c:formatCode>General</c:formatCode>
                <c:ptCount val="1"/>
              </c:numCache>
            </c:numRef>
          </c:val>
        </c:ser>
        <c:ser>
          <c:idx val="3"/>
          <c:order val="3"/>
          <c:tx>
            <c:strRef>
              <c:f>IoC!$E$1</c:f>
              <c:strCache>
                <c:ptCount val="1"/>
                <c:pt idx="0">
                  <c:v> COMT3 (-)</c:v>
                </c:pt>
              </c:strCache>
            </c:strRef>
          </c:tx>
          <c:invertIfNegative val="0"/>
          <c:dLbls>
            <c:delete val="1"/>
          </c:dLbls>
          <c:errBars>
            <c:errBarType val="both"/>
            <c:errValType val="cust"/>
            <c:noEndCap val="0"/>
            <c:plus>
              <c:numRef>
                <c:f>IoC!$E$3</c:f>
                <c:numCache>
                  <c:formatCode>General</c:formatCode>
                  <c:ptCount val="1"/>
                  <c:pt idx="0">
                    <c:v>0.05</c:v>
                  </c:pt>
                </c:numCache>
              </c:numRef>
            </c:plus>
            <c:minus>
              <c:numRef>
                <c:f>IoC!$E$3</c:f>
                <c:numCache>
                  <c:formatCode>General</c:formatCode>
                  <c:ptCount val="1"/>
                  <c:pt idx="0">
                    <c:v>0.05</c:v>
                  </c:pt>
                </c:numCache>
              </c:numRef>
            </c:minus>
          </c:errBars>
          <c:cat>
            <c:numRef>
              <c:f>IoC!$R$15</c:f>
              <c:numCache>
                <c:formatCode>General</c:formatCode>
                <c:ptCount val="1"/>
              </c:numCache>
            </c:numRef>
          </c:cat>
          <c:val>
            <c:numRef>
              <c:f>IoC!$E$2</c:f>
              <c:numCache>
                <c:formatCode>General</c:formatCode>
                <c:ptCount val="1"/>
                <c:pt idx="0">
                  <c:v>0.64000000000000035</c:v>
                </c:pt>
              </c:numCache>
            </c:numRef>
          </c:val>
        </c:ser>
        <c:ser>
          <c:idx val="4"/>
          <c:order val="4"/>
          <c:tx>
            <c:strRef>
              <c:f>IoC!$F$1</c:f>
              <c:strCache>
                <c:ptCount val="1"/>
                <c:pt idx="0">
                  <c:v>COMT3 (+)</c:v>
                </c:pt>
              </c:strCache>
            </c:strRef>
          </c:tx>
          <c:invertIfNegative val="0"/>
          <c:dLbls>
            <c:delete val="1"/>
          </c:dLbls>
          <c:errBars>
            <c:errBarType val="both"/>
            <c:errValType val="cust"/>
            <c:noEndCap val="0"/>
            <c:plus>
              <c:numRef>
                <c:f>IoC!$F$3</c:f>
                <c:numCache>
                  <c:formatCode>General</c:formatCode>
                  <c:ptCount val="1"/>
                  <c:pt idx="0">
                    <c:v>3.0000000000000002E-2</c:v>
                  </c:pt>
                </c:numCache>
              </c:numRef>
            </c:plus>
            <c:minus>
              <c:numRef>
                <c:f>IoC!$F$3</c:f>
                <c:numCache>
                  <c:formatCode>General</c:formatCode>
                  <c:ptCount val="1"/>
                  <c:pt idx="0">
                    <c:v>3.0000000000000002E-2</c:v>
                  </c:pt>
                </c:numCache>
              </c:numRef>
            </c:minus>
          </c:errBars>
          <c:cat>
            <c:numRef>
              <c:f>IoC!$R$15</c:f>
              <c:numCache>
                <c:formatCode>General</c:formatCode>
                <c:ptCount val="1"/>
              </c:numCache>
            </c:numRef>
          </c:cat>
          <c:val>
            <c:numRef>
              <c:f>IoC!$F$2</c:f>
              <c:numCache>
                <c:formatCode>General</c:formatCode>
                <c:ptCount val="1"/>
                <c:pt idx="0">
                  <c:v>0.56999999999999995</c:v>
                </c:pt>
              </c:numCache>
            </c:numRef>
          </c:val>
        </c:ser>
        <c:dLbls>
          <c:showLegendKey val="0"/>
          <c:showVal val="1"/>
          <c:showCatName val="0"/>
          <c:showSerName val="0"/>
          <c:showPercent val="0"/>
          <c:showBubbleSize val="0"/>
        </c:dLbls>
        <c:gapWidth val="150"/>
        <c:axId val="562642424"/>
        <c:axId val="562641640"/>
      </c:barChart>
      <c:catAx>
        <c:axId val="562642424"/>
        <c:scaling>
          <c:orientation val="minMax"/>
        </c:scaling>
        <c:delete val="0"/>
        <c:axPos val="b"/>
        <c:numFmt formatCode="General" sourceLinked="1"/>
        <c:majorTickMark val="out"/>
        <c:minorTickMark val="none"/>
        <c:tickLblPos val="nextTo"/>
        <c:crossAx val="562641640"/>
        <c:crosses val="autoZero"/>
        <c:auto val="1"/>
        <c:lblAlgn val="ctr"/>
        <c:lblOffset val="100"/>
        <c:noMultiLvlLbl val="0"/>
      </c:catAx>
      <c:valAx>
        <c:axId val="562641640"/>
        <c:scaling>
          <c:orientation val="minMax"/>
        </c:scaling>
        <c:delete val="0"/>
        <c:axPos val="l"/>
        <c:title>
          <c:tx>
            <c:rich>
              <a:bodyPr rot="-5400000" vert="horz"/>
              <a:lstStyle/>
              <a:p>
                <a:pPr>
                  <a:defRPr b="0"/>
                </a:pPr>
                <a:r>
                  <a:rPr lang="en-US" b="0"/>
                  <a:t>Index of Crystallinity via MIR</a:t>
                </a:r>
              </a:p>
              <a:p>
                <a:pPr>
                  <a:defRPr b="0"/>
                </a:pPr>
                <a:r>
                  <a:rPr lang="en-US" b="0"/>
                  <a:t>(1422/899 cm-1)</a:t>
                </a:r>
              </a:p>
            </c:rich>
          </c:tx>
          <c:overlay val="0"/>
        </c:title>
        <c:numFmt formatCode="General" sourceLinked="1"/>
        <c:majorTickMark val="out"/>
        <c:minorTickMark val="none"/>
        <c:tickLblPos val="nextTo"/>
        <c:crossAx val="562642424"/>
        <c:crosses val="autoZero"/>
        <c:crossBetween val="between"/>
      </c:valAx>
    </c:plotArea>
    <c:legend>
      <c:legendPos val="r"/>
      <c:layout>
        <c:manualLayout>
          <c:xMode val="edge"/>
          <c:yMode val="edge"/>
          <c:x val="0.67694360320346436"/>
          <c:y val="9.6262593655737153E-2"/>
          <c:w val="0.26792819166835474"/>
          <c:h val="0.12228966170895322"/>
        </c:manualLayout>
      </c:layout>
      <c:overlay val="0"/>
    </c:legend>
    <c:plotVisOnly val="1"/>
    <c:dispBlanksAs val="gap"/>
    <c:showDLblsOverMax val="0"/>
  </c:chart>
  <c:spPr>
    <a:ln>
      <a:noFill/>
    </a:ln>
  </c:spPr>
  <c:txPr>
    <a:bodyPr/>
    <a:lstStyle/>
    <a:p>
      <a:pPr>
        <a:defRPr sz="900">
          <a:latin typeface="Times New Roman" pitchFamily="18" charset="0"/>
          <a:cs typeface="Times New Roman" pitchFamily="18" charset="0"/>
        </a:defRPr>
      </a:pPr>
      <a:endParaRPr lang="en-US"/>
    </a:p>
  </c:txPr>
  <c:externalData r:id="rId2">
    <c:autoUpdate val="0"/>
  </c:externalData>
  <c:userShapes r:id="rId3"/>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a:lstStyle/>
          <a:p>
            <a:pPr>
              <a:defRPr sz="900" b="0"/>
            </a:pPr>
            <a:r>
              <a:rPr lang="en-US" sz="900" b="0"/>
              <a:t>(b)</a:t>
            </a:r>
          </a:p>
        </c:rich>
      </c:tx>
      <c:layout>
        <c:manualLayout>
          <c:xMode val="edge"/>
          <c:yMode val="edge"/>
          <c:x val="1.7198330977858485E-3"/>
          <c:y val="0"/>
        </c:manualLayout>
      </c:layout>
      <c:overlay val="0"/>
    </c:title>
    <c:autoTitleDeleted val="0"/>
    <c:plotArea>
      <c:layout>
        <c:manualLayout>
          <c:layoutTarget val="inner"/>
          <c:xMode val="edge"/>
          <c:yMode val="edge"/>
          <c:x val="0.20592267312740023"/>
          <c:y val="6.7087688875673124E-2"/>
          <c:w val="0.56257487044890064"/>
          <c:h val="0.84859192419564122"/>
        </c:manualLayout>
      </c:layout>
      <c:barChart>
        <c:barDir val="col"/>
        <c:grouping val="clustered"/>
        <c:varyColors val="0"/>
        <c:ser>
          <c:idx val="0"/>
          <c:order val="0"/>
          <c:tx>
            <c:v>Control</c:v>
          </c:tx>
          <c:invertIfNegative val="0"/>
          <c:dLbls>
            <c:delete val="1"/>
          </c:dLbls>
          <c:errBars>
            <c:errBarType val="both"/>
            <c:errValType val="cust"/>
            <c:noEndCap val="0"/>
            <c:plus>
              <c:numRef>
                <c:f>IoC!$B$8</c:f>
                <c:numCache>
                  <c:formatCode>General</c:formatCode>
                  <c:ptCount val="1"/>
                  <c:pt idx="0">
                    <c:v>2.0000000000000011E-2</c:v>
                  </c:pt>
                </c:numCache>
              </c:numRef>
            </c:plus>
            <c:minus>
              <c:numRef>
                <c:f>IoC!$B$8</c:f>
                <c:numCache>
                  <c:formatCode>General</c:formatCode>
                  <c:ptCount val="1"/>
                  <c:pt idx="0">
                    <c:v>2.0000000000000011E-2</c:v>
                  </c:pt>
                </c:numCache>
              </c:numRef>
            </c:minus>
          </c:errBars>
          <c:cat>
            <c:numRef>
              <c:f>IoC!$P$28</c:f>
              <c:numCache>
                <c:formatCode>General</c:formatCode>
                <c:ptCount val="1"/>
              </c:numCache>
            </c:numRef>
          </c:cat>
          <c:val>
            <c:numRef>
              <c:f>IoC!$B$7</c:f>
              <c:numCache>
                <c:formatCode>General</c:formatCode>
                <c:ptCount val="1"/>
                <c:pt idx="0">
                  <c:v>1.02</c:v>
                </c:pt>
              </c:numCache>
            </c:numRef>
          </c:val>
        </c:ser>
        <c:ser>
          <c:idx val="1"/>
          <c:order val="1"/>
          <c:tx>
            <c:v>Transgenic</c:v>
          </c:tx>
          <c:invertIfNegative val="0"/>
          <c:dLbls>
            <c:dLbl>
              <c:idx val="0"/>
              <c:layout>
                <c:manualLayout>
                  <c:x val="0"/>
                  <c:y val="2.2979617270790776E-2"/>
                </c:manualLayout>
              </c:layout>
              <c:tx>
                <c:rich>
                  <a:bodyPr/>
                  <a:lstStyle/>
                  <a:p>
                    <a:r>
                      <a:rPr lang="en-US" sz="1050"/>
                      <a:t>*</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IoC!$C$8</c:f>
                <c:numCache>
                  <c:formatCode>General</c:formatCode>
                  <c:ptCount val="1"/>
                  <c:pt idx="0">
                    <c:v>2.0000000000000011E-2</c:v>
                  </c:pt>
                </c:numCache>
              </c:numRef>
            </c:plus>
            <c:minus>
              <c:numRef>
                <c:f>IoC!$C$8</c:f>
                <c:numCache>
                  <c:formatCode>General</c:formatCode>
                  <c:ptCount val="1"/>
                  <c:pt idx="0">
                    <c:v>2.0000000000000011E-2</c:v>
                  </c:pt>
                </c:numCache>
              </c:numRef>
            </c:minus>
          </c:errBars>
          <c:cat>
            <c:numRef>
              <c:f>IoC!$P$28</c:f>
              <c:numCache>
                <c:formatCode>General</c:formatCode>
                <c:ptCount val="1"/>
              </c:numCache>
            </c:numRef>
          </c:cat>
          <c:val>
            <c:numRef>
              <c:f>IoC!$C$7</c:f>
              <c:numCache>
                <c:formatCode>General</c:formatCode>
                <c:ptCount val="1"/>
                <c:pt idx="0">
                  <c:v>0.83000000000000029</c:v>
                </c:pt>
              </c:numCache>
            </c:numRef>
          </c:val>
        </c:ser>
        <c:ser>
          <c:idx val="2"/>
          <c:order val="2"/>
          <c:tx>
            <c:strRef>
              <c:f>IoC!$D$6</c:f>
              <c:strCache>
                <c:ptCount val="1"/>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IoC!$P$28</c:f>
              <c:numCache>
                <c:formatCode>General</c:formatCode>
                <c:ptCount val="1"/>
              </c:numCache>
            </c:numRef>
          </c:cat>
          <c:val>
            <c:numRef>
              <c:f>IoC!$D$7</c:f>
              <c:numCache>
                <c:formatCode>General</c:formatCode>
                <c:ptCount val="1"/>
              </c:numCache>
            </c:numRef>
          </c:val>
        </c:ser>
        <c:ser>
          <c:idx val="3"/>
          <c:order val="3"/>
          <c:tx>
            <c:strRef>
              <c:f>IoC!$E$6</c:f>
              <c:strCache>
                <c:ptCount val="1"/>
                <c:pt idx="0">
                  <c:v> COMT3 (-)</c:v>
                </c:pt>
              </c:strCache>
            </c:strRef>
          </c:tx>
          <c:invertIfNegative val="0"/>
          <c:dLbls>
            <c:delete val="1"/>
          </c:dLbls>
          <c:errBars>
            <c:errBarType val="both"/>
            <c:errValType val="cust"/>
            <c:noEndCap val="0"/>
            <c:plus>
              <c:numRef>
                <c:f>IoC!$E$8</c:f>
                <c:numCache>
                  <c:formatCode>General</c:formatCode>
                  <c:ptCount val="1"/>
                  <c:pt idx="0">
                    <c:v>2.0000000000000011E-2</c:v>
                  </c:pt>
                </c:numCache>
              </c:numRef>
            </c:plus>
            <c:minus>
              <c:numRef>
                <c:f>IoC!$E$8</c:f>
                <c:numCache>
                  <c:formatCode>General</c:formatCode>
                  <c:ptCount val="1"/>
                  <c:pt idx="0">
                    <c:v>2.0000000000000011E-2</c:v>
                  </c:pt>
                </c:numCache>
              </c:numRef>
            </c:minus>
          </c:errBars>
          <c:cat>
            <c:numRef>
              <c:f>IoC!$P$28</c:f>
              <c:numCache>
                <c:formatCode>General</c:formatCode>
                <c:ptCount val="1"/>
              </c:numCache>
            </c:numRef>
          </c:cat>
          <c:val>
            <c:numRef>
              <c:f>IoC!$E$7</c:f>
              <c:numCache>
                <c:formatCode>General</c:formatCode>
                <c:ptCount val="1"/>
                <c:pt idx="0">
                  <c:v>1</c:v>
                </c:pt>
              </c:numCache>
            </c:numRef>
          </c:val>
        </c:ser>
        <c:ser>
          <c:idx val="4"/>
          <c:order val="4"/>
          <c:tx>
            <c:strRef>
              <c:f>IoC!$F$6</c:f>
              <c:strCache>
                <c:ptCount val="1"/>
                <c:pt idx="0">
                  <c:v>COMT3 (+)</c:v>
                </c:pt>
              </c:strCache>
            </c:strRef>
          </c:tx>
          <c:invertIfNegative val="0"/>
          <c:dLbls>
            <c:dLbl>
              <c:idx val="0"/>
              <c:layout>
                <c:manualLayout>
                  <c:x val="0"/>
                  <c:y val="1.5320027640187556E-2"/>
                </c:manualLayout>
              </c:layout>
              <c:tx>
                <c:rich>
                  <a:bodyPr/>
                  <a:lstStyle/>
                  <a:p>
                    <a:r>
                      <a:rPr lang="en-US" sz="1050"/>
                      <a:t>*</a:t>
                    </a:r>
                    <a:endParaRPr lang="en-US"/>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IoC!$F$8</c:f>
                <c:numCache>
                  <c:formatCode>General</c:formatCode>
                  <c:ptCount val="1"/>
                  <c:pt idx="0">
                    <c:v>3.0000000000000002E-2</c:v>
                  </c:pt>
                </c:numCache>
              </c:numRef>
            </c:plus>
            <c:minus>
              <c:numRef>
                <c:f>IoC!$F$8</c:f>
                <c:numCache>
                  <c:formatCode>General</c:formatCode>
                  <c:ptCount val="1"/>
                  <c:pt idx="0">
                    <c:v>3.0000000000000002E-2</c:v>
                  </c:pt>
                </c:numCache>
              </c:numRef>
            </c:minus>
          </c:errBars>
          <c:cat>
            <c:numRef>
              <c:f>IoC!$P$28</c:f>
              <c:numCache>
                <c:formatCode>General</c:formatCode>
                <c:ptCount val="1"/>
              </c:numCache>
            </c:numRef>
          </c:cat>
          <c:val>
            <c:numRef>
              <c:f>IoC!$F$7</c:f>
              <c:numCache>
                <c:formatCode>General</c:formatCode>
                <c:ptCount val="1"/>
                <c:pt idx="0">
                  <c:v>0.8400000000000003</c:v>
                </c:pt>
              </c:numCache>
            </c:numRef>
          </c:val>
        </c:ser>
        <c:dLbls>
          <c:showLegendKey val="0"/>
          <c:showVal val="1"/>
          <c:showCatName val="0"/>
          <c:showSerName val="0"/>
          <c:showPercent val="0"/>
          <c:showBubbleSize val="0"/>
        </c:dLbls>
        <c:gapWidth val="150"/>
        <c:axId val="562640856"/>
        <c:axId val="562642032"/>
      </c:barChart>
      <c:catAx>
        <c:axId val="562640856"/>
        <c:scaling>
          <c:orientation val="minMax"/>
        </c:scaling>
        <c:delete val="0"/>
        <c:axPos val="b"/>
        <c:numFmt formatCode="General" sourceLinked="1"/>
        <c:majorTickMark val="out"/>
        <c:minorTickMark val="none"/>
        <c:tickLblPos val="nextTo"/>
        <c:crossAx val="562642032"/>
        <c:crosses val="autoZero"/>
        <c:auto val="1"/>
        <c:lblAlgn val="ctr"/>
        <c:lblOffset val="100"/>
        <c:noMultiLvlLbl val="0"/>
      </c:catAx>
      <c:valAx>
        <c:axId val="562642032"/>
        <c:scaling>
          <c:orientation val="minMax"/>
        </c:scaling>
        <c:delete val="0"/>
        <c:axPos val="l"/>
        <c:title>
          <c:tx>
            <c:rich>
              <a:bodyPr rot="-5400000" vert="horz"/>
              <a:lstStyle/>
              <a:p>
                <a:pPr>
                  <a:defRPr b="0"/>
                </a:pPr>
                <a:r>
                  <a:rPr lang="en-US" b="0"/>
                  <a:t>Index of Crystallinity via MIR</a:t>
                </a:r>
              </a:p>
              <a:p>
                <a:pPr>
                  <a:defRPr b="0"/>
                </a:pPr>
                <a:r>
                  <a:rPr lang="en-US" b="0"/>
                  <a:t>(1422/899 cm-1)</a:t>
                </a:r>
              </a:p>
            </c:rich>
          </c:tx>
          <c:overlay val="0"/>
        </c:title>
        <c:numFmt formatCode="General" sourceLinked="1"/>
        <c:majorTickMark val="out"/>
        <c:minorTickMark val="none"/>
        <c:tickLblPos val="nextTo"/>
        <c:crossAx val="562640856"/>
        <c:crosses val="autoZero"/>
        <c:crossBetween val="between"/>
      </c:valAx>
    </c:plotArea>
    <c:legend>
      <c:legendPos val="r"/>
      <c:layout>
        <c:manualLayout>
          <c:xMode val="edge"/>
          <c:yMode val="edge"/>
          <c:x val="0.68549061175045423"/>
          <c:y val="9.6262593655737153E-2"/>
          <c:w val="0.26792819166835474"/>
          <c:h val="0.12228966170895322"/>
        </c:manualLayout>
      </c:layout>
      <c:overlay val="0"/>
    </c:legend>
    <c:plotVisOnly val="1"/>
    <c:dispBlanksAs val="gap"/>
    <c:showDLblsOverMax val="0"/>
  </c:chart>
  <c:spPr>
    <a:ln>
      <a:noFill/>
    </a:ln>
  </c:spPr>
  <c:txPr>
    <a:bodyPr/>
    <a:lstStyle/>
    <a:p>
      <a:pPr>
        <a:defRPr sz="900">
          <a:latin typeface="Times New Roman" pitchFamily="18" charset="0"/>
          <a:cs typeface="Times New Roman" pitchFamily="18" charset="0"/>
        </a:defRPr>
      </a:pPr>
      <a:endParaRPr lang="en-US"/>
    </a:p>
  </c:txPr>
  <c:externalData r:id="rId2">
    <c:autoUpdate val="0"/>
  </c:externalData>
  <c:userShapes r:id="rId3"/>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00" b="0"/>
            </a:pPr>
            <a:r>
              <a:rPr lang="en-US" sz="900" b="0"/>
              <a:t>(a)</a:t>
            </a:r>
          </a:p>
        </c:rich>
      </c:tx>
      <c:layout>
        <c:manualLayout>
          <c:xMode val="edge"/>
          <c:yMode val="edge"/>
          <c:x val="3.1754983329786478E-3"/>
          <c:y val="0"/>
        </c:manualLayout>
      </c:layout>
      <c:overlay val="0"/>
    </c:title>
    <c:autoTitleDeleted val="0"/>
    <c:plotArea>
      <c:layout>
        <c:manualLayout>
          <c:layoutTarget val="inner"/>
          <c:xMode val="edge"/>
          <c:yMode val="edge"/>
          <c:x val="0.21446726253813025"/>
          <c:y val="0.12541065179352578"/>
          <c:w val="0.69979357310065982"/>
          <c:h val="0.63937548247646392"/>
        </c:manualLayout>
      </c:layout>
      <c:scatterChart>
        <c:scatterStyle val="lineMarker"/>
        <c:varyColors val="0"/>
        <c:ser>
          <c:idx val="0"/>
          <c:order val="0"/>
          <c:tx>
            <c:v>Transgenic</c:v>
          </c:tx>
          <c:spPr>
            <a:ln w="9525">
              <a:solidFill>
                <a:prstClr val="black"/>
              </a:solidFill>
            </a:ln>
          </c:spPr>
          <c:marker>
            <c:symbol val="square"/>
            <c:size val="3"/>
            <c:spPr>
              <a:solidFill>
                <a:schemeClr val="tx1"/>
              </a:solidFill>
              <a:ln w="9525">
                <a:solidFill>
                  <a:schemeClr val="tx1"/>
                </a:solidFill>
              </a:ln>
            </c:spPr>
          </c:marker>
          <c:errBars>
            <c:errDir val="y"/>
            <c:errBarType val="both"/>
            <c:errValType val="cust"/>
            <c:noEndCap val="0"/>
            <c:plus>
              <c:numRef>
                <c:f>'Averaged weight loss'!$K$44:$K$53</c:f>
                <c:numCache>
                  <c:formatCode>General</c:formatCode>
                  <c:ptCount val="10"/>
                  <c:pt idx="0">
                    <c:v>0</c:v>
                  </c:pt>
                  <c:pt idx="1">
                    <c:v>3.4084861416434687E-3</c:v>
                  </c:pt>
                  <c:pt idx="2">
                    <c:v>4.523273151160659E-3</c:v>
                  </c:pt>
                  <c:pt idx="3">
                    <c:v>5.3474812347086139E-3</c:v>
                  </c:pt>
                  <c:pt idx="4">
                    <c:v>5.9829387056488693E-3</c:v>
                  </c:pt>
                  <c:pt idx="5">
                    <c:v>6.1349635514617064E-3</c:v>
                  </c:pt>
                  <c:pt idx="6">
                    <c:v>6.4803977930012295E-3</c:v>
                  </c:pt>
                  <c:pt idx="7">
                    <c:v>6.6828137786401403E-3</c:v>
                  </c:pt>
                  <c:pt idx="8">
                    <c:v>6.9526973183066465E-3</c:v>
                  </c:pt>
                  <c:pt idx="9">
                    <c:v>7.0218705959773104E-3</c:v>
                  </c:pt>
                </c:numCache>
              </c:numRef>
            </c:plus>
            <c:minus>
              <c:numRef>
                <c:f>'Averaged weight loss'!$K$44:$K$53</c:f>
                <c:numCache>
                  <c:formatCode>General</c:formatCode>
                  <c:ptCount val="10"/>
                  <c:pt idx="0">
                    <c:v>0</c:v>
                  </c:pt>
                  <c:pt idx="1">
                    <c:v>3.4084861416434687E-3</c:v>
                  </c:pt>
                  <c:pt idx="2">
                    <c:v>4.523273151160659E-3</c:v>
                  </c:pt>
                  <c:pt idx="3">
                    <c:v>5.3474812347086139E-3</c:v>
                  </c:pt>
                  <c:pt idx="4">
                    <c:v>5.9829387056488693E-3</c:v>
                  </c:pt>
                  <c:pt idx="5">
                    <c:v>6.1349635514617064E-3</c:v>
                  </c:pt>
                  <c:pt idx="6">
                    <c:v>6.4803977930012295E-3</c:v>
                  </c:pt>
                  <c:pt idx="7">
                    <c:v>6.6828137786401403E-3</c:v>
                  </c:pt>
                  <c:pt idx="8">
                    <c:v>6.9526973183066465E-3</c:v>
                  </c:pt>
                  <c:pt idx="9">
                    <c:v>7.0218705959773104E-3</c:v>
                  </c:pt>
                </c:numCache>
              </c:numRef>
            </c:minus>
            <c:spPr>
              <a:ln w="6350"/>
            </c:spPr>
          </c:errBars>
          <c:errBars>
            <c:errDir val="x"/>
            <c:errBarType val="both"/>
            <c:errValType val="fixedVal"/>
            <c:noEndCap val="0"/>
            <c:val val="1"/>
          </c:errBars>
          <c:xVal>
            <c:numRef>
              <c:f>'Averaged weight loss'!$B$44:$B$53</c:f>
              <c:numCache>
                <c:formatCode>0</c:formatCode>
                <c:ptCount val="10"/>
                <c:pt idx="0">
                  <c:v>0</c:v>
                </c:pt>
                <c:pt idx="1">
                  <c:v>12</c:v>
                </c:pt>
                <c:pt idx="2">
                  <c:v>24.016666666546371</c:v>
                </c:pt>
                <c:pt idx="3">
                  <c:v>48</c:v>
                </c:pt>
                <c:pt idx="4">
                  <c:v>72.016666666546399</c:v>
                </c:pt>
                <c:pt idx="5">
                  <c:v>144.01666666654626</c:v>
                </c:pt>
                <c:pt idx="6">
                  <c:v>216.01666666654626</c:v>
                </c:pt>
                <c:pt idx="7">
                  <c:v>288.01666666654637</c:v>
                </c:pt>
                <c:pt idx="8">
                  <c:v>360.03333333309263</c:v>
                </c:pt>
                <c:pt idx="9">
                  <c:v>432.03333333309263</c:v>
                </c:pt>
              </c:numCache>
            </c:numRef>
          </c:xVal>
          <c:yVal>
            <c:numRef>
              <c:f>'Averaged weight loss'!$C$44:$C$53</c:f>
              <c:numCache>
                <c:formatCode>0.000</c:formatCode>
                <c:ptCount val="10"/>
                <c:pt idx="0">
                  <c:v>0</c:v>
                </c:pt>
                <c:pt idx="1">
                  <c:v>4.7466666666664062E-2</c:v>
                </c:pt>
                <c:pt idx="2">
                  <c:v>5.860000000000317E-2</c:v>
                </c:pt>
                <c:pt idx="3">
                  <c:v>6.7133333333335585E-2</c:v>
                </c:pt>
                <c:pt idx="4">
                  <c:v>7.0466666666663999E-2</c:v>
                </c:pt>
                <c:pt idx="5">
                  <c:v>7.7599999999999184E-2</c:v>
                </c:pt>
                <c:pt idx="6">
                  <c:v>8.0200000000007779E-2</c:v>
                </c:pt>
                <c:pt idx="7">
                  <c:v>8.2400000000010687E-2</c:v>
                </c:pt>
                <c:pt idx="8">
                  <c:v>8.3200000000006991E-2</c:v>
                </c:pt>
                <c:pt idx="9">
                  <c:v>8.3200000000008836E-2</c:v>
                </c:pt>
              </c:numCache>
            </c:numRef>
          </c:yVal>
          <c:smooth val="0"/>
        </c:ser>
        <c:ser>
          <c:idx val="1"/>
          <c:order val="1"/>
          <c:tx>
            <c:v>Control</c:v>
          </c:tx>
          <c:spPr>
            <a:ln w="9525">
              <a:solidFill>
                <a:schemeClr val="tx1">
                  <a:lumMod val="65000"/>
                  <a:lumOff val="35000"/>
                </a:schemeClr>
              </a:solidFill>
              <a:prstDash val="sysDash"/>
            </a:ln>
          </c:spPr>
          <c:marker>
            <c:symbol val="diamond"/>
            <c:size val="3"/>
            <c:spPr>
              <a:solidFill>
                <a:schemeClr val="tx1">
                  <a:lumMod val="65000"/>
                  <a:lumOff val="35000"/>
                </a:schemeClr>
              </a:solidFill>
              <a:ln w="9525">
                <a:solidFill>
                  <a:schemeClr val="tx1"/>
                </a:solidFill>
              </a:ln>
            </c:spPr>
          </c:marker>
          <c:errBars>
            <c:errDir val="y"/>
            <c:errBarType val="both"/>
            <c:errValType val="cust"/>
            <c:noEndCap val="0"/>
            <c:plus>
              <c:numRef>
                <c:f>'Averaged weight loss'!$L$44:$L$53</c:f>
                <c:numCache>
                  <c:formatCode>General</c:formatCode>
                  <c:ptCount val="10"/>
                  <c:pt idx="0">
                    <c:v>0</c:v>
                  </c:pt>
                  <c:pt idx="1">
                    <c:v>1.1990737165777567E-3</c:v>
                  </c:pt>
                  <c:pt idx="2">
                    <c:v>1.8577166390802923E-3</c:v>
                  </c:pt>
                  <c:pt idx="3">
                    <c:v>1.8299969641788203E-3</c:v>
                  </c:pt>
                  <c:pt idx="4">
                    <c:v>1.5311578770464637E-3</c:v>
                  </c:pt>
                  <c:pt idx="5">
                    <c:v>2.5383721818026716E-3</c:v>
                  </c:pt>
                  <c:pt idx="6">
                    <c:v>2.5677486896794328E-3</c:v>
                  </c:pt>
                  <c:pt idx="7">
                    <c:v>2.996108587264879E-3</c:v>
                  </c:pt>
                  <c:pt idx="8">
                    <c:v>2.9450523481480734E-3</c:v>
                  </c:pt>
                  <c:pt idx="9">
                    <c:v>2.8875210436953027E-3</c:v>
                  </c:pt>
                </c:numCache>
              </c:numRef>
            </c:plus>
            <c:minus>
              <c:numRef>
                <c:f>'Averaged weight loss'!$L$44:$L$53</c:f>
                <c:numCache>
                  <c:formatCode>General</c:formatCode>
                  <c:ptCount val="10"/>
                  <c:pt idx="0">
                    <c:v>0</c:v>
                  </c:pt>
                  <c:pt idx="1">
                    <c:v>1.1990737165777567E-3</c:v>
                  </c:pt>
                  <c:pt idx="2">
                    <c:v>1.8577166390802923E-3</c:v>
                  </c:pt>
                  <c:pt idx="3">
                    <c:v>1.8299969641788203E-3</c:v>
                  </c:pt>
                  <c:pt idx="4">
                    <c:v>1.5311578770464637E-3</c:v>
                  </c:pt>
                  <c:pt idx="5">
                    <c:v>2.5383721818026716E-3</c:v>
                  </c:pt>
                  <c:pt idx="6">
                    <c:v>2.5677486896794328E-3</c:v>
                  </c:pt>
                  <c:pt idx="7">
                    <c:v>2.996108587264879E-3</c:v>
                  </c:pt>
                  <c:pt idx="8">
                    <c:v>2.9450523481480734E-3</c:v>
                  </c:pt>
                  <c:pt idx="9">
                    <c:v>2.8875210436953027E-3</c:v>
                  </c:pt>
                </c:numCache>
              </c:numRef>
            </c:minus>
            <c:spPr>
              <a:ln w="6350"/>
            </c:spPr>
          </c:errBars>
          <c:errBars>
            <c:errDir val="x"/>
            <c:errBarType val="both"/>
            <c:errValType val="fixedVal"/>
            <c:noEndCap val="0"/>
            <c:val val="1"/>
          </c:errBars>
          <c:xVal>
            <c:numRef>
              <c:f>'Averaged weight loss'!$B$44:$B$53</c:f>
              <c:numCache>
                <c:formatCode>0</c:formatCode>
                <c:ptCount val="10"/>
                <c:pt idx="0">
                  <c:v>0</c:v>
                </c:pt>
                <c:pt idx="1">
                  <c:v>12</c:v>
                </c:pt>
                <c:pt idx="2">
                  <c:v>24.016666666546371</c:v>
                </c:pt>
                <c:pt idx="3">
                  <c:v>48</c:v>
                </c:pt>
                <c:pt idx="4">
                  <c:v>72.016666666546399</c:v>
                </c:pt>
                <c:pt idx="5">
                  <c:v>144.01666666654626</c:v>
                </c:pt>
                <c:pt idx="6">
                  <c:v>216.01666666654626</c:v>
                </c:pt>
                <c:pt idx="7">
                  <c:v>288.01666666654637</c:v>
                </c:pt>
                <c:pt idx="8">
                  <c:v>360.03333333309263</c:v>
                </c:pt>
                <c:pt idx="9">
                  <c:v>432.03333333309263</c:v>
                </c:pt>
              </c:numCache>
            </c:numRef>
          </c:xVal>
          <c:yVal>
            <c:numRef>
              <c:f>'Averaged weight loss'!$D$44:$D$53</c:f>
              <c:numCache>
                <c:formatCode>0.000</c:formatCode>
                <c:ptCount val="10"/>
                <c:pt idx="0">
                  <c:v>0</c:v>
                </c:pt>
                <c:pt idx="1">
                  <c:v>4.3733333333328087E-2</c:v>
                </c:pt>
                <c:pt idx="2">
                  <c:v>5.4799999999994534E-2</c:v>
                </c:pt>
                <c:pt idx="3">
                  <c:v>6.1766666666659392E-2</c:v>
                </c:pt>
                <c:pt idx="4">
                  <c:v>6.4999999999993049E-2</c:v>
                </c:pt>
                <c:pt idx="5">
                  <c:v>7.1099999999996555E-2</c:v>
                </c:pt>
                <c:pt idx="6">
                  <c:v>7.5400000000001924E-2</c:v>
                </c:pt>
                <c:pt idx="7">
                  <c:v>7.6766666666675101E-2</c:v>
                </c:pt>
                <c:pt idx="8">
                  <c:v>7.8200000000003919E-2</c:v>
                </c:pt>
                <c:pt idx="9">
                  <c:v>7.806666666666992E-2</c:v>
                </c:pt>
              </c:numCache>
            </c:numRef>
          </c:yVal>
          <c:smooth val="0"/>
        </c:ser>
        <c:dLbls>
          <c:showLegendKey val="0"/>
          <c:showVal val="0"/>
          <c:showCatName val="0"/>
          <c:showSerName val="0"/>
          <c:showPercent val="0"/>
          <c:showBubbleSize val="0"/>
        </c:dLbls>
        <c:axId val="570216768"/>
        <c:axId val="570223040"/>
      </c:scatterChart>
      <c:valAx>
        <c:axId val="570216768"/>
        <c:scaling>
          <c:orientation val="minMax"/>
          <c:max val="450"/>
          <c:min val="0"/>
        </c:scaling>
        <c:delete val="0"/>
        <c:axPos val="b"/>
        <c:title>
          <c:tx>
            <c:rich>
              <a:bodyPr/>
              <a:lstStyle/>
              <a:p>
                <a:pPr>
                  <a:defRPr b="0"/>
                </a:pPr>
                <a:r>
                  <a:rPr lang="en-US" b="0"/>
                  <a:t>Time (hours)</a:t>
                </a:r>
              </a:p>
            </c:rich>
          </c:tx>
          <c:layout>
            <c:manualLayout>
              <c:xMode val="edge"/>
              <c:yMode val="edge"/>
              <c:x val="0.43917592031766023"/>
              <c:y val="0.87050889472149362"/>
            </c:manualLayout>
          </c:layout>
          <c:overlay val="0"/>
        </c:title>
        <c:numFmt formatCode="0" sourceLinked="1"/>
        <c:majorTickMark val="out"/>
        <c:minorTickMark val="none"/>
        <c:tickLblPos val="nextTo"/>
        <c:txPr>
          <a:bodyPr/>
          <a:lstStyle/>
          <a:p>
            <a:pPr>
              <a:defRPr sz="800"/>
            </a:pPr>
            <a:endParaRPr lang="en-US"/>
          </a:p>
        </c:txPr>
        <c:crossAx val="570223040"/>
        <c:crosses val="autoZero"/>
        <c:crossBetween val="midCat"/>
      </c:valAx>
      <c:valAx>
        <c:axId val="570223040"/>
        <c:scaling>
          <c:orientation val="minMax"/>
          <c:max val="0.12000000000000002"/>
          <c:min val="0"/>
        </c:scaling>
        <c:delete val="0"/>
        <c:axPos val="l"/>
        <c:title>
          <c:tx>
            <c:rich>
              <a:bodyPr rot="-5400000" vert="horz"/>
              <a:lstStyle/>
              <a:p>
                <a:pPr>
                  <a:defRPr b="0"/>
                </a:pPr>
                <a:r>
                  <a:rPr lang="en-US" b="0"/>
                  <a:t>COMT2 weight loss</a:t>
                </a:r>
              </a:p>
              <a:p>
                <a:pPr>
                  <a:defRPr b="0"/>
                </a:pPr>
                <a:r>
                  <a:rPr lang="en-US" b="0"/>
                  <a:t>(g/g biomass)</a:t>
                </a:r>
              </a:p>
            </c:rich>
          </c:tx>
          <c:layout>
            <c:manualLayout>
              <c:xMode val="edge"/>
              <c:yMode val="edge"/>
              <c:x val="0"/>
              <c:y val="0.22742097455209487"/>
            </c:manualLayout>
          </c:layout>
          <c:overlay val="0"/>
        </c:title>
        <c:numFmt formatCode="0.00" sourceLinked="0"/>
        <c:majorTickMark val="out"/>
        <c:minorTickMark val="none"/>
        <c:tickLblPos val="nextTo"/>
        <c:txPr>
          <a:bodyPr/>
          <a:lstStyle/>
          <a:p>
            <a:pPr>
              <a:defRPr sz="800"/>
            </a:pPr>
            <a:endParaRPr lang="en-US"/>
          </a:p>
        </c:txPr>
        <c:crossAx val="570216768"/>
        <c:crosses val="autoZero"/>
        <c:crossBetween val="midCat"/>
        <c:majorUnit val="4.0000000000000022E-2"/>
      </c:valAx>
    </c:plotArea>
    <c:legend>
      <c:legendPos val="r"/>
      <c:layout>
        <c:manualLayout>
          <c:xMode val="edge"/>
          <c:yMode val="edge"/>
          <c:x val="0.63817618951477262"/>
          <c:y val="0.54807378244386162"/>
          <c:w val="0.32255534634257682"/>
          <c:h val="0.14901004222298375"/>
        </c:manualLayout>
      </c:layout>
      <c:overlay val="0"/>
      <c:txPr>
        <a:bodyPr/>
        <a:lstStyle/>
        <a:p>
          <a:pPr>
            <a:defRPr sz="800"/>
          </a:pPr>
          <a:endParaRPr lang="en-US"/>
        </a:p>
      </c:txPr>
    </c:legend>
    <c:plotVisOnly val="1"/>
    <c:dispBlanksAs val="gap"/>
    <c:showDLblsOverMax val="0"/>
  </c:chart>
  <c:spPr>
    <a:ln>
      <a:noFill/>
    </a:ln>
  </c:spPr>
  <c:txPr>
    <a:bodyPr/>
    <a:lstStyle/>
    <a:p>
      <a:pPr>
        <a:defRPr sz="900">
          <a:latin typeface="Times New Roman" pitchFamily="18" charset="0"/>
          <a:cs typeface="Times New Roman" pitchFamily="18" charset="0"/>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00" b="0"/>
            </a:pPr>
            <a:r>
              <a:rPr lang="en-US" sz="900" b="0"/>
              <a:t>(b)</a:t>
            </a:r>
          </a:p>
        </c:rich>
      </c:tx>
      <c:layout>
        <c:manualLayout>
          <c:xMode val="edge"/>
          <c:yMode val="edge"/>
          <c:x val="1.8127970490175167E-3"/>
          <c:y val="0"/>
        </c:manualLayout>
      </c:layout>
      <c:overlay val="0"/>
    </c:title>
    <c:autoTitleDeleted val="0"/>
    <c:plotArea>
      <c:layout>
        <c:manualLayout>
          <c:layoutTarget val="inner"/>
          <c:xMode val="edge"/>
          <c:yMode val="edge"/>
          <c:x val="0.21826984464779881"/>
          <c:y val="0.12364555993000879"/>
          <c:w val="0.69447471093140389"/>
          <c:h val="0.65768518518519414"/>
        </c:manualLayout>
      </c:layout>
      <c:scatterChart>
        <c:scatterStyle val="lineMarker"/>
        <c:varyColors val="0"/>
        <c:ser>
          <c:idx val="1"/>
          <c:order val="0"/>
          <c:tx>
            <c:v>Transgenic</c:v>
          </c:tx>
          <c:spPr>
            <a:ln w="9525">
              <a:solidFill>
                <a:schemeClr val="tx1"/>
              </a:solidFill>
            </a:ln>
          </c:spPr>
          <c:marker>
            <c:symbol val="square"/>
            <c:size val="3"/>
            <c:spPr>
              <a:solidFill>
                <a:schemeClr val="tx1"/>
              </a:solidFill>
              <a:ln>
                <a:noFill/>
              </a:ln>
            </c:spPr>
          </c:marker>
          <c:errBars>
            <c:errDir val="y"/>
            <c:errBarType val="both"/>
            <c:errValType val="cust"/>
            <c:noEndCap val="0"/>
            <c:plus>
              <c:numRef>
                <c:f>'Averaged weight loss'!$K$15:$K$25</c:f>
                <c:numCache>
                  <c:formatCode>General</c:formatCode>
                  <c:ptCount val="11"/>
                  <c:pt idx="0">
                    <c:v>0</c:v>
                  </c:pt>
                  <c:pt idx="1">
                    <c:v>0</c:v>
                  </c:pt>
                  <c:pt idx="2">
                    <c:v>2.9888682361961932E-3</c:v>
                  </c:pt>
                  <c:pt idx="3">
                    <c:v>3.3476359818041626E-3</c:v>
                  </c:pt>
                  <c:pt idx="4">
                    <c:v>3.7750643850282717E-3</c:v>
                  </c:pt>
                  <c:pt idx="5">
                    <c:v>3.626446071720925E-3</c:v>
                  </c:pt>
                  <c:pt idx="6">
                    <c:v>3.388542787425829E-3</c:v>
                  </c:pt>
                  <c:pt idx="7">
                    <c:v>3.6757463338928128E-3</c:v>
                  </c:pt>
                  <c:pt idx="8">
                    <c:v>3.900712185684278E-3</c:v>
                  </c:pt>
                  <c:pt idx="9">
                    <c:v>3.6402075642905899E-3</c:v>
                  </c:pt>
                  <c:pt idx="10">
                    <c:v>3.5238867430414564E-3</c:v>
                  </c:pt>
                </c:numCache>
              </c:numRef>
            </c:plus>
            <c:minus>
              <c:numRef>
                <c:f>'Averaged weight loss'!$K$15:$K$25</c:f>
                <c:numCache>
                  <c:formatCode>General</c:formatCode>
                  <c:ptCount val="11"/>
                  <c:pt idx="0">
                    <c:v>0</c:v>
                  </c:pt>
                  <c:pt idx="1">
                    <c:v>0</c:v>
                  </c:pt>
                  <c:pt idx="2">
                    <c:v>2.9888682361961932E-3</c:v>
                  </c:pt>
                  <c:pt idx="3">
                    <c:v>3.3476359818041626E-3</c:v>
                  </c:pt>
                  <c:pt idx="4">
                    <c:v>3.7750643850282717E-3</c:v>
                  </c:pt>
                  <c:pt idx="5">
                    <c:v>3.626446071720925E-3</c:v>
                  </c:pt>
                  <c:pt idx="6">
                    <c:v>3.388542787425829E-3</c:v>
                  </c:pt>
                  <c:pt idx="7">
                    <c:v>3.6757463338928128E-3</c:v>
                  </c:pt>
                  <c:pt idx="8">
                    <c:v>3.900712185684278E-3</c:v>
                  </c:pt>
                  <c:pt idx="9">
                    <c:v>3.6402075642905899E-3</c:v>
                  </c:pt>
                  <c:pt idx="10">
                    <c:v>3.5238867430414564E-3</c:v>
                  </c:pt>
                </c:numCache>
              </c:numRef>
            </c:minus>
          </c:errBars>
          <c:errBars>
            <c:errDir val="x"/>
            <c:errBarType val="both"/>
            <c:errValType val="fixedVal"/>
            <c:noEndCap val="0"/>
            <c:val val="1"/>
          </c:errBars>
          <c:xVal>
            <c:numRef>
              <c:f>'Averaged weight loss'!$B$16:$B$25</c:f>
              <c:numCache>
                <c:formatCode>0</c:formatCode>
                <c:ptCount val="10"/>
                <c:pt idx="0">
                  <c:v>0</c:v>
                </c:pt>
                <c:pt idx="1">
                  <c:v>12</c:v>
                </c:pt>
                <c:pt idx="2">
                  <c:v>24.016666666546371</c:v>
                </c:pt>
                <c:pt idx="3">
                  <c:v>48</c:v>
                </c:pt>
                <c:pt idx="4">
                  <c:v>72.016666666546399</c:v>
                </c:pt>
                <c:pt idx="5">
                  <c:v>144.01666666654626</c:v>
                </c:pt>
                <c:pt idx="6">
                  <c:v>216.01666666654626</c:v>
                </c:pt>
                <c:pt idx="7">
                  <c:v>288.01666666654637</c:v>
                </c:pt>
                <c:pt idx="8">
                  <c:v>360.03333333309263</c:v>
                </c:pt>
                <c:pt idx="9">
                  <c:v>432.03333333309263</c:v>
                </c:pt>
              </c:numCache>
            </c:numRef>
          </c:xVal>
          <c:yVal>
            <c:numRef>
              <c:f>'Averaged weight loss'!$C$16:$C$25</c:f>
              <c:numCache>
                <c:formatCode>0.000</c:formatCode>
                <c:ptCount val="10"/>
                <c:pt idx="0">
                  <c:v>0</c:v>
                </c:pt>
                <c:pt idx="1">
                  <c:v>4.7333333333328217E-2</c:v>
                </c:pt>
                <c:pt idx="2">
                  <c:v>6.0466666666659813E-2</c:v>
                </c:pt>
                <c:pt idx="3">
                  <c:v>6.9533333333328118E-2</c:v>
                </c:pt>
                <c:pt idx="4">
                  <c:v>7.4799999999992442E-2</c:v>
                </c:pt>
                <c:pt idx="5">
                  <c:v>8.1733333333327593E-2</c:v>
                </c:pt>
                <c:pt idx="6">
                  <c:v>8.5333333333337216E-2</c:v>
                </c:pt>
                <c:pt idx="7">
                  <c:v>8.6400000000005153E-2</c:v>
                </c:pt>
                <c:pt idx="8">
                  <c:v>8.8133333333335451E-2</c:v>
                </c:pt>
                <c:pt idx="9">
                  <c:v>8.786666666666941E-2</c:v>
                </c:pt>
              </c:numCache>
            </c:numRef>
          </c:yVal>
          <c:smooth val="0"/>
        </c:ser>
        <c:ser>
          <c:idx val="0"/>
          <c:order val="1"/>
          <c:tx>
            <c:v>Control</c:v>
          </c:tx>
          <c:spPr>
            <a:ln w="9525">
              <a:solidFill>
                <a:schemeClr val="tx1">
                  <a:lumMod val="65000"/>
                  <a:lumOff val="35000"/>
                </a:schemeClr>
              </a:solidFill>
              <a:prstDash val="sysDash"/>
            </a:ln>
          </c:spPr>
          <c:marker>
            <c:symbol val="diamond"/>
            <c:size val="3"/>
            <c:spPr>
              <a:solidFill>
                <a:schemeClr val="tx1">
                  <a:lumMod val="65000"/>
                  <a:lumOff val="35000"/>
                </a:schemeClr>
              </a:solidFill>
              <a:ln>
                <a:noFill/>
              </a:ln>
            </c:spPr>
          </c:marker>
          <c:errBars>
            <c:errDir val="y"/>
            <c:errBarType val="both"/>
            <c:errValType val="cust"/>
            <c:noEndCap val="0"/>
            <c:plus>
              <c:numRef>
                <c:f>'Averaged weight loss'!$L$15:$L$25</c:f>
                <c:numCache>
                  <c:formatCode>General</c:formatCode>
                  <c:ptCount val="11"/>
                  <c:pt idx="0">
                    <c:v>0</c:v>
                  </c:pt>
                  <c:pt idx="1">
                    <c:v>0</c:v>
                  </c:pt>
                  <c:pt idx="2">
                    <c:v>2.7860764925315643E-3</c:v>
                  </c:pt>
                  <c:pt idx="3">
                    <c:v>3.1162655713399311E-3</c:v>
                  </c:pt>
                  <c:pt idx="4">
                    <c:v>3.101254226564328E-3</c:v>
                  </c:pt>
                  <c:pt idx="5">
                    <c:v>3.582984479142464E-3</c:v>
                  </c:pt>
                  <c:pt idx="6">
                    <c:v>3.679673898596835E-3</c:v>
                  </c:pt>
                  <c:pt idx="7">
                    <c:v>3.6432586146663884E-3</c:v>
                  </c:pt>
                  <c:pt idx="8">
                    <c:v>3.2819370973745667E-3</c:v>
                  </c:pt>
                  <c:pt idx="9">
                    <c:v>3.4759491109946222E-3</c:v>
                  </c:pt>
                  <c:pt idx="10">
                    <c:v>3.6599939283524854E-3</c:v>
                  </c:pt>
                </c:numCache>
              </c:numRef>
            </c:plus>
            <c:minus>
              <c:numRef>
                <c:f>'Averaged weight loss'!$L$15:$L$25</c:f>
                <c:numCache>
                  <c:formatCode>General</c:formatCode>
                  <c:ptCount val="11"/>
                  <c:pt idx="0">
                    <c:v>0</c:v>
                  </c:pt>
                  <c:pt idx="1">
                    <c:v>0</c:v>
                  </c:pt>
                  <c:pt idx="2">
                    <c:v>2.7860764925315643E-3</c:v>
                  </c:pt>
                  <c:pt idx="3">
                    <c:v>3.1162655713399311E-3</c:v>
                  </c:pt>
                  <c:pt idx="4">
                    <c:v>3.101254226564328E-3</c:v>
                  </c:pt>
                  <c:pt idx="5">
                    <c:v>3.582984479142464E-3</c:v>
                  </c:pt>
                  <c:pt idx="6">
                    <c:v>3.679673898596835E-3</c:v>
                  </c:pt>
                  <c:pt idx="7">
                    <c:v>3.6432586146663884E-3</c:v>
                  </c:pt>
                  <c:pt idx="8">
                    <c:v>3.2819370973745667E-3</c:v>
                  </c:pt>
                  <c:pt idx="9">
                    <c:v>3.4759491109946222E-3</c:v>
                  </c:pt>
                  <c:pt idx="10">
                    <c:v>3.6599939283524854E-3</c:v>
                  </c:pt>
                </c:numCache>
              </c:numRef>
            </c:minus>
          </c:errBars>
          <c:errBars>
            <c:errDir val="x"/>
            <c:errBarType val="both"/>
            <c:errValType val="fixedVal"/>
            <c:noEndCap val="0"/>
            <c:val val="1"/>
          </c:errBars>
          <c:xVal>
            <c:numRef>
              <c:f>'Averaged weight loss'!$B$16:$B$25</c:f>
              <c:numCache>
                <c:formatCode>0</c:formatCode>
                <c:ptCount val="10"/>
                <c:pt idx="0">
                  <c:v>0</c:v>
                </c:pt>
                <c:pt idx="1">
                  <c:v>12</c:v>
                </c:pt>
                <c:pt idx="2">
                  <c:v>24.016666666546371</c:v>
                </c:pt>
                <c:pt idx="3">
                  <c:v>48</c:v>
                </c:pt>
                <c:pt idx="4">
                  <c:v>72.016666666546399</c:v>
                </c:pt>
                <c:pt idx="5">
                  <c:v>144.01666666654626</c:v>
                </c:pt>
                <c:pt idx="6">
                  <c:v>216.01666666654626</c:v>
                </c:pt>
                <c:pt idx="7">
                  <c:v>288.01666666654637</c:v>
                </c:pt>
                <c:pt idx="8">
                  <c:v>360.03333333309263</c:v>
                </c:pt>
                <c:pt idx="9">
                  <c:v>432.03333333309263</c:v>
                </c:pt>
              </c:numCache>
            </c:numRef>
          </c:xVal>
          <c:yVal>
            <c:numRef>
              <c:f>'Averaged weight loss'!$D$16:$D$25</c:f>
              <c:numCache>
                <c:formatCode>0.000</c:formatCode>
                <c:ptCount val="10"/>
                <c:pt idx="0">
                  <c:v>0</c:v>
                </c:pt>
                <c:pt idx="1">
                  <c:v>3.9866666666658071E-2</c:v>
                </c:pt>
                <c:pt idx="2">
                  <c:v>4.9333333333324507E-2</c:v>
                </c:pt>
                <c:pt idx="3">
                  <c:v>5.6199999999993623E-2</c:v>
                </c:pt>
                <c:pt idx="4">
                  <c:v>6.0599999999989974E-2</c:v>
                </c:pt>
                <c:pt idx="5">
                  <c:v>6.6133333333328922E-2</c:v>
                </c:pt>
                <c:pt idx="6">
                  <c:v>6.8866666666665799E-2</c:v>
                </c:pt>
                <c:pt idx="7">
                  <c:v>6.9600000000002632E-2</c:v>
                </c:pt>
                <c:pt idx="8">
                  <c:v>7.1399999999997993E-2</c:v>
                </c:pt>
                <c:pt idx="9">
                  <c:v>7.1800000000001793E-2</c:v>
                </c:pt>
              </c:numCache>
            </c:numRef>
          </c:yVal>
          <c:smooth val="0"/>
        </c:ser>
        <c:dLbls>
          <c:showLegendKey val="0"/>
          <c:showVal val="0"/>
          <c:showCatName val="0"/>
          <c:showSerName val="0"/>
          <c:showPercent val="0"/>
          <c:showBubbleSize val="0"/>
        </c:dLbls>
        <c:axId val="570219120"/>
        <c:axId val="570220688"/>
      </c:scatterChart>
      <c:valAx>
        <c:axId val="570219120"/>
        <c:scaling>
          <c:orientation val="minMax"/>
          <c:max val="450"/>
          <c:min val="0"/>
        </c:scaling>
        <c:delete val="0"/>
        <c:axPos val="b"/>
        <c:title>
          <c:tx>
            <c:rich>
              <a:bodyPr/>
              <a:lstStyle/>
              <a:p>
                <a:pPr>
                  <a:defRPr b="0"/>
                </a:pPr>
                <a:r>
                  <a:rPr lang="en-US" b="0"/>
                  <a:t>Time (hours)</a:t>
                </a:r>
              </a:p>
            </c:rich>
          </c:tx>
          <c:layout>
            <c:manualLayout>
              <c:xMode val="edge"/>
              <c:yMode val="edge"/>
              <c:x val="0.4380666099170068"/>
              <c:y val="0.89949446536574229"/>
            </c:manualLayout>
          </c:layout>
          <c:overlay val="0"/>
        </c:title>
        <c:numFmt formatCode="0" sourceLinked="1"/>
        <c:majorTickMark val="out"/>
        <c:minorTickMark val="none"/>
        <c:tickLblPos val="nextTo"/>
        <c:txPr>
          <a:bodyPr/>
          <a:lstStyle/>
          <a:p>
            <a:pPr>
              <a:defRPr sz="800"/>
            </a:pPr>
            <a:endParaRPr lang="en-US"/>
          </a:p>
        </c:txPr>
        <c:crossAx val="570220688"/>
        <c:crosses val="autoZero"/>
        <c:crossBetween val="midCat"/>
      </c:valAx>
      <c:valAx>
        <c:axId val="570220688"/>
        <c:scaling>
          <c:orientation val="minMax"/>
          <c:max val="0.12000000000000002"/>
          <c:min val="0"/>
        </c:scaling>
        <c:delete val="0"/>
        <c:axPos val="l"/>
        <c:title>
          <c:tx>
            <c:rich>
              <a:bodyPr rot="-5400000" vert="horz"/>
              <a:lstStyle/>
              <a:p>
                <a:pPr>
                  <a:defRPr b="0"/>
                </a:pPr>
                <a:r>
                  <a:rPr lang="en-US" b="0"/>
                  <a:t>COMT3 weight loss</a:t>
                </a:r>
              </a:p>
              <a:p>
                <a:pPr>
                  <a:defRPr b="0"/>
                </a:pPr>
                <a:r>
                  <a:rPr lang="en-US" b="0"/>
                  <a:t>(g/g biomass)</a:t>
                </a:r>
              </a:p>
            </c:rich>
          </c:tx>
          <c:layout>
            <c:manualLayout>
              <c:xMode val="edge"/>
              <c:yMode val="edge"/>
              <c:x val="0"/>
              <c:y val="0.19989282589676291"/>
            </c:manualLayout>
          </c:layout>
          <c:overlay val="0"/>
        </c:title>
        <c:numFmt formatCode="0.00" sourceLinked="0"/>
        <c:majorTickMark val="out"/>
        <c:minorTickMark val="none"/>
        <c:tickLblPos val="nextTo"/>
        <c:txPr>
          <a:bodyPr/>
          <a:lstStyle/>
          <a:p>
            <a:pPr>
              <a:defRPr sz="800"/>
            </a:pPr>
            <a:endParaRPr lang="en-US"/>
          </a:p>
        </c:txPr>
        <c:crossAx val="570219120"/>
        <c:crosses val="autoZero"/>
        <c:crossBetween val="midCat"/>
        <c:majorUnit val="4.0000000000000022E-2"/>
      </c:valAx>
    </c:plotArea>
    <c:legend>
      <c:legendPos val="r"/>
      <c:layout>
        <c:manualLayout>
          <c:xMode val="edge"/>
          <c:yMode val="edge"/>
          <c:x val="0.61650449943757824"/>
          <c:y val="0.57508186476690359"/>
          <c:w val="0.34558056601620912"/>
          <c:h val="0.15328026931416194"/>
        </c:manualLayout>
      </c:layout>
      <c:overlay val="0"/>
      <c:txPr>
        <a:bodyPr/>
        <a:lstStyle/>
        <a:p>
          <a:pPr>
            <a:defRPr sz="800"/>
          </a:pPr>
          <a:endParaRPr lang="en-US"/>
        </a:p>
      </c:txPr>
    </c:legend>
    <c:plotVisOnly val="1"/>
    <c:dispBlanksAs val="gap"/>
    <c:showDLblsOverMax val="0"/>
  </c:chart>
  <c:spPr>
    <a:ln>
      <a:noFill/>
    </a:ln>
  </c:spPr>
  <c:txPr>
    <a:bodyPr/>
    <a:lstStyle/>
    <a:p>
      <a:pPr>
        <a:defRPr sz="900">
          <a:latin typeface="Times New Roman" pitchFamily="18" charset="0"/>
          <a:cs typeface="Times New Roman" pitchFamily="18" charset="0"/>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a:lstStyle/>
          <a:p>
            <a:pPr>
              <a:defRPr sz="900" b="0"/>
            </a:pPr>
            <a:r>
              <a:rPr lang="en-US" sz="900" b="0"/>
              <a:t>(c)</a:t>
            </a:r>
          </a:p>
        </c:rich>
      </c:tx>
      <c:layout>
        <c:manualLayout>
          <c:xMode val="edge"/>
          <c:yMode val="edge"/>
          <c:x val="3.3695112435275088E-5"/>
          <c:y val="0"/>
        </c:manualLayout>
      </c:layout>
      <c:overlay val="0"/>
    </c:title>
    <c:autoTitleDeleted val="0"/>
    <c:plotArea>
      <c:layout>
        <c:manualLayout>
          <c:layoutTarget val="inner"/>
          <c:xMode val="edge"/>
          <c:yMode val="edge"/>
          <c:x val="0.18851954316521508"/>
          <c:y val="0.10633167564580746"/>
          <c:w val="0.59530290132651675"/>
          <c:h val="0.81626985771515403"/>
        </c:manualLayout>
      </c:layout>
      <c:barChart>
        <c:barDir val="col"/>
        <c:grouping val="clustered"/>
        <c:varyColors val="0"/>
        <c:ser>
          <c:idx val="0"/>
          <c:order val="0"/>
          <c:tx>
            <c:v>Control</c:v>
          </c:tx>
          <c:invertIfNegative val="0"/>
          <c:dLbls>
            <c:delete val="1"/>
          </c:dLbls>
          <c:errBars>
            <c:errBarType val="both"/>
            <c:errValType val="cust"/>
            <c:noEndCap val="0"/>
            <c:plus>
              <c:numRef>
                <c:f>'EtOH yield'!$D$40</c:f>
                <c:numCache>
                  <c:formatCode>General</c:formatCode>
                  <c:ptCount val="1"/>
                  <c:pt idx="0">
                    <c:v>5.0653043967618556</c:v>
                  </c:pt>
                </c:numCache>
              </c:numRef>
            </c:plus>
            <c:minus>
              <c:numRef>
                <c:f>'EtOH yield'!$D$40</c:f>
                <c:numCache>
                  <c:formatCode>General</c:formatCode>
                  <c:ptCount val="1"/>
                  <c:pt idx="0">
                    <c:v>5.0653043967618556</c:v>
                  </c:pt>
                </c:numCache>
              </c:numRef>
            </c:minus>
            <c:spPr>
              <a:ln w="6350"/>
            </c:spPr>
          </c:errBars>
          <c:cat>
            <c:numRef>
              <c:f>'EtOH yield'!$P$24</c:f>
              <c:numCache>
                <c:formatCode>General</c:formatCode>
                <c:ptCount val="1"/>
              </c:numCache>
            </c:numRef>
          </c:cat>
          <c:val>
            <c:numRef>
              <c:f>'EtOH yield'!$B$40</c:f>
              <c:numCache>
                <c:formatCode>0.00</c:formatCode>
                <c:ptCount val="1"/>
                <c:pt idx="0">
                  <c:v>143.06724187471258</c:v>
                </c:pt>
              </c:numCache>
            </c:numRef>
          </c:val>
        </c:ser>
        <c:ser>
          <c:idx val="1"/>
          <c:order val="1"/>
          <c:tx>
            <c:v>Transgenic</c:v>
          </c:tx>
          <c:invertIfNegative val="0"/>
          <c:dLbls>
            <c:delete val="1"/>
          </c:dLbls>
          <c:errBars>
            <c:errBarType val="both"/>
            <c:errValType val="cust"/>
            <c:noEndCap val="0"/>
            <c:plus>
              <c:numRef>
                <c:f>'EtOH yield'!$D$41</c:f>
                <c:numCache>
                  <c:formatCode>General</c:formatCode>
                  <c:ptCount val="1"/>
                  <c:pt idx="0">
                    <c:v>10.887101821267162</c:v>
                  </c:pt>
                </c:numCache>
              </c:numRef>
            </c:plus>
            <c:minus>
              <c:numRef>
                <c:f>'EtOH yield'!$D$41</c:f>
                <c:numCache>
                  <c:formatCode>General</c:formatCode>
                  <c:ptCount val="1"/>
                  <c:pt idx="0">
                    <c:v>10.887101821267162</c:v>
                  </c:pt>
                </c:numCache>
              </c:numRef>
            </c:minus>
            <c:spPr>
              <a:ln w="6350"/>
            </c:spPr>
          </c:errBars>
          <c:cat>
            <c:numRef>
              <c:f>'EtOH yield'!$P$24</c:f>
              <c:numCache>
                <c:formatCode>General</c:formatCode>
                <c:ptCount val="1"/>
              </c:numCache>
            </c:numRef>
          </c:cat>
          <c:val>
            <c:numRef>
              <c:f>'EtOH yield'!$B$41</c:f>
              <c:numCache>
                <c:formatCode>0.00</c:formatCode>
                <c:ptCount val="1"/>
                <c:pt idx="0">
                  <c:v>151.26900025571118</c:v>
                </c:pt>
              </c:numCache>
            </c:numRef>
          </c:val>
        </c:ser>
        <c:ser>
          <c:idx val="2"/>
          <c:order val="2"/>
          <c:tx>
            <c:strRef>
              <c:f>'EtOH yield'!$A$42</c:f>
              <c:strCache>
                <c:ptCount val="1"/>
              </c:strCache>
            </c:strRef>
          </c:tx>
          <c:spPr>
            <a:no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'EtOH yield'!$P$24</c:f>
              <c:numCache>
                <c:formatCode>General</c:formatCode>
                <c:ptCount val="1"/>
              </c:numCache>
            </c:numRef>
          </c:cat>
          <c:val>
            <c:numRef>
              <c:f>'EtOH yield'!$B$42</c:f>
              <c:numCache>
                <c:formatCode>General</c:formatCode>
                <c:ptCount val="1"/>
              </c:numCache>
            </c:numRef>
          </c:val>
        </c:ser>
        <c:ser>
          <c:idx val="3"/>
          <c:order val="3"/>
          <c:tx>
            <c:strRef>
              <c:f>'EtOH yield'!$A$43</c:f>
              <c:strCache>
                <c:ptCount val="1"/>
                <c:pt idx="0">
                  <c:v>T1-COMT3(-)</c:v>
                </c:pt>
              </c:strCache>
            </c:strRef>
          </c:tx>
          <c:invertIfNegative val="0"/>
          <c:dLbls>
            <c:delete val="1"/>
          </c:dLbls>
          <c:errBars>
            <c:errBarType val="both"/>
            <c:errValType val="cust"/>
            <c:noEndCap val="0"/>
            <c:plus>
              <c:numRef>
                <c:f>'EtOH yield'!$D$43</c:f>
                <c:numCache>
                  <c:formatCode>General</c:formatCode>
                  <c:ptCount val="1"/>
                  <c:pt idx="0">
                    <c:v>5.5290928240043709</c:v>
                  </c:pt>
                </c:numCache>
              </c:numRef>
            </c:plus>
            <c:minus>
              <c:numRef>
                <c:f>'EtOH yield'!$D$43</c:f>
                <c:numCache>
                  <c:formatCode>General</c:formatCode>
                  <c:ptCount val="1"/>
                  <c:pt idx="0">
                    <c:v>5.5290928240043709</c:v>
                  </c:pt>
                </c:numCache>
              </c:numRef>
            </c:minus>
            <c:spPr>
              <a:ln w="6350"/>
            </c:spPr>
          </c:errBars>
          <c:cat>
            <c:numRef>
              <c:f>'EtOH yield'!$P$24</c:f>
              <c:numCache>
                <c:formatCode>General</c:formatCode>
                <c:ptCount val="1"/>
              </c:numCache>
            </c:numRef>
          </c:cat>
          <c:val>
            <c:numRef>
              <c:f>'EtOH yield'!$B$43</c:f>
              <c:numCache>
                <c:formatCode>0.00</c:formatCode>
                <c:ptCount val="1"/>
                <c:pt idx="0">
                  <c:v>133.57191534604704</c:v>
                </c:pt>
              </c:numCache>
            </c:numRef>
          </c:val>
        </c:ser>
        <c:ser>
          <c:idx val="4"/>
          <c:order val="4"/>
          <c:tx>
            <c:strRef>
              <c:f>'EtOH yield'!$A$44</c:f>
              <c:strCache>
                <c:ptCount val="1"/>
                <c:pt idx="0">
                  <c:v>T1-COMT3(+)</c:v>
                </c:pt>
              </c:strCache>
            </c:strRef>
          </c:tx>
          <c:invertIfNegative val="0"/>
          <c:dLbls>
            <c:dLbl>
              <c:idx val="0"/>
              <c:layout>
                <c:manualLayout>
                  <c:x val="-1.282051282051282E-2"/>
                  <c:y val="4.3859649122807015E-3"/>
                </c:manualLayout>
              </c:layout>
              <c:tx>
                <c:rich>
                  <a:bodyPr/>
                  <a:lstStyle/>
                  <a:p>
                    <a:r>
                      <a:rPr lang="en-US" sz="1100" dirty="0" smtClean="0"/>
                      <a:t>  *</a:t>
                    </a:r>
                    <a:endParaRPr lang="en-US" dirty="0"/>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'EtOH yield'!$D$44</c:f>
                <c:numCache>
                  <c:formatCode>General</c:formatCode>
                  <c:ptCount val="1"/>
                  <c:pt idx="0">
                    <c:v>5.0420226677621196</c:v>
                  </c:pt>
                </c:numCache>
              </c:numRef>
            </c:plus>
            <c:minus>
              <c:numRef>
                <c:f>'EtOH yield'!$D$44</c:f>
                <c:numCache>
                  <c:formatCode>General</c:formatCode>
                  <c:ptCount val="1"/>
                  <c:pt idx="0">
                    <c:v>5.0420226677621196</c:v>
                  </c:pt>
                </c:numCache>
              </c:numRef>
            </c:minus>
            <c:spPr>
              <a:ln w="6350"/>
            </c:spPr>
          </c:errBars>
          <c:cat>
            <c:numRef>
              <c:f>'EtOH yield'!$P$24</c:f>
              <c:numCache>
                <c:formatCode>General</c:formatCode>
                <c:ptCount val="1"/>
              </c:numCache>
            </c:numRef>
          </c:cat>
          <c:val>
            <c:numRef>
              <c:f>'EtOH yield'!$B$44</c:f>
              <c:numCache>
                <c:formatCode>0.00</c:formatCode>
                <c:ptCount val="1"/>
                <c:pt idx="0">
                  <c:v>160.53710957345081</c:v>
                </c:pt>
              </c:numCache>
            </c:numRef>
          </c:val>
        </c:ser>
        <c:dLbls>
          <c:showLegendKey val="0"/>
          <c:showVal val="1"/>
          <c:showCatName val="0"/>
          <c:showSerName val="0"/>
          <c:showPercent val="0"/>
          <c:showBubbleSize val="0"/>
        </c:dLbls>
        <c:gapWidth val="150"/>
        <c:axId val="570218336"/>
        <c:axId val="570217552"/>
      </c:barChart>
      <c:catAx>
        <c:axId val="570218336"/>
        <c:scaling>
          <c:orientation val="minMax"/>
        </c:scaling>
        <c:delete val="0"/>
        <c:axPos val="b"/>
        <c:numFmt formatCode="General" sourceLinked="1"/>
        <c:majorTickMark val="out"/>
        <c:minorTickMark val="none"/>
        <c:tickLblPos val="nextTo"/>
        <c:crossAx val="570217552"/>
        <c:crosses val="autoZero"/>
        <c:auto val="1"/>
        <c:lblAlgn val="ctr"/>
        <c:lblOffset val="100"/>
        <c:noMultiLvlLbl val="0"/>
      </c:catAx>
      <c:valAx>
        <c:axId val="570217552"/>
        <c:scaling>
          <c:orientation val="minMax"/>
          <c:max val="200"/>
        </c:scaling>
        <c:delete val="0"/>
        <c:axPos val="l"/>
        <c:title>
          <c:tx>
            <c:rich>
              <a:bodyPr rot="-5400000" vert="horz"/>
              <a:lstStyle/>
              <a:p>
                <a:pPr>
                  <a:defRPr b="0"/>
                </a:pPr>
                <a:r>
                  <a:rPr lang="en-US" b="0"/>
                  <a:t>Ethanol yield (mg/g biomass)</a:t>
                </a:r>
              </a:p>
            </c:rich>
          </c:tx>
          <c:overlay val="0"/>
        </c:title>
        <c:numFmt formatCode="0" sourceLinked="0"/>
        <c:majorTickMark val="out"/>
        <c:minorTickMark val="none"/>
        <c:tickLblPos val="nextTo"/>
        <c:txPr>
          <a:bodyPr/>
          <a:lstStyle/>
          <a:p>
            <a:pPr>
              <a:defRPr sz="800"/>
            </a:pPr>
            <a:endParaRPr lang="en-US"/>
          </a:p>
        </c:txPr>
        <c:crossAx val="570218336"/>
        <c:crosses val="autoZero"/>
        <c:crossBetween val="between"/>
        <c:majorUnit val="40"/>
      </c:valAx>
    </c:plotArea>
    <c:legend>
      <c:legendPos val="r"/>
      <c:layout>
        <c:manualLayout>
          <c:xMode val="edge"/>
          <c:yMode val="edge"/>
          <c:x val="0.71886748953678092"/>
          <c:y val="4.3572255673923095E-2"/>
          <c:w val="0.27461410229126781"/>
          <c:h val="0.15075034738304771"/>
        </c:manualLayout>
      </c:layout>
      <c:overlay val="0"/>
      <c:txPr>
        <a:bodyPr/>
        <a:lstStyle/>
        <a:p>
          <a:pPr>
            <a:defRPr sz="800"/>
          </a:pPr>
          <a:endParaRPr lang="en-US"/>
        </a:p>
      </c:txPr>
    </c:legend>
    <c:plotVisOnly val="1"/>
    <c:dispBlanksAs val="gap"/>
    <c:showDLblsOverMax val="0"/>
  </c:chart>
  <c:spPr>
    <a:ln>
      <a:noFill/>
    </a:ln>
  </c:spPr>
  <c:txPr>
    <a:bodyPr/>
    <a:lstStyle/>
    <a:p>
      <a:pPr>
        <a:defRPr sz="900">
          <a:latin typeface="Times New Roman" pitchFamily="18" charset="0"/>
          <a:cs typeface="Times New Roman" pitchFamily="18" charset="0"/>
        </a:defRPr>
      </a:pPr>
      <a:endParaRPr lang="en-US"/>
    </a:p>
  </c:txPr>
  <c:externalData r:id="rId2">
    <c:autoUpdate val="0"/>
  </c:externalData>
  <c:userShapes r:id="rId3"/>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00" b="0"/>
            </a:pPr>
            <a:r>
              <a:rPr lang="en-US" sz="900" b="0"/>
              <a:t>(a)</a:t>
            </a:r>
          </a:p>
        </c:rich>
      </c:tx>
      <c:layout>
        <c:manualLayout>
          <c:xMode val="edge"/>
          <c:yMode val="edge"/>
          <c:x val="3.1754983329786478E-3"/>
          <c:y val="0"/>
        </c:manualLayout>
      </c:layout>
      <c:overlay val="0"/>
    </c:title>
    <c:autoTitleDeleted val="0"/>
    <c:plotArea>
      <c:layout>
        <c:manualLayout>
          <c:layoutTarget val="inner"/>
          <c:xMode val="edge"/>
          <c:yMode val="edge"/>
          <c:x val="0.2051658904426874"/>
          <c:y val="0.16963539883601544"/>
          <c:w val="0.71084930855629747"/>
          <c:h val="0.60991441287230463"/>
        </c:manualLayout>
      </c:layout>
      <c:scatterChart>
        <c:scatterStyle val="lineMarker"/>
        <c:varyColors val="0"/>
        <c:ser>
          <c:idx val="0"/>
          <c:order val="0"/>
          <c:tx>
            <c:v>Transgenic</c:v>
          </c:tx>
          <c:spPr>
            <a:ln w="9525">
              <a:solidFill>
                <a:schemeClr val="tx1"/>
              </a:solidFill>
            </a:ln>
          </c:spPr>
          <c:marker>
            <c:symbol val="diamond"/>
            <c:size val="4"/>
            <c:spPr>
              <a:solidFill>
                <a:schemeClr val="tx1"/>
              </a:solidFill>
              <a:ln>
                <a:noFill/>
              </a:ln>
            </c:spPr>
          </c:marker>
          <c:errBars>
            <c:errDir val="y"/>
            <c:errBarType val="both"/>
            <c:errValType val="cust"/>
            <c:noEndCap val="0"/>
            <c:plus>
              <c:numRef>
                <c:f>'COMT2 wt loss'!$B$45:$B$55</c:f>
                <c:numCache>
                  <c:formatCode>General</c:formatCode>
                  <c:ptCount val="11"/>
                  <c:pt idx="0">
                    <c:v>0</c:v>
                  </c:pt>
                  <c:pt idx="1">
                    <c:v>0</c:v>
                  </c:pt>
                  <c:pt idx="2">
                    <c:v>1.0832051206189563E-3</c:v>
                  </c:pt>
                  <c:pt idx="3">
                    <c:v>2.0725722075607836E-3</c:v>
                  </c:pt>
                  <c:pt idx="4">
                    <c:v>2.715388247256716E-3</c:v>
                  </c:pt>
                  <c:pt idx="5">
                    <c:v>2.9776948578824278E-3</c:v>
                  </c:pt>
                  <c:pt idx="6">
                    <c:v>3.5301872786329745E-3</c:v>
                  </c:pt>
                  <c:pt idx="7">
                    <c:v>3.9064049969251037E-3</c:v>
                  </c:pt>
                  <c:pt idx="8">
                    <c:v>3.8907297230444632E-3</c:v>
                  </c:pt>
                  <c:pt idx="9">
                    <c:v>4.6761807777988829E-3</c:v>
                  </c:pt>
                  <c:pt idx="10">
                    <c:v>5.1218486246046987E-3</c:v>
                  </c:pt>
                </c:numCache>
              </c:numRef>
            </c:plus>
            <c:minus>
              <c:numRef>
                <c:f>'COMT2 wt loss'!$B$45:$B$55</c:f>
                <c:numCache>
                  <c:formatCode>General</c:formatCode>
                  <c:ptCount val="11"/>
                  <c:pt idx="0">
                    <c:v>0</c:v>
                  </c:pt>
                  <c:pt idx="1">
                    <c:v>0</c:v>
                  </c:pt>
                  <c:pt idx="2">
                    <c:v>1.0832051206189563E-3</c:v>
                  </c:pt>
                  <c:pt idx="3">
                    <c:v>2.0725722075607836E-3</c:v>
                  </c:pt>
                  <c:pt idx="4">
                    <c:v>2.715388247256716E-3</c:v>
                  </c:pt>
                  <c:pt idx="5">
                    <c:v>2.9776948578824278E-3</c:v>
                  </c:pt>
                  <c:pt idx="6">
                    <c:v>3.5301872786329745E-3</c:v>
                  </c:pt>
                  <c:pt idx="7">
                    <c:v>3.9064049969251037E-3</c:v>
                  </c:pt>
                  <c:pt idx="8">
                    <c:v>3.8907297230444632E-3</c:v>
                  </c:pt>
                  <c:pt idx="9">
                    <c:v>4.6761807777988829E-3</c:v>
                  </c:pt>
                  <c:pt idx="10">
                    <c:v>5.1218486246046987E-3</c:v>
                  </c:pt>
                </c:numCache>
              </c:numRef>
            </c:minus>
          </c:errBars>
          <c:errBars>
            <c:errDir val="x"/>
            <c:errBarType val="both"/>
            <c:errValType val="fixedVal"/>
            <c:noEndCap val="0"/>
            <c:val val="1"/>
          </c:errBars>
          <c:xVal>
            <c:numRef>
              <c:f>'COMT2 wt loss'!$A$16:$A$26</c:f>
              <c:numCache>
                <c:formatCode>0</c:formatCode>
                <c:ptCount val="11"/>
                <c:pt idx="1">
                  <c:v>0</c:v>
                </c:pt>
                <c:pt idx="2">
                  <c:v>12</c:v>
                </c:pt>
                <c:pt idx="3">
                  <c:v>24</c:v>
                </c:pt>
                <c:pt idx="4">
                  <c:v>48</c:v>
                </c:pt>
                <c:pt idx="5">
                  <c:v>72</c:v>
                </c:pt>
                <c:pt idx="6">
                  <c:v>144</c:v>
                </c:pt>
                <c:pt idx="7">
                  <c:v>216</c:v>
                </c:pt>
                <c:pt idx="8">
                  <c:v>288</c:v>
                </c:pt>
                <c:pt idx="9">
                  <c:v>360</c:v>
                </c:pt>
                <c:pt idx="10" formatCode="General">
                  <c:v>432</c:v>
                </c:pt>
              </c:numCache>
            </c:numRef>
          </c:xVal>
          <c:yVal>
            <c:numRef>
              <c:f>'COMT2 wt loss'!$B$16:$B$26</c:f>
              <c:numCache>
                <c:formatCode>General</c:formatCode>
                <c:ptCount val="11"/>
                <c:pt idx="0">
                  <c:v>0</c:v>
                </c:pt>
                <c:pt idx="1">
                  <c:v>0</c:v>
                </c:pt>
                <c:pt idx="2" formatCode="0.000">
                  <c:v>4.1466666666660025E-2</c:v>
                </c:pt>
                <c:pt idx="3" formatCode="0.000">
                  <c:v>5.2466666666655726E-2</c:v>
                </c:pt>
                <c:pt idx="4" formatCode="0.000">
                  <c:v>6.5299999999995403E-2</c:v>
                </c:pt>
                <c:pt idx="5" formatCode="0.000">
                  <c:v>7.5000000000001912E-2</c:v>
                </c:pt>
                <c:pt idx="6" formatCode="0.000">
                  <c:v>8.9133333333334508E-2</c:v>
                </c:pt>
                <c:pt idx="7" formatCode="0.000">
                  <c:v>9.8599999999987697E-2</c:v>
                </c:pt>
                <c:pt idx="8" formatCode="0.000">
                  <c:v>0.10593333333333138</c:v>
                </c:pt>
                <c:pt idx="9" formatCode="0.000">
                  <c:v>0.11033333333332052</c:v>
                </c:pt>
                <c:pt idx="10" formatCode="0.000">
                  <c:v>0.11199999999997766</c:v>
                </c:pt>
              </c:numCache>
            </c:numRef>
          </c:yVal>
          <c:smooth val="0"/>
        </c:ser>
        <c:ser>
          <c:idx val="1"/>
          <c:order val="1"/>
          <c:tx>
            <c:v>Control</c:v>
          </c:tx>
          <c:spPr>
            <a:ln w="9525">
              <a:solidFill>
                <a:schemeClr val="tx1">
                  <a:lumMod val="65000"/>
                  <a:lumOff val="35000"/>
                </a:schemeClr>
              </a:solidFill>
              <a:prstDash val="sysDash"/>
            </a:ln>
          </c:spPr>
          <c:marker>
            <c:symbol val="square"/>
            <c:size val="3"/>
            <c:spPr>
              <a:solidFill>
                <a:schemeClr val="tx1">
                  <a:lumMod val="65000"/>
                  <a:lumOff val="35000"/>
                </a:schemeClr>
              </a:solidFill>
              <a:ln>
                <a:noFill/>
              </a:ln>
            </c:spPr>
          </c:marker>
          <c:errBars>
            <c:errDir val="y"/>
            <c:errBarType val="both"/>
            <c:errValType val="cust"/>
            <c:noEndCap val="0"/>
            <c:plus>
              <c:numRef>
                <c:f>'COMT2 wt loss'!$C$45:$C$55</c:f>
                <c:numCache>
                  <c:formatCode>General</c:formatCode>
                  <c:ptCount val="11"/>
                  <c:pt idx="0">
                    <c:v>0</c:v>
                  </c:pt>
                  <c:pt idx="1">
                    <c:v>0</c:v>
                  </c:pt>
                  <c:pt idx="2">
                    <c:v>7.1180521680289121E-4</c:v>
                  </c:pt>
                  <c:pt idx="3">
                    <c:v>1.5107025591495804E-3</c:v>
                  </c:pt>
                  <c:pt idx="4">
                    <c:v>2.0455914656768706E-3</c:v>
                  </c:pt>
                  <c:pt idx="5">
                    <c:v>1.9246933377697981E-3</c:v>
                  </c:pt>
                  <c:pt idx="6">
                    <c:v>2.2171052197770386E-3</c:v>
                  </c:pt>
                  <c:pt idx="7">
                    <c:v>2.725598812901197E-3</c:v>
                  </c:pt>
                  <c:pt idx="8">
                    <c:v>2.7527763762757659E-3</c:v>
                  </c:pt>
                  <c:pt idx="9">
                    <c:v>3.1562988170035886E-3</c:v>
                  </c:pt>
                  <c:pt idx="10">
                    <c:v>3.1982634176856211E-3</c:v>
                  </c:pt>
                </c:numCache>
              </c:numRef>
            </c:plus>
            <c:minus>
              <c:numRef>
                <c:f>'COMT2 wt loss'!$C$45:$C$55</c:f>
                <c:numCache>
                  <c:formatCode>General</c:formatCode>
                  <c:ptCount val="11"/>
                  <c:pt idx="0">
                    <c:v>0</c:v>
                  </c:pt>
                  <c:pt idx="1">
                    <c:v>0</c:v>
                  </c:pt>
                  <c:pt idx="2">
                    <c:v>7.1180521680289121E-4</c:v>
                  </c:pt>
                  <c:pt idx="3">
                    <c:v>1.5107025591495804E-3</c:v>
                  </c:pt>
                  <c:pt idx="4">
                    <c:v>2.0455914656768706E-3</c:v>
                  </c:pt>
                  <c:pt idx="5">
                    <c:v>1.9246933377697981E-3</c:v>
                  </c:pt>
                  <c:pt idx="6">
                    <c:v>2.2171052197770386E-3</c:v>
                  </c:pt>
                  <c:pt idx="7">
                    <c:v>2.725598812901197E-3</c:v>
                  </c:pt>
                  <c:pt idx="8">
                    <c:v>2.7527763762757659E-3</c:v>
                  </c:pt>
                  <c:pt idx="9">
                    <c:v>3.1562988170035886E-3</c:v>
                  </c:pt>
                  <c:pt idx="10">
                    <c:v>3.1982634176856211E-3</c:v>
                  </c:pt>
                </c:numCache>
              </c:numRef>
            </c:minus>
          </c:errBars>
          <c:errBars>
            <c:errDir val="x"/>
            <c:errBarType val="both"/>
            <c:errValType val="fixedVal"/>
            <c:noEndCap val="0"/>
            <c:val val="1"/>
          </c:errBars>
          <c:xVal>
            <c:numRef>
              <c:f>'COMT2 wt loss'!$A$16:$A$26</c:f>
              <c:numCache>
                <c:formatCode>0</c:formatCode>
                <c:ptCount val="11"/>
                <c:pt idx="1">
                  <c:v>0</c:v>
                </c:pt>
                <c:pt idx="2">
                  <c:v>12</c:v>
                </c:pt>
                <c:pt idx="3">
                  <c:v>24</c:v>
                </c:pt>
                <c:pt idx="4">
                  <c:v>48</c:v>
                </c:pt>
                <c:pt idx="5">
                  <c:v>72</c:v>
                </c:pt>
                <c:pt idx="6">
                  <c:v>144</c:v>
                </c:pt>
                <c:pt idx="7">
                  <c:v>216</c:v>
                </c:pt>
                <c:pt idx="8">
                  <c:v>288</c:v>
                </c:pt>
                <c:pt idx="9">
                  <c:v>360</c:v>
                </c:pt>
                <c:pt idx="10" formatCode="General">
                  <c:v>432</c:v>
                </c:pt>
              </c:numCache>
            </c:numRef>
          </c:xVal>
          <c:yVal>
            <c:numRef>
              <c:f>'COMT2 wt loss'!$C$16:$C$26</c:f>
              <c:numCache>
                <c:formatCode>General</c:formatCode>
                <c:ptCount val="11"/>
                <c:pt idx="0">
                  <c:v>0</c:v>
                </c:pt>
                <c:pt idx="1">
                  <c:v>0</c:v>
                </c:pt>
                <c:pt idx="2" formatCode="0.000">
                  <c:v>3.4533333333326761E-2</c:v>
                </c:pt>
                <c:pt idx="3" formatCode="0.000">
                  <c:v>4.0933333333324169E-2</c:v>
                </c:pt>
                <c:pt idx="4" formatCode="0.000">
                  <c:v>4.7966666666662661E-2</c:v>
                </c:pt>
                <c:pt idx="5" formatCode="0.000">
                  <c:v>5.5400000000001177E-2</c:v>
                </c:pt>
                <c:pt idx="6" formatCode="0.000">
                  <c:v>6.5933333333331748E-2</c:v>
                </c:pt>
                <c:pt idx="7" formatCode="0.000">
                  <c:v>7.2866666666658392E-2</c:v>
                </c:pt>
                <c:pt idx="8" formatCode="0.000">
                  <c:v>7.8333333333330341E-2</c:v>
                </c:pt>
                <c:pt idx="9" formatCode="0.000">
                  <c:v>8.186666666665586E-2</c:v>
                </c:pt>
                <c:pt idx="10" formatCode="0.000">
                  <c:v>8.1799999999977557E-2</c:v>
                </c:pt>
              </c:numCache>
            </c:numRef>
          </c:yVal>
          <c:smooth val="0"/>
        </c:ser>
        <c:dLbls>
          <c:showLegendKey val="0"/>
          <c:showVal val="0"/>
          <c:showCatName val="0"/>
          <c:showSerName val="0"/>
          <c:showPercent val="0"/>
          <c:showBubbleSize val="0"/>
        </c:dLbls>
        <c:axId val="570220296"/>
        <c:axId val="570217944"/>
      </c:scatterChart>
      <c:valAx>
        <c:axId val="570220296"/>
        <c:scaling>
          <c:orientation val="minMax"/>
          <c:max val="450"/>
          <c:min val="0"/>
        </c:scaling>
        <c:delete val="0"/>
        <c:axPos val="b"/>
        <c:title>
          <c:tx>
            <c:rich>
              <a:bodyPr/>
              <a:lstStyle/>
              <a:p>
                <a:pPr>
                  <a:defRPr b="0"/>
                </a:pPr>
                <a:r>
                  <a:rPr lang="en-US" b="0"/>
                  <a:t>Time (hours)</a:t>
                </a:r>
              </a:p>
            </c:rich>
          </c:tx>
          <c:layout>
            <c:manualLayout>
              <c:xMode val="edge"/>
              <c:yMode val="edge"/>
              <c:x val="0.43990679049734593"/>
              <c:y val="0.87050889472149362"/>
            </c:manualLayout>
          </c:layout>
          <c:overlay val="0"/>
        </c:title>
        <c:numFmt formatCode="0" sourceLinked="1"/>
        <c:majorTickMark val="out"/>
        <c:minorTickMark val="none"/>
        <c:tickLblPos val="nextTo"/>
        <c:txPr>
          <a:bodyPr/>
          <a:lstStyle/>
          <a:p>
            <a:pPr>
              <a:defRPr sz="800"/>
            </a:pPr>
            <a:endParaRPr lang="en-US"/>
          </a:p>
        </c:txPr>
        <c:crossAx val="570217944"/>
        <c:crosses val="autoZero"/>
        <c:crossBetween val="midCat"/>
      </c:valAx>
      <c:valAx>
        <c:axId val="570217944"/>
        <c:scaling>
          <c:orientation val="minMax"/>
          <c:max val="0.12000000000000002"/>
          <c:min val="0"/>
        </c:scaling>
        <c:delete val="0"/>
        <c:axPos val="l"/>
        <c:title>
          <c:tx>
            <c:rich>
              <a:bodyPr rot="-5400000" vert="horz"/>
              <a:lstStyle/>
              <a:p>
                <a:pPr>
                  <a:defRPr b="0"/>
                </a:pPr>
                <a:r>
                  <a:rPr lang="en-US" b="0"/>
                  <a:t>COMT2</a:t>
                </a:r>
                <a:r>
                  <a:rPr lang="en-US" b="0" baseline="0"/>
                  <a:t> w</a:t>
                </a:r>
                <a:r>
                  <a:rPr lang="en-US" b="0"/>
                  <a:t>eight loss </a:t>
                </a:r>
              </a:p>
              <a:p>
                <a:pPr>
                  <a:defRPr b="0"/>
                </a:pPr>
                <a:r>
                  <a:rPr lang="en-US" b="0"/>
                  <a:t>(g/g biomass)</a:t>
                </a:r>
              </a:p>
            </c:rich>
          </c:tx>
          <c:layout>
            <c:manualLayout>
              <c:xMode val="edge"/>
              <c:yMode val="edge"/>
              <c:x val="0"/>
              <c:y val="0.19675925925925927"/>
            </c:manualLayout>
          </c:layout>
          <c:overlay val="0"/>
        </c:title>
        <c:numFmt formatCode="#,##0.00" sourceLinked="0"/>
        <c:majorTickMark val="out"/>
        <c:minorTickMark val="none"/>
        <c:tickLblPos val="nextTo"/>
        <c:txPr>
          <a:bodyPr/>
          <a:lstStyle/>
          <a:p>
            <a:pPr>
              <a:defRPr sz="800"/>
            </a:pPr>
            <a:endParaRPr lang="en-US"/>
          </a:p>
        </c:txPr>
        <c:crossAx val="570220296"/>
        <c:crosses val="autoZero"/>
        <c:crossBetween val="midCat"/>
        <c:majorUnit val="4.0000000000000022E-2"/>
      </c:valAx>
    </c:plotArea>
    <c:legend>
      <c:legendPos val="r"/>
      <c:layout>
        <c:manualLayout>
          <c:xMode val="edge"/>
          <c:yMode val="edge"/>
          <c:x val="0.6269539618358515"/>
          <c:y val="0.56853931302065508"/>
          <c:w val="0.32649996453146241"/>
          <c:h val="0.21434097911674091"/>
        </c:manualLayout>
      </c:layout>
      <c:overlay val="0"/>
      <c:txPr>
        <a:bodyPr/>
        <a:lstStyle/>
        <a:p>
          <a:pPr>
            <a:defRPr sz="800"/>
          </a:pPr>
          <a:endParaRPr lang="en-US"/>
        </a:p>
      </c:txPr>
    </c:legend>
    <c:plotVisOnly val="1"/>
    <c:dispBlanksAs val="gap"/>
    <c:showDLblsOverMax val="0"/>
  </c:chart>
  <c:spPr>
    <a:ln>
      <a:noFill/>
    </a:ln>
  </c:spPr>
  <c:txPr>
    <a:bodyPr/>
    <a:lstStyle/>
    <a:p>
      <a:pPr>
        <a:defRPr sz="900">
          <a:latin typeface="Times New Roman" pitchFamily="18" charset="0"/>
          <a:cs typeface="Times New Roman" pitchFamily="18" charset="0"/>
        </a:defRPr>
      </a:pPr>
      <a:endParaRPr lang="en-US"/>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00" b="0"/>
            </a:pPr>
            <a:r>
              <a:rPr lang="en-US" sz="900" b="0"/>
              <a:t>(b)</a:t>
            </a:r>
          </a:p>
        </c:rich>
      </c:tx>
      <c:layout>
        <c:manualLayout>
          <c:xMode val="edge"/>
          <c:yMode val="edge"/>
          <c:x val="1.8127970490175167E-3"/>
          <c:y val="0"/>
        </c:manualLayout>
      </c:layout>
      <c:overlay val="0"/>
    </c:title>
    <c:autoTitleDeleted val="0"/>
    <c:plotArea>
      <c:layout>
        <c:manualLayout>
          <c:layoutTarget val="inner"/>
          <c:xMode val="edge"/>
          <c:yMode val="edge"/>
          <c:x val="0.20644147730380524"/>
          <c:y val="0.19980143786374541"/>
          <c:w val="0.70521113359763443"/>
          <c:h val="0.57146125756020005"/>
        </c:manualLayout>
      </c:layout>
      <c:scatterChart>
        <c:scatterStyle val="lineMarker"/>
        <c:varyColors val="0"/>
        <c:ser>
          <c:idx val="0"/>
          <c:order val="0"/>
          <c:tx>
            <c:v>Transgenic</c:v>
          </c:tx>
          <c:spPr>
            <a:ln w="9525">
              <a:solidFill>
                <a:schemeClr val="tx1"/>
              </a:solidFill>
            </a:ln>
          </c:spPr>
          <c:marker>
            <c:symbol val="diamond"/>
            <c:size val="4"/>
            <c:spPr>
              <a:solidFill>
                <a:schemeClr val="tx1"/>
              </a:solidFill>
              <a:ln>
                <a:solidFill>
                  <a:schemeClr val="tx1"/>
                </a:solidFill>
              </a:ln>
            </c:spPr>
          </c:marker>
          <c:errBars>
            <c:errDir val="y"/>
            <c:errBarType val="both"/>
            <c:errValType val="cust"/>
            <c:noEndCap val="0"/>
            <c:plus>
              <c:numRef>
                <c:f>'COMT2 wt loss'!$B$44:$B$54</c:f>
                <c:numCache>
                  <c:formatCode>General</c:formatCode>
                  <c:ptCount val="11"/>
                  <c:pt idx="1">
                    <c:v>0</c:v>
                  </c:pt>
                  <c:pt idx="2">
                    <c:v>0</c:v>
                  </c:pt>
                  <c:pt idx="3">
                    <c:v>1.0832051206189563E-3</c:v>
                  </c:pt>
                  <c:pt idx="4">
                    <c:v>2.0725722075607836E-3</c:v>
                  </c:pt>
                  <c:pt idx="5">
                    <c:v>2.715388247256716E-3</c:v>
                  </c:pt>
                  <c:pt idx="6">
                    <c:v>2.9776948578824278E-3</c:v>
                  </c:pt>
                  <c:pt idx="7">
                    <c:v>3.5301872786329745E-3</c:v>
                  </c:pt>
                  <c:pt idx="8">
                    <c:v>3.9064049969251037E-3</c:v>
                  </c:pt>
                  <c:pt idx="9">
                    <c:v>3.8907297230444632E-3</c:v>
                  </c:pt>
                  <c:pt idx="10">
                    <c:v>4.6761807777988829E-3</c:v>
                  </c:pt>
                </c:numCache>
              </c:numRef>
            </c:plus>
            <c:minus>
              <c:numRef>
                <c:f>'COMT2 wt loss'!$B$44:$B$54</c:f>
                <c:numCache>
                  <c:formatCode>General</c:formatCode>
                  <c:ptCount val="11"/>
                  <c:pt idx="1">
                    <c:v>0</c:v>
                  </c:pt>
                  <c:pt idx="2">
                    <c:v>0</c:v>
                  </c:pt>
                  <c:pt idx="3">
                    <c:v>1.0832051206189563E-3</c:v>
                  </c:pt>
                  <c:pt idx="4">
                    <c:v>2.0725722075607836E-3</c:v>
                  </c:pt>
                  <c:pt idx="5">
                    <c:v>2.715388247256716E-3</c:v>
                  </c:pt>
                  <c:pt idx="6">
                    <c:v>2.9776948578824278E-3</c:v>
                  </c:pt>
                  <c:pt idx="7">
                    <c:v>3.5301872786329745E-3</c:v>
                  </c:pt>
                  <c:pt idx="8">
                    <c:v>3.9064049969251037E-3</c:v>
                  </c:pt>
                  <c:pt idx="9">
                    <c:v>3.8907297230444632E-3</c:v>
                  </c:pt>
                  <c:pt idx="10">
                    <c:v>4.6761807777988829E-3</c:v>
                  </c:pt>
                </c:numCache>
              </c:numRef>
            </c:minus>
          </c:errBars>
          <c:errBars>
            <c:errDir val="x"/>
            <c:errBarType val="both"/>
            <c:errValType val="fixedVal"/>
            <c:noEndCap val="0"/>
            <c:val val="1"/>
          </c:errBars>
          <c:xVal>
            <c:numRef>
              <c:f>'COMT2 wt loss'!$A$16:$A$26</c:f>
              <c:numCache>
                <c:formatCode>0</c:formatCode>
                <c:ptCount val="11"/>
                <c:pt idx="1">
                  <c:v>0</c:v>
                </c:pt>
                <c:pt idx="2">
                  <c:v>12</c:v>
                </c:pt>
                <c:pt idx="3">
                  <c:v>24</c:v>
                </c:pt>
                <c:pt idx="4">
                  <c:v>48</c:v>
                </c:pt>
                <c:pt idx="5">
                  <c:v>72</c:v>
                </c:pt>
                <c:pt idx="6">
                  <c:v>144</c:v>
                </c:pt>
                <c:pt idx="7">
                  <c:v>216</c:v>
                </c:pt>
                <c:pt idx="8">
                  <c:v>288</c:v>
                </c:pt>
                <c:pt idx="9">
                  <c:v>360</c:v>
                </c:pt>
                <c:pt idx="10" formatCode="General">
                  <c:v>432</c:v>
                </c:pt>
              </c:numCache>
            </c:numRef>
          </c:xVal>
          <c:yVal>
            <c:numRef>
              <c:f>'COMT2 wt loss'!$B$16:$B$26</c:f>
              <c:numCache>
                <c:formatCode>General</c:formatCode>
                <c:ptCount val="11"/>
                <c:pt idx="0">
                  <c:v>0</c:v>
                </c:pt>
                <c:pt idx="1">
                  <c:v>0</c:v>
                </c:pt>
                <c:pt idx="2" formatCode="0.000">
                  <c:v>4.1466666666660025E-2</c:v>
                </c:pt>
                <c:pt idx="3" formatCode="0.000">
                  <c:v>5.2466666666655726E-2</c:v>
                </c:pt>
                <c:pt idx="4" formatCode="0.000">
                  <c:v>6.5299999999995403E-2</c:v>
                </c:pt>
                <c:pt idx="5" formatCode="0.000">
                  <c:v>7.5000000000001912E-2</c:v>
                </c:pt>
                <c:pt idx="6" formatCode="0.000">
                  <c:v>8.9133333333334508E-2</c:v>
                </c:pt>
                <c:pt idx="7" formatCode="0.000">
                  <c:v>9.8599999999987697E-2</c:v>
                </c:pt>
                <c:pt idx="8" formatCode="0.000">
                  <c:v>0.10593333333333138</c:v>
                </c:pt>
                <c:pt idx="9" formatCode="0.000">
                  <c:v>0.11033333333332052</c:v>
                </c:pt>
                <c:pt idx="10" formatCode="0.000">
                  <c:v>0.11199999999997766</c:v>
                </c:pt>
              </c:numCache>
            </c:numRef>
          </c:yVal>
          <c:smooth val="0"/>
        </c:ser>
        <c:ser>
          <c:idx val="1"/>
          <c:order val="1"/>
          <c:tx>
            <c:v>Control</c:v>
          </c:tx>
          <c:spPr>
            <a:ln w="9525">
              <a:solidFill>
                <a:schemeClr val="tx1">
                  <a:lumMod val="65000"/>
                  <a:lumOff val="35000"/>
                </a:schemeClr>
              </a:solidFill>
              <a:prstDash val="sysDash"/>
            </a:ln>
          </c:spPr>
          <c:marker>
            <c:symbol val="square"/>
            <c:size val="2"/>
            <c:spPr>
              <a:solidFill>
                <a:schemeClr val="tx1">
                  <a:lumMod val="65000"/>
                  <a:lumOff val="35000"/>
                </a:schemeClr>
              </a:solidFill>
              <a:ln w="3175">
                <a:solidFill>
                  <a:schemeClr val="tx1">
                    <a:lumMod val="65000"/>
                    <a:lumOff val="35000"/>
                  </a:schemeClr>
                </a:solidFill>
              </a:ln>
            </c:spPr>
          </c:marker>
          <c:errBars>
            <c:errDir val="y"/>
            <c:errBarType val="both"/>
            <c:errValType val="cust"/>
            <c:noEndCap val="0"/>
            <c:plus>
              <c:numRef>
                <c:f>'COMT2 wt loss'!$C$44:$C$54</c:f>
                <c:numCache>
                  <c:formatCode>General</c:formatCode>
                  <c:ptCount val="11"/>
                  <c:pt idx="1">
                    <c:v>0</c:v>
                  </c:pt>
                  <c:pt idx="2">
                    <c:v>0</c:v>
                  </c:pt>
                  <c:pt idx="3">
                    <c:v>7.1180521680289121E-4</c:v>
                  </c:pt>
                  <c:pt idx="4">
                    <c:v>1.5107025591495804E-3</c:v>
                  </c:pt>
                  <c:pt idx="5">
                    <c:v>2.0455914656768706E-3</c:v>
                  </c:pt>
                  <c:pt idx="6">
                    <c:v>1.9246933377697981E-3</c:v>
                  </c:pt>
                  <c:pt idx="7">
                    <c:v>2.2171052197770386E-3</c:v>
                  </c:pt>
                  <c:pt idx="8">
                    <c:v>2.725598812901197E-3</c:v>
                  </c:pt>
                  <c:pt idx="9">
                    <c:v>2.7527763762757659E-3</c:v>
                  </c:pt>
                  <c:pt idx="10">
                    <c:v>3.1562988170035886E-3</c:v>
                  </c:pt>
                </c:numCache>
              </c:numRef>
            </c:plus>
            <c:minus>
              <c:numRef>
                <c:f>'COMT2 wt loss'!$C$44:$C$54</c:f>
                <c:numCache>
                  <c:formatCode>General</c:formatCode>
                  <c:ptCount val="11"/>
                  <c:pt idx="1">
                    <c:v>0</c:v>
                  </c:pt>
                  <c:pt idx="2">
                    <c:v>0</c:v>
                  </c:pt>
                  <c:pt idx="3">
                    <c:v>7.1180521680289121E-4</c:v>
                  </c:pt>
                  <c:pt idx="4">
                    <c:v>1.5107025591495804E-3</c:v>
                  </c:pt>
                  <c:pt idx="5">
                    <c:v>2.0455914656768706E-3</c:v>
                  </c:pt>
                  <c:pt idx="6">
                    <c:v>1.9246933377697981E-3</c:v>
                  </c:pt>
                  <c:pt idx="7">
                    <c:v>2.2171052197770386E-3</c:v>
                  </c:pt>
                  <c:pt idx="8">
                    <c:v>2.725598812901197E-3</c:v>
                  </c:pt>
                  <c:pt idx="9">
                    <c:v>2.7527763762757659E-3</c:v>
                  </c:pt>
                  <c:pt idx="10">
                    <c:v>3.1562988170035886E-3</c:v>
                  </c:pt>
                </c:numCache>
              </c:numRef>
            </c:minus>
          </c:errBars>
          <c:errBars>
            <c:errDir val="x"/>
            <c:errBarType val="both"/>
            <c:errValType val="fixedVal"/>
            <c:noEndCap val="0"/>
            <c:val val="1"/>
          </c:errBars>
          <c:xVal>
            <c:numRef>
              <c:f>'COMT2 wt loss'!$A$16:$A$26</c:f>
              <c:numCache>
                <c:formatCode>0</c:formatCode>
                <c:ptCount val="11"/>
                <c:pt idx="1">
                  <c:v>0</c:v>
                </c:pt>
                <c:pt idx="2">
                  <c:v>12</c:v>
                </c:pt>
                <c:pt idx="3">
                  <c:v>24</c:v>
                </c:pt>
                <c:pt idx="4">
                  <c:v>48</c:v>
                </c:pt>
                <c:pt idx="5">
                  <c:v>72</c:v>
                </c:pt>
                <c:pt idx="6">
                  <c:v>144</c:v>
                </c:pt>
                <c:pt idx="7">
                  <c:v>216</c:v>
                </c:pt>
                <c:pt idx="8">
                  <c:v>288</c:v>
                </c:pt>
                <c:pt idx="9">
                  <c:v>360</c:v>
                </c:pt>
                <c:pt idx="10" formatCode="General">
                  <c:v>432</c:v>
                </c:pt>
              </c:numCache>
            </c:numRef>
          </c:xVal>
          <c:yVal>
            <c:numRef>
              <c:f>'COMT2 wt loss'!$C$16:$C$26</c:f>
              <c:numCache>
                <c:formatCode>General</c:formatCode>
                <c:ptCount val="11"/>
                <c:pt idx="0">
                  <c:v>0</c:v>
                </c:pt>
                <c:pt idx="1">
                  <c:v>0</c:v>
                </c:pt>
                <c:pt idx="2" formatCode="0.000">
                  <c:v>3.4533333333326761E-2</c:v>
                </c:pt>
                <c:pt idx="3" formatCode="0.000">
                  <c:v>4.0933333333324169E-2</c:v>
                </c:pt>
                <c:pt idx="4" formatCode="0.000">
                  <c:v>4.7966666666662661E-2</c:v>
                </c:pt>
                <c:pt idx="5" formatCode="0.000">
                  <c:v>5.5400000000001177E-2</c:v>
                </c:pt>
                <c:pt idx="6" formatCode="0.000">
                  <c:v>6.5933333333331748E-2</c:v>
                </c:pt>
                <c:pt idx="7" formatCode="0.000">
                  <c:v>7.2866666666658392E-2</c:v>
                </c:pt>
                <c:pt idx="8" formatCode="0.000">
                  <c:v>7.8333333333330341E-2</c:v>
                </c:pt>
                <c:pt idx="9" formatCode="0.000">
                  <c:v>8.186666666665586E-2</c:v>
                </c:pt>
                <c:pt idx="10" formatCode="0.000">
                  <c:v>8.1799999999977557E-2</c:v>
                </c:pt>
              </c:numCache>
            </c:numRef>
          </c:yVal>
          <c:smooth val="0"/>
        </c:ser>
        <c:dLbls>
          <c:showLegendKey val="0"/>
          <c:showVal val="0"/>
          <c:showCatName val="0"/>
          <c:showSerName val="0"/>
          <c:showPercent val="0"/>
          <c:showBubbleSize val="0"/>
        </c:dLbls>
        <c:axId val="570217160"/>
        <c:axId val="570215984"/>
      </c:scatterChart>
      <c:valAx>
        <c:axId val="570217160"/>
        <c:scaling>
          <c:orientation val="minMax"/>
          <c:max val="450"/>
          <c:min val="0"/>
        </c:scaling>
        <c:delete val="0"/>
        <c:axPos val="b"/>
        <c:title>
          <c:tx>
            <c:rich>
              <a:bodyPr/>
              <a:lstStyle/>
              <a:p>
                <a:pPr>
                  <a:defRPr b="0"/>
                </a:pPr>
                <a:r>
                  <a:rPr lang="en-US" b="0"/>
                  <a:t>Time (hours)</a:t>
                </a:r>
              </a:p>
            </c:rich>
          </c:tx>
          <c:layout>
            <c:manualLayout>
              <c:xMode val="edge"/>
              <c:yMode val="edge"/>
              <c:x val="0.43835620138471776"/>
              <c:y val="0.87050889472149362"/>
            </c:manualLayout>
          </c:layout>
          <c:overlay val="0"/>
        </c:title>
        <c:numFmt formatCode="0" sourceLinked="1"/>
        <c:majorTickMark val="out"/>
        <c:minorTickMark val="none"/>
        <c:tickLblPos val="nextTo"/>
        <c:txPr>
          <a:bodyPr/>
          <a:lstStyle/>
          <a:p>
            <a:pPr>
              <a:defRPr sz="800"/>
            </a:pPr>
            <a:endParaRPr lang="en-US"/>
          </a:p>
        </c:txPr>
        <c:crossAx val="570215984"/>
        <c:crosses val="autoZero"/>
        <c:crossBetween val="midCat"/>
      </c:valAx>
      <c:valAx>
        <c:axId val="570215984"/>
        <c:scaling>
          <c:orientation val="minMax"/>
          <c:max val="0.12000000000000002"/>
          <c:min val="0"/>
        </c:scaling>
        <c:delete val="0"/>
        <c:axPos val="l"/>
        <c:title>
          <c:tx>
            <c:rich>
              <a:bodyPr rot="-5400000" vert="horz"/>
              <a:lstStyle/>
              <a:p>
                <a:pPr>
                  <a:defRPr b="0"/>
                </a:pPr>
                <a:r>
                  <a:rPr lang="en-US" b="0"/>
                  <a:t>COMT3 weight loss </a:t>
                </a:r>
              </a:p>
              <a:p>
                <a:pPr>
                  <a:defRPr b="0"/>
                </a:pPr>
                <a:r>
                  <a:rPr lang="en-US" b="0"/>
                  <a:t>(g/g biomass)</a:t>
                </a:r>
              </a:p>
            </c:rich>
          </c:tx>
          <c:layout>
            <c:manualLayout>
              <c:xMode val="edge"/>
              <c:yMode val="edge"/>
              <c:x val="0"/>
              <c:y val="0.19858048993875765"/>
            </c:manualLayout>
          </c:layout>
          <c:overlay val="0"/>
        </c:title>
        <c:numFmt formatCode="#,##0.00" sourceLinked="0"/>
        <c:majorTickMark val="out"/>
        <c:minorTickMark val="none"/>
        <c:tickLblPos val="nextTo"/>
        <c:txPr>
          <a:bodyPr/>
          <a:lstStyle/>
          <a:p>
            <a:pPr>
              <a:defRPr sz="800"/>
            </a:pPr>
            <a:endParaRPr lang="en-US"/>
          </a:p>
        </c:txPr>
        <c:crossAx val="570217160"/>
        <c:crosses val="autoZero"/>
        <c:crossBetween val="midCat"/>
        <c:majorUnit val="4.0000000000000022E-2"/>
      </c:valAx>
      <c:spPr>
        <a:ln>
          <a:noFill/>
        </a:ln>
      </c:spPr>
    </c:plotArea>
    <c:legend>
      <c:legendPos val="r"/>
      <c:layout>
        <c:manualLayout>
          <c:xMode val="edge"/>
          <c:yMode val="edge"/>
          <c:x val="0.64217351209478035"/>
          <c:y val="0.57221670660732638"/>
          <c:w val="0.31281912402746914"/>
          <c:h val="0.20702670318384114"/>
        </c:manualLayout>
      </c:layout>
      <c:overlay val="0"/>
      <c:txPr>
        <a:bodyPr/>
        <a:lstStyle/>
        <a:p>
          <a:pPr>
            <a:defRPr sz="800"/>
          </a:pPr>
          <a:endParaRPr lang="en-US"/>
        </a:p>
      </c:txPr>
    </c:legend>
    <c:plotVisOnly val="1"/>
    <c:dispBlanksAs val="gap"/>
    <c:showDLblsOverMax val="0"/>
  </c:chart>
  <c:spPr>
    <a:ln>
      <a:noFill/>
    </a:ln>
  </c:spPr>
  <c:txPr>
    <a:bodyPr/>
    <a:lstStyle/>
    <a:p>
      <a:pPr>
        <a:defRPr sz="900">
          <a:latin typeface="Times New Roman" pitchFamily="18" charset="0"/>
          <a:ea typeface="Tahoma" pitchFamily="34" charset="0"/>
          <a:cs typeface="Times New Roman" pitchFamily="18" charset="0"/>
        </a:defRPr>
      </a:pPr>
      <a:endParaRPr lang="en-US"/>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a:lstStyle/>
          <a:p>
            <a:pPr>
              <a:defRPr sz="900" b="0"/>
            </a:pPr>
            <a:r>
              <a:rPr lang="en-US" sz="900" b="0"/>
              <a:t>(c)</a:t>
            </a:r>
          </a:p>
        </c:rich>
      </c:tx>
      <c:layout>
        <c:manualLayout>
          <c:xMode val="edge"/>
          <c:yMode val="edge"/>
          <c:x val="3.3695112435275088E-5"/>
          <c:y val="0"/>
        </c:manualLayout>
      </c:layout>
      <c:overlay val="0"/>
    </c:title>
    <c:autoTitleDeleted val="0"/>
    <c:plotArea>
      <c:layout>
        <c:manualLayout>
          <c:layoutTarget val="inner"/>
          <c:xMode val="edge"/>
          <c:yMode val="edge"/>
          <c:x val="0.1869667305100397"/>
          <c:y val="8.6724563841285573E-2"/>
          <c:w val="0.59695786337518664"/>
          <c:h val="0.83185888528639862"/>
        </c:manualLayout>
      </c:layout>
      <c:barChart>
        <c:barDir val="col"/>
        <c:grouping val="clustered"/>
        <c:varyColors val="0"/>
        <c:ser>
          <c:idx val="0"/>
          <c:order val="0"/>
          <c:tx>
            <c:v>Control</c:v>
          </c:tx>
          <c:invertIfNegative val="0"/>
          <c:dLbls>
            <c:delete val="1"/>
          </c:dLbls>
          <c:errBars>
            <c:errBarType val="both"/>
            <c:errValType val="cust"/>
            <c:noEndCap val="0"/>
            <c:plus>
              <c:numRef>
                <c:f>'EtOH yield'!$D$40</c:f>
                <c:numCache>
                  <c:formatCode>General</c:formatCode>
                  <c:ptCount val="1"/>
                  <c:pt idx="0">
                    <c:v>5.0502474498663634</c:v>
                  </c:pt>
                </c:numCache>
              </c:numRef>
            </c:plus>
            <c:minus>
              <c:numRef>
                <c:f>'EtOH yield'!$D$40</c:f>
                <c:numCache>
                  <c:formatCode>General</c:formatCode>
                  <c:ptCount val="1"/>
                  <c:pt idx="0">
                    <c:v>5.0502474498663634</c:v>
                  </c:pt>
                </c:numCache>
              </c:numRef>
            </c:minus>
          </c:errBars>
          <c:cat>
            <c:numRef>
              <c:f>'EtOH yield'!$P$38</c:f>
              <c:numCache>
                <c:formatCode>General</c:formatCode>
                <c:ptCount val="1"/>
              </c:numCache>
            </c:numRef>
          </c:cat>
          <c:val>
            <c:numRef>
              <c:f>'EtOH yield'!$B$40</c:f>
              <c:numCache>
                <c:formatCode>0.00</c:formatCode>
                <c:ptCount val="1"/>
                <c:pt idx="0">
                  <c:v>151.80694717407877</c:v>
                </c:pt>
              </c:numCache>
            </c:numRef>
          </c:val>
        </c:ser>
        <c:ser>
          <c:idx val="1"/>
          <c:order val="1"/>
          <c:tx>
            <c:v>Transgenic</c:v>
          </c:tx>
          <c:invertIfNegative val="0"/>
          <c:dLbls>
            <c:dLbl>
              <c:idx val="0"/>
              <c:layout>
                <c:manualLayout>
                  <c:x val="-2.3090019153015412E-4"/>
                  <c:y val="-1.3888760228500854E-2"/>
                </c:manualLayout>
              </c:layout>
              <c:tx>
                <c:rich>
                  <a:bodyPr/>
                  <a:lstStyle/>
                  <a:p>
                    <a:r>
                      <a:rPr lang="en-US"/>
                      <a:t>*</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5.6306306306306307E-2"/>
                      <c:h val="6.5416859657248722E-2"/>
                    </c:manualLayout>
                  </c15:layout>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'EtOH yield'!$D$41</c:f>
                <c:numCache>
                  <c:formatCode>General</c:formatCode>
                  <c:ptCount val="1"/>
                  <c:pt idx="0">
                    <c:v>8.7622549747820955</c:v>
                  </c:pt>
                </c:numCache>
              </c:numRef>
            </c:plus>
            <c:minus>
              <c:numRef>
                <c:f>'EtOH yield'!$D$41</c:f>
                <c:numCache>
                  <c:formatCode>General</c:formatCode>
                  <c:ptCount val="1"/>
                  <c:pt idx="0">
                    <c:v>8.7622549747820955</c:v>
                  </c:pt>
                </c:numCache>
              </c:numRef>
            </c:minus>
          </c:errBars>
          <c:cat>
            <c:numRef>
              <c:f>'EtOH yield'!$P$38</c:f>
              <c:numCache>
                <c:formatCode>General</c:formatCode>
                <c:ptCount val="1"/>
              </c:numCache>
            </c:numRef>
          </c:cat>
          <c:val>
            <c:numRef>
              <c:f>'EtOH yield'!$B$41</c:f>
              <c:numCache>
                <c:formatCode>0.00</c:formatCode>
                <c:ptCount val="1"/>
                <c:pt idx="0">
                  <c:v>194.32850263415747</c:v>
                </c:pt>
              </c:numCache>
            </c:numRef>
          </c:val>
        </c:ser>
        <c:ser>
          <c:idx val="2"/>
          <c:order val="2"/>
          <c:tx>
            <c:strRef>
              <c:f>'EtOH yield'!$A$42</c:f>
              <c:strCache>
                <c:ptCount val="1"/>
              </c:strCache>
            </c:strRef>
          </c:tx>
          <c:spPr>
            <a:no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'EtOH yield'!$P$38</c:f>
              <c:numCache>
                <c:formatCode>General</c:formatCode>
                <c:ptCount val="1"/>
              </c:numCache>
            </c:numRef>
          </c:cat>
          <c:val>
            <c:numRef>
              <c:f>'EtOH yield'!$B$42</c:f>
              <c:numCache>
                <c:formatCode>General</c:formatCode>
                <c:ptCount val="1"/>
              </c:numCache>
            </c:numRef>
          </c:val>
        </c:ser>
        <c:ser>
          <c:idx val="3"/>
          <c:order val="3"/>
          <c:tx>
            <c:strRef>
              <c:f>'EtOH yield'!$A$43</c:f>
              <c:strCache>
                <c:ptCount val="1"/>
                <c:pt idx="0">
                  <c:v>COMT3 (-)</c:v>
                </c:pt>
              </c:strCache>
            </c:strRef>
          </c:tx>
          <c:invertIfNegative val="0"/>
          <c:dLbls>
            <c:delete val="1"/>
          </c:dLbls>
          <c:errBars>
            <c:errBarType val="both"/>
            <c:errValType val="cust"/>
            <c:noEndCap val="0"/>
            <c:plus>
              <c:numRef>
                <c:f>'EtOH yield'!$D$43</c:f>
                <c:numCache>
                  <c:formatCode>General</c:formatCode>
                  <c:ptCount val="1"/>
                  <c:pt idx="0">
                    <c:v>7.4553957639417092</c:v>
                  </c:pt>
                </c:numCache>
              </c:numRef>
            </c:plus>
            <c:minus>
              <c:numRef>
                <c:f>'EtOH yield'!$D$43</c:f>
                <c:numCache>
                  <c:formatCode>General</c:formatCode>
                  <c:ptCount val="1"/>
                  <c:pt idx="0">
                    <c:v>7.4553957639417092</c:v>
                  </c:pt>
                </c:numCache>
              </c:numRef>
            </c:minus>
          </c:errBars>
          <c:cat>
            <c:numRef>
              <c:f>'EtOH yield'!$P$38</c:f>
              <c:numCache>
                <c:formatCode>General</c:formatCode>
                <c:ptCount val="1"/>
              </c:numCache>
            </c:numRef>
          </c:cat>
          <c:val>
            <c:numRef>
              <c:f>'EtOH yield'!$B$43</c:f>
              <c:numCache>
                <c:formatCode>0.00</c:formatCode>
                <c:ptCount val="1"/>
                <c:pt idx="0">
                  <c:v>139.10049523795723</c:v>
                </c:pt>
              </c:numCache>
            </c:numRef>
          </c:val>
        </c:ser>
        <c:ser>
          <c:idx val="4"/>
          <c:order val="4"/>
          <c:tx>
            <c:strRef>
              <c:f>'EtOH yield'!$A$44</c:f>
              <c:strCache>
                <c:ptCount val="1"/>
                <c:pt idx="0">
                  <c:v>COMT3 (+)</c:v>
                </c:pt>
              </c:strCache>
            </c:strRef>
          </c:tx>
          <c:invertIfNegative val="0"/>
          <c:dLbls>
            <c:dLbl>
              <c:idx val="0"/>
              <c:tx>
                <c:rich>
                  <a:bodyPr/>
                  <a:lstStyle/>
                  <a:p>
                    <a:r>
                      <a:rPr lang="en-US"/>
                      <a:t>*</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'EtOH yield'!$D$44</c:f>
                <c:numCache>
                  <c:formatCode>General</c:formatCode>
                  <c:ptCount val="1"/>
                  <c:pt idx="0">
                    <c:v>4.2387865344670281</c:v>
                  </c:pt>
                </c:numCache>
              </c:numRef>
            </c:plus>
            <c:minus>
              <c:numRef>
                <c:f>'EtOH yield'!$D$44</c:f>
                <c:numCache>
                  <c:formatCode>General</c:formatCode>
                  <c:ptCount val="1"/>
                  <c:pt idx="0">
                    <c:v>4.2387865344670281</c:v>
                  </c:pt>
                </c:numCache>
              </c:numRef>
            </c:minus>
          </c:errBars>
          <c:cat>
            <c:numRef>
              <c:f>'EtOH yield'!$P$38</c:f>
              <c:numCache>
                <c:formatCode>General</c:formatCode>
                <c:ptCount val="1"/>
              </c:numCache>
            </c:numRef>
          </c:cat>
          <c:val>
            <c:numRef>
              <c:f>'EtOH yield'!$B$44</c:f>
              <c:numCache>
                <c:formatCode>0.00</c:formatCode>
                <c:ptCount val="1"/>
                <c:pt idx="0">
                  <c:v>168.86497629073659</c:v>
                </c:pt>
              </c:numCache>
            </c:numRef>
          </c:val>
        </c:ser>
        <c:dLbls>
          <c:showLegendKey val="0"/>
          <c:showVal val="1"/>
          <c:showCatName val="0"/>
          <c:showSerName val="0"/>
          <c:showPercent val="0"/>
          <c:showBubbleSize val="0"/>
        </c:dLbls>
        <c:gapWidth val="150"/>
        <c:axId val="570221080"/>
        <c:axId val="570221472"/>
      </c:barChart>
      <c:catAx>
        <c:axId val="570221080"/>
        <c:scaling>
          <c:orientation val="minMax"/>
        </c:scaling>
        <c:delete val="0"/>
        <c:axPos val="b"/>
        <c:numFmt formatCode="General" sourceLinked="1"/>
        <c:majorTickMark val="out"/>
        <c:minorTickMark val="none"/>
        <c:tickLblPos val="nextTo"/>
        <c:crossAx val="570221472"/>
        <c:crosses val="autoZero"/>
        <c:auto val="1"/>
        <c:lblAlgn val="ctr"/>
        <c:lblOffset val="100"/>
        <c:noMultiLvlLbl val="0"/>
      </c:catAx>
      <c:valAx>
        <c:axId val="570221472"/>
        <c:scaling>
          <c:orientation val="minMax"/>
        </c:scaling>
        <c:delete val="0"/>
        <c:axPos val="l"/>
        <c:title>
          <c:tx>
            <c:rich>
              <a:bodyPr rot="-5400000" vert="horz"/>
              <a:lstStyle/>
              <a:p>
                <a:pPr>
                  <a:defRPr b="0" i="0"/>
                </a:pPr>
                <a:r>
                  <a:rPr lang="en-US" b="0" i="0"/>
                  <a:t>Ethanol yield (mg/g biomass)</a:t>
                </a:r>
              </a:p>
            </c:rich>
          </c:tx>
          <c:layout>
            <c:manualLayout>
              <c:xMode val="edge"/>
              <c:yMode val="edge"/>
              <c:x val="8.9749592111797883E-3"/>
              <c:y val="0.23259263547938874"/>
            </c:manualLayout>
          </c:layout>
          <c:overlay val="0"/>
        </c:title>
        <c:numFmt formatCode="0" sourceLinked="0"/>
        <c:majorTickMark val="out"/>
        <c:minorTickMark val="none"/>
        <c:tickLblPos val="nextTo"/>
        <c:txPr>
          <a:bodyPr/>
          <a:lstStyle/>
          <a:p>
            <a:pPr>
              <a:defRPr sz="800"/>
            </a:pPr>
            <a:endParaRPr lang="en-US"/>
          </a:p>
        </c:txPr>
        <c:crossAx val="570221080"/>
        <c:crosses val="autoZero"/>
        <c:crossBetween val="between"/>
      </c:valAx>
    </c:plotArea>
    <c:legend>
      <c:legendPos val="r"/>
      <c:layout>
        <c:manualLayout>
          <c:xMode val="edge"/>
          <c:yMode val="edge"/>
          <c:x val="0.6559431084627968"/>
          <c:y val="0.11363246873552571"/>
          <c:w val="0.30236681563453555"/>
          <c:h val="0.12281468722659669"/>
        </c:manualLayout>
      </c:layout>
      <c:overlay val="0"/>
      <c:txPr>
        <a:bodyPr/>
        <a:lstStyle/>
        <a:p>
          <a:pPr>
            <a:defRPr sz="800"/>
          </a:pPr>
          <a:endParaRPr lang="en-US"/>
        </a:p>
      </c:txPr>
    </c:legend>
    <c:plotVisOnly val="1"/>
    <c:dispBlanksAs val="gap"/>
    <c:showDLblsOverMax val="0"/>
  </c:chart>
  <c:spPr>
    <a:ln>
      <a:noFill/>
    </a:ln>
  </c:spPr>
  <c:txPr>
    <a:bodyPr/>
    <a:lstStyle/>
    <a:p>
      <a:pPr>
        <a:defRPr sz="900">
          <a:latin typeface="Times New Roman" pitchFamily="18" charset="0"/>
          <a:cs typeface="Times New Roman" pitchFamily="18" charset="0"/>
        </a:defRPr>
      </a:pPr>
      <a:endParaRPr lang="en-US"/>
    </a:p>
  </c:txPr>
  <c:externalData r:id="rId2">
    <c:autoUpdate val="0"/>
  </c:externalData>
  <c:userShapes r:id="rId3"/>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00" b="0" i="0"/>
            </a:pPr>
            <a:r>
              <a:rPr lang="en-US" sz="900" b="0" i="0"/>
              <a:t>(c)</a:t>
            </a:r>
          </a:p>
        </c:rich>
      </c:tx>
      <c:layout>
        <c:manualLayout>
          <c:xMode val="edge"/>
          <c:yMode val="edge"/>
          <c:x val="2.9964880732474743E-4"/>
          <c:y val="0"/>
        </c:manualLayout>
      </c:layout>
      <c:overlay val="0"/>
    </c:title>
    <c:autoTitleDeleted val="0"/>
    <c:plotArea>
      <c:layout>
        <c:manualLayout>
          <c:layoutTarget val="inner"/>
          <c:xMode val="edge"/>
          <c:yMode val="edge"/>
          <c:x val="0.11973115023153451"/>
          <c:y val="8.0679405520171027E-2"/>
          <c:w val="0.8673699784342247"/>
          <c:h val="0.71723768642632069"/>
        </c:manualLayout>
      </c:layout>
      <c:barChart>
        <c:barDir val="col"/>
        <c:grouping val="clustered"/>
        <c:varyColors val="0"/>
        <c:ser>
          <c:idx val="0"/>
          <c:order val="0"/>
          <c:tx>
            <c:v>Control</c:v>
          </c:tx>
          <c:spPr>
            <a:solidFill>
              <a:schemeClr val="accent1">
                <a:lumMod val="75000"/>
              </a:schemeClr>
            </a:solidFill>
          </c:spPr>
          <c:invertIfNegative val="0"/>
          <c:errBars>
            <c:errBarType val="both"/>
            <c:errValType val="cust"/>
            <c:noEndCap val="1"/>
            <c:plus>
              <c:numRef>
                <c:f>'Holly - graph'!$C$66:$P$66</c:f>
                <c:numCache>
                  <c:formatCode>General</c:formatCode>
                  <c:ptCount val="14"/>
                  <c:pt idx="0">
                    <c:v>0.37026526867224446</c:v>
                  </c:pt>
                  <c:pt idx="1">
                    <c:v>0.67693521040232418</c:v>
                  </c:pt>
                  <c:pt idx="2">
                    <c:v>0.9533542350672497</c:v>
                  </c:pt>
                  <c:pt idx="3">
                    <c:v>0.83477403221824986</c:v>
                  </c:pt>
                  <c:pt idx="4">
                    <c:v>0.8887933284306716</c:v>
                  </c:pt>
                  <c:pt idx="5">
                    <c:v>1.2051792950745173</c:v>
                  </c:pt>
                  <c:pt idx="6">
                    <c:v>1.3906345310949115</c:v>
                  </c:pt>
                  <c:pt idx="7">
                    <c:v>1.5908161930403266</c:v>
                  </c:pt>
                  <c:pt idx="8">
                    <c:v>1.800819928858399</c:v>
                  </c:pt>
                  <c:pt idx="9">
                    <c:v>2.3985988781313559</c:v>
                  </c:pt>
                  <c:pt idx="10">
                    <c:v>3.5870722661346095</c:v>
                  </c:pt>
                  <c:pt idx="11">
                    <c:v>5.367655831512975</c:v>
                  </c:pt>
                  <c:pt idx="12">
                    <c:v>6.3621497448119566</c:v>
                  </c:pt>
                  <c:pt idx="13">
                    <c:v>6.1042360781169736</c:v>
                  </c:pt>
                </c:numCache>
              </c:numRef>
            </c:plus>
            <c:minus>
              <c:numRef>
                <c:f>'Holly - graph'!$C$66:$P$66</c:f>
                <c:numCache>
                  <c:formatCode>General</c:formatCode>
                  <c:ptCount val="14"/>
                  <c:pt idx="0">
                    <c:v>0.37026526867224446</c:v>
                  </c:pt>
                  <c:pt idx="1">
                    <c:v>0.67693521040232418</c:v>
                  </c:pt>
                  <c:pt idx="2">
                    <c:v>0.9533542350672497</c:v>
                  </c:pt>
                  <c:pt idx="3">
                    <c:v>0.83477403221824986</c:v>
                  </c:pt>
                  <c:pt idx="4">
                    <c:v>0.8887933284306716</c:v>
                  </c:pt>
                  <c:pt idx="5">
                    <c:v>1.2051792950745173</c:v>
                  </c:pt>
                  <c:pt idx="6">
                    <c:v>1.3906345310949115</c:v>
                  </c:pt>
                  <c:pt idx="7">
                    <c:v>1.5908161930403266</c:v>
                  </c:pt>
                  <c:pt idx="8">
                    <c:v>1.800819928858399</c:v>
                  </c:pt>
                  <c:pt idx="9">
                    <c:v>2.3985988781313559</c:v>
                  </c:pt>
                  <c:pt idx="10">
                    <c:v>3.5870722661346095</c:v>
                  </c:pt>
                  <c:pt idx="11">
                    <c:v>5.367655831512975</c:v>
                  </c:pt>
                  <c:pt idx="12">
                    <c:v>6.3621497448119566</c:v>
                  </c:pt>
                  <c:pt idx="13">
                    <c:v>6.1042360781169736</c:v>
                  </c:pt>
                </c:numCache>
              </c:numRef>
            </c:minus>
          </c:errBars>
          <c:cat>
            <c:numRef>
              <c:f>'Holly - graph'!$B$2:$B$57</c:f>
              <c:numCache>
                <c:formatCode>General</c:formatCode>
                <c:ptCount val="56"/>
                <c:pt idx="0">
                  <c:v>22</c:v>
                </c:pt>
                <c:pt idx="1">
                  <c:v>29</c:v>
                </c:pt>
                <c:pt idx="2">
                  <c:v>6</c:v>
                </c:pt>
                <c:pt idx="3">
                  <c:v>13</c:v>
                </c:pt>
                <c:pt idx="4">
                  <c:v>19</c:v>
                </c:pt>
                <c:pt idx="5">
                  <c:v>24</c:v>
                </c:pt>
                <c:pt idx="6">
                  <c:v>1</c:v>
                </c:pt>
                <c:pt idx="7">
                  <c:v>9</c:v>
                </c:pt>
                <c:pt idx="8">
                  <c:v>17</c:v>
                </c:pt>
                <c:pt idx="9">
                  <c:v>24</c:v>
                </c:pt>
                <c:pt idx="10">
                  <c:v>31</c:v>
                </c:pt>
                <c:pt idx="11">
                  <c:v>6</c:v>
                </c:pt>
                <c:pt idx="12">
                  <c:v>16</c:v>
                </c:pt>
                <c:pt idx="13">
                  <c:v>20</c:v>
                </c:pt>
                <c:pt idx="14">
                  <c:v>174</c:v>
                </c:pt>
                <c:pt idx="15">
                  <c:v>181</c:v>
                </c:pt>
                <c:pt idx="16">
                  <c:v>188</c:v>
                </c:pt>
                <c:pt idx="17">
                  <c:v>195</c:v>
                </c:pt>
                <c:pt idx="18">
                  <c:v>201</c:v>
                </c:pt>
                <c:pt idx="19">
                  <c:v>206</c:v>
                </c:pt>
                <c:pt idx="20">
                  <c:v>214</c:v>
                </c:pt>
                <c:pt idx="21">
                  <c:v>222</c:v>
                </c:pt>
                <c:pt idx="22">
                  <c:v>230</c:v>
                </c:pt>
                <c:pt idx="23">
                  <c:v>237</c:v>
                </c:pt>
                <c:pt idx="24">
                  <c:v>244</c:v>
                </c:pt>
                <c:pt idx="25">
                  <c:v>250</c:v>
                </c:pt>
                <c:pt idx="26">
                  <c:v>260</c:v>
                </c:pt>
                <c:pt idx="27">
                  <c:v>264</c:v>
                </c:pt>
                <c:pt idx="28">
                  <c:v>174</c:v>
                </c:pt>
                <c:pt idx="29">
                  <c:v>181</c:v>
                </c:pt>
                <c:pt idx="30">
                  <c:v>188</c:v>
                </c:pt>
                <c:pt idx="31">
                  <c:v>195</c:v>
                </c:pt>
                <c:pt idx="32">
                  <c:v>201</c:v>
                </c:pt>
                <c:pt idx="33">
                  <c:v>206</c:v>
                </c:pt>
                <c:pt idx="34">
                  <c:v>214</c:v>
                </c:pt>
                <c:pt idx="35">
                  <c:v>222</c:v>
                </c:pt>
                <c:pt idx="36">
                  <c:v>230</c:v>
                </c:pt>
                <c:pt idx="37">
                  <c:v>237</c:v>
                </c:pt>
                <c:pt idx="38">
                  <c:v>244</c:v>
                </c:pt>
                <c:pt idx="39">
                  <c:v>250</c:v>
                </c:pt>
                <c:pt idx="40">
                  <c:v>260</c:v>
                </c:pt>
                <c:pt idx="41">
                  <c:v>264</c:v>
                </c:pt>
                <c:pt idx="42">
                  <c:v>174</c:v>
                </c:pt>
                <c:pt idx="43">
                  <c:v>181</c:v>
                </c:pt>
                <c:pt idx="44">
                  <c:v>188</c:v>
                </c:pt>
                <c:pt idx="45">
                  <c:v>195</c:v>
                </c:pt>
                <c:pt idx="46">
                  <c:v>201</c:v>
                </c:pt>
                <c:pt idx="47">
                  <c:v>206</c:v>
                </c:pt>
                <c:pt idx="48">
                  <c:v>214</c:v>
                </c:pt>
                <c:pt idx="49">
                  <c:v>222</c:v>
                </c:pt>
                <c:pt idx="50">
                  <c:v>230</c:v>
                </c:pt>
                <c:pt idx="51">
                  <c:v>237</c:v>
                </c:pt>
                <c:pt idx="52">
                  <c:v>244</c:v>
                </c:pt>
                <c:pt idx="53">
                  <c:v>250</c:v>
                </c:pt>
                <c:pt idx="54">
                  <c:v>260</c:v>
                </c:pt>
                <c:pt idx="55">
                  <c:v>264</c:v>
                </c:pt>
              </c:numCache>
            </c:numRef>
          </c:cat>
          <c:val>
            <c:numRef>
              <c:f>'Holly - graph'!$C$16:$C$29</c:f>
              <c:numCache>
                <c:formatCode>General</c:formatCode>
                <c:ptCount val="14"/>
                <c:pt idx="0">
                  <c:v>3.010049019607842</c:v>
                </c:pt>
                <c:pt idx="1">
                  <c:v>3.5017740429505158</c:v>
                </c:pt>
                <c:pt idx="2">
                  <c:v>4.4545454545454515</c:v>
                </c:pt>
                <c:pt idx="3">
                  <c:v>5.1299533799533785</c:v>
                </c:pt>
                <c:pt idx="4">
                  <c:v>5.8053613053613091</c:v>
                </c:pt>
                <c:pt idx="5">
                  <c:v>7.1543456543456534</c:v>
                </c:pt>
                <c:pt idx="6">
                  <c:v>7.6813159063159047</c:v>
                </c:pt>
                <c:pt idx="7">
                  <c:v>8.2082861582861586</c:v>
                </c:pt>
                <c:pt idx="8">
                  <c:v>8.7352564102564116</c:v>
                </c:pt>
                <c:pt idx="9">
                  <c:v>10.983906289788651</c:v>
                </c:pt>
                <c:pt idx="10">
                  <c:v>16.312820512820515</c:v>
                </c:pt>
                <c:pt idx="11">
                  <c:v>21.610256410256433</c:v>
                </c:pt>
                <c:pt idx="12">
                  <c:v>29.428205128205132</c:v>
                </c:pt>
                <c:pt idx="13">
                  <c:v>31.11410256410257</c:v>
                </c:pt>
              </c:numCache>
            </c:numRef>
          </c:val>
        </c:ser>
        <c:ser>
          <c:idx val="2"/>
          <c:order val="1"/>
          <c:tx>
            <c:v>COMT2</c:v>
          </c:tx>
          <c:spPr>
            <a:solidFill>
              <a:schemeClr val="accent1">
                <a:lumMod val="60000"/>
                <a:lumOff val="40000"/>
              </a:schemeClr>
            </a:solidFill>
          </c:spPr>
          <c:invertIfNegative val="0"/>
          <c:errBars>
            <c:errBarType val="both"/>
            <c:errValType val="cust"/>
            <c:noEndCap val="1"/>
            <c:plus>
              <c:numRef>
                <c:f>'Holly - graph'!$C$63:$P$63</c:f>
                <c:numCache>
                  <c:formatCode>General</c:formatCode>
                  <c:ptCount val="14"/>
                  <c:pt idx="0">
                    <c:v>0.28145853496520584</c:v>
                  </c:pt>
                  <c:pt idx="1">
                    <c:v>0.67994023915971757</c:v>
                  </c:pt>
                  <c:pt idx="2">
                    <c:v>0.34989366157495555</c:v>
                  </c:pt>
                  <c:pt idx="3">
                    <c:v>0.28734979412947043</c:v>
                  </c:pt>
                  <c:pt idx="4">
                    <c:v>0.32144186410700748</c:v>
                  </c:pt>
                  <c:pt idx="5">
                    <c:v>0.64035119882276059</c:v>
                  </c:pt>
                  <c:pt idx="6">
                    <c:v>0.62572643906146241</c:v>
                  </c:pt>
                  <c:pt idx="7">
                    <c:v>0.67962005124688585</c:v>
                  </c:pt>
                  <c:pt idx="8">
                    <c:v>0.78809845221431385</c:v>
                  </c:pt>
                  <c:pt idx="9">
                    <c:v>1.0496394793991535</c:v>
                  </c:pt>
                  <c:pt idx="10">
                    <c:v>1.5376172807077739</c:v>
                  </c:pt>
                  <c:pt idx="11">
                    <c:v>1.5438068515452497</c:v>
                  </c:pt>
                  <c:pt idx="12">
                    <c:v>1.5259760789296832</c:v>
                  </c:pt>
                  <c:pt idx="13">
                    <c:v>1.7065929111554279</c:v>
                  </c:pt>
                </c:numCache>
              </c:numRef>
            </c:plus>
            <c:minus>
              <c:numRef>
                <c:f>'Holly - graph'!$C$63:$P$63</c:f>
                <c:numCache>
                  <c:formatCode>General</c:formatCode>
                  <c:ptCount val="14"/>
                  <c:pt idx="0">
                    <c:v>0.28145853496520584</c:v>
                  </c:pt>
                  <c:pt idx="1">
                    <c:v>0.67994023915971757</c:v>
                  </c:pt>
                  <c:pt idx="2">
                    <c:v>0.34989366157495555</c:v>
                  </c:pt>
                  <c:pt idx="3">
                    <c:v>0.28734979412947043</c:v>
                  </c:pt>
                  <c:pt idx="4">
                    <c:v>0.32144186410700748</c:v>
                  </c:pt>
                  <c:pt idx="5">
                    <c:v>0.64035119882276059</c:v>
                  </c:pt>
                  <c:pt idx="6">
                    <c:v>0.62572643906146241</c:v>
                  </c:pt>
                  <c:pt idx="7">
                    <c:v>0.67962005124688585</c:v>
                  </c:pt>
                  <c:pt idx="8">
                    <c:v>0.78809845221431385</c:v>
                  </c:pt>
                  <c:pt idx="9">
                    <c:v>1.0496394793991535</c:v>
                  </c:pt>
                  <c:pt idx="10">
                    <c:v>1.5376172807077739</c:v>
                  </c:pt>
                  <c:pt idx="11">
                    <c:v>1.5438068515452497</c:v>
                  </c:pt>
                  <c:pt idx="12">
                    <c:v>1.5259760789296832</c:v>
                  </c:pt>
                  <c:pt idx="13">
                    <c:v>1.7065929111554279</c:v>
                  </c:pt>
                </c:numCache>
              </c:numRef>
            </c:minus>
          </c:errBars>
          <c:cat>
            <c:numRef>
              <c:f>'Holly - graph'!$B$2:$B$57</c:f>
              <c:numCache>
                <c:formatCode>General</c:formatCode>
                <c:ptCount val="56"/>
                <c:pt idx="0">
                  <c:v>22</c:v>
                </c:pt>
                <c:pt idx="1">
                  <c:v>29</c:v>
                </c:pt>
                <c:pt idx="2">
                  <c:v>6</c:v>
                </c:pt>
                <c:pt idx="3">
                  <c:v>13</c:v>
                </c:pt>
                <c:pt idx="4">
                  <c:v>19</c:v>
                </c:pt>
                <c:pt idx="5">
                  <c:v>24</c:v>
                </c:pt>
                <c:pt idx="6">
                  <c:v>1</c:v>
                </c:pt>
                <c:pt idx="7">
                  <c:v>9</c:v>
                </c:pt>
                <c:pt idx="8">
                  <c:v>17</c:v>
                </c:pt>
                <c:pt idx="9">
                  <c:v>24</c:v>
                </c:pt>
                <c:pt idx="10">
                  <c:v>31</c:v>
                </c:pt>
                <c:pt idx="11">
                  <c:v>6</c:v>
                </c:pt>
                <c:pt idx="12">
                  <c:v>16</c:v>
                </c:pt>
                <c:pt idx="13">
                  <c:v>20</c:v>
                </c:pt>
                <c:pt idx="14">
                  <c:v>174</c:v>
                </c:pt>
                <c:pt idx="15">
                  <c:v>181</c:v>
                </c:pt>
                <c:pt idx="16">
                  <c:v>188</c:v>
                </c:pt>
                <c:pt idx="17">
                  <c:v>195</c:v>
                </c:pt>
                <c:pt idx="18">
                  <c:v>201</c:v>
                </c:pt>
                <c:pt idx="19">
                  <c:v>206</c:v>
                </c:pt>
                <c:pt idx="20">
                  <c:v>214</c:v>
                </c:pt>
                <c:pt idx="21">
                  <c:v>222</c:v>
                </c:pt>
                <c:pt idx="22">
                  <c:v>230</c:v>
                </c:pt>
                <c:pt idx="23">
                  <c:v>237</c:v>
                </c:pt>
                <c:pt idx="24">
                  <c:v>244</c:v>
                </c:pt>
                <c:pt idx="25">
                  <c:v>250</c:v>
                </c:pt>
                <c:pt idx="26">
                  <c:v>260</c:v>
                </c:pt>
                <c:pt idx="27">
                  <c:v>264</c:v>
                </c:pt>
                <c:pt idx="28">
                  <c:v>174</c:v>
                </c:pt>
                <c:pt idx="29">
                  <c:v>181</c:v>
                </c:pt>
                <c:pt idx="30">
                  <c:v>188</c:v>
                </c:pt>
                <c:pt idx="31">
                  <c:v>195</c:v>
                </c:pt>
                <c:pt idx="32">
                  <c:v>201</c:v>
                </c:pt>
                <c:pt idx="33">
                  <c:v>206</c:v>
                </c:pt>
                <c:pt idx="34">
                  <c:v>214</c:v>
                </c:pt>
                <c:pt idx="35">
                  <c:v>222</c:v>
                </c:pt>
                <c:pt idx="36">
                  <c:v>230</c:v>
                </c:pt>
                <c:pt idx="37">
                  <c:v>237</c:v>
                </c:pt>
                <c:pt idx="38">
                  <c:v>244</c:v>
                </c:pt>
                <c:pt idx="39">
                  <c:v>250</c:v>
                </c:pt>
                <c:pt idx="40">
                  <c:v>260</c:v>
                </c:pt>
                <c:pt idx="41">
                  <c:v>264</c:v>
                </c:pt>
                <c:pt idx="42">
                  <c:v>174</c:v>
                </c:pt>
                <c:pt idx="43">
                  <c:v>181</c:v>
                </c:pt>
                <c:pt idx="44">
                  <c:v>188</c:v>
                </c:pt>
                <c:pt idx="45">
                  <c:v>195</c:v>
                </c:pt>
                <c:pt idx="46">
                  <c:v>201</c:v>
                </c:pt>
                <c:pt idx="47">
                  <c:v>206</c:v>
                </c:pt>
                <c:pt idx="48">
                  <c:v>214</c:v>
                </c:pt>
                <c:pt idx="49">
                  <c:v>222</c:v>
                </c:pt>
                <c:pt idx="50">
                  <c:v>230</c:v>
                </c:pt>
                <c:pt idx="51">
                  <c:v>237</c:v>
                </c:pt>
                <c:pt idx="52">
                  <c:v>244</c:v>
                </c:pt>
                <c:pt idx="53">
                  <c:v>250</c:v>
                </c:pt>
                <c:pt idx="54">
                  <c:v>260</c:v>
                </c:pt>
                <c:pt idx="55">
                  <c:v>264</c:v>
                </c:pt>
              </c:numCache>
            </c:numRef>
          </c:cat>
          <c:val>
            <c:numRef>
              <c:f>'Holly - graph'!$C$2:$C$15</c:f>
              <c:numCache>
                <c:formatCode>General</c:formatCode>
                <c:ptCount val="14"/>
                <c:pt idx="0">
                  <c:v>3.5255373303167432</c:v>
                </c:pt>
                <c:pt idx="1">
                  <c:v>3.5174598685628098</c:v>
                </c:pt>
                <c:pt idx="2">
                  <c:v>3.4131719995690584</c:v>
                </c:pt>
                <c:pt idx="3">
                  <c:v>4.4881711425829094</c:v>
                </c:pt>
                <c:pt idx="4">
                  <c:v>5.5631702855967555</c:v>
                </c:pt>
                <c:pt idx="5">
                  <c:v>6.8444805194805181</c:v>
                </c:pt>
                <c:pt idx="6">
                  <c:v>7.5920773670773665</c:v>
                </c:pt>
                <c:pt idx="7">
                  <c:v>8.339674214674222</c:v>
                </c:pt>
                <c:pt idx="8">
                  <c:v>9.0872710622710571</c:v>
                </c:pt>
                <c:pt idx="9">
                  <c:v>12.337048368298371</c:v>
                </c:pt>
                <c:pt idx="10">
                  <c:v>15.996657509157517</c:v>
                </c:pt>
                <c:pt idx="11">
                  <c:v>19.76190476190477</c:v>
                </c:pt>
                <c:pt idx="12">
                  <c:v>24.473626373626363</c:v>
                </c:pt>
                <c:pt idx="13">
                  <c:v>26.118306693306693</c:v>
                </c:pt>
              </c:numCache>
            </c:numRef>
          </c:val>
        </c:ser>
        <c:ser>
          <c:idx val="4"/>
          <c:order val="2"/>
          <c:tx>
            <c:strRef>
              <c:f>'Holly - graph'!$D$39</c:f>
              <c:strCache>
                <c:ptCount val="1"/>
              </c:strCache>
            </c:strRef>
          </c:tx>
          <c:spPr>
            <a:noFill/>
          </c:spPr>
          <c:invertIfNegative val="0"/>
          <c:val>
            <c:numRef>
              <c:f>'Holly - graph'!$E$40</c:f>
              <c:numCache>
                <c:formatCode>General</c:formatCode>
                <c:ptCount val="1"/>
              </c:numCache>
            </c:numRef>
          </c:val>
        </c:ser>
        <c:ser>
          <c:idx val="3"/>
          <c:order val="3"/>
          <c:tx>
            <c:v>Control</c:v>
          </c:tx>
          <c:spPr>
            <a:solidFill>
              <a:schemeClr val="accent3">
                <a:lumMod val="75000"/>
              </a:schemeClr>
            </a:solidFill>
          </c:spPr>
          <c:invertIfNegative val="0"/>
          <c:errBars>
            <c:errBarType val="both"/>
            <c:errValType val="cust"/>
            <c:noEndCap val="1"/>
            <c:plus>
              <c:numRef>
                <c:f>'Holly - graph'!$C$72:$P$72</c:f>
                <c:numCache>
                  <c:formatCode>General</c:formatCode>
                  <c:ptCount val="14"/>
                  <c:pt idx="0">
                    <c:v>0.45369372482753734</c:v>
                  </c:pt>
                  <c:pt idx="1">
                    <c:v>1.6263639738353306</c:v>
                  </c:pt>
                  <c:pt idx="2">
                    <c:v>1.8954906090320276</c:v>
                  </c:pt>
                  <c:pt idx="3">
                    <c:v>1.9830241012707719</c:v>
                  </c:pt>
                  <c:pt idx="4">
                    <c:v>2.1126109501802079</c:v>
                  </c:pt>
                  <c:pt idx="5">
                    <c:v>2.4051652522018752</c:v>
                  </c:pt>
                  <c:pt idx="6">
                    <c:v>2.2328783793535667</c:v>
                  </c:pt>
                  <c:pt idx="7">
                    <c:v>2.0767145358733088</c:v>
                  </c:pt>
                  <c:pt idx="8">
                    <c:v>1.9405700476839149</c:v>
                  </c:pt>
                  <c:pt idx="9">
                    <c:v>2.7106821100312839</c:v>
                  </c:pt>
                  <c:pt idx="10">
                    <c:v>4.3045339116557777</c:v>
                  </c:pt>
                  <c:pt idx="11">
                    <c:v>4.201975340359863</c:v>
                  </c:pt>
                  <c:pt idx="12">
                    <c:v>2.9881593629101184</c:v>
                  </c:pt>
                  <c:pt idx="13">
                    <c:v>2.8587737197667371</c:v>
                  </c:pt>
                </c:numCache>
              </c:numRef>
            </c:plus>
            <c:minus>
              <c:numRef>
                <c:f>'Holly - graph'!$C$72:$P$72</c:f>
                <c:numCache>
                  <c:formatCode>General</c:formatCode>
                  <c:ptCount val="14"/>
                  <c:pt idx="0">
                    <c:v>0.45369372482753734</c:v>
                  </c:pt>
                  <c:pt idx="1">
                    <c:v>1.6263639738353306</c:v>
                  </c:pt>
                  <c:pt idx="2">
                    <c:v>1.8954906090320276</c:v>
                  </c:pt>
                  <c:pt idx="3">
                    <c:v>1.9830241012707719</c:v>
                  </c:pt>
                  <c:pt idx="4">
                    <c:v>2.1126109501802079</c:v>
                  </c:pt>
                  <c:pt idx="5">
                    <c:v>2.4051652522018752</c:v>
                  </c:pt>
                  <c:pt idx="6">
                    <c:v>2.2328783793535667</c:v>
                  </c:pt>
                  <c:pt idx="7">
                    <c:v>2.0767145358733088</c:v>
                  </c:pt>
                  <c:pt idx="8">
                    <c:v>1.9405700476839149</c:v>
                  </c:pt>
                  <c:pt idx="9">
                    <c:v>2.7106821100312839</c:v>
                  </c:pt>
                  <c:pt idx="10">
                    <c:v>4.3045339116557777</c:v>
                  </c:pt>
                  <c:pt idx="11">
                    <c:v>4.201975340359863</c:v>
                  </c:pt>
                  <c:pt idx="12">
                    <c:v>2.9881593629101184</c:v>
                  </c:pt>
                  <c:pt idx="13">
                    <c:v>2.8587737197667371</c:v>
                  </c:pt>
                </c:numCache>
              </c:numRef>
            </c:minus>
          </c:errBars>
          <c:cat>
            <c:numRef>
              <c:f>'Holly - graph'!$B$2:$B$57</c:f>
              <c:numCache>
                <c:formatCode>General</c:formatCode>
                <c:ptCount val="56"/>
                <c:pt idx="0">
                  <c:v>22</c:v>
                </c:pt>
                <c:pt idx="1">
                  <c:v>29</c:v>
                </c:pt>
                <c:pt idx="2">
                  <c:v>6</c:v>
                </c:pt>
                <c:pt idx="3">
                  <c:v>13</c:v>
                </c:pt>
                <c:pt idx="4">
                  <c:v>19</c:v>
                </c:pt>
                <c:pt idx="5">
                  <c:v>24</c:v>
                </c:pt>
                <c:pt idx="6">
                  <c:v>1</c:v>
                </c:pt>
                <c:pt idx="7">
                  <c:v>9</c:v>
                </c:pt>
                <c:pt idx="8">
                  <c:v>17</c:v>
                </c:pt>
                <c:pt idx="9">
                  <c:v>24</c:v>
                </c:pt>
                <c:pt idx="10">
                  <c:v>31</c:v>
                </c:pt>
                <c:pt idx="11">
                  <c:v>6</c:v>
                </c:pt>
                <c:pt idx="12">
                  <c:v>16</c:v>
                </c:pt>
                <c:pt idx="13">
                  <c:v>20</c:v>
                </c:pt>
                <c:pt idx="14">
                  <c:v>174</c:v>
                </c:pt>
                <c:pt idx="15">
                  <c:v>181</c:v>
                </c:pt>
                <c:pt idx="16">
                  <c:v>188</c:v>
                </c:pt>
                <c:pt idx="17">
                  <c:v>195</c:v>
                </c:pt>
                <c:pt idx="18">
                  <c:v>201</c:v>
                </c:pt>
                <c:pt idx="19">
                  <c:v>206</c:v>
                </c:pt>
                <c:pt idx="20">
                  <c:v>214</c:v>
                </c:pt>
                <c:pt idx="21">
                  <c:v>222</c:v>
                </c:pt>
                <c:pt idx="22">
                  <c:v>230</c:v>
                </c:pt>
                <c:pt idx="23">
                  <c:v>237</c:v>
                </c:pt>
                <c:pt idx="24">
                  <c:v>244</c:v>
                </c:pt>
                <c:pt idx="25">
                  <c:v>250</c:v>
                </c:pt>
                <c:pt idx="26">
                  <c:v>260</c:v>
                </c:pt>
                <c:pt idx="27">
                  <c:v>264</c:v>
                </c:pt>
                <c:pt idx="28">
                  <c:v>174</c:v>
                </c:pt>
                <c:pt idx="29">
                  <c:v>181</c:v>
                </c:pt>
                <c:pt idx="30">
                  <c:v>188</c:v>
                </c:pt>
                <c:pt idx="31">
                  <c:v>195</c:v>
                </c:pt>
                <c:pt idx="32">
                  <c:v>201</c:v>
                </c:pt>
                <c:pt idx="33">
                  <c:v>206</c:v>
                </c:pt>
                <c:pt idx="34">
                  <c:v>214</c:v>
                </c:pt>
                <c:pt idx="35">
                  <c:v>222</c:v>
                </c:pt>
                <c:pt idx="36">
                  <c:v>230</c:v>
                </c:pt>
                <c:pt idx="37">
                  <c:v>237</c:v>
                </c:pt>
                <c:pt idx="38">
                  <c:v>244</c:v>
                </c:pt>
                <c:pt idx="39">
                  <c:v>250</c:v>
                </c:pt>
                <c:pt idx="40">
                  <c:v>260</c:v>
                </c:pt>
                <c:pt idx="41">
                  <c:v>264</c:v>
                </c:pt>
                <c:pt idx="42">
                  <c:v>174</c:v>
                </c:pt>
                <c:pt idx="43">
                  <c:v>181</c:v>
                </c:pt>
                <c:pt idx="44">
                  <c:v>188</c:v>
                </c:pt>
                <c:pt idx="45">
                  <c:v>195</c:v>
                </c:pt>
                <c:pt idx="46">
                  <c:v>201</c:v>
                </c:pt>
                <c:pt idx="47">
                  <c:v>206</c:v>
                </c:pt>
                <c:pt idx="48">
                  <c:v>214</c:v>
                </c:pt>
                <c:pt idx="49">
                  <c:v>222</c:v>
                </c:pt>
                <c:pt idx="50">
                  <c:v>230</c:v>
                </c:pt>
                <c:pt idx="51">
                  <c:v>237</c:v>
                </c:pt>
                <c:pt idx="52">
                  <c:v>244</c:v>
                </c:pt>
                <c:pt idx="53">
                  <c:v>250</c:v>
                </c:pt>
                <c:pt idx="54">
                  <c:v>260</c:v>
                </c:pt>
                <c:pt idx="55">
                  <c:v>264</c:v>
                </c:pt>
              </c:numCache>
            </c:numRef>
          </c:cat>
          <c:val>
            <c:numRef>
              <c:f>'Holly - graph'!$C$44:$C$57</c:f>
              <c:numCache>
                <c:formatCode>General</c:formatCode>
                <c:ptCount val="14"/>
                <c:pt idx="0">
                  <c:v>3.025641025641026</c:v>
                </c:pt>
                <c:pt idx="1">
                  <c:v>4.7054945054945074</c:v>
                </c:pt>
                <c:pt idx="2">
                  <c:v>4.6117216117216122</c:v>
                </c:pt>
                <c:pt idx="3">
                  <c:v>6.1386280386280392</c:v>
                </c:pt>
                <c:pt idx="4">
                  <c:v>7.6655344655344653</c:v>
                </c:pt>
                <c:pt idx="5">
                  <c:v>9.1096903096903148</c:v>
                </c:pt>
                <c:pt idx="6">
                  <c:v>9.2657675657675664</c:v>
                </c:pt>
                <c:pt idx="7">
                  <c:v>9.4218448218448234</c:v>
                </c:pt>
                <c:pt idx="8">
                  <c:v>9.5779220779220804</c:v>
                </c:pt>
                <c:pt idx="9">
                  <c:v>12.666666666666668</c:v>
                </c:pt>
                <c:pt idx="10">
                  <c:v>15.508241758241756</c:v>
                </c:pt>
                <c:pt idx="11">
                  <c:v>18.956959706959704</c:v>
                </c:pt>
                <c:pt idx="12">
                  <c:v>23.700299700299691</c:v>
                </c:pt>
                <c:pt idx="13">
                  <c:v>25.07875457875458</c:v>
                </c:pt>
              </c:numCache>
            </c:numRef>
          </c:val>
        </c:ser>
        <c:ser>
          <c:idx val="1"/>
          <c:order val="4"/>
          <c:tx>
            <c:v>COMT3</c:v>
          </c:tx>
          <c:spPr>
            <a:solidFill>
              <a:schemeClr val="accent3">
                <a:lumMod val="60000"/>
                <a:lumOff val="40000"/>
              </a:schemeClr>
            </a:solidFill>
          </c:spPr>
          <c:invertIfNegative val="0"/>
          <c:errBars>
            <c:errBarType val="both"/>
            <c:errValType val="cust"/>
            <c:noEndCap val="1"/>
            <c:plus>
              <c:numRef>
                <c:f>'Holly - graph'!$C$69:$P$69</c:f>
                <c:numCache>
                  <c:formatCode>General</c:formatCode>
                  <c:ptCount val="14"/>
                  <c:pt idx="0">
                    <c:v>0.30272000133926591</c:v>
                  </c:pt>
                  <c:pt idx="1">
                    <c:v>0.52391498914650891</c:v>
                  </c:pt>
                  <c:pt idx="2">
                    <c:v>0.56946070159328621</c:v>
                  </c:pt>
                  <c:pt idx="3">
                    <c:v>0.44678760750805485</c:v>
                  </c:pt>
                  <c:pt idx="4">
                    <c:v>0.38872462254566015</c:v>
                  </c:pt>
                  <c:pt idx="5">
                    <c:v>0.76716375121577163</c:v>
                  </c:pt>
                  <c:pt idx="6">
                    <c:v>0.66748849780599762</c:v>
                  </c:pt>
                  <c:pt idx="7">
                    <c:v>0.72178967505816916</c:v>
                  </c:pt>
                  <c:pt idx="8">
                    <c:v>0.90269515459609584</c:v>
                  </c:pt>
                  <c:pt idx="9">
                    <c:v>0.96279525107992836</c:v>
                  </c:pt>
                  <c:pt idx="10">
                    <c:v>1.2425000520553062</c:v>
                  </c:pt>
                  <c:pt idx="11">
                    <c:v>1.5333702832685521</c:v>
                  </c:pt>
                  <c:pt idx="12">
                    <c:v>1.8852967284466344</c:v>
                  </c:pt>
                  <c:pt idx="13">
                    <c:v>1.8945683001850484</c:v>
                  </c:pt>
                </c:numCache>
              </c:numRef>
            </c:plus>
            <c:minus>
              <c:numRef>
                <c:f>'Holly - graph'!$C$69:$P$69</c:f>
                <c:numCache>
                  <c:formatCode>General</c:formatCode>
                  <c:ptCount val="14"/>
                  <c:pt idx="0">
                    <c:v>0.30272000133926591</c:v>
                  </c:pt>
                  <c:pt idx="1">
                    <c:v>0.52391498914650891</c:v>
                  </c:pt>
                  <c:pt idx="2">
                    <c:v>0.56946070159328621</c:v>
                  </c:pt>
                  <c:pt idx="3">
                    <c:v>0.44678760750805485</c:v>
                  </c:pt>
                  <c:pt idx="4">
                    <c:v>0.38872462254566015</c:v>
                  </c:pt>
                  <c:pt idx="5">
                    <c:v>0.76716375121577163</c:v>
                  </c:pt>
                  <c:pt idx="6">
                    <c:v>0.66748849780599762</c:v>
                  </c:pt>
                  <c:pt idx="7">
                    <c:v>0.72178967505816916</c:v>
                  </c:pt>
                  <c:pt idx="8">
                    <c:v>0.90269515459609584</c:v>
                  </c:pt>
                  <c:pt idx="9">
                    <c:v>0.96279525107992836</c:v>
                  </c:pt>
                  <c:pt idx="10">
                    <c:v>1.2425000520553062</c:v>
                  </c:pt>
                  <c:pt idx="11">
                    <c:v>1.5333702832685521</c:v>
                  </c:pt>
                  <c:pt idx="12">
                    <c:v>1.8852967284466344</c:v>
                  </c:pt>
                  <c:pt idx="13">
                    <c:v>1.8945683001850484</c:v>
                  </c:pt>
                </c:numCache>
              </c:numRef>
            </c:minus>
          </c:errBars>
          <c:cat>
            <c:numRef>
              <c:f>'Holly - graph'!$B$2:$B$57</c:f>
              <c:numCache>
                <c:formatCode>General</c:formatCode>
                <c:ptCount val="56"/>
                <c:pt idx="0">
                  <c:v>22</c:v>
                </c:pt>
                <c:pt idx="1">
                  <c:v>29</c:v>
                </c:pt>
                <c:pt idx="2">
                  <c:v>6</c:v>
                </c:pt>
                <c:pt idx="3">
                  <c:v>13</c:v>
                </c:pt>
                <c:pt idx="4">
                  <c:v>19</c:v>
                </c:pt>
                <c:pt idx="5">
                  <c:v>24</c:v>
                </c:pt>
                <c:pt idx="6">
                  <c:v>1</c:v>
                </c:pt>
                <c:pt idx="7">
                  <c:v>9</c:v>
                </c:pt>
                <c:pt idx="8">
                  <c:v>17</c:v>
                </c:pt>
                <c:pt idx="9">
                  <c:v>24</c:v>
                </c:pt>
                <c:pt idx="10">
                  <c:v>31</c:v>
                </c:pt>
                <c:pt idx="11">
                  <c:v>6</c:v>
                </c:pt>
                <c:pt idx="12">
                  <c:v>16</c:v>
                </c:pt>
                <c:pt idx="13">
                  <c:v>20</c:v>
                </c:pt>
                <c:pt idx="14">
                  <c:v>174</c:v>
                </c:pt>
                <c:pt idx="15">
                  <c:v>181</c:v>
                </c:pt>
                <c:pt idx="16">
                  <c:v>188</c:v>
                </c:pt>
                <c:pt idx="17">
                  <c:v>195</c:v>
                </c:pt>
                <c:pt idx="18">
                  <c:v>201</c:v>
                </c:pt>
                <c:pt idx="19">
                  <c:v>206</c:v>
                </c:pt>
                <c:pt idx="20">
                  <c:v>214</c:v>
                </c:pt>
                <c:pt idx="21">
                  <c:v>222</c:v>
                </c:pt>
                <c:pt idx="22">
                  <c:v>230</c:v>
                </c:pt>
                <c:pt idx="23">
                  <c:v>237</c:v>
                </c:pt>
                <c:pt idx="24">
                  <c:v>244</c:v>
                </c:pt>
                <c:pt idx="25">
                  <c:v>250</c:v>
                </c:pt>
                <c:pt idx="26">
                  <c:v>260</c:v>
                </c:pt>
                <c:pt idx="27">
                  <c:v>264</c:v>
                </c:pt>
                <c:pt idx="28">
                  <c:v>174</c:v>
                </c:pt>
                <c:pt idx="29">
                  <c:v>181</c:v>
                </c:pt>
                <c:pt idx="30">
                  <c:v>188</c:v>
                </c:pt>
                <c:pt idx="31">
                  <c:v>195</c:v>
                </c:pt>
                <c:pt idx="32">
                  <c:v>201</c:v>
                </c:pt>
                <c:pt idx="33">
                  <c:v>206</c:v>
                </c:pt>
                <c:pt idx="34">
                  <c:v>214</c:v>
                </c:pt>
                <c:pt idx="35">
                  <c:v>222</c:v>
                </c:pt>
                <c:pt idx="36">
                  <c:v>230</c:v>
                </c:pt>
                <c:pt idx="37">
                  <c:v>237</c:v>
                </c:pt>
                <c:pt idx="38">
                  <c:v>244</c:v>
                </c:pt>
                <c:pt idx="39">
                  <c:v>250</c:v>
                </c:pt>
                <c:pt idx="40">
                  <c:v>260</c:v>
                </c:pt>
                <c:pt idx="41">
                  <c:v>264</c:v>
                </c:pt>
                <c:pt idx="42">
                  <c:v>174</c:v>
                </c:pt>
                <c:pt idx="43">
                  <c:v>181</c:v>
                </c:pt>
                <c:pt idx="44">
                  <c:v>188</c:v>
                </c:pt>
                <c:pt idx="45">
                  <c:v>195</c:v>
                </c:pt>
                <c:pt idx="46">
                  <c:v>201</c:v>
                </c:pt>
                <c:pt idx="47">
                  <c:v>206</c:v>
                </c:pt>
                <c:pt idx="48">
                  <c:v>214</c:v>
                </c:pt>
                <c:pt idx="49">
                  <c:v>222</c:v>
                </c:pt>
                <c:pt idx="50">
                  <c:v>230</c:v>
                </c:pt>
                <c:pt idx="51">
                  <c:v>237</c:v>
                </c:pt>
                <c:pt idx="52">
                  <c:v>244</c:v>
                </c:pt>
                <c:pt idx="53">
                  <c:v>250</c:v>
                </c:pt>
                <c:pt idx="54">
                  <c:v>260</c:v>
                </c:pt>
                <c:pt idx="55">
                  <c:v>264</c:v>
                </c:pt>
              </c:numCache>
            </c:numRef>
          </c:cat>
          <c:val>
            <c:numRef>
              <c:f>'Holly - graph'!$C$30:$C$43</c:f>
              <c:numCache>
                <c:formatCode>General</c:formatCode>
                <c:ptCount val="14"/>
                <c:pt idx="0">
                  <c:v>3.2937055591467352</c:v>
                </c:pt>
                <c:pt idx="1">
                  <c:v>3.5630723443223449</c:v>
                </c:pt>
                <c:pt idx="2">
                  <c:v>4.4448717948717968</c:v>
                </c:pt>
                <c:pt idx="3">
                  <c:v>4.841550116550116</c:v>
                </c:pt>
                <c:pt idx="4">
                  <c:v>5.2382284382284405</c:v>
                </c:pt>
                <c:pt idx="5">
                  <c:v>7.655719280719282</c:v>
                </c:pt>
                <c:pt idx="6">
                  <c:v>7.9591519591519582</c:v>
                </c:pt>
                <c:pt idx="7">
                  <c:v>8.2625846375846486</c:v>
                </c:pt>
                <c:pt idx="8">
                  <c:v>8.566017316017323</c:v>
                </c:pt>
                <c:pt idx="9">
                  <c:v>10.871722027972034</c:v>
                </c:pt>
                <c:pt idx="10">
                  <c:v>16.128373709623716</c:v>
                </c:pt>
                <c:pt idx="11">
                  <c:v>20.142199467199475</c:v>
                </c:pt>
                <c:pt idx="12">
                  <c:v>28.534453046953047</c:v>
                </c:pt>
                <c:pt idx="13">
                  <c:v>31.198817848817846</c:v>
                </c:pt>
              </c:numCache>
            </c:numRef>
          </c:val>
        </c:ser>
        <c:dLbls>
          <c:showLegendKey val="0"/>
          <c:showVal val="0"/>
          <c:showCatName val="0"/>
          <c:showSerName val="0"/>
          <c:showPercent val="0"/>
          <c:showBubbleSize val="0"/>
        </c:dLbls>
        <c:gapWidth val="360"/>
        <c:axId val="570222256"/>
        <c:axId val="570222648"/>
      </c:barChart>
      <c:catAx>
        <c:axId val="570222256"/>
        <c:scaling>
          <c:orientation val="minMax"/>
        </c:scaling>
        <c:delete val="0"/>
        <c:axPos val="b"/>
        <c:title>
          <c:tx>
            <c:rich>
              <a:bodyPr/>
              <a:lstStyle/>
              <a:p>
                <a:pPr>
                  <a:defRPr/>
                </a:pPr>
                <a:r>
                  <a:rPr lang="en-US"/>
                  <a:t>Date</a:t>
                </a:r>
              </a:p>
            </c:rich>
          </c:tx>
          <c:layout>
            <c:manualLayout>
              <c:xMode val="edge"/>
              <c:yMode val="edge"/>
              <c:x val="0.4602420795404204"/>
              <c:y val="0.91474328250774672"/>
            </c:manualLayout>
          </c:layout>
          <c:overlay val="0"/>
        </c:title>
        <c:numFmt formatCode="General" sourceLinked="0"/>
        <c:majorTickMark val="out"/>
        <c:minorTickMark val="none"/>
        <c:tickLblPos val="nextTo"/>
        <c:crossAx val="570222648"/>
        <c:crosses val="autoZero"/>
        <c:auto val="1"/>
        <c:lblAlgn val="ctr"/>
        <c:lblOffset val="100"/>
        <c:noMultiLvlLbl val="0"/>
      </c:catAx>
      <c:valAx>
        <c:axId val="570222648"/>
        <c:scaling>
          <c:orientation val="minMax"/>
          <c:max val="40"/>
          <c:min val="0"/>
        </c:scaling>
        <c:delete val="0"/>
        <c:axPos val="l"/>
        <c:title>
          <c:tx>
            <c:rich>
              <a:bodyPr rot="-5400000" vert="horz"/>
              <a:lstStyle/>
              <a:p>
                <a:pPr>
                  <a:defRPr/>
                </a:pPr>
                <a:r>
                  <a:rPr lang="en-US"/>
                  <a:t>Area of leaf covered with uredia</a:t>
                </a:r>
              </a:p>
              <a:p>
                <a:pPr>
                  <a:defRPr/>
                </a:pPr>
                <a:r>
                  <a:rPr lang="en-US"/>
                  <a:t> (%)</a:t>
                </a:r>
              </a:p>
            </c:rich>
          </c:tx>
          <c:layout>
            <c:manualLayout>
              <c:xMode val="edge"/>
              <c:yMode val="edge"/>
              <c:x val="4.5772825109664812E-5"/>
              <c:y val="0.18013079468745341"/>
            </c:manualLayout>
          </c:layout>
          <c:overlay val="0"/>
        </c:title>
        <c:numFmt formatCode="#,##0.0" sourceLinked="0"/>
        <c:majorTickMark val="out"/>
        <c:minorTickMark val="none"/>
        <c:tickLblPos val="nextTo"/>
        <c:crossAx val="570222256"/>
        <c:crosses val="autoZero"/>
        <c:crossBetween val="between"/>
      </c:valAx>
    </c:plotArea>
    <c:legend>
      <c:legendPos val="r"/>
      <c:layout>
        <c:manualLayout>
          <c:xMode val="edge"/>
          <c:yMode val="edge"/>
          <c:x val="0.14500554944243901"/>
          <c:y val="8.3569553805774507E-2"/>
          <c:w val="0.13554587314302841"/>
          <c:h val="0.24423142759329425"/>
        </c:manualLayout>
      </c:layout>
      <c:overlay val="0"/>
    </c:legend>
    <c:plotVisOnly val="1"/>
    <c:dispBlanksAs val="gap"/>
    <c:showDLblsOverMax val="0"/>
  </c:chart>
  <c:spPr>
    <a:ln>
      <a:noFill/>
    </a:ln>
  </c:spPr>
  <c:txPr>
    <a:bodyPr/>
    <a:lstStyle/>
    <a:p>
      <a:pPr>
        <a:defRPr sz="900">
          <a:latin typeface="Times New Roman" pitchFamily="18" charset="0"/>
          <a:cs typeface="Times New Roman" pitchFamily="18" charset="0"/>
        </a:defRPr>
      </a:pPr>
      <a:endParaRPr lang="en-US"/>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99"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899" b="0">
                <a:solidFill>
                  <a:sysClr val="windowText" lastClr="000000"/>
                </a:solidFill>
                <a:latin typeface="Times New Roman" panose="02020603050405020304" pitchFamily="18" charset="0"/>
                <a:cs typeface="Times New Roman" panose="02020603050405020304" pitchFamily="18" charset="0"/>
              </a:rPr>
              <a:t>(b)</a:t>
            </a:r>
          </a:p>
        </c:rich>
      </c:tx>
      <c:layout>
        <c:manualLayout>
          <c:xMode val="edge"/>
          <c:yMode val="edge"/>
          <c:x val="2.6076929063112405E-3"/>
          <c:y val="0"/>
        </c:manualLayout>
      </c:layout>
      <c:overlay val="0"/>
      <c:spPr>
        <a:noFill/>
        <a:ln w="25382">
          <a:noFill/>
        </a:ln>
      </c:spPr>
    </c:title>
    <c:autoTitleDeleted val="0"/>
    <c:plotArea>
      <c:layout>
        <c:manualLayout>
          <c:layoutTarget val="inner"/>
          <c:xMode val="edge"/>
          <c:yMode val="edge"/>
          <c:x val="0.24029264551256516"/>
          <c:y val="5.1944439899874018E-2"/>
          <c:w val="0.56330094958851862"/>
          <c:h val="0.86765461703650726"/>
        </c:manualLayout>
      </c:layout>
      <c:barChart>
        <c:barDir val="col"/>
        <c:grouping val="clustered"/>
        <c:varyColors val="0"/>
        <c:ser>
          <c:idx val="0"/>
          <c:order val="0"/>
          <c:tx>
            <c:strRef>
              <c:f>Sheet1!$A$2</c:f>
              <c:strCache>
                <c:ptCount val="1"/>
                <c:pt idx="0">
                  <c:v>Control</c:v>
                </c:pt>
              </c:strCache>
            </c:strRef>
          </c:tx>
          <c:spPr>
            <a:solidFill>
              <a:schemeClr val="dk1">
                <a:tint val="88500"/>
              </a:schemeClr>
            </a:solidFill>
            <a:ln>
              <a:noFill/>
            </a:ln>
            <a:effectLst/>
          </c:spPr>
          <c:invertIfNegative val="0"/>
          <c:errBars>
            <c:errBarType val="both"/>
            <c:errValType val="cust"/>
            <c:noEndCap val="0"/>
            <c:plus>
              <c:numRef>
                <c:f>Sheet1!$E$2</c:f>
                <c:numCache>
                  <c:formatCode>General</c:formatCode>
                  <c:ptCount val="1"/>
                  <c:pt idx="0">
                    <c:v>4.4412016050660492</c:v>
                  </c:pt>
                </c:numCache>
              </c:numRef>
            </c:plus>
            <c:minus>
              <c:numRef>
                <c:f>Sheet1!$E$2</c:f>
                <c:numCache>
                  <c:formatCode>General</c:formatCode>
                  <c:ptCount val="1"/>
                  <c:pt idx="0">
                    <c:v>4.4412016050660492</c:v>
                  </c:pt>
                </c:numCache>
              </c:numRef>
            </c:minus>
            <c:spPr>
              <a:noFill/>
              <a:ln w="9518" cap="flat" cmpd="sng" algn="ctr">
                <a:solidFill>
                  <a:schemeClr val="tx1"/>
                </a:solidFill>
                <a:round/>
              </a:ln>
              <a:effectLst/>
            </c:spPr>
          </c:errBars>
          <c:cat>
            <c:numRef>
              <c:f>Sheet1!$S$3</c:f>
              <c:numCache>
                <c:formatCode>General</c:formatCode>
                <c:ptCount val="1"/>
              </c:numCache>
            </c:numRef>
          </c:cat>
          <c:val>
            <c:numRef>
              <c:f>Sheet1!$C$2</c:f>
              <c:numCache>
                <c:formatCode>General</c:formatCode>
                <c:ptCount val="1"/>
                <c:pt idx="0">
                  <c:v>100</c:v>
                </c:pt>
              </c:numCache>
            </c:numRef>
          </c:val>
        </c:ser>
        <c:ser>
          <c:idx val="1"/>
          <c:order val="1"/>
          <c:tx>
            <c:v>Transgenic</c:v>
          </c:tx>
          <c:spPr>
            <a:solidFill>
              <a:schemeClr val="bg1">
                <a:lumMod val="65000"/>
              </a:schemeClr>
            </a:solidFill>
            <a:ln>
              <a:noFill/>
            </a:ln>
            <a:effectLst/>
          </c:spPr>
          <c:invertIfNegative val="0"/>
          <c:errBars>
            <c:errBarType val="both"/>
            <c:errValType val="cust"/>
            <c:noEndCap val="0"/>
            <c:plus>
              <c:numRef>
                <c:f>Sheet1!$E$3</c:f>
                <c:numCache>
                  <c:formatCode>General</c:formatCode>
                  <c:ptCount val="1"/>
                  <c:pt idx="0">
                    <c:v>2.9790136695177107</c:v>
                  </c:pt>
                </c:numCache>
              </c:numRef>
            </c:plus>
            <c:minus>
              <c:numRef>
                <c:f>Sheet1!$E$3</c:f>
                <c:numCache>
                  <c:formatCode>General</c:formatCode>
                  <c:ptCount val="1"/>
                  <c:pt idx="0">
                    <c:v>2.9790136695177107</c:v>
                  </c:pt>
                </c:numCache>
              </c:numRef>
            </c:minus>
            <c:spPr>
              <a:noFill/>
              <a:ln w="9518" cap="flat" cmpd="sng" algn="ctr">
                <a:solidFill>
                  <a:schemeClr val="tx1"/>
                </a:solidFill>
                <a:round/>
              </a:ln>
              <a:effectLst/>
            </c:spPr>
          </c:errBars>
          <c:cat>
            <c:numRef>
              <c:f>Sheet1!$S$3</c:f>
              <c:numCache>
                <c:formatCode>General</c:formatCode>
                <c:ptCount val="1"/>
              </c:numCache>
            </c:numRef>
          </c:cat>
          <c:val>
            <c:numRef>
              <c:f>Sheet1!$C$3</c:f>
              <c:numCache>
                <c:formatCode>General</c:formatCode>
                <c:ptCount val="1"/>
                <c:pt idx="0">
                  <c:v>11.546130608266752</c:v>
                </c:pt>
              </c:numCache>
            </c:numRef>
          </c:val>
        </c:ser>
        <c:ser>
          <c:idx val="2"/>
          <c:order val="2"/>
          <c:tx>
            <c:strRef>
              <c:f>Sheet1!$A$4</c:f>
              <c:strCache>
                <c:ptCount val="1"/>
              </c:strCache>
            </c:strRef>
          </c:tx>
          <c:spPr>
            <a:solidFill>
              <a:schemeClr val="dk1">
                <a:tint val="75000"/>
              </a:schemeClr>
            </a:solidFill>
            <a:ln>
              <a:noFill/>
            </a:ln>
            <a:effectLst/>
          </c:spPr>
          <c:invertIfNegative val="0"/>
          <c:cat>
            <c:numRef>
              <c:f>Sheet1!$S$3</c:f>
              <c:numCache>
                <c:formatCode>General</c:formatCode>
                <c:ptCount val="1"/>
              </c:numCache>
            </c:numRef>
          </c:cat>
          <c:val>
            <c:numRef>
              <c:f>Sheet1!$B$4</c:f>
              <c:numCache>
                <c:formatCode>General</c:formatCode>
                <c:ptCount val="1"/>
              </c:numCache>
            </c:numRef>
          </c:val>
        </c:ser>
        <c:ser>
          <c:idx val="3"/>
          <c:order val="3"/>
          <c:tx>
            <c:strRef>
              <c:f>Sheet1!$A$5</c:f>
              <c:strCache>
                <c:ptCount val="1"/>
                <c:pt idx="0">
                  <c:v>Control</c:v>
                </c:pt>
              </c:strCache>
            </c:strRef>
          </c:tx>
          <c:spPr>
            <a:solidFill>
              <a:schemeClr val="tx1">
                <a:lumMod val="65000"/>
                <a:lumOff val="35000"/>
              </a:schemeClr>
            </a:solidFill>
            <a:ln>
              <a:noFill/>
            </a:ln>
            <a:effectLst/>
          </c:spPr>
          <c:invertIfNegative val="0"/>
          <c:errBars>
            <c:errBarType val="both"/>
            <c:errValType val="cust"/>
            <c:noEndCap val="0"/>
            <c:plus>
              <c:numRef>
                <c:f>Sheet1!$E$5</c:f>
                <c:numCache>
                  <c:formatCode>General</c:formatCode>
                  <c:ptCount val="1"/>
                  <c:pt idx="0">
                    <c:v>10.792851898962002</c:v>
                  </c:pt>
                </c:numCache>
              </c:numRef>
            </c:plus>
            <c:minus>
              <c:numRef>
                <c:f>Sheet1!$E$5</c:f>
                <c:numCache>
                  <c:formatCode>General</c:formatCode>
                  <c:ptCount val="1"/>
                  <c:pt idx="0">
                    <c:v>10.792851898962002</c:v>
                  </c:pt>
                </c:numCache>
              </c:numRef>
            </c:minus>
            <c:spPr>
              <a:noFill/>
              <a:ln w="9518" cap="flat" cmpd="sng" algn="ctr">
                <a:solidFill>
                  <a:schemeClr val="tx1"/>
                </a:solidFill>
                <a:round/>
              </a:ln>
              <a:effectLst/>
            </c:spPr>
          </c:errBars>
          <c:cat>
            <c:numRef>
              <c:f>Sheet1!$S$3</c:f>
              <c:numCache>
                <c:formatCode>General</c:formatCode>
                <c:ptCount val="1"/>
              </c:numCache>
            </c:numRef>
          </c:cat>
          <c:val>
            <c:numRef>
              <c:f>Sheet1!$C$5</c:f>
              <c:numCache>
                <c:formatCode>General</c:formatCode>
                <c:ptCount val="1"/>
                <c:pt idx="0">
                  <c:v>100</c:v>
                </c:pt>
              </c:numCache>
            </c:numRef>
          </c:val>
        </c:ser>
        <c:ser>
          <c:idx val="4"/>
          <c:order val="4"/>
          <c:tx>
            <c:strRef>
              <c:f>Sheet1!$A$6</c:f>
              <c:strCache>
                <c:ptCount val="1"/>
                <c:pt idx="0">
                  <c:v>T1COMT3</c:v>
                </c:pt>
              </c:strCache>
            </c:strRef>
          </c:tx>
          <c:spPr>
            <a:solidFill>
              <a:schemeClr val="bg1">
                <a:lumMod val="65000"/>
              </a:schemeClr>
            </a:solidFill>
            <a:ln>
              <a:noFill/>
            </a:ln>
            <a:effectLst/>
          </c:spPr>
          <c:invertIfNegative val="0"/>
          <c:errBars>
            <c:errBarType val="both"/>
            <c:errValType val="cust"/>
            <c:noEndCap val="0"/>
            <c:plus>
              <c:numRef>
                <c:f>Sheet1!$E$6</c:f>
                <c:numCache>
                  <c:formatCode>General</c:formatCode>
                  <c:ptCount val="1"/>
                  <c:pt idx="0">
                    <c:v>4.526000496421581</c:v>
                  </c:pt>
                </c:numCache>
              </c:numRef>
            </c:plus>
            <c:minus>
              <c:numRef>
                <c:f>Sheet1!$E$6</c:f>
                <c:numCache>
                  <c:formatCode>General</c:formatCode>
                  <c:ptCount val="1"/>
                  <c:pt idx="0">
                    <c:v>4.526000496421581</c:v>
                  </c:pt>
                </c:numCache>
              </c:numRef>
            </c:minus>
            <c:spPr>
              <a:noFill/>
              <a:ln w="9518" cap="flat" cmpd="sng" algn="ctr">
                <a:solidFill>
                  <a:schemeClr val="tx1"/>
                </a:solidFill>
                <a:round/>
              </a:ln>
              <a:effectLst/>
            </c:spPr>
          </c:errBars>
          <c:cat>
            <c:numRef>
              <c:f>Sheet1!$S$3</c:f>
              <c:numCache>
                <c:formatCode>General</c:formatCode>
                <c:ptCount val="1"/>
              </c:numCache>
            </c:numRef>
          </c:cat>
          <c:val>
            <c:numRef>
              <c:f>Sheet1!$C$6</c:f>
              <c:numCache>
                <c:formatCode>General</c:formatCode>
                <c:ptCount val="1"/>
                <c:pt idx="0">
                  <c:v>17.93763884238475</c:v>
                </c:pt>
              </c:numCache>
            </c:numRef>
          </c:val>
        </c:ser>
        <c:dLbls>
          <c:showLegendKey val="0"/>
          <c:showVal val="0"/>
          <c:showCatName val="0"/>
          <c:showSerName val="0"/>
          <c:showPercent val="0"/>
          <c:showBubbleSize val="0"/>
        </c:dLbls>
        <c:gapWidth val="150"/>
        <c:axId val="298205720"/>
        <c:axId val="298211208"/>
      </c:barChart>
      <c:catAx>
        <c:axId val="298205720"/>
        <c:scaling>
          <c:orientation val="minMax"/>
        </c:scaling>
        <c:delete val="0"/>
        <c:axPos val="b"/>
        <c:numFmt formatCode="General" sourceLinked="1"/>
        <c:majorTickMark val="none"/>
        <c:minorTickMark val="none"/>
        <c:tickLblPos val="nextTo"/>
        <c:spPr>
          <a:noFill/>
          <a:ln w="9518" cap="flat" cmpd="sng" algn="ctr">
            <a:solidFill>
              <a:schemeClr val="tx1">
                <a:lumMod val="50000"/>
                <a:lumOff val="50000"/>
              </a:schemeClr>
            </a:solidFill>
            <a:round/>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en-US"/>
          </a:p>
        </c:txPr>
        <c:crossAx val="298211208"/>
        <c:crosses val="autoZero"/>
        <c:auto val="1"/>
        <c:lblAlgn val="ctr"/>
        <c:lblOffset val="100"/>
        <c:noMultiLvlLbl val="0"/>
      </c:catAx>
      <c:valAx>
        <c:axId val="298211208"/>
        <c:scaling>
          <c:orientation val="minMax"/>
          <c:max val="140"/>
        </c:scaling>
        <c:delete val="0"/>
        <c:axPos val="l"/>
        <c:title>
          <c:tx>
            <c:rich>
              <a:bodyPr/>
              <a:lstStyle/>
              <a:p>
                <a:pPr>
                  <a:defRPr sz="1099" b="0" i="0" u="none" strike="noStrike" baseline="0">
                    <a:solidFill>
                      <a:srgbClr val="000000"/>
                    </a:solidFill>
                    <a:latin typeface="Calibri"/>
                    <a:ea typeface="Calibri"/>
                    <a:cs typeface="Calibri"/>
                  </a:defRPr>
                </a:pPr>
                <a:r>
                  <a:rPr lang="en-US" sz="899" b="0" i="1" u="none" strike="noStrike" baseline="0">
                    <a:solidFill>
                      <a:srgbClr val="000000"/>
                    </a:solidFill>
                    <a:latin typeface="Times New Roman"/>
                    <a:cs typeface="Times New Roman"/>
                  </a:rPr>
                  <a:t>COMT</a:t>
                </a:r>
                <a:r>
                  <a:rPr lang="en-US" sz="899" b="0" i="0" u="none" strike="noStrike" baseline="0">
                    <a:solidFill>
                      <a:srgbClr val="000000"/>
                    </a:solidFill>
                    <a:latin typeface="Times New Roman"/>
                    <a:cs typeface="Times New Roman"/>
                  </a:rPr>
                  <a:t> relative expression level (%control)</a:t>
                </a:r>
              </a:p>
            </c:rich>
          </c:tx>
          <c:overlay val="0"/>
          <c:spPr>
            <a:noFill/>
            <a:ln w="25382">
              <a:noFill/>
            </a:ln>
          </c:spPr>
        </c:title>
        <c:numFmt formatCode="#,##0" sourceLinked="0"/>
        <c:majorTickMark val="out"/>
        <c:minorTickMark val="none"/>
        <c:tickLblPos val="nextTo"/>
        <c:spPr>
          <a:noFill/>
          <a:ln>
            <a:solidFill>
              <a:schemeClr val="tx1">
                <a:lumMod val="50000"/>
                <a:lumOff val="50000"/>
              </a:schemeClr>
            </a:solidFill>
          </a:ln>
          <a:effectLst/>
        </c:spPr>
        <c:txPr>
          <a:bodyPr rot="-60000000" spcFirstLastPara="1" vertOverflow="ellipsis" vert="horz" wrap="square" anchor="ctr" anchorCtr="1"/>
          <a:lstStyle/>
          <a:p>
            <a:pPr>
              <a:defRPr sz="899"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98205720"/>
        <c:crosses val="autoZero"/>
        <c:crossBetween val="between"/>
      </c:valAx>
      <c:spPr>
        <a:noFill/>
        <a:ln w="25382">
          <a:noFill/>
        </a:ln>
      </c:spPr>
    </c:plotArea>
    <c:legend>
      <c:legendPos val="r"/>
      <c:layout>
        <c:manualLayout>
          <c:xMode val="edge"/>
          <c:yMode val="edge"/>
          <c:x val="0.69965051538369072"/>
          <c:y val="5.3690470772078343E-2"/>
          <c:w val="0.25332399487799889"/>
          <c:h val="0.1082203055542913"/>
        </c:manualLayout>
      </c:layout>
      <c:overlay val="0"/>
      <c:spPr>
        <a:noFill/>
        <a:ln w="25382">
          <a:noFill/>
        </a:ln>
      </c:spPr>
      <c:txPr>
        <a:bodyPr rot="0" spcFirstLastPara="1" vertOverflow="ellipsis" vert="horz" wrap="square" anchor="ctr" anchorCtr="1"/>
        <a:lstStyle/>
        <a:p>
          <a:pPr>
            <a:defRPr sz="899"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18" cap="flat" cmpd="sng" algn="ctr">
      <a:solidFill>
        <a:schemeClr val="tx1">
          <a:lumMod val="15000"/>
          <a:lumOff val="85000"/>
        </a:schemeClr>
      </a:solidFill>
      <a:round/>
    </a:ln>
    <a:effectLst/>
  </c:spPr>
  <c:txPr>
    <a:bodyPr/>
    <a:lstStyle/>
    <a:p>
      <a:pPr>
        <a:defRPr/>
      </a:pPr>
      <a:endParaRPr lang="en-US"/>
    </a:p>
  </c:tx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a:lstStyle/>
          <a:p>
            <a:pPr>
              <a:defRPr sz="900" b="0"/>
            </a:pPr>
            <a:r>
              <a:rPr lang="en-US" sz="900" b="0"/>
              <a:t>(a)</a:t>
            </a:r>
          </a:p>
        </c:rich>
      </c:tx>
      <c:layout>
        <c:manualLayout>
          <c:xMode val="edge"/>
          <c:yMode val="edge"/>
          <c:x val="3.7901109135551614E-3"/>
          <c:y val="0"/>
        </c:manualLayout>
      </c:layout>
      <c:overlay val="0"/>
    </c:title>
    <c:autoTitleDeleted val="0"/>
    <c:plotArea>
      <c:layout>
        <c:manualLayout>
          <c:layoutTarget val="inner"/>
          <c:xMode val="edge"/>
          <c:yMode val="edge"/>
          <c:x val="0.19401574803149946"/>
          <c:y val="7.9955905511811282E-2"/>
          <c:w val="0.55030691728050163"/>
          <c:h val="0.8027989501312337"/>
        </c:manualLayout>
      </c:layout>
      <c:barChart>
        <c:barDir val="col"/>
        <c:grouping val="clustered"/>
        <c:varyColors val="0"/>
        <c:ser>
          <c:idx val="0"/>
          <c:order val="0"/>
          <c:tx>
            <c:v>Control</c:v>
          </c:tx>
          <c:invertIfNegative val="0"/>
          <c:dLbls>
            <c:delete val="1"/>
          </c:dLbls>
          <c:errBars>
            <c:errBarType val="both"/>
            <c:errValType val="cust"/>
            <c:noEndCap val="0"/>
            <c:plus>
              <c:numRef>
                <c:f>Sheet1!$J$32</c:f>
                <c:numCache>
                  <c:formatCode>General</c:formatCode>
                  <c:ptCount val="1"/>
                  <c:pt idx="0">
                    <c:v>0.44654227123532181</c:v>
                  </c:pt>
                </c:numCache>
              </c:numRef>
            </c:plus>
            <c:minus>
              <c:numRef>
                <c:f>Sheet1!$J$32</c:f>
                <c:numCache>
                  <c:formatCode>General</c:formatCode>
                  <c:ptCount val="1"/>
                  <c:pt idx="0">
                    <c:v>0.44654227123532181</c:v>
                  </c:pt>
                </c:numCache>
              </c:numRef>
            </c:minus>
          </c:errBars>
          <c:cat>
            <c:numRef>
              <c:f>Sheet1!$H$19</c:f>
              <c:numCache>
                <c:formatCode>General</c:formatCode>
                <c:ptCount val="1"/>
              </c:numCache>
            </c:numRef>
          </c:cat>
          <c:val>
            <c:numRef>
              <c:f>Sheet1!$J$28</c:f>
              <c:numCache>
                <c:formatCode>0.00</c:formatCode>
                <c:ptCount val="1"/>
                <c:pt idx="0">
                  <c:v>23.479999999999993</c:v>
                </c:pt>
              </c:numCache>
            </c:numRef>
          </c:val>
        </c:ser>
        <c:ser>
          <c:idx val="1"/>
          <c:order val="1"/>
          <c:tx>
            <c:v>Transgenic</c:v>
          </c:tx>
          <c:invertIfNegative val="0"/>
          <c:dLbls>
            <c:dLbl>
              <c:idx val="0"/>
              <c:layout>
                <c:manualLayout>
                  <c:x val="-1.6129032258064523E-2"/>
                  <c:y val="2.6666666666666672E-2"/>
                </c:manualLayout>
              </c:layout>
              <c:tx>
                <c:rich>
                  <a:bodyPr/>
                  <a:lstStyle/>
                  <a:p>
                    <a:r>
                      <a:rPr lang="en-US"/>
                      <a:t>   *</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Sheet1!$J$33</c:f>
                <c:numCache>
                  <c:formatCode>General</c:formatCode>
                  <c:ptCount val="1"/>
                  <c:pt idx="0">
                    <c:v>0.26248809496813352</c:v>
                  </c:pt>
                </c:numCache>
              </c:numRef>
            </c:plus>
            <c:minus>
              <c:numRef>
                <c:f>Sheet1!$J$33</c:f>
                <c:numCache>
                  <c:formatCode>General</c:formatCode>
                  <c:ptCount val="1"/>
                  <c:pt idx="0">
                    <c:v>0.26248809496813352</c:v>
                  </c:pt>
                </c:numCache>
              </c:numRef>
            </c:minus>
          </c:errBars>
          <c:cat>
            <c:numRef>
              <c:f>Sheet1!$H$19</c:f>
              <c:numCache>
                <c:formatCode>General</c:formatCode>
                <c:ptCount val="1"/>
              </c:numCache>
            </c:numRef>
          </c:cat>
          <c:val>
            <c:numRef>
              <c:f>Sheet1!$K$28</c:f>
              <c:numCache>
                <c:formatCode>0.00</c:formatCode>
                <c:ptCount val="1"/>
                <c:pt idx="0">
                  <c:v>20.07</c:v>
                </c:pt>
              </c:numCache>
            </c:numRef>
          </c:val>
        </c:ser>
        <c:ser>
          <c:idx val="2"/>
          <c:order val="2"/>
          <c:tx>
            <c:strRef>
              <c:f>Sheet1!$L$27</c:f>
              <c:strCache>
                <c:ptCount val="1"/>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Sheet1!$H$19</c:f>
              <c:numCache>
                <c:formatCode>General</c:formatCode>
                <c:ptCount val="1"/>
              </c:numCache>
            </c:numRef>
          </c:cat>
          <c:val>
            <c:numRef>
              <c:f>Sheet1!$L$28</c:f>
              <c:numCache>
                <c:formatCode>General</c:formatCode>
                <c:ptCount val="1"/>
              </c:numCache>
            </c:numRef>
          </c:val>
        </c:ser>
        <c:ser>
          <c:idx val="3"/>
          <c:order val="3"/>
          <c:tx>
            <c:strRef>
              <c:f>Sheet1!$M$27</c:f>
              <c:strCache>
                <c:ptCount val="1"/>
                <c:pt idx="0">
                  <c:v>T1-COMT3(-)</c:v>
                </c:pt>
              </c:strCache>
            </c:strRef>
          </c:tx>
          <c:invertIfNegative val="0"/>
          <c:dLbls>
            <c:delete val="1"/>
          </c:dLbls>
          <c:errBars>
            <c:errBarType val="both"/>
            <c:errValType val="cust"/>
            <c:noEndCap val="0"/>
            <c:plus>
              <c:numRef>
                <c:f>Sheet1!$J$34</c:f>
                <c:numCache>
                  <c:formatCode>General</c:formatCode>
                  <c:ptCount val="1"/>
                  <c:pt idx="0">
                    <c:v>0.39698866482558437</c:v>
                  </c:pt>
                </c:numCache>
              </c:numRef>
            </c:plus>
            <c:minus>
              <c:numRef>
                <c:f>Sheet1!$J$34</c:f>
                <c:numCache>
                  <c:formatCode>General</c:formatCode>
                  <c:ptCount val="1"/>
                  <c:pt idx="0">
                    <c:v>0.39698866482558437</c:v>
                  </c:pt>
                </c:numCache>
              </c:numRef>
            </c:minus>
          </c:errBars>
          <c:cat>
            <c:numRef>
              <c:f>Sheet1!$H$19</c:f>
              <c:numCache>
                <c:formatCode>General</c:formatCode>
                <c:ptCount val="1"/>
              </c:numCache>
            </c:numRef>
          </c:cat>
          <c:val>
            <c:numRef>
              <c:f>Sheet1!$M$28</c:f>
              <c:numCache>
                <c:formatCode>0.00</c:formatCode>
                <c:ptCount val="1"/>
                <c:pt idx="0">
                  <c:v>22.66</c:v>
                </c:pt>
              </c:numCache>
            </c:numRef>
          </c:val>
        </c:ser>
        <c:ser>
          <c:idx val="4"/>
          <c:order val="4"/>
          <c:tx>
            <c:strRef>
              <c:f>Sheet1!$N$27</c:f>
              <c:strCache>
                <c:ptCount val="1"/>
                <c:pt idx="0">
                  <c:v>T1-COMT3(+)</c:v>
                </c:pt>
              </c:strCache>
            </c:strRef>
          </c:tx>
          <c:invertIfNegative val="0"/>
          <c:dLbls>
            <c:dLbl>
              <c:idx val="0"/>
              <c:layout>
                <c:manualLayout>
                  <c:x val="-1.6129032258064543E-2"/>
                  <c:y val="2.666614173228345E-2"/>
                </c:manualLayout>
              </c:layout>
              <c:tx>
                <c:rich>
                  <a:bodyPr/>
                  <a:lstStyle/>
                  <a:p>
                    <a:r>
                      <a:rPr lang="en-US"/>
                      <a:t>  *</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Sheet1!$J$35</c:f>
                <c:numCache>
                  <c:formatCode>General</c:formatCode>
                  <c:ptCount val="1"/>
                  <c:pt idx="0">
                    <c:v>0.24919871588754225</c:v>
                  </c:pt>
                </c:numCache>
              </c:numRef>
            </c:plus>
            <c:minus>
              <c:numRef>
                <c:f>Sheet1!$J$35</c:f>
                <c:numCache>
                  <c:formatCode>General</c:formatCode>
                  <c:ptCount val="1"/>
                  <c:pt idx="0">
                    <c:v>0.24919871588754225</c:v>
                  </c:pt>
                </c:numCache>
              </c:numRef>
            </c:minus>
          </c:errBars>
          <c:cat>
            <c:numRef>
              <c:f>Sheet1!$H$19</c:f>
              <c:numCache>
                <c:formatCode>General</c:formatCode>
                <c:ptCount val="1"/>
              </c:numCache>
            </c:numRef>
          </c:cat>
          <c:val>
            <c:numRef>
              <c:f>Sheet1!$N$28</c:f>
              <c:numCache>
                <c:formatCode>0.00</c:formatCode>
                <c:ptCount val="1"/>
                <c:pt idx="0">
                  <c:v>20.41</c:v>
                </c:pt>
              </c:numCache>
            </c:numRef>
          </c:val>
        </c:ser>
        <c:dLbls>
          <c:showLegendKey val="0"/>
          <c:showVal val="1"/>
          <c:showCatName val="0"/>
          <c:showSerName val="0"/>
          <c:showPercent val="0"/>
          <c:showBubbleSize val="0"/>
        </c:dLbls>
        <c:gapWidth val="351"/>
        <c:axId val="298211992"/>
        <c:axId val="571462288"/>
      </c:barChart>
      <c:catAx>
        <c:axId val="298211992"/>
        <c:scaling>
          <c:orientation val="minMax"/>
        </c:scaling>
        <c:delete val="0"/>
        <c:axPos val="b"/>
        <c:numFmt formatCode="General" sourceLinked="1"/>
        <c:majorTickMark val="out"/>
        <c:minorTickMark val="none"/>
        <c:tickLblPos val="nextTo"/>
        <c:crossAx val="571462288"/>
        <c:crosses val="autoZero"/>
        <c:auto val="1"/>
        <c:lblAlgn val="ctr"/>
        <c:lblOffset val="100"/>
        <c:noMultiLvlLbl val="0"/>
      </c:catAx>
      <c:valAx>
        <c:axId val="571462288"/>
        <c:scaling>
          <c:orientation val="minMax"/>
          <c:max val="25"/>
          <c:min val="0"/>
        </c:scaling>
        <c:delete val="0"/>
        <c:axPos val="l"/>
        <c:title>
          <c:tx>
            <c:rich>
              <a:bodyPr rot="-5400000" vert="horz"/>
              <a:lstStyle/>
              <a:p>
                <a:pPr>
                  <a:defRPr b="0"/>
                </a:pPr>
                <a:r>
                  <a:rPr lang="en-US" b="0"/>
                  <a:t>Lignin content (% CWR)</a:t>
                </a:r>
              </a:p>
            </c:rich>
          </c:tx>
          <c:layout>
            <c:manualLayout>
              <c:xMode val="edge"/>
              <c:yMode val="edge"/>
              <c:x val="2.6284395902125699E-2"/>
              <c:y val="0.17389973753281157"/>
            </c:manualLayout>
          </c:layout>
          <c:overlay val="0"/>
        </c:title>
        <c:numFmt formatCode="0" sourceLinked="0"/>
        <c:majorTickMark val="out"/>
        <c:minorTickMark val="none"/>
        <c:tickLblPos val="nextTo"/>
        <c:crossAx val="298211992"/>
        <c:crosses val="autoZero"/>
        <c:crossBetween val="between"/>
      </c:valAx>
    </c:plotArea>
    <c:legend>
      <c:legendPos val="r"/>
      <c:layout>
        <c:manualLayout>
          <c:xMode val="edge"/>
          <c:yMode val="edge"/>
          <c:x val="0.64171492676320052"/>
          <c:y val="3.9643569553805942E-2"/>
          <c:w val="0.35551350436034651"/>
          <c:h val="0.15907926509186626"/>
        </c:manualLayout>
      </c:layout>
      <c:overlay val="0"/>
      <c:spPr>
        <a:ln>
          <a:noFill/>
        </a:ln>
      </c:spPr>
    </c:legend>
    <c:plotVisOnly val="1"/>
    <c:dispBlanksAs val="gap"/>
    <c:showDLblsOverMax val="0"/>
  </c:chart>
  <c:spPr>
    <a:ln>
      <a:noFill/>
    </a:ln>
  </c:spPr>
  <c:txPr>
    <a:bodyPr/>
    <a:lstStyle/>
    <a:p>
      <a:pPr>
        <a:defRPr sz="900">
          <a:latin typeface="Times New Roman" pitchFamily="18" charset="0"/>
          <a:cs typeface="Times New Roman" pitchFamily="18" charset="0"/>
        </a:defRPr>
      </a:pPr>
      <a:endParaRPr lang="en-US"/>
    </a:p>
  </c:txPr>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a:lstStyle/>
          <a:p>
            <a:pPr>
              <a:defRPr sz="900" b="0"/>
            </a:pPr>
            <a:r>
              <a:rPr lang="en-US" sz="900" b="0"/>
              <a:t>(b)</a:t>
            </a:r>
          </a:p>
        </c:rich>
      </c:tx>
      <c:layout>
        <c:manualLayout>
          <c:xMode val="edge"/>
          <c:yMode val="edge"/>
          <c:x val="2.0300097604766649E-3"/>
          <c:y val="0"/>
        </c:manualLayout>
      </c:layout>
      <c:overlay val="0"/>
    </c:title>
    <c:autoTitleDeleted val="0"/>
    <c:plotArea>
      <c:layout>
        <c:manualLayout>
          <c:layoutTarget val="inner"/>
          <c:xMode val="edge"/>
          <c:yMode val="edge"/>
          <c:x val="0.19563000407670986"/>
          <c:y val="8.3234120734908226E-2"/>
          <c:w val="0.52475341831912614"/>
          <c:h val="0.79581522309711283"/>
        </c:manualLayout>
      </c:layout>
      <c:barChart>
        <c:barDir val="col"/>
        <c:grouping val="clustered"/>
        <c:varyColors val="0"/>
        <c:ser>
          <c:idx val="0"/>
          <c:order val="0"/>
          <c:tx>
            <c:v>Control</c:v>
          </c:tx>
          <c:invertIfNegative val="0"/>
          <c:dLbls>
            <c:delete val="1"/>
          </c:dLbls>
          <c:errBars>
            <c:errBarType val="both"/>
            <c:errValType val="cust"/>
            <c:noEndCap val="0"/>
            <c:plus>
              <c:numRef>
                <c:f>Sheet1!$K$32</c:f>
                <c:numCache>
                  <c:formatCode>General</c:formatCode>
                  <c:ptCount val="1"/>
                  <c:pt idx="0">
                    <c:v>1.9999999999999997E-2</c:v>
                  </c:pt>
                </c:numCache>
              </c:numRef>
            </c:plus>
            <c:minus>
              <c:numRef>
                <c:f>Sheet1!$K$32</c:f>
                <c:numCache>
                  <c:formatCode>General</c:formatCode>
                  <c:ptCount val="1"/>
                  <c:pt idx="0">
                    <c:v>1.9999999999999997E-2</c:v>
                  </c:pt>
                </c:numCache>
              </c:numRef>
            </c:minus>
          </c:errBars>
          <c:cat>
            <c:numRef>
              <c:f>Sheet1!$G$23</c:f>
              <c:numCache>
                <c:formatCode>General</c:formatCode>
                <c:ptCount val="1"/>
              </c:numCache>
            </c:numRef>
          </c:cat>
          <c:val>
            <c:numRef>
              <c:f>Sheet1!$J$29</c:f>
              <c:numCache>
                <c:formatCode>0.00</c:formatCode>
                <c:ptCount val="1"/>
                <c:pt idx="0">
                  <c:v>0.68</c:v>
                </c:pt>
              </c:numCache>
            </c:numRef>
          </c:val>
        </c:ser>
        <c:ser>
          <c:idx val="1"/>
          <c:order val="1"/>
          <c:tx>
            <c:v>Transgenic</c:v>
          </c:tx>
          <c:invertIfNegative val="0"/>
          <c:dLbls>
            <c:dLbl>
              <c:idx val="0"/>
              <c:layout>
                <c:manualLayout>
                  <c:x val="-5.3763463620127806E-3"/>
                  <c:y val="2.6666666666666672E-2"/>
                </c:manualLayout>
              </c:layout>
              <c:tx>
                <c:rich>
                  <a:bodyPr/>
                  <a:lstStyle/>
                  <a:p>
                    <a:r>
                      <a:rPr lang="en-US"/>
                      <a:t>*</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Sheet1!$K$33</c:f>
                <c:numCache>
                  <c:formatCode>General</c:formatCode>
                  <c:ptCount val="1"/>
                  <c:pt idx="0">
                    <c:v>1.0000000000000004E-2</c:v>
                  </c:pt>
                </c:numCache>
              </c:numRef>
            </c:plus>
            <c:minus>
              <c:numRef>
                <c:f>Sheet1!$K$33</c:f>
                <c:numCache>
                  <c:formatCode>General</c:formatCode>
                  <c:ptCount val="1"/>
                  <c:pt idx="0">
                    <c:v>1.0000000000000004E-2</c:v>
                  </c:pt>
                </c:numCache>
              </c:numRef>
            </c:minus>
          </c:errBars>
          <c:cat>
            <c:numRef>
              <c:f>Sheet1!$G$23</c:f>
              <c:numCache>
                <c:formatCode>General</c:formatCode>
                <c:ptCount val="1"/>
              </c:numCache>
            </c:numRef>
          </c:cat>
          <c:val>
            <c:numRef>
              <c:f>Sheet1!$K$29</c:f>
              <c:numCache>
                <c:formatCode>0.00</c:formatCode>
                <c:ptCount val="1"/>
                <c:pt idx="0">
                  <c:v>0.5</c:v>
                </c:pt>
              </c:numCache>
            </c:numRef>
          </c:val>
        </c:ser>
        <c:ser>
          <c:idx val="2"/>
          <c:order val="2"/>
          <c:tx>
            <c:strRef>
              <c:f>Sheet1!$L$27</c:f>
              <c:strCache>
                <c:ptCount val="1"/>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Sheet1!$G$23</c:f>
              <c:numCache>
                <c:formatCode>General</c:formatCode>
                <c:ptCount val="1"/>
              </c:numCache>
            </c:numRef>
          </c:cat>
          <c:val>
            <c:numRef>
              <c:f>Sheet1!$L$29</c:f>
              <c:numCache>
                <c:formatCode>General</c:formatCode>
                <c:ptCount val="1"/>
              </c:numCache>
            </c:numRef>
          </c:val>
        </c:ser>
        <c:ser>
          <c:idx val="3"/>
          <c:order val="3"/>
          <c:tx>
            <c:strRef>
              <c:f>Sheet1!$M$27</c:f>
              <c:strCache>
                <c:ptCount val="1"/>
                <c:pt idx="0">
                  <c:v>T1-COMT3(-)</c:v>
                </c:pt>
              </c:strCache>
            </c:strRef>
          </c:tx>
          <c:invertIfNegative val="0"/>
          <c:dLbls>
            <c:delete val="1"/>
          </c:dLbls>
          <c:errBars>
            <c:errBarType val="both"/>
            <c:errValType val="cust"/>
            <c:noEndCap val="0"/>
            <c:plus>
              <c:numRef>
                <c:f>Sheet1!$K$34</c:f>
                <c:numCache>
                  <c:formatCode>General</c:formatCode>
                  <c:ptCount val="1"/>
                  <c:pt idx="0">
                    <c:v>2.4494897427831785E-2</c:v>
                  </c:pt>
                </c:numCache>
              </c:numRef>
            </c:plus>
            <c:minus>
              <c:numRef>
                <c:f>Sheet1!$K$34</c:f>
                <c:numCache>
                  <c:formatCode>General</c:formatCode>
                  <c:ptCount val="1"/>
                  <c:pt idx="0">
                    <c:v>2.4494897427831785E-2</c:v>
                  </c:pt>
                </c:numCache>
              </c:numRef>
            </c:minus>
          </c:errBars>
          <c:cat>
            <c:numRef>
              <c:f>Sheet1!$G$23</c:f>
              <c:numCache>
                <c:formatCode>General</c:formatCode>
                <c:ptCount val="1"/>
              </c:numCache>
            </c:numRef>
          </c:cat>
          <c:val>
            <c:numRef>
              <c:f>Sheet1!$M$29</c:f>
              <c:numCache>
                <c:formatCode>0.00</c:formatCode>
                <c:ptCount val="1"/>
                <c:pt idx="0">
                  <c:v>0.64000000000000024</c:v>
                </c:pt>
              </c:numCache>
            </c:numRef>
          </c:val>
        </c:ser>
        <c:ser>
          <c:idx val="4"/>
          <c:order val="4"/>
          <c:tx>
            <c:strRef>
              <c:f>Sheet1!$N$27</c:f>
              <c:strCache>
                <c:ptCount val="1"/>
                <c:pt idx="0">
                  <c:v>T1-COMT3(+)</c:v>
                </c:pt>
              </c:strCache>
            </c:strRef>
          </c:tx>
          <c:invertIfNegative val="0"/>
          <c:dLbls>
            <c:dLbl>
              <c:idx val="0"/>
              <c:layout>
                <c:manualLayout>
                  <c:x val="-9.8591672748313172E-17"/>
                  <c:y val="3.333333333333334E-2"/>
                </c:manualLayout>
              </c:layout>
              <c:tx>
                <c:rich>
                  <a:bodyPr/>
                  <a:lstStyle/>
                  <a:p>
                    <a:r>
                      <a:rPr lang="en-US" sz="900" dirty="0" smtClean="0"/>
                      <a:t>*</a:t>
                    </a:r>
                    <a:endParaRPr lang="en-US" sz="900" dirty="0"/>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900"/>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Sheet1!$K$35</c:f>
                <c:numCache>
                  <c:formatCode>General</c:formatCode>
                  <c:ptCount val="1"/>
                  <c:pt idx="0">
                    <c:v>1.0000000000000004E-2</c:v>
                  </c:pt>
                </c:numCache>
              </c:numRef>
            </c:plus>
            <c:minus>
              <c:numRef>
                <c:f>Sheet1!$K$35</c:f>
                <c:numCache>
                  <c:formatCode>General</c:formatCode>
                  <c:ptCount val="1"/>
                  <c:pt idx="0">
                    <c:v>1.0000000000000004E-2</c:v>
                  </c:pt>
                </c:numCache>
              </c:numRef>
            </c:minus>
          </c:errBars>
          <c:cat>
            <c:numRef>
              <c:f>Sheet1!$G$23</c:f>
              <c:numCache>
                <c:formatCode>General</c:formatCode>
                <c:ptCount val="1"/>
              </c:numCache>
            </c:numRef>
          </c:cat>
          <c:val>
            <c:numRef>
              <c:f>Sheet1!$N$29</c:f>
              <c:numCache>
                <c:formatCode>0.00</c:formatCode>
                <c:ptCount val="1"/>
                <c:pt idx="0">
                  <c:v>0.5</c:v>
                </c:pt>
              </c:numCache>
            </c:numRef>
          </c:val>
        </c:ser>
        <c:dLbls>
          <c:showLegendKey val="0"/>
          <c:showVal val="1"/>
          <c:showCatName val="0"/>
          <c:showSerName val="0"/>
          <c:showPercent val="0"/>
          <c:showBubbleSize val="0"/>
        </c:dLbls>
        <c:gapWidth val="351"/>
        <c:axId val="571460720"/>
        <c:axId val="571461112"/>
      </c:barChart>
      <c:catAx>
        <c:axId val="571460720"/>
        <c:scaling>
          <c:orientation val="minMax"/>
        </c:scaling>
        <c:delete val="0"/>
        <c:axPos val="b"/>
        <c:numFmt formatCode="General" sourceLinked="1"/>
        <c:majorTickMark val="out"/>
        <c:minorTickMark val="none"/>
        <c:tickLblPos val="nextTo"/>
        <c:crossAx val="571461112"/>
        <c:crosses val="autoZero"/>
        <c:auto val="1"/>
        <c:lblAlgn val="ctr"/>
        <c:lblOffset val="100"/>
        <c:noMultiLvlLbl val="0"/>
      </c:catAx>
      <c:valAx>
        <c:axId val="571461112"/>
        <c:scaling>
          <c:orientation val="minMax"/>
        </c:scaling>
        <c:delete val="0"/>
        <c:axPos val="l"/>
        <c:title>
          <c:tx>
            <c:rich>
              <a:bodyPr rot="-5400000" vert="horz"/>
              <a:lstStyle/>
              <a:p>
                <a:pPr>
                  <a:defRPr b="0"/>
                </a:pPr>
                <a:r>
                  <a:rPr lang="en-US" b="0"/>
                  <a:t>S/G ratio</a:t>
                </a:r>
              </a:p>
            </c:rich>
          </c:tx>
          <c:layout>
            <c:manualLayout>
              <c:xMode val="edge"/>
              <c:yMode val="edge"/>
              <c:x val="5.0804356449223823E-3"/>
              <c:y val="0.39946194225722387"/>
            </c:manualLayout>
          </c:layout>
          <c:overlay val="0"/>
        </c:title>
        <c:numFmt formatCode="0.0" sourceLinked="0"/>
        <c:majorTickMark val="out"/>
        <c:minorTickMark val="none"/>
        <c:tickLblPos val="nextTo"/>
        <c:crossAx val="571460720"/>
        <c:crosses val="autoZero"/>
        <c:crossBetween val="between"/>
        <c:majorUnit val="0.2"/>
      </c:valAx>
    </c:plotArea>
    <c:legend>
      <c:legendPos val="r"/>
      <c:layout>
        <c:manualLayout>
          <c:xMode val="edge"/>
          <c:yMode val="edge"/>
          <c:x val="0.64081349623804984"/>
          <c:y val="4.2730708661417316E-2"/>
          <c:w val="0.35640900703116035"/>
          <c:h val="0.15993910761155045"/>
        </c:manualLayout>
      </c:layout>
      <c:overlay val="0"/>
    </c:legend>
    <c:plotVisOnly val="1"/>
    <c:dispBlanksAs val="gap"/>
    <c:showDLblsOverMax val="0"/>
  </c:chart>
  <c:spPr>
    <a:ln>
      <a:noFill/>
    </a:ln>
  </c:spPr>
  <c:txPr>
    <a:bodyPr/>
    <a:lstStyle/>
    <a:p>
      <a:pPr>
        <a:defRPr sz="900">
          <a:latin typeface="Times New Roman" pitchFamily="18" charset="0"/>
          <a:cs typeface="Times New Roman" pitchFamily="18" charset="0"/>
        </a:defRPr>
      </a:pPr>
      <a:endParaRPr lang="en-US"/>
    </a:p>
  </c:txPr>
  <c:externalData r:id="rId2">
    <c:autoUpdate val="0"/>
  </c:externalData>
  <c:userShapes r:id="rId3"/>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a:lstStyle/>
          <a:p>
            <a:pPr>
              <a:defRPr b="0"/>
            </a:pPr>
            <a:r>
              <a:rPr lang="en-US" b="0"/>
              <a:t>(c)</a:t>
            </a:r>
          </a:p>
        </c:rich>
      </c:tx>
      <c:layout>
        <c:manualLayout>
          <c:xMode val="edge"/>
          <c:yMode val="edge"/>
          <c:x val="4.0216747100167026E-5"/>
          <c:y val="0"/>
        </c:manualLayout>
      </c:layout>
      <c:overlay val="0"/>
    </c:title>
    <c:autoTitleDeleted val="0"/>
    <c:plotArea>
      <c:layout>
        <c:manualLayout>
          <c:layoutTarget val="inner"/>
          <c:xMode val="edge"/>
          <c:yMode val="edge"/>
          <c:x val="0.19491363982728097"/>
          <c:y val="8.1502362204724565E-2"/>
          <c:w val="0.54543307086614157"/>
          <c:h val="0.80004356955380573"/>
        </c:manualLayout>
      </c:layout>
      <c:barChart>
        <c:barDir val="col"/>
        <c:grouping val="clustered"/>
        <c:varyColors val="0"/>
        <c:ser>
          <c:idx val="0"/>
          <c:order val="0"/>
          <c:tx>
            <c:v>Control</c:v>
          </c:tx>
          <c:invertIfNegative val="0"/>
          <c:dLbls>
            <c:delete val="1"/>
          </c:dLbls>
          <c:errBars>
            <c:errBarType val="both"/>
            <c:errValType val="cust"/>
            <c:noEndCap val="0"/>
            <c:plus>
              <c:numRef>
                <c:f>'08-2012 lignin results'!$J$33</c:f>
                <c:numCache>
                  <c:formatCode>General</c:formatCode>
                  <c:ptCount val="1"/>
                  <c:pt idx="0">
                    <c:v>0.21008750557803318</c:v>
                  </c:pt>
                </c:numCache>
              </c:numRef>
            </c:plus>
            <c:minus>
              <c:numRef>
                <c:f>'08-2012 lignin results'!$J$33</c:f>
                <c:numCache>
                  <c:formatCode>General</c:formatCode>
                  <c:ptCount val="1"/>
                  <c:pt idx="0">
                    <c:v>0.21008750557803318</c:v>
                  </c:pt>
                </c:numCache>
              </c:numRef>
            </c:minus>
          </c:errBars>
          <c:cat>
            <c:numRef>
              <c:f>'08-2012 lignin results'!$H$22</c:f>
              <c:numCache>
                <c:formatCode>General</c:formatCode>
                <c:ptCount val="1"/>
              </c:numCache>
            </c:numRef>
          </c:cat>
          <c:val>
            <c:numRef>
              <c:f>'08-2012 lignin results'!$J$29</c:f>
              <c:numCache>
                <c:formatCode>0.0</c:formatCode>
                <c:ptCount val="1"/>
                <c:pt idx="0">
                  <c:v>22.6874</c:v>
                </c:pt>
              </c:numCache>
            </c:numRef>
          </c:val>
        </c:ser>
        <c:ser>
          <c:idx val="1"/>
          <c:order val="1"/>
          <c:tx>
            <c:v>Transgenic</c:v>
          </c:tx>
          <c:invertIfNegative val="0"/>
          <c:dLbls>
            <c:dLbl>
              <c:idx val="0"/>
              <c:tx>
                <c:rich>
                  <a:bodyPr/>
                  <a:lstStyle/>
                  <a:p>
                    <a:r>
                      <a:rPr lang="en-US"/>
                      <a:t>*</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'08-2012 lignin results'!$J$34</c:f>
                <c:numCache>
                  <c:formatCode>General</c:formatCode>
                  <c:ptCount val="1"/>
                  <c:pt idx="0">
                    <c:v>0.12473184125243342</c:v>
                  </c:pt>
                </c:numCache>
              </c:numRef>
            </c:plus>
            <c:minus>
              <c:numRef>
                <c:f>'08-2012 lignin results'!$J$34</c:f>
                <c:numCache>
                  <c:formatCode>General</c:formatCode>
                  <c:ptCount val="1"/>
                  <c:pt idx="0">
                    <c:v>0.12473184125243342</c:v>
                  </c:pt>
                </c:numCache>
              </c:numRef>
            </c:minus>
          </c:errBars>
          <c:cat>
            <c:numRef>
              <c:f>'08-2012 lignin results'!$H$22</c:f>
              <c:numCache>
                <c:formatCode>General</c:formatCode>
                <c:ptCount val="1"/>
              </c:numCache>
            </c:numRef>
          </c:cat>
          <c:val>
            <c:numRef>
              <c:f>'08-2012 lignin results'!$K$29</c:f>
              <c:numCache>
                <c:formatCode>0.0</c:formatCode>
                <c:ptCount val="1"/>
                <c:pt idx="0">
                  <c:v>20.283899999999992</c:v>
                </c:pt>
              </c:numCache>
            </c:numRef>
          </c:val>
        </c:ser>
        <c:ser>
          <c:idx val="2"/>
          <c:order val="2"/>
          <c:tx>
            <c:strRef>
              <c:f>'08-2012 lignin results'!$L$28</c:f>
              <c:strCache>
                <c:ptCount val="1"/>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'08-2012 lignin results'!$H$22</c:f>
              <c:numCache>
                <c:formatCode>General</c:formatCode>
                <c:ptCount val="1"/>
              </c:numCache>
            </c:numRef>
          </c:cat>
          <c:val>
            <c:numRef>
              <c:f>'08-2012 lignin results'!$L$29</c:f>
              <c:numCache>
                <c:formatCode>General</c:formatCode>
                <c:ptCount val="1"/>
              </c:numCache>
            </c:numRef>
          </c:val>
        </c:ser>
        <c:ser>
          <c:idx val="3"/>
          <c:order val="3"/>
          <c:tx>
            <c:strRef>
              <c:f>'08-2012 lignin results'!$M$28</c:f>
              <c:strCache>
                <c:ptCount val="1"/>
                <c:pt idx="0">
                  <c:v>T1-COMT3(-)</c:v>
                </c:pt>
              </c:strCache>
            </c:strRef>
          </c:tx>
          <c:invertIfNegative val="0"/>
          <c:dLbls>
            <c:delete val="1"/>
          </c:dLbls>
          <c:errBars>
            <c:errBarType val="both"/>
            <c:errValType val="cust"/>
            <c:noEndCap val="0"/>
            <c:plus>
              <c:numRef>
                <c:f>'08-2012 lignin results'!$J$35</c:f>
                <c:numCache>
                  <c:formatCode>General</c:formatCode>
                  <c:ptCount val="1"/>
                  <c:pt idx="0">
                    <c:v>0.35005356732934451</c:v>
                  </c:pt>
                </c:numCache>
              </c:numRef>
            </c:plus>
            <c:minus>
              <c:numRef>
                <c:f>'08-2012 lignin results'!$J$35</c:f>
                <c:numCache>
                  <c:formatCode>General</c:formatCode>
                  <c:ptCount val="1"/>
                  <c:pt idx="0">
                    <c:v>0.35005356732934451</c:v>
                  </c:pt>
                </c:numCache>
              </c:numRef>
            </c:minus>
          </c:errBars>
          <c:cat>
            <c:numRef>
              <c:f>'08-2012 lignin results'!$H$22</c:f>
              <c:numCache>
                <c:formatCode>General</c:formatCode>
                <c:ptCount val="1"/>
              </c:numCache>
            </c:numRef>
          </c:cat>
          <c:val>
            <c:numRef>
              <c:f>'08-2012 lignin results'!$M$29</c:f>
              <c:numCache>
                <c:formatCode>0.0</c:formatCode>
                <c:ptCount val="1"/>
                <c:pt idx="0">
                  <c:v>22.693000000000001</c:v>
                </c:pt>
              </c:numCache>
            </c:numRef>
          </c:val>
        </c:ser>
        <c:ser>
          <c:idx val="4"/>
          <c:order val="4"/>
          <c:tx>
            <c:strRef>
              <c:f>'08-2012 lignin results'!$N$28</c:f>
              <c:strCache>
                <c:ptCount val="1"/>
                <c:pt idx="0">
                  <c:v>T1-COMT3(+)</c:v>
                </c:pt>
              </c:strCache>
            </c:strRef>
          </c:tx>
          <c:invertIfNegative val="0"/>
          <c:dLbls>
            <c:dLbl>
              <c:idx val="0"/>
              <c:tx>
                <c:rich>
                  <a:bodyPr/>
                  <a:lstStyle/>
                  <a:p>
                    <a:r>
                      <a:rPr lang="en-US"/>
                      <a:t>*</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'08-2012 lignin results'!$J$36</c:f>
                <c:numCache>
                  <c:formatCode>General</c:formatCode>
                  <c:ptCount val="1"/>
                  <c:pt idx="0">
                    <c:v>0.1694792022638768</c:v>
                  </c:pt>
                </c:numCache>
              </c:numRef>
            </c:plus>
            <c:minus>
              <c:numRef>
                <c:f>'08-2012 lignin results'!$J$36</c:f>
                <c:numCache>
                  <c:formatCode>General</c:formatCode>
                  <c:ptCount val="1"/>
                  <c:pt idx="0">
                    <c:v>0.1694792022638768</c:v>
                  </c:pt>
                </c:numCache>
              </c:numRef>
            </c:minus>
          </c:errBars>
          <c:cat>
            <c:numRef>
              <c:f>'08-2012 lignin results'!$H$22</c:f>
              <c:numCache>
                <c:formatCode>General</c:formatCode>
                <c:ptCount val="1"/>
              </c:numCache>
            </c:numRef>
          </c:cat>
          <c:val>
            <c:numRef>
              <c:f>'08-2012 lignin results'!$N$29</c:f>
              <c:numCache>
                <c:formatCode>0.0</c:formatCode>
                <c:ptCount val="1"/>
                <c:pt idx="0">
                  <c:v>19.890999999999991</c:v>
                </c:pt>
              </c:numCache>
            </c:numRef>
          </c:val>
        </c:ser>
        <c:dLbls>
          <c:showLegendKey val="0"/>
          <c:showVal val="1"/>
          <c:showCatName val="0"/>
          <c:showSerName val="0"/>
          <c:showPercent val="0"/>
          <c:showBubbleSize val="0"/>
        </c:dLbls>
        <c:gapWidth val="351"/>
        <c:axId val="571463072"/>
        <c:axId val="571463464"/>
      </c:barChart>
      <c:catAx>
        <c:axId val="571463072"/>
        <c:scaling>
          <c:orientation val="minMax"/>
        </c:scaling>
        <c:delete val="0"/>
        <c:axPos val="b"/>
        <c:numFmt formatCode="General" sourceLinked="1"/>
        <c:majorTickMark val="out"/>
        <c:minorTickMark val="none"/>
        <c:tickLblPos val="nextTo"/>
        <c:crossAx val="571463464"/>
        <c:crosses val="autoZero"/>
        <c:auto val="1"/>
        <c:lblAlgn val="ctr"/>
        <c:lblOffset val="100"/>
        <c:noMultiLvlLbl val="0"/>
      </c:catAx>
      <c:valAx>
        <c:axId val="571463464"/>
        <c:scaling>
          <c:orientation val="minMax"/>
          <c:max val="25"/>
          <c:min val="0"/>
        </c:scaling>
        <c:delete val="0"/>
        <c:axPos val="l"/>
        <c:title>
          <c:tx>
            <c:rich>
              <a:bodyPr rot="-5400000" vert="horz"/>
              <a:lstStyle/>
              <a:p>
                <a:pPr>
                  <a:defRPr b="0"/>
                </a:pPr>
                <a:r>
                  <a:rPr lang="en-US" b="0" dirty="0" smtClean="0"/>
                  <a:t>Lignin </a:t>
                </a:r>
                <a:r>
                  <a:rPr lang="en-US" b="0" dirty="0"/>
                  <a:t>content (% CWR)</a:t>
                </a:r>
              </a:p>
            </c:rich>
          </c:tx>
          <c:layout>
            <c:manualLayout>
              <c:xMode val="edge"/>
              <c:yMode val="edge"/>
              <c:x val="3.225806451612924E-2"/>
              <c:y val="0.15905721784777033"/>
            </c:manualLayout>
          </c:layout>
          <c:overlay val="0"/>
        </c:title>
        <c:numFmt formatCode="0" sourceLinked="0"/>
        <c:majorTickMark val="out"/>
        <c:minorTickMark val="none"/>
        <c:tickLblPos val="nextTo"/>
        <c:crossAx val="571463072"/>
        <c:crosses val="autoZero"/>
        <c:crossBetween val="between"/>
      </c:valAx>
    </c:plotArea>
    <c:legend>
      <c:legendPos val="r"/>
      <c:layout>
        <c:manualLayout>
          <c:xMode val="edge"/>
          <c:yMode val="edge"/>
          <c:x val="0.64550800101600203"/>
          <c:y val="8.2396850393700843E-2"/>
          <c:w val="0.31635847938362893"/>
          <c:h val="0.12204881889763733"/>
        </c:manualLayout>
      </c:layout>
      <c:overlay val="0"/>
      <c:txPr>
        <a:bodyPr/>
        <a:lstStyle/>
        <a:p>
          <a:pPr>
            <a:defRPr sz="900"/>
          </a:pPr>
          <a:endParaRPr lang="en-US"/>
        </a:p>
      </c:txPr>
    </c:legend>
    <c:plotVisOnly val="1"/>
    <c:dispBlanksAs val="gap"/>
    <c:showDLblsOverMax val="0"/>
  </c:chart>
  <c:spPr>
    <a:ln>
      <a:noFill/>
    </a:ln>
  </c:spPr>
  <c:txPr>
    <a:bodyPr/>
    <a:lstStyle/>
    <a:p>
      <a:pPr>
        <a:defRPr sz="900">
          <a:latin typeface="Times New Roman" pitchFamily="18" charset="0"/>
          <a:cs typeface="Times New Roman" pitchFamily="18" charset="0"/>
        </a:defRPr>
      </a:pPr>
      <a:endParaRPr lang="en-US"/>
    </a:p>
  </c:txPr>
  <c:externalData r:id="rId2">
    <c:autoUpdate val="0"/>
  </c:externalData>
  <c:userShapes r:id="rId3"/>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a:lstStyle/>
          <a:p>
            <a:pPr>
              <a:defRPr sz="900" b="0"/>
            </a:pPr>
            <a:r>
              <a:rPr lang="en-US" sz="900" b="0"/>
              <a:t>(d)</a:t>
            </a:r>
          </a:p>
        </c:rich>
      </c:tx>
      <c:layout>
        <c:manualLayout>
          <c:xMode val="edge"/>
          <c:yMode val="edge"/>
          <c:x val="2.1636609939886483E-3"/>
          <c:y val="0"/>
        </c:manualLayout>
      </c:layout>
      <c:overlay val="0"/>
    </c:title>
    <c:autoTitleDeleted val="0"/>
    <c:plotArea>
      <c:layout>
        <c:manualLayout>
          <c:layoutTarget val="inner"/>
          <c:xMode val="edge"/>
          <c:yMode val="edge"/>
          <c:x val="0.19111125222250439"/>
          <c:y val="8.4445622515007507E-2"/>
          <c:w val="0.60218906104478875"/>
          <c:h val="0.79245249343832025"/>
        </c:manualLayout>
      </c:layout>
      <c:barChart>
        <c:barDir val="col"/>
        <c:grouping val="clustered"/>
        <c:varyColors val="0"/>
        <c:ser>
          <c:idx val="0"/>
          <c:order val="0"/>
          <c:tx>
            <c:v>Control</c:v>
          </c:tx>
          <c:invertIfNegative val="0"/>
          <c:dLbls>
            <c:delete val="1"/>
          </c:dLbls>
          <c:errBars>
            <c:errBarType val="both"/>
            <c:errValType val="cust"/>
            <c:noEndCap val="0"/>
            <c:plus>
              <c:numRef>
                <c:f>'08-2012 lignin results'!$K$33</c:f>
                <c:numCache>
                  <c:formatCode>General</c:formatCode>
                  <c:ptCount val="1"/>
                  <c:pt idx="0">
                    <c:v>1.5958070058750842E-2</c:v>
                  </c:pt>
                </c:numCache>
              </c:numRef>
            </c:plus>
            <c:minus>
              <c:numRef>
                <c:f>'08-2012 lignin results'!$K$33</c:f>
                <c:numCache>
                  <c:formatCode>General</c:formatCode>
                  <c:ptCount val="1"/>
                  <c:pt idx="0">
                    <c:v>1.5958070058750842E-2</c:v>
                  </c:pt>
                </c:numCache>
              </c:numRef>
            </c:minus>
          </c:errBars>
          <c:cat>
            <c:numRef>
              <c:f>'08-2012 lignin results'!$H$19</c:f>
              <c:numCache>
                <c:formatCode>General</c:formatCode>
                <c:ptCount val="1"/>
              </c:numCache>
            </c:numRef>
          </c:cat>
          <c:val>
            <c:numRef>
              <c:f>'08-2012 lignin results'!$J$30</c:f>
              <c:numCache>
                <c:formatCode>0.00</c:formatCode>
                <c:ptCount val="1"/>
                <c:pt idx="0">
                  <c:v>0.59859999999999969</c:v>
                </c:pt>
              </c:numCache>
            </c:numRef>
          </c:val>
        </c:ser>
        <c:ser>
          <c:idx val="1"/>
          <c:order val="1"/>
          <c:tx>
            <c:v>Transgenic</c:v>
          </c:tx>
          <c:invertIfNegative val="0"/>
          <c:dLbls>
            <c:dLbl>
              <c:idx val="0"/>
              <c:tx>
                <c:rich>
                  <a:bodyPr/>
                  <a:lstStyle/>
                  <a:p>
                    <a:r>
                      <a:rPr lang="en-US"/>
                      <a:t>*</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'08-2012 lignin results'!$K$34</c:f>
                <c:numCache>
                  <c:formatCode>General</c:formatCode>
                  <c:ptCount val="1"/>
                  <c:pt idx="0">
                    <c:v>6.3630879994613409E-3</c:v>
                  </c:pt>
                </c:numCache>
              </c:numRef>
            </c:plus>
            <c:minus>
              <c:numRef>
                <c:f>'08-2012 lignin results'!$K$34</c:f>
                <c:numCache>
                  <c:formatCode>General</c:formatCode>
                  <c:ptCount val="1"/>
                  <c:pt idx="0">
                    <c:v>6.3630879994613409E-3</c:v>
                  </c:pt>
                </c:numCache>
              </c:numRef>
            </c:minus>
          </c:errBars>
          <c:cat>
            <c:numRef>
              <c:f>'08-2012 lignin results'!$H$19</c:f>
              <c:numCache>
                <c:formatCode>General</c:formatCode>
                <c:ptCount val="1"/>
              </c:numCache>
            </c:numRef>
          </c:cat>
          <c:val>
            <c:numRef>
              <c:f>'08-2012 lignin results'!$K$30</c:f>
              <c:numCache>
                <c:formatCode>0.00</c:formatCode>
                <c:ptCount val="1"/>
                <c:pt idx="0">
                  <c:v>0.38400000000000012</c:v>
                </c:pt>
              </c:numCache>
            </c:numRef>
          </c:val>
        </c:ser>
        <c:ser>
          <c:idx val="2"/>
          <c:order val="2"/>
          <c:tx>
            <c:strRef>
              <c:f>'08-2012 lignin results'!$L$28</c:f>
              <c:strCache>
                <c:ptCount val="1"/>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'08-2012 lignin results'!$H$19</c:f>
              <c:numCache>
                <c:formatCode>General</c:formatCode>
                <c:ptCount val="1"/>
              </c:numCache>
            </c:numRef>
          </c:cat>
          <c:val>
            <c:numRef>
              <c:f>'08-2012 lignin results'!$L$30</c:f>
              <c:numCache>
                <c:formatCode>General</c:formatCode>
                <c:ptCount val="1"/>
              </c:numCache>
            </c:numRef>
          </c:val>
        </c:ser>
        <c:ser>
          <c:idx val="3"/>
          <c:order val="3"/>
          <c:tx>
            <c:strRef>
              <c:f>'08-2012 lignin results'!$M$28</c:f>
              <c:strCache>
                <c:ptCount val="1"/>
                <c:pt idx="0">
                  <c:v>T1-COMT3(-)</c:v>
                </c:pt>
              </c:strCache>
            </c:strRef>
          </c:tx>
          <c:invertIfNegative val="0"/>
          <c:dLbls>
            <c:delete val="1"/>
          </c:dLbls>
          <c:errBars>
            <c:errBarType val="both"/>
            <c:errValType val="cust"/>
            <c:noEndCap val="0"/>
            <c:plus>
              <c:numRef>
                <c:f>'08-2012 lignin results'!$K$35</c:f>
                <c:numCache>
                  <c:formatCode>General</c:formatCode>
                  <c:ptCount val="1"/>
                  <c:pt idx="0">
                    <c:v>1.6196913286178932E-2</c:v>
                  </c:pt>
                </c:numCache>
              </c:numRef>
            </c:plus>
            <c:minus>
              <c:numRef>
                <c:f>'08-2012 lignin results'!$K$35</c:f>
                <c:numCache>
                  <c:formatCode>General</c:formatCode>
                  <c:ptCount val="1"/>
                  <c:pt idx="0">
                    <c:v>1.6196913286178932E-2</c:v>
                  </c:pt>
                </c:numCache>
              </c:numRef>
            </c:minus>
          </c:errBars>
          <c:cat>
            <c:numRef>
              <c:f>'08-2012 lignin results'!$H$19</c:f>
              <c:numCache>
                <c:formatCode>General</c:formatCode>
                <c:ptCount val="1"/>
              </c:numCache>
            </c:numRef>
          </c:cat>
          <c:val>
            <c:numRef>
              <c:f>'08-2012 lignin results'!$M$30</c:f>
              <c:numCache>
                <c:formatCode>0.00</c:formatCode>
                <c:ptCount val="1"/>
                <c:pt idx="0">
                  <c:v>0.59179999999999988</c:v>
                </c:pt>
              </c:numCache>
            </c:numRef>
          </c:val>
        </c:ser>
        <c:ser>
          <c:idx val="4"/>
          <c:order val="4"/>
          <c:tx>
            <c:strRef>
              <c:f>'08-2012 lignin results'!$N$28</c:f>
              <c:strCache>
                <c:ptCount val="1"/>
                <c:pt idx="0">
                  <c:v>T1-COMT3(+)</c:v>
                </c:pt>
              </c:strCache>
            </c:strRef>
          </c:tx>
          <c:invertIfNegative val="0"/>
          <c:dLbls>
            <c:dLbl>
              <c:idx val="0"/>
              <c:tx>
                <c:rich>
                  <a:bodyPr/>
                  <a:lstStyle/>
                  <a:p>
                    <a:r>
                      <a:rPr lang="en-US"/>
                      <a:t>*</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'08-2012 lignin results'!$K$36</c:f>
                <c:numCache>
                  <c:formatCode>General</c:formatCode>
                  <c:ptCount val="1"/>
                  <c:pt idx="0">
                    <c:v>5.2052324102238199E-3</c:v>
                  </c:pt>
                </c:numCache>
              </c:numRef>
            </c:plus>
            <c:minus>
              <c:numRef>
                <c:f>'08-2012 lignin results'!$K$36</c:f>
                <c:numCache>
                  <c:formatCode>General</c:formatCode>
                  <c:ptCount val="1"/>
                  <c:pt idx="0">
                    <c:v>5.2052324102238199E-3</c:v>
                  </c:pt>
                </c:numCache>
              </c:numRef>
            </c:minus>
          </c:errBars>
          <c:cat>
            <c:numRef>
              <c:f>'08-2012 lignin results'!$H$19</c:f>
              <c:numCache>
                <c:formatCode>General</c:formatCode>
                <c:ptCount val="1"/>
              </c:numCache>
            </c:numRef>
          </c:cat>
          <c:val>
            <c:numRef>
              <c:f>'08-2012 lignin results'!$N$30</c:f>
              <c:numCache>
                <c:formatCode>0.00</c:formatCode>
                <c:ptCount val="1"/>
                <c:pt idx="0">
                  <c:v>0.39710000000000012</c:v>
                </c:pt>
              </c:numCache>
            </c:numRef>
          </c:val>
        </c:ser>
        <c:dLbls>
          <c:showLegendKey val="0"/>
          <c:showVal val="1"/>
          <c:showCatName val="0"/>
          <c:showSerName val="0"/>
          <c:showPercent val="0"/>
          <c:showBubbleSize val="0"/>
        </c:dLbls>
        <c:gapWidth val="351"/>
        <c:axId val="571464248"/>
        <c:axId val="571464640"/>
      </c:barChart>
      <c:catAx>
        <c:axId val="571464248"/>
        <c:scaling>
          <c:orientation val="minMax"/>
        </c:scaling>
        <c:delete val="0"/>
        <c:axPos val="b"/>
        <c:numFmt formatCode="General" sourceLinked="1"/>
        <c:majorTickMark val="out"/>
        <c:minorTickMark val="none"/>
        <c:tickLblPos val="nextTo"/>
        <c:crossAx val="571464640"/>
        <c:crosses val="autoZero"/>
        <c:auto val="1"/>
        <c:lblAlgn val="ctr"/>
        <c:lblOffset val="100"/>
        <c:noMultiLvlLbl val="0"/>
      </c:catAx>
      <c:valAx>
        <c:axId val="571464640"/>
        <c:scaling>
          <c:orientation val="minMax"/>
          <c:max val="0.8"/>
          <c:min val="0"/>
        </c:scaling>
        <c:delete val="0"/>
        <c:axPos val="l"/>
        <c:title>
          <c:tx>
            <c:rich>
              <a:bodyPr rot="-5400000" vert="horz"/>
              <a:lstStyle/>
              <a:p>
                <a:pPr>
                  <a:defRPr b="0"/>
                </a:pPr>
                <a:r>
                  <a:rPr lang="en-US" b="0"/>
                  <a:t>S/G ratio</a:t>
                </a:r>
              </a:p>
            </c:rich>
          </c:tx>
          <c:layout>
            <c:manualLayout>
              <c:xMode val="edge"/>
              <c:yMode val="edge"/>
              <c:x val="4.2786385572771138E-3"/>
              <c:y val="0.39485511811023638"/>
            </c:manualLayout>
          </c:layout>
          <c:overlay val="0"/>
        </c:title>
        <c:numFmt formatCode="0.0" sourceLinked="0"/>
        <c:majorTickMark val="out"/>
        <c:minorTickMark val="none"/>
        <c:tickLblPos val="nextTo"/>
        <c:crossAx val="571464248"/>
        <c:crosses val="autoZero"/>
        <c:crossBetween val="between"/>
        <c:majorUnit val="0.2"/>
      </c:valAx>
    </c:plotArea>
    <c:legend>
      <c:legendPos val="r"/>
      <c:layout>
        <c:manualLayout>
          <c:xMode val="edge"/>
          <c:yMode val="edge"/>
          <c:x val="0.64312801625603788"/>
          <c:y val="8.0416272965879568E-2"/>
          <c:w val="0.34020531707730084"/>
          <c:h val="0.1238535433070866"/>
        </c:manualLayout>
      </c:layout>
      <c:overlay val="0"/>
      <c:txPr>
        <a:bodyPr/>
        <a:lstStyle/>
        <a:p>
          <a:pPr>
            <a:defRPr sz="900"/>
          </a:pPr>
          <a:endParaRPr lang="en-US"/>
        </a:p>
      </c:txPr>
    </c:legend>
    <c:plotVisOnly val="1"/>
    <c:dispBlanksAs val="gap"/>
    <c:showDLblsOverMax val="0"/>
  </c:chart>
  <c:spPr>
    <a:ln>
      <a:noFill/>
    </a:ln>
  </c:spPr>
  <c:txPr>
    <a:bodyPr/>
    <a:lstStyle/>
    <a:p>
      <a:pPr>
        <a:defRPr sz="900">
          <a:latin typeface="Times New Roman" pitchFamily="18" charset="0"/>
          <a:cs typeface="Times New Roman" pitchFamily="18" charset="0"/>
        </a:defRPr>
      </a:pPr>
      <a:endParaRPr lang="en-US"/>
    </a:p>
  </c:txPr>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a:lstStyle/>
          <a:p>
            <a:pPr>
              <a:defRPr sz="900" b="0"/>
            </a:pPr>
            <a:r>
              <a:rPr lang="en-US" sz="900" b="0"/>
              <a:t>(a)</a:t>
            </a:r>
          </a:p>
        </c:rich>
      </c:tx>
      <c:layout>
        <c:manualLayout>
          <c:xMode val="edge"/>
          <c:yMode val="edge"/>
          <c:x val="4.4323088646176556E-4"/>
          <c:y val="0"/>
        </c:manualLayout>
      </c:layout>
      <c:overlay val="0"/>
    </c:title>
    <c:autoTitleDeleted val="0"/>
    <c:plotArea>
      <c:layout>
        <c:manualLayout>
          <c:layoutTarget val="inner"/>
          <c:xMode val="edge"/>
          <c:yMode val="edge"/>
          <c:x val="0.19266658199983069"/>
          <c:y val="3.7802624671916002E-2"/>
          <c:w val="0.54806028278722085"/>
          <c:h val="0.84265459317586278"/>
        </c:manualLayout>
      </c:layout>
      <c:barChart>
        <c:barDir val="col"/>
        <c:grouping val="clustered"/>
        <c:varyColors val="0"/>
        <c:ser>
          <c:idx val="0"/>
          <c:order val="0"/>
          <c:tx>
            <c:v>Control</c:v>
          </c:tx>
          <c:invertIfNegative val="0"/>
          <c:dLbls>
            <c:delete val="1"/>
          </c:dLbls>
          <c:errBars>
            <c:errBarType val="both"/>
            <c:errValType val="cust"/>
            <c:noEndCap val="0"/>
            <c:plus>
              <c:numRef>
                <c:f>'Lignin and SG ratio'!$L$31:$L$34</c:f>
                <c:numCache>
                  <c:formatCode>General</c:formatCode>
                  <c:ptCount val="4"/>
                  <c:pt idx="0">
                    <c:v>0.30430248109405877</c:v>
                  </c:pt>
                  <c:pt idx="1">
                    <c:v>0.15846485765339641</c:v>
                  </c:pt>
                  <c:pt idx="2">
                    <c:v>0.39319206502675003</c:v>
                  </c:pt>
                  <c:pt idx="3">
                    <c:v>0.19390719429665312</c:v>
                  </c:pt>
                </c:numCache>
              </c:numRef>
            </c:plus>
            <c:minus>
              <c:numRef>
                <c:f>'Lignin and SG ratio'!$L$31:$L$34</c:f>
                <c:numCache>
                  <c:formatCode>General</c:formatCode>
                  <c:ptCount val="4"/>
                  <c:pt idx="0">
                    <c:v>0.30430248109405877</c:v>
                  </c:pt>
                  <c:pt idx="1">
                    <c:v>0.15846485765339641</c:v>
                  </c:pt>
                  <c:pt idx="2">
                    <c:v>0.39319206502675003</c:v>
                  </c:pt>
                  <c:pt idx="3">
                    <c:v>0.19390719429665312</c:v>
                  </c:pt>
                </c:numCache>
              </c:numRef>
            </c:minus>
          </c:errBars>
          <c:cat>
            <c:numRef>
              <c:f>'Lignin and SG ratio'!$J$27</c:f>
              <c:numCache>
                <c:formatCode>General</c:formatCode>
                <c:ptCount val="1"/>
              </c:numCache>
            </c:numRef>
          </c:cat>
          <c:val>
            <c:numRef>
              <c:f>'Lignin and SG ratio'!$L$27</c:f>
              <c:numCache>
                <c:formatCode>0.00</c:formatCode>
                <c:ptCount val="1"/>
                <c:pt idx="0">
                  <c:v>20.240000000000002</c:v>
                </c:pt>
              </c:numCache>
            </c:numRef>
          </c:val>
        </c:ser>
        <c:ser>
          <c:idx val="1"/>
          <c:order val="1"/>
          <c:tx>
            <c:v>Transgenic</c:v>
          </c:tx>
          <c:invertIfNegative val="0"/>
          <c:dLbls>
            <c:dLbl>
              <c:idx val="0"/>
              <c:layout>
                <c:manualLayout>
                  <c:x val="0"/>
                  <c:y val="4.4105511811024123E-2"/>
                </c:manualLayout>
              </c:layout>
              <c:tx>
                <c:rich>
                  <a:bodyPr/>
                  <a:lstStyle/>
                  <a:p>
                    <a:r>
                      <a:rPr lang="en-US" sz="900"/>
                      <a:t>*</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900"/>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'Lignin and SG ratio'!$L$32</c:f>
                <c:numCache>
                  <c:formatCode>General</c:formatCode>
                  <c:ptCount val="1"/>
                  <c:pt idx="0">
                    <c:v>0.15846485765339641</c:v>
                  </c:pt>
                </c:numCache>
              </c:numRef>
            </c:plus>
            <c:minus>
              <c:numRef>
                <c:f>'Lignin and SG ratio'!$L$32</c:f>
                <c:numCache>
                  <c:formatCode>General</c:formatCode>
                  <c:ptCount val="1"/>
                  <c:pt idx="0">
                    <c:v>0.15846485765339641</c:v>
                  </c:pt>
                </c:numCache>
              </c:numRef>
            </c:minus>
          </c:errBars>
          <c:cat>
            <c:numRef>
              <c:f>'Lignin and SG ratio'!$J$27</c:f>
              <c:numCache>
                <c:formatCode>General</c:formatCode>
                <c:ptCount val="1"/>
              </c:numCache>
            </c:numRef>
          </c:cat>
          <c:val>
            <c:numRef>
              <c:f>'Lignin and SG ratio'!$M$27</c:f>
              <c:numCache>
                <c:formatCode>0.00</c:formatCode>
                <c:ptCount val="1"/>
                <c:pt idx="0">
                  <c:v>18.100000000000001</c:v>
                </c:pt>
              </c:numCache>
            </c:numRef>
          </c:val>
        </c:ser>
        <c:ser>
          <c:idx val="2"/>
          <c:order val="2"/>
          <c:tx>
            <c:strRef>
              <c:f>'Lignin and SG ratio'!$N$26</c:f>
              <c:strCache>
                <c:ptCount val="1"/>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'Lignin and SG ratio'!$J$27</c:f>
              <c:numCache>
                <c:formatCode>General</c:formatCode>
                <c:ptCount val="1"/>
              </c:numCache>
            </c:numRef>
          </c:cat>
          <c:val>
            <c:numRef>
              <c:f>'Lignin and SG ratio'!$N$27</c:f>
              <c:numCache>
                <c:formatCode>General</c:formatCode>
                <c:ptCount val="1"/>
              </c:numCache>
            </c:numRef>
          </c:val>
        </c:ser>
        <c:ser>
          <c:idx val="3"/>
          <c:order val="3"/>
          <c:tx>
            <c:strRef>
              <c:f>'Lignin and SG ratio'!$O$26</c:f>
              <c:strCache>
                <c:ptCount val="1"/>
                <c:pt idx="0">
                  <c:v>T1-COMT3(-)</c:v>
                </c:pt>
              </c:strCache>
            </c:strRef>
          </c:tx>
          <c:invertIfNegative val="0"/>
          <c:dLbls>
            <c:delete val="1"/>
          </c:dLbls>
          <c:errBars>
            <c:errBarType val="both"/>
            <c:errValType val="cust"/>
            <c:noEndCap val="0"/>
            <c:plus>
              <c:numRef>
                <c:f>'Lignin and SG ratio'!$L$33</c:f>
                <c:numCache>
                  <c:formatCode>General</c:formatCode>
                  <c:ptCount val="1"/>
                  <c:pt idx="0">
                    <c:v>0.39319206502675003</c:v>
                  </c:pt>
                </c:numCache>
              </c:numRef>
            </c:plus>
            <c:minus>
              <c:numRef>
                <c:f>'Lignin and SG ratio'!$L$33</c:f>
                <c:numCache>
                  <c:formatCode>General</c:formatCode>
                  <c:ptCount val="1"/>
                  <c:pt idx="0">
                    <c:v>0.39319206502675003</c:v>
                  </c:pt>
                </c:numCache>
              </c:numRef>
            </c:minus>
          </c:errBars>
          <c:cat>
            <c:numRef>
              <c:f>'Lignin and SG ratio'!$J$27</c:f>
              <c:numCache>
                <c:formatCode>General</c:formatCode>
                <c:ptCount val="1"/>
              </c:numCache>
            </c:numRef>
          </c:cat>
          <c:val>
            <c:numRef>
              <c:f>'Lignin and SG ratio'!$O$27</c:f>
              <c:numCache>
                <c:formatCode>0.00</c:formatCode>
                <c:ptCount val="1"/>
                <c:pt idx="0">
                  <c:v>20.139999999999997</c:v>
                </c:pt>
              </c:numCache>
            </c:numRef>
          </c:val>
        </c:ser>
        <c:ser>
          <c:idx val="4"/>
          <c:order val="4"/>
          <c:tx>
            <c:strRef>
              <c:f>'Lignin and SG ratio'!$P$26</c:f>
              <c:strCache>
                <c:ptCount val="1"/>
                <c:pt idx="0">
                  <c:v>T1-COMT3(+)</c:v>
                </c:pt>
              </c:strCache>
            </c:strRef>
          </c:tx>
          <c:invertIfNegative val="0"/>
          <c:dLbls>
            <c:dLbl>
              <c:idx val="0"/>
              <c:layout>
                <c:manualLayout>
                  <c:x val="0"/>
                  <c:y val="3.3465091863517059E-2"/>
                </c:manualLayout>
              </c:layout>
              <c:tx>
                <c:rich>
                  <a:bodyPr/>
                  <a:lstStyle/>
                  <a:p>
                    <a:r>
                      <a:rPr lang="en-US" sz="900"/>
                      <a:t>*</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'Lignin and SG ratio'!$L$34</c:f>
                <c:numCache>
                  <c:formatCode>General</c:formatCode>
                  <c:ptCount val="1"/>
                  <c:pt idx="0">
                    <c:v>0.19390719429665312</c:v>
                  </c:pt>
                </c:numCache>
              </c:numRef>
            </c:plus>
            <c:minus>
              <c:numRef>
                <c:f>'Lignin and SG ratio'!$L$34</c:f>
                <c:numCache>
                  <c:formatCode>General</c:formatCode>
                  <c:ptCount val="1"/>
                  <c:pt idx="0">
                    <c:v>0.19390719429665312</c:v>
                  </c:pt>
                </c:numCache>
              </c:numRef>
            </c:minus>
          </c:errBars>
          <c:cat>
            <c:numRef>
              <c:f>'Lignin and SG ratio'!$J$27</c:f>
              <c:numCache>
                <c:formatCode>General</c:formatCode>
                <c:ptCount val="1"/>
              </c:numCache>
            </c:numRef>
          </c:cat>
          <c:val>
            <c:numRef>
              <c:f>'Lignin and SG ratio'!$P$27</c:f>
              <c:numCache>
                <c:formatCode>0.00</c:formatCode>
                <c:ptCount val="1"/>
                <c:pt idx="0">
                  <c:v>18.439999999999998</c:v>
                </c:pt>
              </c:numCache>
            </c:numRef>
          </c:val>
        </c:ser>
        <c:dLbls>
          <c:showLegendKey val="0"/>
          <c:showVal val="1"/>
          <c:showCatName val="0"/>
          <c:showSerName val="0"/>
          <c:showPercent val="0"/>
          <c:showBubbleSize val="0"/>
        </c:dLbls>
        <c:gapWidth val="351"/>
        <c:axId val="571457976"/>
        <c:axId val="571460328"/>
      </c:barChart>
      <c:catAx>
        <c:axId val="571457976"/>
        <c:scaling>
          <c:orientation val="minMax"/>
        </c:scaling>
        <c:delete val="0"/>
        <c:axPos val="b"/>
        <c:numFmt formatCode="General" sourceLinked="1"/>
        <c:majorTickMark val="out"/>
        <c:minorTickMark val="none"/>
        <c:tickLblPos val="nextTo"/>
        <c:crossAx val="571460328"/>
        <c:crosses val="autoZero"/>
        <c:auto val="1"/>
        <c:lblAlgn val="ctr"/>
        <c:lblOffset val="100"/>
        <c:noMultiLvlLbl val="0"/>
      </c:catAx>
      <c:valAx>
        <c:axId val="571460328"/>
        <c:scaling>
          <c:orientation val="minMax"/>
          <c:max val="25"/>
          <c:min val="0"/>
        </c:scaling>
        <c:delete val="0"/>
        <c:axPos val="l"/>
        <c:title>
          <c:tx>
            <c:rich>
              <a:bodyPr rot="-5400000" vert="horz"/>
              <a:lstStyle/>
              <a:p>
                <a:pPr>
                  <a:defRPr sz="900" b="0"/>
                </a:pPr>
                <a:r>
                  <a:rPr lang="en-US" sz="900" b="0"/>
                  <a:t>Lignin content (%CWR)</a:t>
                </a:r>
              </a:p>
            </c:rich>
          </c:tx>
          <c:layout>
            <c:manualLayout>
              <c:xMode val="edge"/>
              <c:yMode val="edge"/>
              <c:x val="1.2286851240369549E-2"/>
              <c:y val="0.18320000000000194"/>
            </c:manualLayout>
          </c:layout>
          <c:overlay val="0"/>
        </c:title>
        <c:numFmt formatCode="0" sourceLinked="0"/>
        <c:majorTickMark val="out"/>
        <c:minorTickMark val="none"/>
        <c:tickLblPos val="nextTo"/>
        <c:crossAx val="571457976"/>
        <c:crosses val="autoZero"/>
        <c:crossBetween val="between"/>
      </c:valAx>
    </c:plotArea>
    <c:legend>
      <c:legendPos val="r"/>
      <c:layout>
        <c:manualLayout>
          <c:xMode val="edge"/>
          <c:yMode val="edge"/>
          <c:x val="0.63928879857760001"/>
          <c:y val="4.0002624671917134E-2"/>
          <c:w val="0.35793963254593175"/>
          <c:h val="0.16900104986876641"/>
        </c:manualLayout>
      </c:layout>
      <c:overlay val="0"/>
      <c:txPr>
        <a:bodyPr/>
        <a:lstStyle/>
        <a:p>
          <a:pPr>
            <a:defRPr sz="900"/>
          </a:pPr>
          <a:endParaRPr lang="en-US"/>
        </a:p>
      </c:txPr>
    </c:legend>
    <c:plotVisOnly val="1"/>
    <c:dispBlanksAs val="gap"/>
    <c:showDLblsOverMax val="0"/>
  </c:chart>
  <c:spPr>
    <a:ln>
      <a:noFill/>
    </a:ln>
  </c:spPr>
  <c:txPr>
    <a:bodyPr/>
    <a:lstStyle/>
    <a:p>
      <a:pPr>
        <a:defRPr>
          <a:latin typeface="Times New Roman" pitchFamily="18" charset="0"/>
          <a:cs typeface="Times New Roman" pitchFamily="18" charset="0"/>
        </a:defRPr>
      </a:pPr>
      <a:endParaRPr lang="en-US"/>
    </a:p>
  </c:txPr>
  <c:externalData r:id="rId2">
    <c:autoUpdate val="0"/>
  </c:externalData>
  <c:userShapes r:id="rId3"/>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a:lstStyle/>
          <a:p>
            <a:pPr>
              <a:defRPr sz="900" b="0" i="0"/>
            </a:pPr>
            <a:r>
              <a:rPr lang="en-US" sz="900" b="0" i="0"/>
              <a:t>(b)</a:t>
            </a:r>
          </a:p>
        </c:rich>
      </c:tx>
      <c:layout>
        <c:manualLayout>
          <c:xMode val="edge"/>
          <c:yMode val="edge"/>
          <c:x val="4.0589281178562203E-3"/>
          <c:y val="0"/>
        </c:manualLayout>
      </c:layout>
      <c:overlay val="0"/>
    </c:title>
    <c:autoTitleDeleted val="0"/>
    <c:plotArea>
      <c:layout>
        <c:manualLayout>
          <c:layoutTarget val="inner"/>
          <c:xMode val="edge"/>
          <c:yMode val="edge"/>
          <c:x val="0.19350647701295404"/>
          <c:y val="3.6897637795276286E-2"/>
          <c:w val="0.58256667513333571"/>
          <c:h val="0.86234960629922808"/>
        </c:manualLayout>
      </c:layout>
      <c:barChart>
        <c:barDir val="col"/>
        <c:grouping val="clustered"/>
        <c:varyColors val="0"/>
        <c:ser>
          <c:idx val="0"/>
          <c:order val="0"/>
          <c:tx>
            <c:v>Control</c:v>
          </c:tx>
          <c:invertIfNegative val="0"/>
          <c:dLbls>
            <c:delete val="1"/>
          </c:dLbls>
          <c:errBars>
            <c:errBarType val="both"/>
            <c:errValType val="cust"/>
            <c:noEndCap val="0"/>
            <c:plus>
              <c:numRef>
                <c:f>'Lignin and SG ratio'!$M$31:$M$34</c:f>
                <c:numCache>
                  <c:formatCode>General</c:formatCode>
                  <c:ptCount val="4"/>
                  <c:pt idx="0">
                    <c:v>6.9525521315904198E-3</c:v>
                  </c:pt>
                  <c:pt idx="1">
                    <c:v>5.344795973515469E-3</c:v>
                  </c:pt>
                  <c:pt idx="2">
                    <c:v>1.0377144244431161E-2</c:v>
                  </c:pt>
                  <c:pt idx="3">
                    <c:v>9.3371298897009444E-3</c:v>
                  </c:pt>
                </c:numCache>
              </c:numRef>
            </c:plus>
            <c:minus>
              <c:numRef>
                <c:f>'Lignin and SG ratio'!$M$31:$M$34</c:f>
                <c:numCache>
                  <c:formatCode>General</c:formatCode>
                  <c:ptCount val="4"/>
                  <c:pt idx="0">
                    <c:v>6.9525521315904198E-3</c:v>
                  </c:pt>
                  <c:pt idx="1">
                    <c:v>5.344795973515469E-3</c:v>
                  </c:pt>
                  <c:pt idx="2">
                    <c:v>1.0377144244431161E-2</c:v>
                  </c:pt>
                  <c:pt idx="3">
                    <c:v>9.3371298897009444E-3</c:v>
                  </c:pt>
                </c:numCache>
              </c:numRef>
            </c:minus>
          </c:errBars>
          <c:cat>
            <c:numRef>
              <c:f>'Lignin and SG ratio'!$J$28</c:f>
              <c:numCache>
                <c:formatCode>General</c:formatCode>
                <c:ptCount val="1"/>
              </c:numCache>
            </c:numRef>
          </c:cat>
          <c:val>
            <c:numRef>
              <c:f>'Lignin and SG ratio'!$L$28</c:f>
              <c:numCache>
                <c:formatCode>0.00</c:formatCode>
                <c:ptCount val="1"/>
                <c:pt idx="0">
                  <c:v>0.53598308468107581</c:v>
                </c:pt>
              </c:numCache>
            </c:numRef>
          </c:val>
        </c:ser>
        <c:ser>
          <c:idx val="1"/>
          <c:order val="1"/>
          <c:tx>
            <c:v>Transgenic</c:v>
          </c:tx>
          <c:invertIfNegative val="0"/>
          <c:dLbls>
            <c:dLbl>
              <c:idx val="0"/>
              <c:layout>
                <c:manualLayout>
                  <c:x val="-4.2333418000170454E-7"/>
                  <c:y val="4.1451968503936995E-2"/>
                </c:manualLayout>
              </c:layout>
              <c:tx>
                <c:rich>
                  <a:bodyPr/>
                  <a:lstStyle/>
                  <a:p>
                    <a:r>
                      <a:rPr lang="en-US"/>
                      <a:t>*</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'Lignin and SG ratio'!$M$32</c:f>
                <c:numCache>
                  <c:formatCode>General</c:formatCode>
                  <c:ptCount val="1"/>
                  <c:pt idx="0">
                    <c:v>5.344795973515469E-3</c:v>
                  </c:pt>
                </c:numCache>
              </c:numRef>
            </c:plus>
            <c:minus>
              <c:numRef>
                <c:f>'Lignin and SG ratio'!$M$32</c:f>
                <c:numCache>
                  <c:formatCode>General</c:formatCode>
                  <c:ptCount val="1"/>
                  <c:pt idx="0">
                    <c:v>5.344795973515469E-3</c:v>
                  </c:pt>
                </c:numCache>
              </c:numRef>
            </c:minus>
          </c:errBars>
          <c:cat>
            <c:numRef>
              <c:f>'Lignin and SG ratio'!$J$28</c:f>
              <c:numCache>
                <c:formatCode>General</c:formatCode>
                <c:ptCount val="1"/>
              </c:numCache>
            </c:numRef>
          </c:cat>
          <c:val>
            <c:numRef>
              <c:f>'Lignin and SG ratio'!$M$28</c:f>
              <c:numCache>
                <c:formatCode>0.00</c:formatCode>
                <c:ptCount val="1"/>
                <c:pt idx="0">
                  <c:v>0.44455487764552282</c:v>
                </c:pt>
              </c:numCache>
            </c:numRef>
          </c:val>
        </c:ser>
        <c:ser>
          <c:idx val="2"/>
          <c:order val="2"/>
          <c:tx>
            <c:strRef>
              <c:f>'Lignin and SG ratio'!$N$26</c:f>
              <c:strCache>
                <c:ptCount val="1"/>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'Lignin and SG ratio'!$J$28</c:f>
              <c:numCache>
                <c:formatCode>General</c:formatCode>
                <c:ptCount val="1"/>
              </c:numCache>
            </c:numRef>
          </c:cat>
          <c:val>
            <c:numRef>
              <c:f>'Lignin and SG ratio'!$N$28</c:f>
              <c:numCache>
                <c:formatCode>General</c:formatCode>
                <c:ptCount val="1"/>
              </c:numCache>
            </c:numRef>
          </c:val>
        </c:ser>
        <c:ser>
          <c:idx val="3"/>
          <c:order val="3"/>
          <c:tx>
            <c:strRef>
              <c:f>'Lignin and SG ratio'!$O$26</c:f>
              <c:strCache>
                <c:ptCount val="1"/>
                <c:pt idx="0">
                  <c:v>T1-COMT3(-)</c:v>
                </c:pt>
              </c:strCache>
            </c:strRef>
          </c:tx>
          <c:invertIfNegative val="0"/>
          <c:dLbls>
            <c:delete val="1"/>
          </c:dLbls>
          <c:errBars>
            <c:errBarType val="both"/>
            <c:errValType val="cust"/>
            <c:noEndCap val="0"/>
            <c:plus>
              <c:numRef>
                <c:f>'Lignin and SG ratio'!$M$33</c:f>
                <c:numCache>
                  <c:formatCode>General</c:formatCode>
                  <c:ptCount val="1"/>
                  <c:pt idx="0">
                    <c:v>1.0377144244431161E-2</c:v>
                  </c:pt>
                </c:numCache>
              </c:numRef>
            </c:plus>
            <c:minus>
              <c:numRef>
                <c:f>'Lignin and SG ratio'!$M$33</c:f>
                <c:numCache>
                  <c:formatCode>General</c:formatCode>
                  <c:ptCount val="1"/>
                  <c:pt idx="0">
                    <c:v>1.0377144244431161E-2</c:v>
                  </c:pt>
                </c:numCache>
              </c:numRef>
            </c:minus>
          </c:errBars>
          <c:cat>
            <c:numRef>
              <c:f>'Lignin and SG ratio'!$J$28</c:f>
              <c:numCache>
                <c:formatCode>General</c:formatCode>
                <c:ptCount val="1"/>
              </c:numCache>
            </c:numRef>
          </c:cat>
          <c:val>
            <c:numRef>
              <c:f>'Lignin and SG ratio'!$O$28</c:f>
              <c:numCache>
                <c:formatCode>0.00</c:formatCode>
                <c:ptCount val="1"/>
                <c:pt idx="0">
                  <c:v>0.54879644367714331</c:v>
                </c:pt>
              </c:numCache>
            </c:numRef>
          </c:val>
        </c:ser>
        <c:ser>
          <c:idx val="4"/>
          <c:order val="4"/>
          <c:tx>
            <c:strRef>
              <c:f>'Lignin and SG ratio'!$P$26</c:f>
              <c:strCache>
                <c:ptCount val="1"/>
                <c:pt idx="0">
                  <c:v>T1-COMT3(+)</c:v>
                </c:pt>
              </c:strCache>
            </c:strRef>
          </c:tx>
          <c:invertIfNegative val="0"/>
          <c:dLbls>
            <c:dLbl>
              <c:idx val="0"/>
              <c:layout>
                <c:manualLayout>
                  <c:x val="0"/>
                  <c:y val="2.5412598425196851E-2"/>
                </c:manualLayout>
              </c:layout>
              <c:tx>
                <c:rich>
                  <a:bodyPr/>
                  <a:lstStyle/>
                  <a:p>
                    <a:r>
                      <a:rPr lang="en-US"/>
                      <a:t>*</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'Lignin and SG ratio'!$M$34</c:f>
                <c:numCache>
                  <c:formatCode>General</c:formatCode>
                  <c:ptCount val="1"/>
                  <c:pt idx="0">
                    <c:v>9.3371298897009444E-3</c:v>
                  </c:pt>
                </c:numCache>
              </c:numRef>
            </c:plus>
            <c:minus>
              <c:numRef>
                <c:f>'Lignin and SG ratio'!$M$34</c:f>
                <c:numCache>
                  <c:formatCode>General</c:formatCode>
                  <c:ptCount val="1"/>
                  <c:pt idx="0">
                    <c:v>9.3371298897009444E-3</c:v>
                  </c:pt>
                </c:numCache>
              </c:numRef>
            </c:minus>
          </c:errBars>
          <c:cat>
            <c:numRef>
              <c:f>'Lignin and SG ratio'!$J$28</c:f>
              <c:numCache>
                <c:formatCode>General</c:formatCode>
                <c:ptCount val="1"/>
              </c:numCache>
            </c:numRef>
          </c:cat>
          <c:val>
            <c:numRef>
              <c:f>'Lignin and SG ratio'!$P$28</c:f>
              <c:numCache>
                <c:formatCode>0.00</c:formatCode>
                <c:ptCount val="1"/>
                <c:pt idx="0">
                  <c:v>0.44449011072977412</c:v>
                </c:pt>
              </c:numCache>
            </c:numRef>
          </c:val>
        </c:ser>
        <c:dLbls>
          <c:showLegendKey val="0"/>
          <c:showVal val="1"/>
          <c:showCatName val="0"/>
          <c:showSerName val="0"/>
          <c:showPercent val="0"/>
          <c:showBubbleSize val="0"/>
        </c:dLbls>
        <c:gapWidth val="351"/>
        <c:axId val="571465032"/>
        <c:axId val="571459152"/>
      </c:barChart>
      <c:catAx>
        <c:axId val="571465032"/>
        <c:scaling>
          <c:orientation val="minMax"/>
        </c:scaling>
        <c:delete val="0"/>
        <c:axPos val="b"/>
        <c:numFmt formatCode="General" sourceLinked="1"/>
        <c:majorTickMark val="out"/>
        <c:minorTickMark val="none"/>
        <c:tickLblPos val="nextTo"/>
        <c:crossAx val="571459152"/>
        <c:crosses val="autoZero"/>
        <c:auto val="1"/>
        <c:lblAlgn val="ctr"/>
        <c:lblOffset val="100"/>
        <c:noMultiLvlLbl val="0"/>
      </c:catAx>
      <c:valAx>
        <c:axId val="571459152"/>
        <c:scaling>
          <c:orientation val="minMax"/>
          <c:max val="0.8"/>
        </c:scaling>
        <c:delete val="0"/>
        <c:axPos val="l"/>
        <c:title>
          <c:tx>
            <c:rich>
              <a:bodyPr rot="-5400000" vert="horz"/>
              <a:lstStyle/>
              <a:p>
                <a:pPr>
                  <a:defRPr b="0"/>
                </a:pPr>
                <a:r>
                  <a:rPr lang="en-US" b="0"/>
                  <a:t>S/G ratio</a:t>
                </a:r>
              </a:p>
            </c:rich>
          </c:tx>
          <c:layout>
            <c:manualLayout>
              <c:xMode val="edge"/>
              <c:yMode val="edge"/>
              <c:x val="8.9619845906360567E-4"/>
              <c:y val="0.35972598425197178"/>
            </c:manualLayout>
          </c:layout>
          <c:overlay val="0"/>
        </c:title>
        <c:numFmt formatCode="0.0" sourceLinked="0"/>
        <c:majorTickMark val="out"/>
        <c:minorTickMark val="none"/>
        <c:tickLblPos val="nextTo"/>
        <c:crossAx val="571465032"/>
        <c:crosses val="autoZero"/>
        <c:crossBetween val="between"/>
        <c:majorUnit val="0.2"/>
      </c:valAx>
    </c:plotArea>
    <c:legend>
      <c:legendPos val="r"/>
      <c:layout>
        <c:manualLayout>
          <c:xMode val="edge"/>
          <c:yMode val="edge"/>
          <c:x val="0.64155490644315738"/>
          <c:y val="3.7114435695538038E-2"/>
          <c:w val="0.35566717466768288"/>
          <c:h val="0.16467034120734908"/>
        </c:manualLayout>
      </c:layout>
      <c:overlay val="0"/>
    </c:legend>
    <c:plotVisOnly val="1"/>
    <c:dispBlanksAs val="gap"/>
    <c:showDLblsOverMax val="0"/>
  </c:chart>
  <c:spPr>
    <a:ln>
      <a:noFill/>
    </a:ln>
  </c:spPr>
  <c:txPr>
    <a:bodyPr/>
    <a:lstStyle/>
    <a:p>
      <a:pPr>
        <a:defRPr sz="900">
          <a:latin typeface="Times New Roman" pitchFamily="18" charset="0"/>
          <a:cs typeface="Times New Roman" pitchFamily="18" charset="0"/>
        </a:defRPr>
      </a:pPr>
      <a:endParaRPr lang="en-US"/>
    </a:p>
  </c:txPr>
  <c:externalData r:id="rId2">
    <c:autoUpdate val="0"/>
  </c:externalData>
  <c:userShapes r:id="rId3"/>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a:lstStyle/>
          <a:p>
            <a:pPr>
              <a:defRPr sz="900" b="0"/>
            </a:pPr>
            <a:r>
              <a:rPr lang="en-US" sz="900" b="0"/>
              <a:t>(c)</a:t>
            </a:r>
          </a:p>
        </c:rich>
      </c:tx>
      <c:layout>
        <c:manualLayout>
          <c:xMode val="edge"/>
          <c:yMode val="edge"/>
          <c:x val="4.0216747100167026E-5"/>
          <c:y val="1.3333333333333338E-2"/>
        </c:manualLayout>
      </c:layout>
      <c:overlay val="0"/>
    </c:title>
    <c:autoTitleDeleted val="0"/>
    <c:plotArea>
      <c:layout>
        <c:manualLayout>
          <c:layoutTarget val="inner"/>
          <c:xMode val="edge"/>
          <c:yMode val="edge"/>
          <c:x val="0.19491363982728346"/>
          <c:y val="7.6998950131233923E-2"/>
          <c:w val="0.54543307086614157"/>
          <c:h val="0.80339895013123352"/>
        </c:manualLayout>
      </c:layout>
      <c:barChart>
        <c:barDir val="col"/>
        <c:grouping val="clustered"/>
        <c:varyColors val="0"/>
        <c:ser>
          <c:idx val="0"/>
          <c:order val="0"/>
          <c:tx>
            <c:v>Control</c:v>
          </c:tx>
          <c:invertIfNegative val="0"/>
          <c:dLbls>
            <c:delete val="1"/>
          </c:dLbls>
          <c:errBars>
            <c:errBarType val="both"/>
            <c:errValType val="cust"/>
            <c:noEndCap val="0"/>
            <c:plus>
              <c:numRef>
                <c:f>'12-2012 lignin results'!$J$33</c:f>
                <c:numCache>
                  <c:formatCode>General</c:formatCode>
                  <c:ptCount val="1"/>
                  <c:pt idx="0">
                    <c:v>0.22895252783055287</c:v>
                  </c:pt>
                </c:numCache>
              </c:numRef>
            </c:plus>
            <c:minus>
              <c:numRef>
                <c:f>'12-2012 lignin results'!$J$33</c:f>
                <c:numCache>
                  <c:formatCode>General</c:formatCode>
                  <c:ptCount val="1"/>
                  <c:pt idx="0">
                    <c:v>0.22895252783055287</c:v>
                  </c:pt>
                </c:numCache>
              </c:numRef>
            </c:minus>
          </c:errBars>
          <c:cat>
            <c:numRef>
              <c:f>'12-2012 lignin results'!$H$22</c:f>
              <c:numCache>
                <c:formatCode>General</c:formatCode>
                <c:ptCount val="1"/>
              </c:numCache>
            </c:numRef>
          </c:cat>
          <c:val>
            <c:numRef>
              <c:f>'12-2012 lignin results'!$J$29</c:f>
              <c:numCache>
                <c:formatCode>0.0</c:formatCode>
                <c:ptCount val="1"/>
                <c:pt idx="0">
                  <c:v>23.538399999999992</c:v>
                </c:pt>
              </c:numCache>
            </c:numRef>
          </c:val>
        </c:ser>
        <c:ser>
          <c:idx val="1"/>
          <c:order val="1"/>
          <c:tx>
            <c:v>Transgenic</c:v>
          </c:tx>
          <c:invertIfNegative val="0"/>
          <c:dLbls>
            <c:dLbl>
              <c:idx val="0"/>
              <c:layout>
                <c:manualLayout>
                  <c:x val="0"/>
                  <c:y val="3.999947506561681E-2"/>
                </c:manualLayout>
              </c:layout>
              <c:tx>
                <c:rich>
                  <a:bodyPr/>
                  <a:lstStyle/>
                  <a:p>
                    <a:r>
                      <a:rPr lang="en-US" sz="900"/>
                      <a:t>*</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'12-2012 lignin results'!$J$34</c:f>
                <c:numCache>
                  <c:formatCode>General</c:formatCode>
                  <c:ptCount val="1"/>
                  <c:pt idx="0">
                    <c:v>0.11011887011568693</c:v>
                  </c:pt>
                </c:numCache>
              </c:numRef>
            </c:plus>
            <c:minus>
              <c:numRef>
                <c:f>'12-2012 lignin results'!$J$34</c:f>
                <c:numCache>
                  <c:formatCode>General</c:formatCode>
                  <c:ptCount val="1"/>
                  <c:pt idx="0">
                    <c:v>0.11011887011568693</c:v>
                  </c:pt>
                </c:numCache>
              </c:numRef>
            </c:minus>
          </c:errBars>
          <c:cat>
            <c:numRef>
              <c:f>'12-2012 lignin results'!$H$22</c:f>
              <c:numCache>
                <c:formatCode>General</c:formatCode>
                <c:ptCount val="1"/>
              </c:numCache>
            </c:numRef>
          </c:cat>
          <c:val>
            <c:numRef>
              <c:f>'12-2012 lignin results'!$K$29</c:f>
              <c:numCache>
                <c:formatCode>0.0</c:formatCode>
                <c:ptCount val="1"/>
                <c:pt idx="0">
                  <c:v>20.811100000000007</c:v>
                </c:pt>
              </c:numCache>
            </c:numRef>
          </c:val>
        </c:ser>
        <c:ser>
          <c:idx val="2"/>
          <c:order val="2"/>
          <c:tx>
            <c:strRef>
              <c:f>'12-2012 lignin results'!$L$28</c:f>
              <c:strCache>
                <c:ptCount val="1"/>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'12-2012 lignin results'!$H$22</c:f>
              <c:numCache>
                <c:formatCode>General</c:formatCode>
                <c:ptCount val="1"/>
              </c:numCache>
            </c:numRef>
          </c:cat>
          <c:val>
            <c:numRef>
              <c:f>'12-2012 lignin results'!$L$29</c:f>
              <c:numCache>
                <c:formatCode>General</c:formatCode>
                <c:ptCount val="1"/>
              </c:numCache>
            </c:numRef>
          </c:val>
        </c:ser>
        <c:ser>
          <c:idx val="3"/>
          <c:order val="3"/>
          <c:tx>
            <c:strRef>
              <c:f>'12-2012 lignin results'!$M$28</c:f>
              <c:strCache>
                <c:ptCount val="1"/>
                <c:pt idx="0">
                  <c:v>T1-COMT3(-)</c:v>
                </c:pt>
              </c:strCache>
            </c:strRef>
          </c:tx>
          <c:invertIfNegative val="0"/>
          <c:dLbls>
            <c:delete val="1"/>
          </c:dLbls>
          <c:errBars>
            <c:errBarType val="both"/>
            <c:errValType val="cust"/>
            <c:noEndCap val="0"/>
            <c:plus>
              <c:numRef>
                <c:f>'12-2012 lignin results'!$J$35</c:f>
                <c:numCache>
                  <c:formatCode>General</c:formatCode>
                  <c:ptCount val="1"/>
                  <c:pt idx="0">
                    <c:v>0.29136145935933294</c:v>
                  </c:pt>
                </c:numCache>
              </c:numRef>
            </c:plus>
            <c:minus>
              <c:numRef>
                <c:f>'12-2012 lignin results'!$J$35</c:f>
                <c:numCache>
                  <c:formatCode>General</c:formatCode>
                  <c:ptCount val="1"/>
                  <c:pt idx="0">
                    <c:v>0.29136145935933294</c:v>
                  </c:pt>
                </c:numCache>
              </c:numRef>
            </c:minus>
          </c:errBars>
          <c:cat>
            <c:numRef>
              <c:f>'12-2012 lignin results'!$H$22</c:f>
              <c:numCache>
                <c:formatCode>General</c:formatCode>
                <c:ptCount val="1"/>
              </c:numCache>
            </c:numRef>
          </c:cat>
          <c:val>
            <c:numRef>
              <c:f>'12-2012 lignin results'!$M$29</c:f>
              <c:numCache>
                <c:formatCode>0.0</c:formatCode>
                <c:ptCount val="1"/>
                <c:pt idx="0">
                  <c:v>23.496000000000002</c:v>
                </c:pt>
              </c:numCache>
            </c:numRef>
          </c:val>
        </c:ser>
        <c:ser>
          <c:idx val="4"/>
          <c:order val="4"/>
          <c:tx>
            <c:strRef>
              <c:f>'12-2012 lignin results'!$N$28</c:f>
              <c:strCache>
                <c:ptCount val="1"/>
                <c:pt idx="0">
                  <c:v>T1-COMT3(+)</c:v>
                </c:pt>
              </c:strCache>
            </c:strRef>
          </c:tx>
          <c:invertIfNegative val="0"/>
          <c:dLbls>
            <c:dLbl>
              <c:idx val="0"/>
              <c:layout>
                <c:manualLayout>
                  <c:x val="0"/>
                  <c:y val="2.666614173228345E-2"/>
                </c:manualLayout>
              </c:layout>
              <c:tx>
                <c:rich>
                  <a:bodyPr/>
                  <a:lstStyle/>
                  <a:p>
                    <a:r>
                      <a:rPr lang="en-US" sz="900"/>
                      <a:t>*</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'12-2012 lignin results'!$J$36</c:f>
                <c:numCache>
                  <c:formatCode>General</c:formatCode>
                  <c:ptCount val="1"/>
                  <c:pt idx="0">
                    <c:v>0.12402745663763327</c:v>
                  </c:pt>
                </c:numCache>
              </c:numRef>
            </c:plus>
            <c:minus>
              <c:numRef>
                <c:f>'12-2012 lignin results'!$J$36</c:f>
                <c:numCache>
                  <c:formatCode>General</c:formatCode>
                  <c:ptCount val="1"/>
                  <c:pt idx="0">
                    <c:v>0.12402745663763327</c:v>
                  </c:pt>
                </c:numCache>
              </c:numRef>
            </c:minus>
          </c:errBars>
          <c:cat>
            <c:numRef>
              <c:f>'12-2012 lignin results'!$H$22</c:f>
              <c:numCache>
                <c:formatCode>General</c:formatCode>
                <c:ptCount val="1"/>
              </c:numCache>
            </c:numRef>
          </c:cat>
          <c:val>
            <c:numRef>
              <c:f>'12-2012 lignin results'!$N$29</c:f>
              <c:numCache>
                <c:formatCode>0.0</c:formatCode>
                <c:ptCount val="1"/>
                <c:pt idx="0">
                  <c:v>20.684899999999999</c:v>
                </c:pt>
              </c:numCache>
            </c:numRef>
          </c:val>
        </c:ser>
        <c:dLbls>
          <c:showLegendKey val="0"/>
          <c:showVal val="1"/>
          <c:showCatName val="0"/>
          <c:showSerName val="0"/>
          <c:showPercent val="0"/>
          <c:showBubbleSize val="0"/>
        </c:dLbls>
        <c:gapWidth val="351"/>
        <c:axId val="571458760"/>
        <c:axId val="571459936"/>
      </c:barChart>
      <c:catAx>
        <c:axId val="571458760"/>
        <c:scaling>
          <c:orientation val="minMax"/>
        </c:scaling>
        <c:delete val="0"/>
        <c:axPos val="b"/>
        <c:numFmt formatCode="General" sourceLinked="1"/>
        <c:majorTickMark val="out"/>
        <c:minorTickMark val="none"/>
        <c:tickLblPos val="nextTo"/>
        <c:crossAx val="571459936"/>
        <c:crosses val="autoZero"/>
        <c:auto val="1"/>
        <c:lblAlgn val="ctr"/>
        <c:lblOffset val="100"/>
        <c:noMultiLvlLbl val="0"/>
      </c:catAx>
      <c:valAx>
        <c:axId val="571459936"/>
        <c:scaling>
          <c:orientation val="minMax"/>
          <c:max val="25"/>
          <c:min val="0"/>
        </c:scaling>
        <c:delete val="0"/>
        <c:axPos val="l"/>
        <c:title>
          <c:tx>
            <c:rich>
              <a:bodyPr rot="-5400000" vert="horz"/>
              <a:lstStyle/>
              <a:p>
                <a:pPr>
                  <a:defRPr sz="900" b="0"/>
                </a:pPr>
                <a:r>
                  <a:rPr lang="en-US" sz="900" b="0"/>
                  <a:t>Lignin content (% CWR)</a:t>
                </a:r>
              </a:p>
            </c:rich>
          </c:tx>
          <c:layout>
            <c:manualLayout>
              <c:xMode val="edge"/>
              <c:yMode val="edge"/>
              <c:x val="1.6129032258064523E-2"/>
              <c:y val="0.17033228346456694"/>
            </c:manualLayout>
          </c:layout>
          <c:overlay val="0"/>
        </c:title>
        <c:numFmt formatCode="0" sourceLinked="0"/>
        <c:majorTickMark val="out"/>
        <c:minorTickMark val="none"/>
        <c:tickLblPos val="nextTo"/>
        <c:crossAx val="571458760"/>
        <c:crosses val="autoZero"/>
        <c:crossBetween val="between"/>
      </c:valAx>
    </c:plotArea>
    <c:legend>
      <c:legendPos val="r"/>
      <c:layout>
        <c:manualLayout>
          <c:xMode val="edge"/>
          <c:yMode val="edge"/>
          <c:x val="0.62734484802303303"/>
          <c:y val="4.0368503937009012E-2"/>
          <c:w val="0.35711878757091065"/>
          <c:h val="0.16354593175853024"/>
        </c:manualLayout>
      </c:layout>
      <c:overlay val="0"/>
      <c:txPr>
        <a:bodyPr/>
        <a:lstStyle/>
        <a:p>
          <a:pPr>
            <a:defRPr sz="900"/>
          </a:pPr>
          <a:endParaRPr lang="en-US"/>
        </a:p>
      </c:txPr>
    </c:legend>
    <c:plotVisOnly val="1"/>
    <c:dispBlanksAs val="gap"/>
    <c:showDLblsOverMax val="0"/>
  </c:chart>
  <c:spPr>
    <a:ln>
      <a:noFill/>
    </a:ln>
  </c:spPr>
  <c:txPr>
    <a:bodyPr/>
    <a:lstStyle/>
    <a:p>
      <a:pPr>
        <a:defRPr>
          <a:latin typeface="Times New Roman" pitchFamily="18" charset="0"/>
          <a:cs typeface="Times New Roman" pitchFamily="18" charset="0"/>
        </a:defRPr>
      </a:pPr>
      <a:endParaRPr lang="en-US"/>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0.28225</cdr:x>
      <cdr:y>0.91798</cdr:y>
    </cdr:from>
    <cdr:to>
      <cdr:x>0.47854</cdr:x>
      <cdr:y>1</cdr:y>
    </cdr:to>
    <cdr:sp macro="" textlink="">
      <cdr:nvSpPr>
        <cdr:cNvPr id="4" name="TextBox 7"/>
        <cdr:cNvSpPr txBox="1"/>
      </cdr:nvSpPr>
      <cdr:spPr>
        <a:xfrm xmlns:a="http://schemas.openxmlformats.org/drawingml/2006/main">
          <a:off x="828040" y="2518202"/>
          <a:ext cx="575863" cy="224998"/>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US" sz="900">
              <a:latin typeface="Times New Roman" panose="02020603050405020304" pitchFamily="18" charset="0"/>
              <a:cs typeface="Times New Roman" panose="02020603050405020304" pitchFamily="18" charset="0"/>
            </a:rPr>
            <a:t>COMT2</a:t>
          </a:r>
        </a:p>
      </cdr:txBody>
    </cdr:sp>
  </cdr:relSizeAnchor>
  <cdr:relSizeAnchor xmlns:cdr="http://schemas.openxmlformats.org/drawingml/2006/chartDrawing">
    <cdr:from>
      <cdr:x>0.55411</cdr:x>
      <cdr:y>0.91767</cdr:y>
    </cdr:from>
    <cdr:to>
      <cdr:x>0.7504</cdr:x>
      <cdr:y>0.99969</cdr:y>
    </cdr:to>
    <cdr:sp macro="" textlink="">
      <cdr:nvSpPr>
        <cdr:cNvPr id="5" name="TextBox 9"/>
        <cdr:cNvSpPr txBox="1"/>
      </cdr:nvSpPr>
      <cdr:spPr>
        <a:xfrm xmlns:a="http://schemas.openxmlformats.org/drawingml/2006/main">
          <a:off x="1625600" y="2517355"/>
          <a:ext cx="575863" cy="224998"/>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US" sz="900">
              <a:latin typeface="Times New Roman" panose="02020603050405020304" pitchFamily="18" charset="0"/>
              <a:cs typeface="Times New Roman" panose="02020603050405020304" pitchFamily="18" charset="0"/>
            </a:rPr>
            <a:t>COMT3</a:t>
          </a:r>
        </a:p>
      </cdr:txBody>
    </cdr:sp>
  </cdr:relSizeAnchor>
</c:userShapes>
</file>

<file path=word/drawings/drawing10.xml><?xml version="1.0" encoding="utf-8"?>
<c:userShapes xmlns:c="http://schemas.openxmlformats.org/drawingml/2006/chart">
  <cdr:relSizeAnchor xmlns:cdr="http://schemas.openxmlformats.org/drawingml/2006/chartDrawing">
    <cdr:from>
      <cdr:x>0.53714</cdr:x>
      <cdr:y>0.87883</cdr:y>
    </cdr:from>
    <cdr:to>
      <cdr:x>0.76249</cdr:x>
      <cdr:y>0.98923</cdr:y>
    </cdr:to>
    <cdr:sp macro="" textlink="">
      <cdr:nvSpPr>
        <cdr:cNvPr id="2" name="TextBox 3"/>
        <cdr:cNvSpPr txBox="1"/>
      </cdr:nvSpPr>
      <cdr:spPr>
        <a:xfrm xmlns:a="http://schemas.openxmlformats.org/drawingml/2006/main">
          <a:off x="1268832" y="1674171"/>
          <a:ext cx="532325" cy="210314"/>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ysClr val="windowText" lastClr="000000"/>
              </a:solidFill>
              <a:latin typeface="Calibri"/>
            </a:defRPr>
          </a:lvl1pPr>
          <a:lvl2pPr marL="457200" indent="0">
            <a:defRPr sz="1100">
              <a:solidFill>
                <a:sysClr val="windowText" lastClr="000000"/>
              </a:solidFill>
              <a:latin typeface="Calibri"/>
            </a:defRPr>
          </a:lvl2pPr>
          <a:lvl3pPr marL="914400" indent="0">
            <a:defRPr sz="1100">
              <a:solidFill>
                <a:sysClr val="windowText" lastClr="000000"/>
              </a:solidFill>
              <a:latin typeface="Calibri"/>
            </a:defRPr>
          </a:lvl3pPr>
          <a:lvl4pPr marL="1371600" indent="0">
            <a:defRPr sz="1100">
              <a:solidFill>
                <a:sysClr val="windowText" lastClr="000000"/>
              </a:solidFill>
              <a:latin typeface="Calibri"/>
            </a:defRPr>
          </a:lvl4pPr>
          <a:lvl5pPr marL="1828800" indent="0">
            <a:defRPr sz="1100">
              <a:solidFill>
                <a:sysClr val="windowText" lastClr="000000"/>
              </a:solidFill>
              <a:latin typeface="Calibri"/>
            </a:defRPr>
          </a:lvl5pPr>
          <a:lvl6pPr marL="2286000" indent="0">
            <a:defRPr sz="1100">
              <a:solidFill>
                <a:sysClr val="windowText" lastClr="000000"/>
              </a:solidFill>
              <a:latin typeface="Calibri"/>
            </a:defRPr>
          </a:lvl6pPr>
          <a:lvl7pPr marL="2743200" indent="0">
            <a:defRPr sz="1100">
              <a:solidFill>
                <a:sysClr val="windowText" lastClr="000000"/>
              </a:solidFill>
              <a:latin typeface="Calibri"/>
            </a:defRPr>
          </a:lvl7pPr>
          <a:lvl8pPr marL="3200400" indent="0">
            <a:defRPr sz="1100">
              <a:solidFill>
                <a:sysClr val="windowText" lastClr="000000"/>
              </a:solidFill>
              <a:latin typeface="Calibri"/>
            </a:defRPr>
          </a:lvl8pPr>
          <a:lvl9pPr marL="3657600" indent="0">
            <a:defRPr sz="1100">
              <a:solidFill>
                <a:sysClr val="windowText" lastClr="000000"/>
              </a:solidFill>
              <a:latin typeface="Calibri"/>
            </a:defRPr>
          </a:lvl9pPr>
        </a:lstStyle>
        <a:p xmlns:a="http://schemas.openxmlformats.org/drawingml/2006/main">
          <a:r>
            <a:rPr lang="en-US" sz="800" b="0">
              <a:solidFill>
                <a:sysClr val="windowText" lastClr="000000"/>
              </a:solidFill>
              <a:latin typeface="Times New Roman" pitchFamily="18" charset="0"/>
              <a:cs typeface="Times New Roman" pitchFamily="18" charset="0"/>
            </a:rPr>
            <a:t>COMT3</a:t>
          </a:r>
        </a:p>
      </cdr:txBody>
    </cdr:sp>
  </cdr:relSizeAnchor>
  <cdr:relSizeAnchor xmlns:cdr="http://schemas.openxmlformats.org/drawingml/2006/chartDrawing">
    <cdr:from>
      <cdr:x>0.29032</cdr:x>
      <cdr:y>0.87883</cdr:y>
    </cdr:from>
    <cdr:to>
      <cdr:x>0.51567</cdr:x>
      <cdr:y>0.98923</cdr:y>
    </cdr:to>
    <cdr:sp macro="" textlink="">
      <cdr:nvSpPr>
        <cdr:cNvPr id="3" name="TextBox 3"/>
        <cdr:cNvSpPr txBox="1"/>
      </cdr:nvSpPr>
      <cdr:spPr>
        <a:xfrm xmlns:a="http://schemas.openxmlformats.org/drawingml/2006/main">
          <a:off x="685794" y="1674171"/>
          <a:ext cx="532325" cy="210314"/>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ysClr val="windowText" lastClr="000000"/>
              </a:solidFill>
              <a:latin typeface="Calibri"/>
            </a:defRPr>
          </a:lvl1pPr>
          <a:lvl2pPr marL="457200" indent="0">
            <a:defRPr sz="1100">
              <a:solidFill>
                <a:sysClr val="windowText" lastClr="000000"/>
              </a:solidFill>
              <a:latin typeface="Calibri"/>
            </a:defRPr>
          </a:lvl2pPr>
          <a:lvl3pPr marL="914400" indent="0">
            <a:defRPr sz="1100">
              <a:solidFill>
                <a:sysClr val="windowText" lastClr="000000"/>
              </a:solidFill>
              <a:latin typeface="Calibri"/>
            </a:defRPr>
          </a:lvl3pPr>
          <a:lvl4pPr marL="1371600" indent="0">
            <a:defRPr sz="1100">
              <a:solidFill>
                <a:sysClr val="windowText" lastClr="000000"/>
              </a:solidFill>
              <a:latin typeface="Calibri"/>
            </a:defRPr>
          </a:lvl4pPr>
          <a:lvl5pPr marL="1828800" indent="0">
            <a:defRPr sz="1100">
              <a:solidFill>
                <a:sysClr val="windowText" lastClr="000000"/>
              </a:solidFill>
              <a:latin typeface="Calibri"/>
            </a:defRPr>
          </a:lvl5pPr>
          <a:lvl6pPr marL="2286000" indent="0">
            <a:defRPr sz="1100">
              <a:solidFill>
                <a:sysClr val="windowText" lastClr="000000"/>
              </a:solidFill>
              <a:latin typeface="Calibri"/>
            </a:defRPr>
          </a:lvl6pPr>
          <a:lvl7pPr marL="2743200" indent="0">
            <a:defRPr sz="1100">
              <a:solidFill>
                <a:sysClr val="windowText" lastClr="000000"/>
              </a:solidFill>
              <a:latin typeface="Calibri"/>
            </a:defRPr>
          </a:lvl7pPr>
          <a:lvl8pPr marL="3200400" indent="0">
            <a:defRPr sz="1100">
              <a:solidFill>
                <a:sysClr val="windowText" lastClr="000000"/>
              </a:solidFill>
              <a:latin typeface="Calibri"/>
            </a:defRPr>
          </a:lvl8pPr>
          <a:lvl9pPr marL="3657600" indent="0">
            <a:defRPr sz="1100">
              <a:solidFill>
                <a:sysClr val="windowText" lastClr="000000"/>
              </a:solidFill>
              <a:latin typeface="Calibri"/>
            </a:defRPr>
          </a:lvl9pPr>
        </a:lstStyle>
        <a:p xmlns:a="http://schemas.openxmlformats.org/drawingml/2006/main">
          <a:r>
            <a:rPr lang="en-US" sz="800" b="0" dirty="0">
              <a:solidFill>
                <a:sysClr val="windowText" lastClr="000000"/>
              </a:solidFill>
              <a:latin typeface="Times New Roman" pitchFamily="18" charset="0"/>
              <a:cs typeface="Times New Roman" pitchFamily="18" charset="0"/>
            </a:rPr>
            <a:t>COMT2</a:t>
          </a:r>
        </a:p>
      </cdr:txBody>
    </cdr:sp>
  </cdr:relSizeAnchor>
</c:userShapes>
</file>

<file path=word/drawings/drawing11.xml><?xml version="1.0" encoding="utf-8"?>
<c:userShapes xmlns:c="http://schemas.openxmlformats.org/drawingml/2006/chart">
  <cdr:relSizeAnchor xmlns:cdr="http://schemas.openxmlformats.org/drawingml/2006/chartDrawing">
    <cdr:from>
      <cdr:x>0.53557</cdr:x>
      <cdr:y>0.91079</cdr:y>
    </cdr:from>
    <cdr:to>
      <cdr:x>0.7147</cdr:x>
      <cdr:y>1</cdr:y>
    </cdr:to>
    <cdr:sp macro="" textlink="">
      <cdr:nvSpPr>
        <cdr:cNvPr id="2" name="TextBox 5"/>
        <cdr:cNvSpPr txBox="1"/>
      </cdr:nvSpPr>
      <cdr:spPr>
        <a:xfrm xmlns:a="http://schemas.openxmlformats.org/drawingml/2006/main">
          <a:off x="1591618" y="2151886"/>
          <a:ext cx="532325" cy="210314"/>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ysClr val="windowText" lastClr="000000"/>
              </a:solidFill>
              <a:latin typeface="Calibri"/>
            </a:defRPr>
          </a:lvl1pPr>
          <a:lvl2pPr marL="457200" indent="0">
            <a:defRPr sz="1100">
              <a:solidFill>
                <a:sysClr val="windowText" lastClr="000000"/>
              </a:solidFill>
              <a:latin typeface="Calibri"/>
            </a:defRPr>
          </a:lvl2pPr>
          <a:lvl3pPr marL="914400" indent="0">
            <a:defRPr sz="1100">
              <a:solidFill>
                <a:sysClr val="windowText" lastClr="000000"/>
              </a:solidFill>
              <a:latin typeface="Calibri"/>
            </a:defRPr>
          </a:lvl3pPr>
          <a:lvl4pPr marL="1371600" indent="0">
            <a:defRPr sz="1100">
              <a:solidFill>
                <a:sysClr val="windowText" lastClr="000000"/>
              </a:solidFill>
              <a:latin typeface="Calibri"/>
            </a:defRPr>
          </a:lvl4pPr>
          <a:lvl5pPr marL="1828800" indent="0">
            <a:defRPr sz="1100">
              <a:solidFill>
                <a:sysClr val="windowText" lastClr="000000"/>
              </a:solidFill>
              <a:latin typeface="Calibri"/>
            </a:defRPr>
          </a:lvl5pPr>
          <a:lvl6pPr marL="2286000" indent="0">
            <a:defRPr sz="1100">
              <a:solidFill>
                <a:sysClr val="windowText" lastClr="000000"/>
              </a:solidFill>
              <a:latin typeface="Calibri"/>
            </a:defRPr>
          </a:lvl6pPr>
          <a:lvl7pPr marL="2743200" indent="0">
            <a:defRPr sz="1100">
              <a:solidFill>
                <a:sysClr val="windowText" lastClr="000000"/>
              </a:solidFill>
              <a:latin typeface="Calibri"/>
            </a:defRPr>
          </a:lvl7pPr>
          <a:lvl8pPr marL="3200400" indent="0">
            <a:defRPr sz="1100">
              <a:solidFill>
                <a:sysClr val="windowText" lastClr="000000"/>
              </a:solidFill>
              <a:latin typeface="Calibri"/>
            </a:defRPr>
          </a:lvl8pPr>
          <a:lvl9pPr marL="3657600" indent="0">
            <a:defRPr sz="1100">
              <a:solidFill>
                <a:sysClr val="windowText" lastClr="000000"/>
              </a:solidFill>
              <a:latin typeface="Calibri"/>
            </a:defRPr>
          </a:lvl9pPr>
        </a:lstStyle>
        <a:p xmlns:a="http://schemas.openxmlformats.org/drawingml/2006/main">
          <a:r>
            <a:rPr lang="en-US" sz="800">
              <a:latin typeface="Times New Roman" pitchFamily="18" charset="0"/>
              <a:cs typeface="Times New Roman" pitchFamily="18" charset="0"/>
            </a:rPr>
            <a:t>COMT3</a:t>
          </a:r>
        </a:p>
      </cdr:txBody>
    </cdr:sp>
  </cdr:relSizeAnchor>
  <cdr:relSizeAnchor xmlns:cdr="http://schemas.openxmlformats.org/drawingml/2006/chartDrawing">
    <cdr:from>
      <cdr:x>0.26923</cdr:x>
      <cdr:y>0.91079</cdr:y>
    </cdr:from>
    <cdr:to>
      <cdr:x>0.44835</cdr:x>
      <cdr:y>1</cdr:y>
    </cdr:to>
    <cdr:sp macro="" textlink="">
      <cdr:nvSpPr>
        <cdr:cNvPr id="3" name="TextBox 5"/>
        <cdr:cNvSpPr txBox="1"/>
      </cdr:nvSpPr>
      <cdr:spPr>
        <a:xfrm xmlns:a="http://schemas.openxmlformats.org/drawingml/2006/main">
          <a:off x="800096" y="2151886"/>
          <a:ext cx="532325" cy="210314"/>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ysClr val="windowText" lastClr="000000"/>
              </a:solidFill>
              <a:latin typeface="Calibri"/>
            </a:defRPr>
          </a:lvl1pPr>
          <a:lvl2pPr marL="457200" indent="0">
            <a:defRPr sz="1100">
              <a:solidFill>
                <a:sysClr val="windowText" lastClr="000000"/>
              </a:solidFill>
              <a:latin typeface="Calibri"/>
            </a:defRPr>
          </a:lvl2pPr>
          <a:lvl3pPr marL="914400" indent="0">
            <a:defRPr sz="1100">
              <a:solidFill>
                <a:sysClr val="windowText" lastClr="000000"/>
              </a:solidFill>
              <a:latin typeface="Calibri"/>
            </a:defRPr>
          </a:lvl3pPr>
          <a:lvl4pPr marL="1371600" indent="0">
            <a:defRPr sz="1100">
              <a:solidFill>
                <a:sysClr val="windowText" lastClr="000000"/>
              </a:solidFill>
              <a:latin typeface="Calibri"/>
            </a:defRPr>
          </a:lvl4pPr>
          <a:lvl5pPr marL="1828800" indent="0">
            <a:defRPr sz="1100">
              <a:solidFill>
                <a:sysClr val="windowText" lastClr="000000"/>
              </a:solidFill>
              <a:latin typeface="Calibri"/>
            </a:defRPr>
          </a:lvl5pPr>
          <a:lvl6pPr marL="2286000" indent="0">
            <a:defRPr sz="1100">
              <a:solidFill>
                <a:sysClr val="windowText" lastClr="000000"/>
              </a:solidFill>
              <a:latin typeface="Calibri"/>
            </a:defRPr>
          </a:lvl6pPr>
          <a:lvl7pPr marL="2743200" indent="0">
            <a:defRPr sz="1100">
              <a:solidFill>
                <a:sysClr val="windowText" lastClr="000000"/>
              </a:solidFill>
              <a:latin typeface="Calibri"/>
            </a:defRPr>
          </a:lvl7pPr>
          <a:lvl8pPr marL="3200400" indent="0">
            <a:defRPr sz="1100">
              <a:solidFill>
                <a:sysClr val="windowText" lastClr="000000"/>
              </a:solidFill>
              <a:latin typeface="Calibri"/>
            </a:defRPr>
          </a:lvl8pPr>
          <a:lvl9pPr marL="3657600" indent="0">
            <a:defRPr sz="1100">
              <a:solidFill>
                <a:sysClr val="windowText" lastClr="000000"/>
              </a:solidFill>
              <a:latin typeface="Calibri"/>
            </a:defRPr>
          </a:lvl9pPr>
        </a:lstStyle>
        <a:p xmlns:a="http://schemas.openxmlformats.org/drawingml/2006/main">
          <a:r>
            <a:rPr lang="en-US" sz="800" dirty="0">
              <a:latin typeface="Times New Roman" pitchFamily="18" charset="0"/>
              <a:cs typeface="Times New Roman" pitchFamily="18" charset="0"/>
            </a:rPr>
            <a:t>COMT2</a:t>
          </a:r>
        </a:p>
      </cdr:txBody>
    </cdr:sp>
  </cdr:relSizeAnchor>
</c:userShapes>
</file>

<file path=word/drawings/drawing12.xml><?xml version="1.0" encoding="utf-8"?>
<c:userShapes xmlns:c="http://schemas.openxmlformats.org/drawingml/2006/chart">
  <cdr:relSizeAnchor xmlns:cdr="http://schemas.openxmlformats.org/drawingml/2006/chartDrawing">
    <cdr:from>
      <cdr:x>0.54198</cdr:x>
      <cdr:y>0.91079</cdr:y>
    </cdr:from>
    <cdr:to>
      <cdr:x>0.72111</cdr:x>
      <cdr:y>1</cdr:y>
    </cdr:to>
    <cdr:sp macro="" textlink="">
      <cdr:nvSpPr>
        <cdr:cNvPr id="2" name="TextBox 5"/>
        <cdr:cNvSpPr txBox="1"/>
      </cdr:nvSpPr>
      <cdr:spPr>
        <a:xfrm xmlns:a="http://schemas.openxmlformats.org/drawingml/2006/main">
          <a:off x="1610668" y="2151886"/>
          <a:ext cx="532325" cy="210314"/>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ysClr val="windowText" lastClr="000000"/>
              </a:solidFill>
              <a:latin typeface="Calibri"/>
            </a:defRPr>
          </a:lvl1pPr>
          <a:lvl2pPr marL="457200" indent="0">
            <a:defRPr sz="1100">
              <a:solidFill>
                <a:sysClr val="windowText" lastClr="000000"/>
              </a:solidFill>
              <a:latin typeface="Calibri"/>
            </a:defRPr>
          </a:lvl2pPr>
          <a:lvl3pPr marL="914400" indent="0">
            <a:defRPr sz="1100">
              <a:solidFill>
                <a:sysClr val="windowText" lastClr="000000"/>
              </a:solidFill>
              <a:latin typeface="Calibri"/>
            </a:defRPr>
          </a:lvl3pPr>
          <a:lvl4pPr marL="1371600" indent="0">
            <a:defRPr sz="1100">
              <a:solidFill>
                <a:sysClr val="windowText" lastClr="000000"/>
              </a:solidFill>
              <a:latin typeface="Calibri"/>
            </a:defRPr>
          </a:lvl4pPr>
          <a:lvl5pPr marL="1828800" indent="0">
            <a:defRPr sz="1100">
              <a:solidFill>
                <a:sysClr val="windowText" lastClr="000000"/>
              </a:solidFill>
              <a:latin typeface="Calibri"/>
            </a:defRPr>
          </a:lvl5pPr>
          <a:lvl6pPr marL="2286000" indent="0">
            <a:defRPr sz="1100">
              <a:solidFill>
                <a:sysClr val="windowText" lastClr="000000"/>
              </a:solidFill>
              <a:latin typeface="Calibri"/>
            </a:defRPr>
          </a:lvl6pPr>
          <a:lvl7pPr marL="2743200" indent="0">
            <a:defRPr sz="1100">
              <a:solidFill>
                <a:sysClr val="windowText" lastClr="000000"/>
              </a:solidFill>
              <a:latin typeface="Calibri"/>
            </a:defRPr>
          </a:lvl7pPr>
          <a:lvl8pPr marL="3200400" indent="0">
            <a:defRPr sz="1100">
              <a:solidFill>
                <a:sysClr val="windowText" lastClr="000000"/>
              </a:solidFill>
              <a:latin typeface="Calibri"/>
            </a:defRPr>
          </a:lvl8pPr>
          <a:lvl9pPr marL="3657600" indent="0">
            <a:defRPr sz="1100">
              <a:solidFill>
                <a:sysClr val="windowText" lastClr="000000"/>
              </a:solidFill>
              <a:latin typeface="Calibri"/>
            </a:defRPr>
          </a:lvl9pPr>
        </a:lstStyle>
        <a:p xmlns:a="http://schemas.openxmlformats.org/drawingml/2006/main">
          <a:r>
            <a:rPr lang="en-US" sz="800">
              <a:latin typeface="Times New Roman" pitchFamily="18" charset="0"/>
              <a:cs typeface="Times New Roman" pitchFamily="18" charset="0"/>
            </a:rPr>
            <a:t>COMT3</a:t>
          </a:r>
        </a:p>
      </cdr:txBody>
    </cdr:sp>
  </cdr:relSizeAnchor>
  <cdr:relSizeAnchor xmlns:cdr="http://schemas.openxmlformats.org/drawingml/2006/chartDrawing">
    <cdr:from>
      <cdr:x>0.26971</cdr:x>
      <cdr:y>0.91079</cdr:y>
    </cdr:from>
    <cdr:to>
      <cdr:x>0.44884</cdr:x>
      <cdr:y>1</cdr:y>
    </cdr:to>
    <cdr:sp macro="" textlink="">
      <cdr:nvSpPr>
        <cdr:cNvPr id="3" name="TextBox 5"/>
        <cdr:cNvSpPr txBox="1"/>
      </cdr:nvSpPr>
      <cdr:spPr>
        <a:xfrm xmlns:a="http://schemas.openxmlformats.org/drawingml/2006/main">
          <a:off x="801539" y="2237214"/>
          <a:ext cx="532325" cy="210314"/>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ysClr val="windowText" lastClr="000000"/>
              </a:solidFill>
              <a:latin typeface="Calibri"/>
            </a:defRPr>
          </a:lvl1pPr>
          <a:lvl2pPr marL="457200" indent="0">
            <a:defRPr sz="1100">
              <a:solidFill>
                <a:sysClr val="windowText" lastClr="000000"/>
              </a:solidFill>
              <a:latin typeface="Calibri"/>
            </a:defRPr>
          </a:lvl2pPr>
          <a:lvl3pPr marL="914400" indent="0">
            <a:defRPr sz="1100">
              <a:solidFill>
                <a:sysClr val="windowText" lastClr="000000"/>
              </a:solidFill>
              <a:latin typeface="Calibri"/>
            </a:defRPr>
          </a:lvl3pPr>
          <a:lvl4pPr marL="1371600" indent="0">
            <a:defRPr sz="1100">
              <a:solidFill>
                <a:sysClr val="windowText" lastClr="000000"/>
              </a:solidFill>
              <a:latin typeface="Calibri"/>
            </a:defRPr>
          </a:lvl4pPr>
          <a:lvl5pPr marL="1828800" indent="0">
            <a:defRPr sz="1100">
              <a:solidFill>
                <a:sysClr val="windowText" lastClr="000000"/>
              </a:solidFill>
              <a:latin typeface="Calibri"/>
            </a:defRPr>
          </a:lvl5pPr>
          <a:lvl6pPr marL="2286000" indent="0">
            <a:defRPr sz="1100">
              <a:solidFill>
                <a:sysClr val="windowText" lastClr="000000"/>
              </a:solidFill>
              <a:latin typeface="Calibri"/>
            </a:defRPr>
          </a:lvl6pPr>
          <a:lvl7pPr marL="2743200" indent="0">
            <a:defRPr sz="1100">
              <a:solidFill>
                <a:sysClr val="windowText" lastClr="000000"/>
              </a:solidFill>
              <a:latin typeface="Calibri"/>
            </a:defRPr>
          </a:lvl7pPr>
          <a:lvl8pPr marL="3200400" indent="0">
            <a:defRPr sz="1100">
              <a:solidFill>
                <a:sysClr val="windowText" lastClr="000000"/>
              </a:solidFill>
              <a:latin typeface="Calibri"/>
            </a:defRPr>
          </a:lvl8pPr>
          <a:lvl9pPr marL="3657600" indent="0">
            <a:defRPr sz="1100">
              <a:solidFill>
                <a:sysClr val="windowText" lastClr="000000"/>
              </a:solidFill>
              <a:latin typeface="Calibri"/>
            </a:defRPr>
          </a:lvl9pPr>
        </a:lstStyle>
        <a:p xmlns:a="http://schemas.openxmlformats.org/drawingml/2006/main">
          <a:r>
            <a:rPr lang="en-US" sz="800" dirty="0">
              <a:latin typeface="Times New Roman" pitchFamily="18" charset="0"/>
              <a:cs typeface="Times New Roman" pitchFamily="18" charset="0"/>
            </a:rPr>
            <a:t>COMT2</a:t>
          </a:r>
        </a:p>
      </cdr:txBody>
    </cdr:sp>
  </cdr:relSizeAnchor>
</c:userShapes>
</file>

<file path=word/drawings/drawing13.xml><?xml version="1.0" encoding="utf-8"?>
<c:userShapes xmlns:c="http://schemas.openxmlformats.org/drawingml/2006/chart">
  <cdr:relSizeAnchor xmlns:cdr="http://schemas.openxmlformats.org/drawingml/2006/chartDrawing">
    <cdr:from>
      <cdr:x>0.25</cdr:x>
      <cdr:y>0.91912</cdr:y>
    </cdr:from>
    <cdr:to>
      <cdr:x>0.44572</cdr:x>
      <cdr:y>1</cdr:y>
    </cdr:to>
    <cdr:sp macro="" textlink="">
      <cdr:nvSpPr>
        <cdr:cNvPr id="2" name="TextBox 1"/>
        <cdr:cNvSpPr txBox="1"/>
      </cdr:nvSpPr>
      <cdr:spPr>
        <a:xfrm xmlns:a="http://schemas.openxmlformats.org/drawingml/2006/main">
          <a:off x="704850" y="2381256"/>
          <a:ext cx="551813" cy="209544"/>
        </a:xfrm>
        <a:prstGeom xmlns:a="http://schemas.openxmlformats.org/drawingml/2006/main" prst="rect">
          <a:avLst/>
        </a:prstGeom>
      </cdr:spPr>
      <cdr:txBody>
        <a:bodyPr xmlns:a="http://schemas.openxmlformats.org/drawingml/2006/main" wrap="none" rtlCol="0"/>
        <a:lstStyle xmlns:a="http://schemas.openxmlformats.org/drawingml/2006/main">
          <a:defPPr>
            <a:defRPr lang="en-US"/>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xmlns:a="http://schemas.openxmlformats.org/drawingml/2006/main">
          <a:r>
            <a:rPr lang="en-US" sz="900" dirty="0" smtClean="0">
              <a:latin typeface="Times New Roman" pitchFamily="18" charset="0"/>
              <a:cs typeface="Times New Roman" pitchFamily="18" charset="0"/>
            </a:rPr>
            <a:t>COMT2</a:t>
          </a:r>
          <a:endParaRPr lang="en-US" sz="900" dirty="0">
            <a:latin typeface="Times New Roman" pitchFamily="18" charset="0"/>
            <a:cs typeface="Times New Roman" pitchFamily="18" charset="0"/>
          </a:endParaRPr>
        </a:p>
      </cdr:txBody>
    </cdr:sp>
  </cdr:relSizeAnchor>
  <cdr:relSizeAnchor xmlns:cdr="http://schemas.openxmlformats.org/drawingml/2006/chartDrawing">
    <cdr:from>
      <cdr:x>0.53378</cdr:x>
      <cdr:y>0.91912</cdr:y>
    </cdr:from>
    <cdr:to>
      <cdr:x>0.72951</cdr:x>
      <cdr:y>1</cdr:y>
    </cdr:to>
    <cdr:sp macro="" textlink="">
      <cdr:nvSpPr>
        <cdr:cNvPr id="3" name="TextBox 1"/>
        <cdr:cNvSpPr txBox="1"/>
      </cdr:nvSpPr>
      <cdr:spPr>
        <a:xfrm xmlns:a="http://schemas.openxmlformats.org/drawingml/2006/main">
          <a:off x="1504939" y="2381256"/>
          <a:ext cx="551841" cy="209544"/>
        </a:xfrm>
        <a:prstGeom xmlns:a="http://schemas.openxmlformats.org/drawingml/2006/main" prst="rect">
          <a:avLst/>
        </a:prstGeom>
      </cdr:spPr>
      <cdr:txBody>
        <a:bodyPr xmlns:a="http://schemas.openxmlformats.org/drawingml/2006/main" wrap="none" rtlCol="0"/>
        <a:lstStyle xmlns:a="http://schemas.openxmlformats.org/drawingml/2006/main">
          <a:defPPr>
            <a:defRPr lang="en-US"/>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xmlns:a="http://schemas.openxmlformats.org/drawingml/2006/main">
          <a:r>
            <a:rPr lang="en-US" sz="900" dirty="0" smtClean="0">
              <a:latin typeface="Times New Roman" pitchFamily="18" charset="0"/>
              <a:cs typeface="Times New Roman" pitchFamily="18" charset="0"/>
            </a:rPr>
            <a:t>COMT3</a:t>
          </a:r>
          <a:endParaRPr lang="en-US" sz="900" dirty="0">
            <a:latin typeface="Times New Roman" pitchFamily="18" charset="0"/>
            <a:cs typeface="Times New Roman" pitchFamily="18" charset="0"/>
          </a:endParaRPr>
        </a:p>
      </cdr:txBody>
    </cdr:sp>
  </cdr:relSizeAnchor>
</c:userShapes>
</file>

<file path=word/drawings/drawing14.xml><?xml version="1.0" encoding="utf-8"?>
<c:userShapes xmlns:c="http://schemas.openxmlformats.org/drawingml/2006/chart">
  <cdr:relSizeAnchor xmlns:cdr="http://schemas.openxmlformats.org/drawingml/2006/chartDrawing">
    <cdr:from>
      <cdr:x>0.25037</cdr:x>
      <cdr:y>0.91892</cdr:y>
    </cdr:from>
    <cdr:to>
      <cdr:x>0.46185</cdr:x>
      <cdr:y>1</cdr:y>
    </cdr:to>
    <cdr:sp macro="" textlink="">
      <cdr:nvSpPr>
        <cdr:cNvPr id="2" name="TextBox 1"/>
        <cdr:cNvSpPr txBox="1"/>
      </cdr:nvSpPr>
      <cdr:spPr>
        <a:xfrm xmlns:a="http://schemas.openxmlformats.org/drawingml/2006/main">
          <a:off x="705905" y="2380738"/>
          <a:ext cx="596247" cy="210062"/>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900" b="0" dirty="0" smtClean="0">
              <a:latin typeface="Times New Roman" pitchFamily="18" charset="0"/>
              <a:cs typeface="Times New Roman" pitchFamily="18" charset="0"/>
            </a:rPr>
            <a:t> COMT2 </a:t>
          </a:r>
          <a:endParaRPr lang="en-US" sz="900" b="0" dirty="0">
            <a:latin typeface="Times New Roman" pitchFamily="18" charset="0"/>
            <a:cs typeface="Times New Roman" pitchFamily="18" charset="0"/>
          </a:endParaRPr>
        </a:p>
      </cdr:txBody>
    </cdr:sp>
  </cdr:relSizeAnchor>
  <cdr:relSizeAnchor xmlns:cdr="http://schemas.openxmlformats.org/drawingml/2006/chartDrawing">
    <cdr:from>
      <cdr:x>0.53241</cdr:x>
      <cdr:y>0.91892</cdr:y>
    </cdr:from>
    <cdr:to>
      <cdr:x>0.75779</cdr:x>
      <cdr:y>0.99584</cdr:y>
    </cdr:to>
    <cdr:sp macro="" textlink="">
      <cdr:nvSpPr>
        <cdr:cNvPr id="3" name="TextBox 1"/>
        <cdr:cNvSpPr txBox="1"/>
      </cdr:nvSpPr>
      <cdr:spPr>
        <a:xfrm xmlns:a="http://schemas.openxmlformats.org/drawingml/2006/main">
          <a:off x="1501087" y="2380738"/>
          <a:ext cx="635437" cy="199284"/>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US" sz="900" b="0" dirty="0">
              <a:latin typeface="Times New Roman" pitchFamily="18" charset="0"/>
              <a:cs typeface="Times New Roman" pitchFamily="18" charset="0"/>
            </a:rPr>
            <a:t>COMT3</a:t>
          </a:r>
        </a:p>
      </cdr:txBody>
    </cdr:sp>
  </cdr:relSizeAnchor>
</c:userShapes>
</file>

<file path=word/drawings/drawing15.xml><?xml version="1.0" encoding="utf-8"?>
<c:userShapes xmlns:c="http://schemas.openxmlformats.org/drawingml/2006/chart">
  <cdr:relSizeAnchor xmlns:cdr="http://schemas.openxmlformats.org/drawingml/2006/chartDrawing">
    <cdr:from>
      <cdr:x>0.11978</cdr:x>
      <cdr:y>0.86288</cdr:y>
    </cdr:from>
    <cdr:to>
      <cdr:x>0.9873</cdr:x>
      <cdr:y>0.93645</cdr:y>
    </cdr:to>
    <cdr:sp macro="" textlink="">
      <cdr:nvSpPr>
        <cdr:cNvPr id="9" name="TextBox 8"/>
        <cdr:cNvSpPr txBox="1"/>
      </cdr:nvSpPr>
      <cdr:spPr>
        <a:xfrm xmlns:a="http://schemas.openxmlformats.org/drawingml/2006/main">
          <a:off x="628650" y="2457450"/>
          <a:ext cx="4552950" cy="2095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900">
              <a:latin typeface="Times New Roman" pitchFamily="18" charset="0"/>
              <a:cs typeface="Times New Roman" pitchFamily="18" charset="0"/>
            </a:rPr>
            <a:t>      June                             July                                             August                                      September</a:t>
          </a:r>
        </a:p>
      </cdr:txBody>
    </cdr:sp>
  </cdr:relSizeAnchor>
  <cdr:relSizeAnchor xmlns:cdr="http://schemas.openxmlformats.org/drawingml/2006/chartDrawing">
    <cdr:from>
      <cdr:x>0.13612</cdr:x>
      <cdr:y>0.87625</cdr:y>
    </cdr:from>
    <cdr:to>
      <cdr:x>0.23049</cdr:x>
      <cdr:y>0.87625</cdr:y>
    </cdr:to>
    <cdr:sp macro="" textlink="">
      <cdr:nvSpPr>
        <cdr:cNvPr id="11" name="Straight Connector 10"/>
        <cdr:cNvSpPr/>
      </cdr:nvSpPr>
      <cdr:spPr>
        <a:xfrm xmlns:a="http://schemas.openxmlformats.org/drawingml/2006/main">
          <a:off x="714375" y="2495550"/>
          <a:ext cx="495300" cy="0"/>
        </a:xfrm>
        <a:prstGeom xmlns:a="http://schemas.openxmlformats.org/drawingml/2006/main" prst="line">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cdr:x>
      <cdr:y>0</cdr:y>
    </cdr:from>
    <cdr:to>
      <cdr:x>0</cdr:x>
      <cdr:y>0</cdr:y>
    </cdr:to>
    <cdr:sp macro="" textlink="">
      <cdr:nvSpPr>
        <cdr:cNvPr id="12" name="Straight Connector 11"/>
        <cdr:cNvSpPr/>
      </cdr:nvSpPr>
      <cdr:spPr>
        <a:xfrm xmlns:a="http://schemas.openxmlformats.org/drawingml/2006/main">
          <a:off x="-3505200" y="-819150"/>
          <a:ext cx="0" cy="0"/>
        </a:xfrm>
        <a:prstGeom xmlns:a="http://schemas.openxmlformats.org/drawingml/2006/main" prst="line">
          <a:avLst/>
        </a:prstGeom>
        <a:noFill xmlns:a="http://schemas.openxmlformats.org/drawingml/2006/main"/>
        <a:ln xmlns:a="http://schemas.openxmlformats.org/drawingml/2006/main" w="9525" cap="flat" cmpd="sng" algn="ctr">
          <a:solidFill>
            <a:sysClr val="windowText" lastClr="000000"/>
          </a:solidFill>
          <a:prstDash val="solid"/>
        </a:ln>
        <a:effectLst xmlns:a="http://schemas.openxmlformats.org/drawingml/2006/mai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lvl1pPr marL="0" indent="0">
            <a:defRPr sz="1100">
              <a:solidFill>
                <a:sysClr val="windowText" lastClr="000000"/>
              </a:solidFill>
              <a:latin typeface="Calibri"/>
            </a:defRPr>
          </a:lvl1pPr>
          <a:lvl2pPr marL="457200" indent="0">
            <a:defRPr sz="1100">
              <a:solidFill>
                <a:sysClr val="windowText" lastClr="000000"/>
              </a:solidFill>
              <a:latin typeface="Calibri"/>
            </a:defRPr>
          </a:lvl2pPr>
          <a:lvl3pPr marL="914400" indent="0">
            <a:defRPr sz="1100">
              <a:solidFill>
                <a:sysClr val="windowText" lastClr="000000"/>
              </a:solidFill>
              <a:latin typeface="Calibri"/>
            </a:defRPr>
          </a:lvl3pPr>
          <a:lvl4pPr marL="1371600" indent="0">
            <a:defRPr sz="1100">
              <a:solidFill>
                <a:sysClr val="windowText" lastClr="000000"/>
              </a:solidFill>
              <a:latin typeface="Calibri"/>
            </a:defRPr>
          </a:lvl4pPr>
          <a:lvl5pPr marL="1828800" indent="0">
            <a:defRPr sz="1100">
              <a:solidFill>
                <a:sysClr val="windowText" lastClr="000000"/>
              </a:solidFill>
              <a:latin typeface="Calibri"/>
            </a:defRPr>
          </a:lvl5pPr>
          <a:lvl6pPr marL="2286000" indent="0">
            <a:defRPr sz="1100">
              <a:solidFill>
                <a:sysClr val="windowText" lastClr="000000"/>
              </a:solidFill>
              <a:latin typeface="Calibri"/>
            </a:defRPr>
          </a:lvl6pPr>
          <a:lvl7pPr marL="2743200" indent="0">
            <a:defRPr sz="1100">
              <a:solidFill>
                <a:sysClr val="windowText" lastClr="000000"/>
              </a:solidFill>
              <a:latin typeface="Calibri"/>
            </a:defRPr>
          </a:lvl7pPr>
          <a:lvl8pPr marL="3200400" indent="0">
            <a:defRPr sz="1100">
              <a:solidFill>
                <a:sysClr val="windowText" lastClr="000000"/>
              </a:solidFill>
              <a:latin typeface="Calibri"/>
            </a:defRPr>
          </a:lvl8pPr>
          <a:lvl9pPr marL="3657600" indent="0">
            <a:defRPr sz="1100">
              <a:solidFill>
                <a:sysClr val="windowText" lastClr="000000"/>
              </a:solidFill>
              <a:latin typeface="Calibri"/>
            </a:defRPr>
          </a:lvl9pPr>
        </a:lstStyle>
        <a:p xmlns:a="http://schemas.openxmlformats.org/drawingml/2006/main">
          <a:endParaRPr lang="en-US"/>
        </a:p>
      </cdr:txBody>
    </cdr:sp>
  </cdr:relSizeAnchor>
  <cdr:relSizeAnchor xmlns:cdr="http://schemas.openxmlformats.org/drawingml/2006/chartDrawing">
    <cdr:from>
      <cdr:x>0.25771</cdr:x>
      <cdr:y>0.87625</cdr:y>
    </cdr:from>
    <cdr:to>
      <cdr:x>0.47368</cdr:x>
      <cdr:y>0.87625</cdr:y>
    </cdr:to>
    <cdr:sp macro="" textlink="">
      <cdr:nvSpPr>
        <cdr:cNvPr id="14" name="Straight Connector 13"/>
        <cdr:cNvSpPr/>
      </cdr:nvSpPr>
      <cdr:spPr>
        <a:xfrm xmlns:a="http://schemas.openxmlformats.org/drawingml/2006/main">
          <a:off x="1352550" y="2495550"/>
          <a:ext cx="1133475" cy="0"/>
        </a:xfrm>
        <a:prstGeom xmlns:a="http://schemas.openxmlformats.org/drawingml/2006/main" prst="line">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0.50454</cdr:x>
      <cdr:y>0.87625</cdr:y>
    </cdr:from>
    <cdr:to>
      <cdr:x>0.78403</cdr:x>
      <cdr:y>0.87625</cdr:y>
    </cdr:to>
    <cdr:sp macro="" textlink="">
      <cdr:nvSpPr>
        <cdr:cNvPr id="16" name="Straight Connector 15"/>
        <cdr:cNvSpPr/>
      </cdr:nvSpPr>
      <cdr:spPr>
        <a:xfrm xmlns:a="http://schemas.openxmlformats.org/drawingml/2006/main">
          <a:off x="2647950" y="2495550"/>
          <a:ext cx="1466850" cy="0"/>
        </a:xfrm>
        <a:prstGeom xmlns:a="http://schemas.openxmlformats.org/drawingml/2006/main" prst="line">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0.81889</cdr:x>
      <cdr:y>0.87734</cdr:y>
    </cdr:from>
    <cdr:to>
      <cdr:x>0.97489</cdr:x>
      <cdr:y>0.87734</cdr:y>
    </cdr:to>
    <cdr:sp macro="" textlink="">
      <cdr:nvSpPr>
        <cdr:cNvPr id="13" name="Straight Connector 12"/>
        <cdr:cNvSpPr/>
      </cdr:nvSpPr>
      <cdr:spPr>
        <a:xfrm xmlns:a="http://schemas.openxmlformats.org/drawingml/2006/main">
          <a:off x="4297767" y="2498652"/>
          <a:ext cx="818707" cy="0"/>
        </a:xfrm>
        <a:prstGeom xmlns:a="http://schemas.openxmlformats.org/drawingml/2006/main" prst="line">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drawings/drawing2.xml><?xml version="1.0" encoding="utf-8"?>
<c:userShapes xmlns:c="http://schemas.openxmlformats.org/drawingml/2006/chart">
  <cdr:relSizeAnchor xmlns:cdr="http://schemas.openxmlformats.org/drawingml/2006/chartDrawing">
    <cdr:from>
      <cdr:x>0.29944</cdr:x>
      <cdr:y>0.92341</cdr:y>
    </cdr:from>
    <cdr:to>
      <cdr:x>0.4838</cdr:x>
      <cdr:y>1</cdr:y>
    </cdr:to>
    <cdr:sp macro="" textlink="">
      <cdr:nvSpPr>
        <cdr:cNvPr id="2" name="TextBox 1"/>
        <cdr:cNvSpPr txBox="1"/>
      </cdr:nvSpPr>
      <cdr:spPr>
        <a:xfrm xmlns:a="http://schemas.openxmlformats.org/drawingml/2006/main">
          <a:off x="878712" y="2533110"/>
          <a:ext cx="541020" cy="21009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900">
              <a:solidFill>
                <a:schemeClr val="tx1"/>
              </a:solidFill>
              <a:latin typeface="Times New Roman" panose="02020603050405020304" pitchFamily="18" charset="0"/>
              <a:cs typeface="Times New Roman" panose="02020603050405020304" pitchFamily="18" charset="0"/>
            </a:rPr>
            <a:t>COMT2</a:t>
          </a:r>
        </a:p>
      </cdr:txBody>
    </cdr:sp>
  </cdr:relSizeAnchor>
  <cdr:relSizeAnchor xmlns:cdr="http://schemas.openxmlformats.org/drawingml/2006/chartDrawing">
    <cdr:from>
      <cdr:x>0.56261</cdr:x>
      <cdr:y>0.92341</cdr:y>
    </cdr:from>
    <cdr:to>
      <cdr:x>0.74697</cdr:x>
      <cdr:y>1</cdr:y>
    </cdr:to>
    <cdr:sp macro="" textlink="">
      <cdr:nvSpPr>
        <cdr:cNvPr id="4" name="TextBox 1"/>
        <cdr:cNvSpPr txBox="1"/>
      </cdr:nvSpPr>
      <cdr:spPr>
        <a:xfrm xmlns:a="http://schemas.openxmlformats.org/drawingml/2006/main">
          <a:off x="1651000" y="2533110"/>
          <a:ext cx="541020" cy="21009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a:solidFill>
                <a:schemeClr val="tx1"/>
              </a:solidFill>
              <a:latin typeface="Times New Roman" panose="02020603050405020304" pitchFamily="18" charset="0"/>
              <a:cs typeface="Times New Roman" panose="02020603050405020304" pitchFamily="18" charset="0"/>
            </a:rPr>
            <a:t>COMT3</a:t>
          </a:r>
        </a:p>
      </cdr:txBody>
    </cdr:sp>
  </cdr:relSizeAnchor>
</c:userShapes>
</file>

<file path=word/drawings/drawing3.xml><?xml version="1.0" encoding="utf-8"?>
<c:userShapes xmlns:c="http://schemas.openxmlformats.org/drawingml/2006/chart">
  <cdr:relSizeAnchor xmlns:cdr="http://schemas.openxmlformats.org/drawingml/2006/chartDrawing">
    <cdr:from>
      <cdr:x>0.29892</cdr:x>
      <cdr:y>0.88</cdr:y>
    </cdr:from>
    <cdr:to>
      <cdr:x>0.45591</cdr:x>
      <cdr:y>1</cdr:y>
    </cdr:to>
    <cdr:sp macro="" textlink="">
      <cdr:nvSpPr>
        <cdr:cNvPr id="2" name="TextBox 1"/>
        <cdr:cNvSpPr txBox="1"/>
      </cdr:nvSpPr>
      <cdr:spPr>
        <a:xfrm xmlns:a="http://schemas.openxmlformats.org/drawingml/2006/main">
          <a:off x="706120" y="1676400"/>
          <a:ext cx="370839" cy="22860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a:r>
            <a:rPr lang="en-US" sz="800" b="0" dirty="0">
              <a:latin typeface="Times New Roman" pitchFamily="18" charset="0"/>
              <a:cs typeface="Times New Roman" pitchFamily="18" charset="0"/>
            </a:rPr>
            <a:t>COMT</a:t>
          </a:r>
          <a:r>
            <a:rPr lang="en-US" sz="800" b="0" baseline="0" dirty="0">
              <a:latin typeface="Times New Roman" pitchFamily="18" charset="0"/>
              <a:cs typeface="Times New Roman" pitchFamily="18" charset="0"/>
            </a:rPr>
            <a:t> 2</a:t>
          </a:r>
          <a:endParaRPr lang="en-US" sz="800" b="0" dirty="0">
            <a:latin typeface="Times New Roman" pitchFamily="18" charset="0"/>
            <a:cs typeface="Times New Roman" pitchFamily="18" charset="0"/>
          </a:endParaRPr>
        </a:p>
      </cdr:txBody>
    </cdr:sp>
  </cdr:relSizeAnchor>
  <cdr:relSizeAnchor xmlns:cdr="http://schemas.openxmlformats.org/drawingml/2006/chartDrawing">
    <cdr:from>
      <cdr:x>0.49032</cdr:x>
      <cdr:y>0.88</cdr:y>
    </cdr:from>
    <cdr:to>
      <cdr:x>0.65607</cdr:x>
      <cdr:y>0.984</cdr:y>
    </cdr:to>
    <cdr:sp macro="" textlink="">
      <cdr:nvSpPr>
        <cdr:cNvPr id="3" name="TextBox 1"/>
        <cdr:cNvSpPr txBox="1"/>
      </cdr:nvSpPr>
      <cdr:spPr>
        <a:xfrm xmlns:a="http://schemas.openxmlformats.org/drawingml/2006/main">
          <a:off x="1158240" y="1676400"/>
          <a:ext cx="391529" cy="19812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a:r>
            <a:rPr lang="en-US" sz="800" b="0" dirty="0">
              <a:latin typeface="Times New Roman" pitchFamily="18" charset="0"/>
              <a:cs typeface="Times New Roman" pitchFamily="18" charset="0"/>
            </a:rPr>
            <a:t>COMT</a:t>
          </a:r>
          <a:r>
            <a:rPr lang="en-US" sz="800" b="0" baseline="0" dirty="0">
              <a:latin typeface="Times New Roman" pitchFamily="18" charset="0"/>
              <a:cs typeface="Times New Roman" pitchFamily="18" charset="0"/>
            </a:rPr>
            <a:t> 3</a:t>
          </a:r>
          <a:endParaRPr lang="en-US" sz="800" b="0" dirty="0">
            <a:latin typeface="Times New Roman" pitchFamily="18" charset="0"/>
            <a:cs typeface="Times New Roman" pitchFamily="18" charset="0"/>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0.27534</cdr:x>
      <cdr:y>0.88</cdr:y>
    </cdr:from>
    <cdr:to>
      <cdr:x>0.43885</cdr:x>
      <cdr:y>0.98933</cdr:y>
    </cdr:to>
    <cdr:sp macro="" textlink="">
      <cdr:nvSpPr>
        <cdr:cNvPr id="2" name="TextBox 1"/>
        <cdr:cNvSpPr txBox="1"/>
      </cdr:nvSpPr>
      <cdr:spPr>
        <a:xfrm xmlns:a="http://schemas.openxmlformats.org/drawingml/2006/main">
          <a:off x="650240" y="1676400"/>
          <a:ext cx="386133" cy="20828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a:r>
            <a:rPr lang="en-US" sz="800" b="0" dirty="0">
              <a:latin typeface="Times New Roman" pitchFamily="18" charset="0"/>
              <a:cs typeface="Times New Roman" pitchFamily="18" charset="0"/>
            </a:rPr>
            <a:t>COMT</a:t>
          </a:r>
          <a:r>
            <a:rPr lang="en-US" sz="800" b="0" baseline="0" dirty="0">
              <a:latin typeface="Times New Roman" pitchFamily="18" charset="0"/>
              <a:cs typeface="Times New Roman" pitchFamily="18" charset="0"/>
            </a:rPr>
            <a:t> 2</a:t>
          </a:r>
          <a:endParaRPr lang="en-US" sz="800" b="0" dirty="0">
            <a:latin typeface="Times New Roman" pitchFamily="18" charset="0"/>
            <a:cs typeface="Times New Roman" pitchFamily="18" charset="0"/>
          </a:endParaRPr>
        </a:p>
      </cdr:txBody>
    </cdr:sp>
  </cdr:relSizeAnchor>
  <cdr:relSizeAnchor xmlns:cdr="http://schemas.openxmlformats.org/drawingml/2006/chartDrawing">
    <cdr:from>
      <cdr:x>0.48615</cdr:x>
      <cdr:y>0.87999</cdr:y>
    </cdr:from>
    <cdr:to>
      <cdr:x>0.65609</cdr:x>
      <cdr:y>1</cdr:y>
    </cdr:to>
    <cdr:sp macro="" textlink="">
      <cdr:nvSpPr>
        <cdr:cNvPr id="3" name="TextBox 1"/>
        <cdr:cNvSpPr txBox="1"/>
      </cdr:nvSpPr>
      <cdr:spPr>
        <a:xfrm xmlns:a="http://schemas.openxmlformats.org/drawingml/2006/main">
          <a:off x="1148081" y="1676381"/>
          <a:ext cx="401320" cy="228619"/>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a:r>
            <a:rPr lang="en-US" sz="800" b="0" dirty="0">
              <a:latin typeface="Times New Roman" pitchFamily="18" charset="0"/>
              <a:cs typeface="Times New Roman" pitchFamily="18" charset="0"/>
            </a:rPr>
            <a:t>COMT</a:t>
          </a:r>
          <a:r>
            <a:rPr lang="en-US" sz="800" b="0" baseline="0" dirty="0">
              <a:latin typeface="Times New Roman" pitchFamily="18" charset="0"/>
              <a:cs typeface="Times New Roman" pitchFamily="18" charset="0"/>
            </a:rPr>
            <a:t> 3</a:t>
          </a:r>
          <a:endParaRPr lang="en-US" sz="800" b="0" dirty="0">
            <a:latin typeface="Times New Roman" pitchFamily="18" charset="0"/>
            <a:cs typeface="Times New Roman" pitchFamily="18" charset="0"/>
          </a:endParaRPr>
        </a:p>
      </cdr:txBody>
    </cdr:sp>
  </cdr:relSizeAnchor>
</c:userShapes>
</file>

<file path=word/drawings/drawing5.xml><?xml version="1.0" encoding="utf-8"?>
<c:userShapes xmlns:c="http://schemas.openxmlformats.org/drawingml/2006/chart">
  <cdr:relSizeAnchor xmlns:cdr="http://schemas.openxmlformats.org/drawingml/2006/chartDrawing">
    <cdr:from>
      <cdr:x>0.27419</cdr:x>
      <cdr:y>0.88</cdr:y>
    </cdr:from>
    <cdr:to>
      <cdr:x>0.4457</cdr:x>
      <cdr:y>0.98933</cdr:y>
    </cdr:to>
    <cdr:sp macro="" textlink="">
      <cdr:nvSpPr>
        <cdr:cNvPr id="2" name="TextBox 1"/>
        <cdr:cNvSpPr txBox="1"/>
      </cdr:nvSpPr>
      <cdr:spPr>
        <a:xfrm xmlns:a="http://schemas.openxmlformats.org/drawingml/2006/main">
          <a:off x="647692" y="1676400"/>
          <a:ext cx="405141" cy="20828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a:r>
            <a:rPr lang="en-US" sz="800" b="0" dirty="0">
              <a:latin typeface="Times New Roman" pitchFamily="18" charset="0"/>
              <a:cs typeface="Times New Roman" pitchFamily="18" charset="0"/>
            </a:rPr>
            <a:t>COMT</a:t>
          </a:r>
          <a:r>
            <a:rPr lang="en-US" sz="800" b="0" baseline="0" dirty="0">
              <a:latin typeface="Times New Roman" pitchFamily="18" charset="0"/>
              <a:cs typeface="Times New Roman" pitchFamily="18" charset="0"/>
            </a:rPr>
            <a:t> 2</a:t>
          </a:r>
          <a:endParaRPr lang="en-US" sz="800" b="0" dirty="0">
            <a:latin typeface="Times New Roman" pitchFamily="18" charset="0"/>
            <a:cs typeface="Times New Roman" pitchFamily="18" charset="0"/>
          </a:endParaRPr>
        </a:p>
      </cdr:txBody>
    </cdr:sp>
  </cdr:relSizeAnchor>
  <cdr:relSizeAnchor xmlns:cdr="http://schemas.openxmlformats.org/drawingml/2006/chartDrawing">
    <cdr:from>
      <cdr:x>0.5</cdr:x>
      <cdr:y>0.88</cdr:y>
    </cdr:from>
    <cdr:to>
      <cdr:x>0.65718</cdr:x>
      <cdr:y>0.984</cdr:y>
    </cdr:to>
    <cdr:sp macro="" textlink="">
      <cdr:nvSpPr>
        <cdr:cNvPr id="3" name="TextBox 1"/>
        <cdr:cNvSpPr txBox="1"/>
      </cdr:nvSpPr>
      <cdr:spPr>
        <a:xfrm xmlns:a="http://schemas.openxmlformats.org/drawingml/2006/main">
          <a:off x="1181100" y="1676400"/>
          <a:ext cx="371291" cy="19812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a:r>
            <a:rPr lang="en-US" sz="800" b="0" dirty="0">
              <a:latin typeface="Times New Roman" pitchFamily="18" charset="0"/>
              <a:cs typeface="Times New Roman" pitchFamily="18" charset="0"/>
            </a:rPr>
            <a:t>COMT</a:t>
          </a:r>
          <a:r>
            <a:rPr lang="en-US" sz="800" b="0" baseline="0" dirty="0">
              <a:latin typeface="Times New Roman" pitchFamily="18" charset="0"/>
              <a:cs typeface="Times New Roman" pitchFamily="18" charset="0"/>
            </a:rPr>
            <a:t> 3</a:t>
          </a:r>
          <a:endParaRPr lang="en-US" sz="800" b="0" dirty="0">
            <a:latin typeface="Times New Roman" pitchFamily="18" charset="0"/>
            <a:cs typeface="Times New Roman" pitchFamily="18" charset="0"/>
          </a:endParaRPr>
        </a:p>
      </cdr:txBody>
    </cdr:sp>
  </cdr:relSizeAnchor>
</c:userShapes>
</file>

<file path=word/drawings/drawing6.xml><?xml version="1.0" encoding="utf-8"?>
<c:userShapes xmlns:c="http://schemas.openxmlformats.org/drawingml/2006/chart">
  <cdr:relSizeAnchor xmlns:cdr="http://schemas.openxmlformats.org/drawingml/2006/chartDrawing">
    <cdr:from>
      <cdr:x>0.29032</cdr:x>
      <cdr:y>0.88</cdr:y>
    </cdr:from>
    <cdr:to>
      <cdr:x>0.46183</cdr:x>
      <cdr:y>0.99733</cdr:y>
    </cdr:to>
    <cdr:sp macro="" textlink="">
      <cdr:nvSpPr>
        <cdr:cNvPr id="2" name="TextBox 1"/>
        <cdr:cNvSpPr txBox="1"/>
      </cdr:nvSpPr>
      <cdr:spPr>
        <a:xfrm xmlns:a="http://schemas.openxmlformats.org/drawingml/2006/main">
          <a:off x="685794" y="1676400"/>
          <a:ext cx="405141" cy="22352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a:r>
            <a:rPr lang="en-US" sz="800" b="0" dirty="0">
              <a:latin typeface="Times New Roman" pitchFamily="18" charset="0"/>
              <a:cs typeface="Times New Roman" pitchFamily="18" charset="0"/>
            </a:rPr>
            <a:t>COMT</a:t>
          </a:r>
          <a:r>
            <a:rPr lang="en-US" sz="800" b="0" baseline="0" dirty="0">
              <a:latin typeface="Times New Roman" pitchFamily="18" charset="0"/>
              <a:cs typeface="Times New Roman" pitchFamily="18" charset="0"/>
            </a:rPr>
            <a:t> 2</a:t>
          </a:r>
          <a:endParaRPr lang="en-US" sz="800" b="0" dirty="0">
            <a:latin typeface="Times New Roman" pitchFamily="18" charset="0"/>
            <a:cs typeface="Times New Roman" pitchFamily="18" charset="0"/>
          </a:endParaRPr>
        </a:p>
      </cdr:txBody>
    </cdr:sp>
  </cdr:relSizeAnchor>
  <cdr:relSizeAnchor xmlns:cdr="http://schemas.openxmlformats.org/drawingml/2006/chartDrawing">
    <cdr:from>
      <cdr:x>0.51613</cdr:x>
      <cdr:y>0.88</cdr:y>
    </cdr:from>
    <cdr:to>
      <cdr:x>0.67331</cdr:x>
      <cdr:y>1</cdr:y>
    </cdr:to>
    <cdr:sp macro="" textlink="">
      <cdr:nvSpPr>
        <cdr:cNvPr id="3" name="TextBox 1"/>
        <cdr:cNvSpPr txBox="1"/>
      </cdr:nvSpPr>
      <cdr:spPr>
        <a:xfrm xmlns:a="http://schemas.openxmlformats.org/drawingml/2006/main">
          <a:off x="1219202" y="1676400"/>
          <a:ext cx="371291" cy="22860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a:r>
            <a:rPr lang="en-US" sz="800" b="0" dirty="0">
              <a:latin typeface="Times New Roman" pitchFamily="18" charset="0"/>
              <a:cs typeface="Times New Roman" pitchFamily="18" charset="0"/>
            </a:rPr>
            <a:t>COMT</a:t>
          </a:r>
          <a:r>
            <a:rPr lang="en-US" sz="800" b="0" baseline="0" dirty="0">
              <a:latin typeface="Times New Roman" pitchFamily="18" charset="0"/>
              <a:cs typeface="Times New Roman" pitchFamily="18" charset="0"/>
            </a:rPr>
            <a:t> 3</a:t>
          </a:r>
          <a:endParaRPr lang="en-US" sz="800" b="0" dirty="0">
            <a:latin typeface="Times New Roman" pitchFamily="18" charset="0"/>
            <a:cs typeface="Times New Roman" pitchFamily="18" charset="0"/>
          </a:endParaRPr>
        </a:p>
      </cdr:txBody>
    </cdr:sp>
  </cdr:relSizeAnchor>
</c:userShapes>
</file>

<file path=word/drawings/drawing7.xml><?xml version="1.0" encoding="utf-8"?>
<c:userShapes xmlns:c="http://schemas.openxmlformats.org/drawingml/2006/chart">
  <cdr:relSizeAnchor xmlns:cdr="http://schemas.openxmlformats.org/drawingml/2006/chartDrawing">
    <cdr:from>
      <cdr:x>0.25806</cdr:x>
      <cdr:y>0.88</cdr:y>
    </cdr:from>
    <cdr:to>
      <cdr:x>0.44596</cdr:x>
      <cdr:y>1</cdr:y>
    </cdr:to>
    <cdr:sp macro="" textlink="">
      <cdr:nvSpPr>
        <cdr:cNvPr id="2" name="TextBox 1"/>
        <cdr:cNvSpPr txBox="1"/>
      </cdr:nvSpPr>
      <cdr:spPr>
        <a:xfrm xmlns:a="http://schemas.openxmlformats.org/drawingml/2006/main">
          <a:off x="609589" y="1676399"/>
          <a:ext cx="443858" cy="228601"/>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a:r>
            <a:rPr lang="en-US" sz="800" b="0" dirty="0">
              <a:latin typeface="Times New Roman" pitchFamily="18" charset="0"/>
              <a:cs typeface="Times New Roman" pitchFamily="18" charset="0"/>
            </a:rPr>
            <a:t>COMT</a:t>
          </a:r>
          <a:r>
            <a:rPr lang="en-US" sz="800" b="0" baseline="0" dirty="0">
              <a:latin typeface="Times New Roman" pitchFamily="18" charset="0"/>
              <a:cs typeface="Times New Roman" pitchFamily="18" charset="0"/>
            </a:rPr>
            <a:t> 2</a:t>
          </a:r>
          <a:endParaRPr lang="en-US" sz="800" b="0" dirty="0">
            <a:latin typeface="Times New Roman" pitchFamily="18" charset="0"/>
            <a:cs typeface="Times New Roman" pitchFamily="18" charset="0"/>
          </a:endParaRPr>
        </a:p>
      </cdr:txBody>
    </cdr:sp>
  </cdr:relSizeAnchor>
  <cdr:relSizeAnchor xmlns:cdr="http://schemas.openxmlformats.org/drawingml/2006/chartDrawing">
    <cdr:from>
      <cdr:x>0.48843</cdr:x>
      <cdr:y>0.88</cdr:y>
    </cdr:from>
    <cdr:to>
      <cdr:x>0.66062</cdr:x>
      <cdr:y>0.99692</cdr:y>
    </cdr:to>
    <cdr:sp macro="" textlink="">
      <cdr:nvSpPr>
        <cdr:cNvPr id="3" name="TextBox 1"/>
        <cdr:cNvSpPr txBox="1"/>
      </cdr:nvSpPr>
      <cdr:spPr>
        <a:xfrm xmlns:a="http://schemas.openxmlformats.org/drawingml/2006/main">
          <a:off x="1153769" y="1676400"/>
          <a:ext cx="406748" cy="222738"/>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a:r>
            <a:rPr lang="en-US" sz="800" b="0" dirty="0">
              <a:latin typeface="Times New Roman" pitchFamily="18" charset="0"/>
              <a:cs typeface="Times New Roman" pitchFamily="18" charset="0"/>
            </a:rPr>
            <a:t>COMT</a:t>
          </a:r>
          <a:r>
            <a:rPr lang="en-US" sz="800" b="0" baseline="0" dirty="0">
              <a:latin typeface="Times New Roman" pitchFamily="18" charset="0"/>
              <a:cs typeface="Times New Roman" pitchFamily="18" charset="0"/>
            </a:rPr>
            <a:t> 3</a:t>
          </a:r>
          <a:endParaRPr lang="en-US" sz="800" b="0" dirty="0">
            <a:latin typeface="Times New Roman" pitchFamily="18" charset="0"/>
            <a:cs typeface="Times New Roman" pitchFamily="18" charset="0"/>
          </a:endParaRPr>
        </a:p>
      </cdr:txBody>
    </cdr:sp>
  </cdr:relSizeAnchor>
</c:userShapes>
</file>

<file path=word/drawings/drawing8.xml><?xml version="1.0" encoding="utf-8"?>
<c:userShapes xmlns:c="http://schemas.openxmlformats.org/drawingml/2006/chart">
  <cdr:relSizeAnchor xmlns:cdr="http://schemas.openxmlformats.org/drawingml/2006/chartDrawing">
    <cdr:from>
      <cdr:x>0.30025</cdr:x>
      <cdr:y>0.88001</cdr:y>
    </cdr:from>
    <cdr:to>
      <cdr:x>0.48387</cdr:x>
      <cdr:y>0.99385</cdr:y>
    </cdr:to>
    <cdr:sp macro="" textlink="">
      <cdr:nvSpPr>
        <cdr:cNvPr id="2" name="TextBox 1"/>
        <cdr:cNvSpPr txBox="1"/>
      </cdr:nvSpPr>
      <cdr:spPr>
        <a:xfrm xmlns:a="http://schemas.openxmlformats.org/drawingml/2006/main">
          <a:off x="709247" y="1676419"/>
          <a:ext cx="433754" cy="216858"/>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a:r>
            <a:rPr lang="en-US" sz="800" b="0" dirty="0">
              <a:latin typeface="Times New Roman" pitchFamily="18" charset="0"/>
              <a:cs typeface="Times New Roman" pitchFamily="18" charset="0"/>
            </a:rPr>
            <a:t>COMT</a:t>
          </a:r>
          <a:r>
            <a:rPr lang="en-US" sz="800" b="0" baseline="0" dirty="0">
              <a:latin typeface="Times New Roman" pitchFamily="18" charset="0"/>
              <a:cs typeface="Times New Roman" pitchFamily="18" charset="0"/>
            </a:rPr>
            <a:t> 2</a:t>
          </a:r>
          <a:endParaRPr lang="en-US" sz="800" b="0" dirty="0">
            <a:latin typeface="Times New Roman" pitchFamily="18" charset="0"/>
            <a:cs typeface="Times New Roman" pitchFamily="18" charset="0"/>
          </a:endParaRPr>
        </a:p>
      </cdr:txBody>
    </cdr:sp>
  </cdr:relSizeAnchor>
  <cdr:relSizeAnchor xmlns:cdr="http://schemas.openxmlformats.org/drawingml/2006/chartDrawing">
    <cdr:from>
      <cdr:x>0.52109</cdr:x>
      <cdr:y>0.88</cdr:y>
    </cdr:from>
    <cdr:to>
      <cdr:x>0.70968</cdr:x>
      <cdr:y>0.98769</cdr:y>
    </cdr:to>
    <cdr:sp macro="" textlink="">
      <cdr:nvSpPr>
        <cdr:cNvPr id="3" name="TextBox 1"/>
        <cdr:cNvSpPr txBox="1"/>
      </cdr:nvSpPr>
      <cdr:spPr>
        <a:xfrm xmlns:a="http://schemas.openxmlformats.org/drawingml/2006/main">
          <a:off x="1230924" y="1676400"/>
          <a:ext cx="445476" cy="205154"/>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a:r>
            <a:rPr lang="en-US" sz="800" b="0" dirty="0">
              <a:latin typeface="Times New Roman" pitchFamily="18" charset="0"/>
              <a:cs typeface="Times New Roman" pitchFamily="18" charset="0"/>
            </a:rPr>
            <a:t>COMT</a:t>
          </a:r>
          <a:r>
            <a:rPr lang="en-US" sz="800" b="0" baseline="0" dirty="0">
              <a:latin typeface="Times New Roman" pitchFamily="18" charset="0"/>
              <a:cs typeface="Times New Roman" pitchFamily="18" charset="0"/>
            </a:rPr>
            <a:t> 3</a:t>
          </a:r>
          <a:endParaRPr lang="en-US" sz="800" b="0" dirty="0">
            <a:latin typeface="Times New Roman" pitchFamily="18" charset="0"/>
            <a:cs typeface="Times New Roman" pitchFamily="18" charset="0"/>
          </a:endParaRPr>
        </a:p>
      </cdr:txBody>
    </cdr:sp>
  </cdr:relSizeAnchor>
</c:userShapes>
</file>

<file path=word/drawings/drawing9.xml><?xml version="1.0" encoding="utf-8"?>
<c:userShapes xmlns:c="http://schemas.openxmlformats.org/drawingml/2006/chart">
  <cdr:relSizeAnchor xmlns:cdr="http://schemas.openxmlformats.org/drawingml/2006/chartDrawing">
    <cdr:from>
      <cdr:x>0.22581</cdr:x>
      <cdr:y>0.88</cdr:y>
    </cdr:from>
    <cdr:to>
      <cdr:x>0.45161</cdr:x>
      <cdr:y>1</cdr:y>
    </cdr:to>
    <cdr:sp macro="" textlink="">
      <cdr:nvSpPr>
        <cdr:cNvPr id="3" name="TextBox 2"/>
        <cdr:cNvSpPr txBox="1"/>
      </cdr:nvSpPr>
      <cdr:spPr>
        <a:xfrm xmlns:a="http://schemas.openxmlformats.org/drawingml/2006/main">
          <a:off x="533408" y="1676400"/>
          <a:ext cx="533385" cy="2286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800" dirty="0" smtClean="0">
              <a:latin typeface="Times New Roman" pitchFamily="18" charset="0"/>
              <a:cs typeface="Times New Roman" pitchFamily="18" charset="0"/>
            </a:rPr>
            <a:t> COMT2</a:t>
          </a:r>
          <a:endParaRPr lang="en-US" sz="800" dirty="0">
            <a:latin typeface="Times New Roman" pitchFamily="18" charset="0"/>
            <a:cs typeface="Times New Roman" pitchFamily="18" charset="0"/>
          </a:endParaRPr>
        </a:p>
      </cdr:txBody>
    </cdr:sp>
  </cdr:relSizeAnchor>
  <cdr:relSizeAnchor xmlns:cdr="http://schemas.openxmlformats.org/drawingml/2006/chartDrawing">
    <cdr:from>
      <cdr:x>0.44776</cdr:x>
      <cdr:y>0.88</cdr:y>
    </cdr:from>
    <cdr:to>
      <cdr:x>0.67742</cdr:x>
      <cdr:y>0.98769</cdr:y>
    </cdr:to>
    <cdr:sp macro="" textlink="">
      <cdr:nvSpPr>
        <cdr:cNvPr id="4" name="TextBox 1"/>
        <cdr:cNvSpPr txBox="1"/>
      </cdr:nvSpPr>
      <cdr:spPr>
        <a:xfrm xmlns:a="http://schemas.openxmlformats.org/drawingml/2006/main">
          <a:off x="1057699" y="1676399"/>
          <a:ext cx="542503" cy="205153"/>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US" sz="800" dirty="0" smtClean="0">
              <a:latin typeface="Times New Roman" pitchFamily="18" charset="0"/>
              <a:cs typeface="Times New Roman" pitchFamily="18" charset="0"/>
            </a:rPr>
            <a:t> COMT3</a:t>
          </a:r>
          <a:endParaRPr lang="en-US" sz="800" dirty="0">
            <a:latin typeface="Times New Roman" pitchFamily="18" charset="0"/>
            <a:cs typeface="Times New Roman"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0BAE7C-476F-43DB-817E-2F1B0D8C4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111</Pages>
  <Words>23845</Words>
  <Characters>138544</Characters>
  <Application>Microsoft Office Word</Application>
  <DocSecurity>0</DocSecurity>
  <Lines>3744</Lines>
  <Paragraphs>1531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160858</CharactersWithSpaces>
  <SharedDoc>false</SharedDoc>
  <HLinks>
    <vt:vector size="378" baseType="variant">
      <vt:variant>
        <vt:i4>1769524</vt:i4>
      </vt:variant>
      <vt:variant>
        <vt:i4>397</vt:i4>
      </vt:variant>
      <vt:variant>
        <vt:i4>0</vt:i4>
      </vt:variant>
      <vt:variant>
        <vt:i4>5</vt:i4>
      </vt:variant>
      <vt:variant>
        <vt:lpwstr/>
      </vt:variant>
      <vt:variant>
        <vt:lpwstr>_Toc140575285</vt:lpwstr>
      </vt:variant>
      <vt:variant>
        <vt:i4>1769524</vt:i4>
      </vt:variant>
      <vt:variant>
        <vt:i4>390</vt:i4>
      </vt:variant>
      <vt:variant>
        <vt:i4>0</vt:i4>
      </vt:variant>
      <vt:variant>
        <vt:i4>5</vt:i4>
      </vt:variant>
      <vt:variant>
        <vt:lpwstr/>
      </vt:variant>
      <vt:variant>
        <vt:lpwstr>_Toc140575285</vt:lpwstr>
      </vt:variant>
      <vt:variant>
        <vt:i4>1769524</vt:i4>
      </vt:variant>
      <vt:variant>
        <vt:i4>382</vt:i4>
      </vt:variant>
      <vt:variant>
        <vt:i4>0</vt:i4>
      </vt:variant>
      <vt:variant>
        <vt:i4>5</vt:i4>
      </vt:variant>
      <vt:variant>
        <vt:lpwstr/>
      </vt:variant>
      <vt:variant>
        <vt:lpwstr>_Toc140575285</vt:lpwstr>
      </vt:variant>
      <vt:variant>
        <vt:i4>1769524</vt:i4>
      </vt:variant>
      <vt:variant>
        <vt:i4>375</vt:i4>
      </vt:variant>
      <vt:variant>
        <vt:i4>0</vt:i4>
      </vt:variant>
      <vt:variant>
        <vt:i4>5</vt:i4>
      </vt:variant>
      <vt:variant>
        <vt:lpwstr/>
      </vt:variant>
      <vt:variant>
        <vt:lpwstr>_Toc140575285</vt:lpwstr>
      </vt:variant>
      <vt:variant>
        <vt:i4>1769524</vt:i4>
      </vt:variant>
      <vt:variant>
        <vt:i4>367</vt:i4>
      </vt:variant>
      <vt:variant>
        <vt:i4>0</vt:i4>
      </vt:variant>
      <vt:variant>
        <vt:i4>5</vt:i4>
      </vt:variant>
      <vt:variant>
        <vt:lpwstr/>
      </vt:variant>
      <vt:variant>
        <vt:lpwstr>_Toc140575285</vt:lpwstr>
      </vt:variant>
      <vt:variant>
        <vt:i4>1769524</vt:i4>
      </vt:variant>
      <vt:variant>
        <vt:i4>360</vt:i4>
      </vt:variant>
      <vt:variant>
        <vt:i4>0</vt:i4>
      </vt:variant>
      <vt:variant>
        <vt:i4>5</vt:i4>
      </vt:variant>
      <vt:variant>
        <vt:lpwstr/>
      </vt:variant>
      <vt:variant>
        <vt:lpwstr>_Toc140575285</vt:lpwstr>
      </vt:variant>
      <vt:variant>
        <vt:i4>1769524</vt:i4>
      </vt:variant>
      <vt:variant>
        <vt:i4>352</vt:i4>
      </vt:variant>
      <vt:variant>
        <vt:i4>0</vt:i4>
      </vt:variant>
      <vt:variant>
        <vt:i4>5</vt:i4>
      </vt:variant>
      <vt:variant>
        <vt:lpwstr/>
      </vt:variant>
      <vt:variant>
        <vt:lpwstr>_Toc140575285</vt:lpwstr>
      </vt:variant>
      <vt:variant>
        <vt:i4>1769524</vt:i4>
      </vt:variant>
      <vt:variant>
        <vt:i4>345</vt:i4>
      </vt:variant>
      <vt:variant>
        <vt:i4>0</vt:i4>
      </vt:variant>
      <vt:variant>
        <vt:i4>5</vt:i4>
      </vt:variant>
      <vt:variant>
        <vt:lpwstr/>
      </vt:variant>
      <vt:variant>
        <vt:lpwstr>_Toc140575285</vt:lpwstr>
      </vt:variant>
      <vt:variant>
        <vt:i4>1769524</vt:i4>
      </vt:variant>
      <vt:variant>
        <vt:i4>337</vt:i4>
      </vt:variant>
      <vt:variant>
        <vt:i4>0</vt:i4>
      </vt:variant>
      <vt:variant>
        <vt:i4>5</vt:i4>
      </vt:variant>
      <vt:variant>
        <vt:lpwstr/>
      </vt:variant>
      <vt:variant>
        <vt:lpwstr>_Toc140575285</vt:lpwstr>
      </vt:variant>
      <vt:variant>
        <vt:i4>1769524</vt:i4>
      </vt:variant>
      <vt:variant>
        <vt:i4>330</vt:i4>
      </vt:variant>
      <vt:variant>
        <vt:i4>0</vt:i4>
      </vt:variant>
      <vt:variant>
        <vt:i4>5</vt:i4>
      </vt:variant>
      <vt:variant>
        <vt:lpwstr/>
      </vt:variant>
      <vt:variant>
        <vt:lpwstr>_Toc140575285</vt:lpwstr>
      </vt:variant>
      <vt:variant>
        <vt:i4>1769524</vt:i4>
      </vt:variant>
      <vt:variant>
        <vt:i4>322</vt:i4>
      </vt:variant>
      <vt:variant>
        <vt:i4>0</vt:i4>
      </vt:variant>
      <vt:variant>
        <vt:i4>5</vt:i4>
      </vt:variant>
      <vt:variant>
        <vt:lpwstr/>
      </vt:variant>
      <vt:variant>
        <vt:lpwstr>_Toc140575285</vt:lpwstr>
      </vt:variant>
      <vt:variant>
        <vt:i4>1900595</vt:i4>
      </vt:variant>
      <vt:variant>
        <vt:i4>313</vt:i4>
      </vt:variant>
      <vt:variant>
        <vt:i4>0</vt:i4>
      </vt:variant>
      <vt:variant>
        <vt:i4>5</vt:i4>
      </vt:variant>
      <vt:variant>
        <vt:lpwstr/>
      </vt:variant>
      <vt:variant>
        <vt:lpwstr>_Toc140573588</vt:lpwstr>
      </vt:variant>
      <vt:variant>
        <vt:i4>1900595</vt:i4>
      </vt:variant>
      <vt:variant>
        <vt:i4>307</vt:i4>
      </vt:variant>
      <vt:variant>
        <vt:i4>0</vt:i4>
      </vt:variant>
      <vt:variant>
        <vt:i4>5</vt:i4>
      </vt:variant>
      <vt:variant>
        <vt:lpwstr/>
      </vt:variant>
      <vt:variant>
        <vt:lpwstr>_Toc140573588</vt:lpwstr>
      </vt:variant>
      <vt:variant>
        <vt:i4>1900595</vt:i4>
      </vt:variant>
      <vt:variant>
        <vt:i4>301</vt:i4>
      </vt:variant>
      <vt:variant>
        <vt:i4>0</vt:i4>
      </vt:variant>
      <vt:variant>
        <vt:i4>5</vt:i4>
      </vt:variant>
      <vt:variant>
        <vt:lpwstr/>
      </vt:variant>
      <vt:variant>
        <vt:lpwstr>_Toc140573588</vt:lpwstr>
      </vt:variant>
      <vt:variant>
        <vt:i4>1900595</vt:i4>
      </vt:variant>
      <vt:variant>
        <vt:i4>295</vt:i4>
      </vt:variant>
      <vt:variant>
        <vt:i4>0</vt:i4>
      </vt:variant>
      <vt:variant>
        <vt:i4>5</vt:i4>
      </vt:variant>
      <vt:variant>
        <vt:lpwstr/>
      </vt:variant>
      <vt:variant>
        <vt:lpwstr>_Toc140573588</vt:lpwstr>
      </vt:variant>
      <vt:variant>
        <vt:i4>1900595</vt:i4>
      </vt:variant>
      <vt:variant>
        <vt:i4>289</vt:i4>
      </vt:variant>
      <vt:variant>
        <vt:i4>0</vt:i4>
      </vt:variant>
      <vt:variant>
        <vt:i4>5</vt:i4>
      </vt:variant>
      <vt:variant>
        <vt:lpwstr/>
      </vt:variant>
      <vt:variant>
        <vt:lpwstr>_Toc140573588</vt:lpwstr>
      </vt:variant>
      <vt:variant>
        <vt:i4>1703993</vt:i4>
      </vt:variant>
      <vt:variant>
        <vt:i4>280</vt:i4>
      </vt:variant>
      <vt:variant>
        <vt:i4>0</vt:i4>
      </vt:variant>
      <vt:variant>
        <vt:i4>5</vt:i4>
      </vt:variant>
      <vt:variant>
        <vt:lpwstr/>
      </vt:variant>
      <vt:variant>
        <vt:lpwstr>_Toc286145916</vt:lpwstr>
      </vt:variant>
      <vt:variant>
        <vt:i4>1703993</vt:i4>
      </vt:variant>
      <vt:variant>
        <vt:i4>274</vt:i4>
      </vt:variant>
      <vt:variant>
        <vt:i4>0</vt:i4>
      </vt:variant>
      <vt:variant>
        <vt:i4>5</vt:i4>
      </vt:variant>
      <vt:variant>
        <vt:lpwstr/>
      </vt:variant>
      <vt:variant>
        <vt:lpwstr>_Toc286145912</vt:lpwstr>
      </vt:variant>
      <vt:variant>
        <vt:i4>1703993</vt:i4>
      </vt:variant>
      <vt:variant>
        <vt:i4>268</vt:i4>
      </vt:variant>
      <vt:variant>
        <vt:i4>0</vt:i4>
      </vt:variant>
      <vt:variant>
        <vt:i4>5</vt:i4>
      </vt:variant>
      <vt:variant>
        <vt:lpwstr/>
      </vt:variant>
      <vt:variant>
        <vt:lpwstr>_Toc286145912</vt:lpwstr>
      </vt:variant>
      <vt:variant>
        <vt:i4>1703993</vt:i4>
      </vt:variant>
      <vt:variant>
        <vt:i4>262</vt:i4>
      </vt:variant>
      <vt:variant>
        <vt:i4>0</vt:i4>
      </vt:variant>
      <vt:variant>
        <vt:i4>5</vt:i4>
      </vt:variant>
      <vt:variant>
        <vt:lpwstr/>
      </vt:variant>
      <vt:variant>
        <vt:lpwstr>_Toc286145912</vt:lpwstr>
      </vt:variant>
      <vt:variant>
        <vt:i4>1703993</vt:i4>
      </vt:variant>
      <vt:variant>
        <vt:i4>256</vt:i4>
      </vt:variant>
      <vt:variant>
        <vt:i4>0</vt:i4>
      </vt:variant>
      <vt:variant>
        <vt:i4>5</vt:i4>
      </vt:variant>
      <vt:variant>
        <vt:lpwstr/>
      </vt:variant>
      <vt:variant>
        <vt:lpwstr>_Toc286145914</vt:lpwstr>
      </vt:variant>
      <vt:variant>
        <vt:i4>1703993</vt:i4>
      </vt:variant>
      <vt:variant>
        <vt:i4>250</vt:i4>
      </vt:variant>
      <vt:variant>
        <vt:i4>0</vt:i4>
      </vt:variant>
      <vt:variant>
        <vt:i4>5</vt:i4>
      </vt:variant>
      <vt:variant>
        <vt:lpwstr/>
      </vt:variant>
      <vt:variant>
        <vt:lpwstr>_Toc286145914</vt:lpwstr>
      </vt:variant>
      <vt:variant>
        <vt:i4>1703993</vt:i4>
      </vt:variant>
      <vt:variant>
        <vt:i4>244</vt:i4>
      </vt:variant>
      <vt:variant>
        <vt:i4>0</vt:i4>
      </vt:variant>
      <vt:variant>
        <vt:i4>5</vt:i4>
      </vt:variant>
      <vt:variant>
        <vt:lpwstr/>
      </vt:variant>
      <vt:variant>
        <vt:lpwstr>_Toc286145914</vt:lpwstr>
      </vt:variant>
      <vt:variant>
        <vt:i4>1703993</vt:i4>
      </vt:variant>
      <vt:variant>
        <vt:i4>238</vt:i4>
      </vt:variant>
      <vt:variant>
        <vt:i4>0</vt:i4>
      </vt:variant>
      <vt:variant>
        <vt:i4>5</vt:i4>
      </vt:variant>
      <vt:variant>
        <vt:lpwstr/>
      </vt:variant>
      <vt:variant>
        <vt:lpwstr>_Toc286145914</vt:lpwstr>
      </vt:variant>
      <vt:variant>
        <vt:i4>1703993</vt:i4>
      </vt:variant>
      <vt:variant>
        <vt:i4>232</vt:i4>
      </vt:variant>
      <vt:variant>
        <vt:i4>0</vt:i4>
      </vt:variant>
      <vt:variant>
        <vt:i4>5</vt:i4>
      </vt:variant>
      <vt:variant>
        <vt:lpwstr/>
      </vt:variant>
      <vt:variant>
        <vt:lpwstr>_Toc286145914</vt:lpwstr>
      </vt:variant>
      <vt:variant>
        <vt:i4>1703993</vt:i4>
      </vt:variant>
      <vt:variant>
        <vt:i4>226</vt:i4>
      </vt:variant>
      <vt:variant>
        <vt:i4>0</vt:i4>
      </vt:variant>
      <vt:variant>
        <vt:i4>5</vt:i4>
      </vt:variant>
      <vt:variant>
        <vt:lpwstr/>
      </vt:variant>
      <vt:variant>
        <vt:lpwstr>_Toc286145914</vt:lpwstr>
      </vt:variant>
      <vt:variant>
        <vt:i4>1703993</vt:i4>
      </vt:variant>
      <vt:variant>
        <vt:i4>220</vt:i4>
      </vt:variant>
      <vt:variant>
        <vt:i4>0</vt:i4>
      </vt:variant>
      <vt:variant>
        <vt:i4>5</vt:i4>
      </vt:variant>
      <vt:variant>
        <vt:lpwstr/>
      </vt:variant>
      <vt:variant>
        <vt:lpwstr>_Toc286145913</vt:lpwstr>
      </vt:variant>
      <vt:variant>
        <vt:i4>1703993</vt:i4>
      </vt:variant>
      <vt:variant>
        <vt:i4>214</vt:i4>
      </vt:variant>
      <vt:variant>
        <vt:i4>0</vt:i4>
      </vt:variant>
      <vt:variant>
        <vt:i4>5</vt:i4>
      </vt:variant>
      <vt:variant>
        <vt:lpwstr/>
      </vt:variant>
      <vt:variant>
        <vt:lpwstr>_Toc286145912</vt:lpwstr>
      </vt:variant>
      <vt:variant>
        <vt:i4>1703993</vt:i4>
      </vt:variant>
      <vt:variant>
        <vt:i4>208</vt:i4>
      </vt:variant>
      <vt:variant>
        <vt:i4>0</vt:i4>
      </vt:variant>
      <vt:variant>
        <vt:i4>5</vt:i4>
      </vt:variant>
      <vt:variant>
        <vt:lpwstr/>
      </vt:variant>
      <vt:variant>
        <vt:lpwstr>_Toc286145914</vt:lpwstr>
      </vt:variant>
      <vt:variant>
        <vt:i4>1703993</vt:i4>
      </vt:variant>
      <vt:variant>
        <vt:i4>202</vt:i4>
      </vt:variant>
      <vt:variant>
        <vt:i4>0</vt:i4>
      </vt:variant>
      <vt:variant>
        <vt:i4>5</vt:i4>
      </vt:variant>
      <vt:variant>
        <vt:lpwstr/>
      </vt:variant>
      <vt:variant>
        <vt:lpwstr>_Toc286145914</vt:lpwstr>
      </vt:variant>
      <vt:variant>
        <vt:i4>1703993</vt:i4>
      </vt:variant>
      <vt:variant>
        <vt:i4>196</vt:i4>
      </vt:variant>
      <vt:variant>
        <vt:i4>0</vt:i4>
      </vt:variant>
      <vt:variant>
        <vt:i4>5</vt:i4>
      </vt:variant>
      <vt:variant>
        <vt:lpwstr/>
      </vt:variant>
      <vt:variant>
        <vt:lpwstr>_Toc286145914</vt:lpwstr>
      </vt:variant>
      <vt:variant>
        <vt:i4>1703993</vt:i4>
      </vt:variant>
      <vt:variant>
        <vt:i4>190</vt:i4>
      </vt:variant>
      <vt:variant>
        <vt:i4>0</vt:i4>
      </vt:variant>
      <vt:variant>
        <vt:i4>5</vt:i4>
      </vt:variant>
      <vt:variant>
        <vt:lpwstr/>
      </vt:variant>
      <vt:variant>
        <vt:lpwstr>_Toc286145914</vt:lpwstr>
      </vt:variant>
      <vt:variant>
        <vt:i4>1703993</vt:i4>
      </vt:variant>
      <vt:variant>
        <vt:i4>184</vt:i4>
      </vt:variant>
      <vt:variant>
        <vt:i4>0</vt:i4>
      </vt:variant>
      <vt:variant>
        <vt:i4>5</vt:i4>
      </vt:variant>
      <vt:variant>
        <vt:lpwstr/>
      </vt:variant>
      <vt:variant>
        <vt:lpwstr>_Toc286145914</vt:lpwstr>
      </vt:variant>
      <vt:variant>
        <vt:i4>1703993</vt:i4>
      </vt:variant>
      <vt:variant>
        <vt:i4>178</vt:i4>
      </vt:variant>
      <vt:variant>
        <vt:i4>0</vt:i4>
      </vt:variant>
      <vt:variant>
        <vt:i4>5</vt:i4>
      </vt:variant>
      <vt:variant>
        <vt:lpwstr/>
      </vt:variant>
      <vt:variant>
        <vt:lpwstr>_Toc286145914</vt:lpwstr>
      </vt:variant>
      <vt:variant>
        <vt:i4>1703993</vt:i4>
      </vt:variant>
      <vt:variant>
        <vt:i4>172</vt:i4>
      </vt:variant>
      <vt:variant>
        <vt:i4>0</vt:i4>
      </vt:variant>
      <vt:variant>
        <vt:i4>5</vt:i4>
      </vt:variant>
      <vt:variant>
        <vt:lpwstr/>
      </vt:variant>
      <vt:variant>
        <vt:lpwstr>_Toc286145914</vt:lpwstr>
      </vt:variant>
      <vt:variant>
        <vt:i4>1703993</vt:i4>
      </vt:variant>
      <vt:variant>
        <vt:i4>166</vt:i4>
      </vt:variant>
      <vt:variant>
        <vt:i4>0</vt:i4>
      </vt:variant>
      <vt:variant>
        <vt:i4>5</vt:i4>
      </vt:variant>
      <vt:variant>
        <vt:lpwstr/>
      </vt:variant>
      <vt:variant>
        <vt:lpwstr>_Toc286145914</vt:lpwstr>
      </vt:variant>
      <vt:variant>
        <vt:i4>1703993</vt:i4>
      </vt:variant>
      <vt:variant>
        <vt:i4>160</vt:i4>
      </vt:variant>
      <vt:variant>
        <vt:i4>0</vt:i4>
      </vt:variant>
      <vt:variant>
        <vt:i4>5</vt:i4>
      </vt:variant>
      <vt:variant>
        <vt:lpwstr/>
      </vt:variant>
      <vt:variant>
        <vt:lpwstr>_Toc286145914</vt:lpwstr>
      </vt:variant>
      <vt:variant>
        <vt:i4>1703993</vt:i4>
      </vt:variant>
      <vt:variant>
        <vt:i4>154</vt:i4>
      </vt:variant>
      <vt:variant>
        <vt:i4>0</vt:i4>
      </vt:variant>
      <vt:variant>
        <vt:i4>5</vt:i4>
      </vt:variant>
      <vt:variant>
        <vt:lpwstr/>
      </vt:variant>
      <vt:variant>
        <vt:lpwstr>_Toc286145914</vt:lpwstr>
      </vt:variant>
      <vt:variant>
        <vt:i4>1703993</vt:i4>
      </vt:variant>
      <vt:variant>
        <vt:i4>148</vt:i4>
      </vt:variant>
      <vt:variant>
        <vt:i4>0</vt:i4>
      </vt:variant>
      <vt:variant>
        <vt:i4>5</vt:i4>
      </vt:variant>
      <vt:variant>
        <vt:lpwstr/>
      </vt:variant>
      <vt:variant>
        <vt:lpwstr>_Toc286145914</vt:lpwstr>
      </vt:variant>
      <vt:variant>
        <vt:i4>1703993</vt:i4>
      </vt:variant>
      <vt:variant>
        <vt:i4>142</vt:i4>
      </vt:variant>
      <vt:variant>
        <vt:i4>0</vt:i4>
      </vt:variant>
      <vt:variant>
        <vt:i4>5</vt:i4>
      </vt:variant>
      <vt:variant>
        <vt:lpwstr/>
      </vt:variant>
      <vt:variant>
        <vt:lpwstr>_Toc286145913</vt:lpwstr>
      </vt:variant>
      <vt:variant>
        <vt:i4>1703993</vt:i4>
      </vt:variant>
      <vt:variant>
        <vt:i4>136</vt:i4>
      </vt:variant>
      <vt:variant>
        <vt:i4>0</vt:i4>
      </vt:variant>
      <vt:variant>
        <vt:i4>5</vt:i4>
      </vt:variant>
      <vt:variant>
        <vt:lpwstr/>
      </vt:variant>
      <vt:variant>
        <vt:lpwstr>_Toc286145912</vt:lpwstr>
      </vt:variant>
      <vt:variant>
        <vt:i4>1769529</vt:i4>
      </vt:variant>
      <vt:variant>
        <vt:i4>130</vt:i4>
      </vt:variant>
      <vt:variant>
        <vt:i4>0</vt:i4>
      </vt:variant>
      <vt:variant>
        <vt:i4>5</vt:i4>
      </vt:variant>
      <vt:variant>
        <vt:lpwstr/>
      </vt:variant>
      <vt:variant>
        <vt:lpwstr>_Toc286145909</vt:lpwstr>
      </vt:variant>
      <vt:variant>
        <vt:i4>1769529</vt:i4>
      </vt:variant>
      <vt:variant>
        <vt:i4>124</vt:i4>
      </vt:variant>
      <vt:variant>
        <vt:i4>0</vt:i4>
      </vt:variant>
      <vt:variant>
        <vt:i4>5</vt:i4>
      </vt:variant>
      <vt:variant>
        <vt:lpwstr/>
      </vt:variant>
      <vt:variant>
        <vt:lpwstr>_Toc286145909</vt:lpwstr>
      </vt:variant>
      <vt:variant>
        <vt:i4>1769529</vt:i4>
      </vt:variant>
      <vt:variant>
        <vt:i4>118</vt:i4>
      </vt:variant>
      <vt:variant>
        <vt:i4>0</vt:i4>
      </vt:variant>
      <vt:variant>
        <vt:i4>5</vt:i4>
      </vt:variant>
      <vt:variant>
        <vt:lpwstr/>
      </vt:variant>
      <vt:variant>
        <vt:lpwstr>_Toc286145908</vt:lpwstr>
      </vt:variant>
      <vt:variant>
        <vt:i4>1769529</vt:i4>
      </vt:variant>
      <vt:variant>
        <vt:i4>112</vt:i4>
      </vt:variant>
      <vt:variant>
        <vt:i4>0</vt:i4>
      </vt:variant>
      <vt:variant>
        <vt:i4>5</vt:i4>
      </vt:variant>
      <vt:variant>
        <vt:lpwstr/>
      </vt:variant>
      <vt:variant>
        <vt:lpwstr>_Toc286145906</vt:lpwstr>
      </vt:variant>
      <vt:variant>
        <vt:i4>1769529</vt:i4>
      </vt:variant>
      <vt:variant>
        <vt:i4>106</vt:i4>
      </vt:variant>
      <vt:variant>
        <vt:i4>0</vt:i4>
      </vt:variant>
      <vt:variant>
        <vt:i4>5</vt:i4>
      </vt:variant>
      <vt:variant>
        <vt:lpwstr/>
      </vt:variant>
      <vt:variant>
        <vt:lpwstr>_Toc286145906</vt:lpwstr>
      </vt:variant>
      <vt:variant>
        <vt:i4>1769529</vt:i4>
      </vt:variant>
      <vt:variant>
        <vt:i4>100</vt:i4>
      </vt:variant>
      <vt:variant>
        <vt:i4>0</vt:i4>
      </vt:variant>
      <vt:variant>
        <vt:i4>5</vt:i4>
      </vt:variant>
      <vt:variant>
        <vt:lpwstr/>
      </vt:variant>
      <vt:variant>
        <vt:lpwstr>_Toc286145906</vt:lpwstr>
      </vt:variant>
      <vt:variant>
        <vt:i4>1769529</vt:i4>
      </vt:variant>
      <vt:variant>
        <vt:i4>94</vt:i4>
      </vt:variant>
      <vt:variant>
        <vt:i4>0</vt:i4>
      </vt:variant>
      <vt:variant>
        <vt:i4>5</vt:i4>
      </vt:variant>
      <vt:variant>
        <vt:lpwstr/>
      </vt:variant>
      <vt:variant>
        <vt:lpwstr>_Toc286145907</vt:lpwstr>
      </vt:variant>
      <vt:variant>
        <vt:i4>1769529</vt:i4>
      </vt:variant>
      <vt:variant>
        <vt:i4>88</vt:i4>
      </vt:variant>
      <vt:variant>
        <vt:i4>0</vt:i4>
      </vt:variant>
      <vt:variant>
        <vt:i4>5</vt:i4>
      </vt:variant>
      <vt:variant>
        <vt:lpwstr/>
      </vt:variant>
      <vt:variant>
        <vt:lpwstr>_Toc286145907</vt:lpwstr>
      </vt:variant>
      <vt:variant>
        <vt:i4>1769529</vt:i4>
      </vt:variant>
      <vt:variant>
        <vt:i4>82</vt:i4>
      </vt:variant>
      <vt:variant>
        <vt:i4>0</vt:i4>
      </vt:variant>
      <vt:variant>
        <vt:i4>5</vt:i4>
      </vt:variant>
      <vt:variant>
        <vt:lpwstr/>
      </vt:variant>
      <vt:variant>
        <vt:lpwstr>_Toc286145906</vt:lpwstr>
      </vt:variant>
      <vt:variant>
        <vt:i4>1769529</vt:i4>
      </vt:variant>
      <vt:variant>
        <vt:i4>76</vt:i4>
      </vt:variant>
      <vt:variant>
        <vt:i4>0</vt:i4>
      </vt:variant>
      <vt:variant>
        <vt:i4>5</vt:i4>
      </vt:variant>
      <vt:variant>
        <vt:lpwstr/>
      </vt:variant>
      <vt:variant>
        <vt:lpwstr>_Toc286145907</vt:lpwstr>
      </vt:variant>
      <vt:variant>
        <vt:i4>1769529</vt:i4>
      </vt:variant>
      <vt:variant>
        <vt:i4>70</vt:i4>
      </vt:variant>
      <vt:variant>
        <vt:i4>0</vt:i4>
      </vt:variant>
      <vt:variant>
        <vt:i4>5</vt:i4>
      </vt:variant>
      <vt:variant>
        <vt:lpwstr/>
      </vt:variant>
      <vt:variant>
        <vt:lpwstr>_Toc286145907</vt:lpwstr>
      </vt:variant>
      <vt:variant>
        <vt:i4>1769529</vt:i4>
      </vt:variant>
      <vt:variant>
        <vt:i4>64</vt:i4>
      </vt:variant>
      <vt:variant>
        <vt:i4>0</vt:i4>
      </vt:variant>
      <vt:variant>
        <vt:i4>5</vt:i4>
      </vt:variant>
      <vt:variant>
        <vt:lpwstr/>
      </vt:variant>
      <vt:variant>
        <vt:lpwstr>_Toc286145907</vt:lpwstr>
      </vt:variant>
      <vt:variant>
        <vt:i4>1769529</vt:i4>
      </vt:variant>
      <vt:variant>
        <vt:i4>58</vt:i4>
      </vt:variant>
      <vt:variant>
        <vt:i4>0</vt:i4>
      </vt:variant>
      <vt:variant>
        <vt:i4>5</vt:i4>
      </vt:variant>
      <vt:variant>
        <vt:lpwstr/>
      </vt:variant>
      <vt:variant>
        <vt:lpwstr>_Toc286145907</vt:lpwstr>
      </vt:variant>
      <vt:variant>
        <vt:i4>1769529</vt:i4>
      </vt:variant>
      <vt:variant>
        <vt:i4>52</vt:i4>
      </vt:variant>
      <vt:variant>
        <vt:i4>0</vt:i4>
      </vt:variant>
      <vt:variant>
        <vt:i4>5</vt:i4>
      </vt:variant>
      <vt:variant>
        <vt:lpwstr/>
      </vt:variant>
      <vt:variant>
        <vt:lpwstr>_Toc286145907</vt:lpwstr>
      </vt:variant>
      <vt:variant>
        <vt:i4>1769529</vt:i4>
      </vt:variant>
      <vt:variant>
        <vt:i4>46</vt:i4>
      </vt:variant>
      <vt:variant>
        <vt:i4>0</vt:i4>
      </vt:variant>
      <vt:variant>
        <vt:i4>5</vt:i4>
      </vt:variant>
      <vt:variant>
        <vt:lpwstr/>
      </vt:variant>
      <vt:variant>
        <vt:lpwstr>_Toc286145907</vt:lpwstr>
      </vt:variant>
      <vt:variant>
        <vt:i4>1769529</vt:i4>
      </vt:variant>
      <vt:variant>
        <vt:i4>40</vt:i4>
      </vt:variant>
      <vt:variant>
        <vt:i4>0</vt:i4>
      </vt:variant>
      <vt:variant>
        <vt:i4>5</vt:i4>
      </vt:variant>
      <vt:variant>
        <vt:lpwstr/>
      </vt:variant>
      <vt:variant>
        <vt:lpwstr>_Toc286145907</vt:lpwstr>
      </vt:variant>
      <vt:variant>
        <vt:i4>1769529</vt:i4>
      </vt:variant>
      <vt:variant>
        <vt:i4>34</vt:i4>
      </vt:variant>
      <vt:variant>
        <vt:i4>0</vt:i4>
      </vt:variant>
      <vt:variant>
        <vt:i4>5</vt:i4>
      </vt:variant>
      <vt:variant>
        <vt:lpwstr/>
      </vt:variant>
      <vt:variant>
        <vt:lpwstr>_Toc286145906</vt:lpwstr>
      </vt:variant>
      <vt:variant>
        <vt:i4>1769529</vt:i4>
      </vt:variant>
      <vt:variant>
        <vt:i4>28</vt:i4>
      </vt:variant>
      <vt:variant>
        <vt:i4>0</vt:i4>
      </vt:variant>
      <vt:variant>
        <vt:i4>5</vt:i4>
      </vt:variant>
      <vt:variant>
        <vt:lpwstr/>
      </vt:variant>
      <vt:variant>
        <vt:lpwstr>_Toc286145905</vt:lpwstr>
      </vt:variant>
      <vt:variant>
        <vt:i4>1769529</vt:i4>
      </vt:variant>
      <vt:variant>
        <vt:i4>22</vt:i4>
      </vt:variant>
      <vt:variant>
        <vt:i4>0</vt:i4>
      </vt:variant>
      <vt:variant>
        <vt:i4>5</vt:i4>
      </vt:variant>
      <vt:variant>
        <vt:lpwstr/>
      </vt:variant>
      <vt:variant>
        <vt:lpwstr>_Toc286145904</vt:lpwstr>
      </vt:variant>
      <vt:variant>
        <vt:i4>1769529</vt:i4>
      </vt:variant>
      <vt:variant>
        <vt:i4>16</vt:i4>
      </vt:variant>
      <vt:variant>
        <vt:i4>0</vt:i4>
      </vt:variant>
      <vt:variant>
        <vt:i4>5</vt:i4>
      </vt:variant>
      <vt:variant>
        <vt:lpwstr/>
      </vt:variant>
      <vt:variant>
        <vt:lpwstr>_Toc286145903</vt:lpwstr>
      </vt:variant>
      <vt:variant>
        <vt:i4>1769529</vt:i4>
      </vt:variant>
      <vt:variant>
        <vt:i4>10</vt:i4>
      </vt:variant>
      <vt:variant>
        <vt:i4>0</vt:i4>
      </vt:variant>
      <vt:variant>
        <vt:i4>5</vt:i4>
      </vt:variant>
      <vt:variant>
        <vt:lpwstr/>
      </vt:variant>
      <vt:variant>
        <vt:lpwstr>_Toc286145906</vt:lpwstr>
      </vt:variant>
      <vt:variant>
        <vt:i4>1179704</vt:i4>
      </vt:variant>
      <vt:variant>
        <vt:i4>4</vt:i4>
      </vt:variant>
      <vt:variant>
        <vt:i4>0</vt:i4>
      </vt:variant>
      <vt:variant>
        <vt:i4>5</vt:i4>
      </vt:variant>
      <vt:variant>
        <vt:lpwstr/>
      </vt:variant>
      <vt:variant>
        <vt:lpwstr>_Toc286145897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2014-03-20T19:44:00Z</dcterms:created>
  <dcterms:modified xsi:type="dcterms:W3CDTF">2014-03-20T19:47:00Z</dcterms:modified>
</cp:coreProperties>
</file>