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6FFBE" w14:textId="77777777" w:rsidR="00FD35BB" w:rsidRPr="00E26D55" w:rsidRDefault="008D4510" w:rsidP="001853E3">
      <w:pPr>
        <w:widowControl w:val="0"/>
        <w:contextualSpacing/>
        <w:jc w:val="center"/>
        <w:rPr>
          <w:b/>
        </w:rPr>
      </w:pPr>
      <w:r w:rsidRPr="00E26D55">
        <w:rPr>
          <w:b/>
        </w:rPr>
        <w:t xml:space="preserve"> </w:t>
      </w:r>
    </w:p>
    <w:p w14:paraId="400E1F39" w14:textId="77777777" w:rsidR="00FD35BB" w:rsidRPr="00E26D55" w:rsidRDefault="00FD35BB" w:rsidP="001853E3">
      <w:pPr>
        <w:widowControl w:val="0"/>
        <w:contextualSpacing/>
        <w:jc w:val="center"/>
        <w:rPr>
          <w:b/>
        </w:rPr>
      </w:pPr>
    </w:p>
    <w:p w14:paraId="78D0A9A4" w14:textId="77777777" w:rsidR="00FD35BB" w:rsidRPr="00E26D55" w:rsidRDefault="00FD35BB" w:rsidP="001853E3">
      <w:pPr>
        <w:widowControl w:val="0"/>
        <w:contextualSpacing/>
        <w:jc w:val="center"/>
        <w:rPr>
          <w:b/>
        </w:rPr>
      </w:pPr>
    </w:p>
    <w:p w14:paraId="7808F3E8" w14:textId="77777777" w:rsidR="00FD35BB" w:rsidRPr="00E26D55" w:rsidRDefault="00FD35BB" w:rsidP="001853E3">
      <w:pPr>
        <w:widowControl w:val="0"/>
        <w:contextualSpacing/>
        <w:jc w:val="center"/>
        <w:rPr>
          <w:b/>
        </w:rPr>
      </w:pPr>
    </w:p>
    <w:p w14:paraId="0A820AE3" w14:textId="77777777" w:rsidR="00FD35BB" w:rsidRPr="00E26D55" w:rsidRDefault="00FD35BB" w:rsidP="006735CB">
      <w:pPr>
        <w:widowControl w:val="0"/>
        <w:contextualSpacing/>
        <w:rPr>
          <w:b/>
        </w:rPr>
      </w:pPr>
      <w:r w:rsidRPr="00E26D55">
        <w:rPr>
          <w:b/>
        </w:rPr>
        <w:br/>
      </w:r>
    </w:p>
    <w:p w14:paraId="39E866D4" w14:textId="77777777" w:rsidR="00FD35BB" w:rsidRPr="00E26D55" w:rsidRDefault="00FD35BB" w:rsidP="001853E3">
      <w:pPr>
        <w:widowControl w:val="0"/>
        <w:contextualSpacing/>
        <w:jc w:val="center"/>
        <w:rPr>
          <w:b/>
        </w:rPr>
      </w:pPr>
    </w:p>
    <w:p w14:paraId="23BDADFB" w14:textId="77777777" w:rsidR="00FD35BB" w:rsidRPr="00E26D55" w:rsidRDefault="00FD35BB" w:rsidP="001853E3">
      <w:pPr>
        <w:widowControl w:val="0"/>
        <w:contextualSpacing/>
        <w:jc w:val="center"/>
        <w:rPr>
          <w:b/>
        </w:rPr>
      </w:pPr>
    </w:p>
    <w:p w14:paraId="53CE7E52" w14:textId="77777777" w:rsidR="002B21F6" w:rsidRPr="00D52545" w:rsidRDefault="002B21F6" w:rsidP="002B21F6">
      <w:pPr>
        <w:widowControl w:val="0"/>
        <w:contextualSpacing/>
        <w:jc w:val="center"/>
        <w:rPr>
          <w:b/>
        </w:rPr>
      </w:pPr>
      <w:r>
        <w:rPr>
          <w:b/>
        </w:rPr>
        <w:t>Are</w:t>
      </w:r>
      <w:r w:rsidRPr="00D52545">
        <w:rPr>
          <w:b/>
        </w:rPr>
        <w:t xml:space="preserve"> Auditor and Audit Committee Report Changes</w:t>
      </w:r>
      <w:r>
        <w:rPr>
          <w:b/>
        </w:rPr>
        <w:t xml:space="preserve"> Useful to Investors?</w:t>
      </w:r>
    </w:p>
    <w:p w14:paraId="22E4282F" w14:textId="00EF5884" w:rsidR="00FD35BB" w:rsidRPr="00E26D55" w:rsidRDefault="00FD35BB" w:rsidP="001853E3">
      <w:pPr>
        <w:widowControl w:val="0"/>
        <w:contextualSpacing/>
        <w:jc w:val="center"/>
        <w:rPr>
          <w:b/>
        </w:rPr>
      </w:pPr>
      <w:r w:rsidRPr="00D52545">
        <w:rPr>
          <w:b/>
        </w:rPr>
        <w:t>Evidence from the United Kingdom</w:t>
      </w:r>
    </w:p>
    <w:p w14:paraId="25E666EC" w14:textId="77777777" w:rsidR="00FD35BB" w:rsidRPr="00E26D55" w:rsidRDefault="00FD35BB" w:rsidP="001853E3">
      <w:pPr>
        <w:widowControl w:val="0"/>
        <w:contextualSpacing/>
        <w:jc w:val="center"/>
        <w:rPr>
          <w:b/>
        </w:rPr>
      </w:pPr>
    </w:p>
    <w:p w14:paraId="13072907" w14:textId="77777777" w:rsidR="00FD35BB" w:rsidRDefault="00FD35BB" w:rsidP="001853E3">
      <w:pPr>
        <w:widowControl w:val="0"/>
        <w:contextualSpacing/>
        <w:jc w:val="center"/>
        <w:rPr>
          <w:b/>
        </w:rPr>
      </w:pPr>
    </w:p>
    <w:p w14:paraId="7DF88CE6" w14:textId="77777777" w:rsidR="00EF7A3E" w:rsidRDefault="00EF7A3E" w:rsidP="001853E3">
      <w:pPr>
        <w:widowControl w:val="0"/>
        <w:contextualSpacing/>
        <w:jc w:val="center"/>
        <w:rPr>
          <w:b/>
        </w:rPr>
      </w:pPr>
    </w:p>
    <w:p w14:paraId="43423F9A" w14:textId="77777777" w:rsidR="00EF7A3E" w:rsidRDefault="00EF7A3E" w:rsidP="001853E3">
      <w:pPr>
        <w:widowControl w:val="0"/>
        <w:contextualSpacing/>
        <w:jc w:val="center"/>
        <w:rPr>
          <w:b/>
        </w:rPr>
      </w:pPr>
    </w:p>
    <w:p w14:paraId="5F8ECE16" w14:textId="77777777" w:rsidR="00EF7A3E" w:rsidRDefault="00EF7A3E" w:rsidP="001853E3">
      <w:pPr>
        <w:widowControl w:val="0"/>
        <w:contextualSpacing/>
        <w:jc w:val="center"/>
        <w:rPr>
          <w:b/>
        </w:rPr>
      </w:pPr>
    </w:p>
    <w:p w14:paraId="0485055A" w14:textId="77777777" w:rsidR="00EF7A3E" w:rsidRDefault="00EF7A3E" w:rsidP="001853E3">
      <w:pPr>
        <w:widowControl w:val="0"/>
        <w:contextualSpacing/>
        <w:jc w:val="center"/>
        <w:rPr>
          <w:b/>
        </w:rPr>
      </w:pPr>
    </w:p>
    <w:p w14:paraId="7E2AFB9F" w14:textId="77777777" w:rsidR="00EF7A3E" w:rsidRDefault="00EF7A3E" w:rsidP="001853E3">
      <w:pPr>
        <w:widowControl w:val="0"/>
        <w:contextualSpacing/>
        <w:jc w:val="center"/>
        <w:rPr>
          <w:b/>
        </w:rPr>
      </w:pPr>
    </w:p>
    <w:p w14:paraId="5204103A" w14:textId="77777777" w:rsidR="00EF7A3E" w:rsidRPr="00E26D55" w:rsidRDefault="00EF7A3E" w:rsidP="001853E3">
      <w:pPr>
        <w:widowControl w:val="0"/>
        <w:contextualSpacing/>
        <w:jc w:val="center"/>
        <w:rPr>
          <w:b/>
        </w:rPr>
      </w:pPr>
    </w:p>
    <w:p w14:paraId="14BDBB5A" w14:textId="77777777" w:rsidR="00FD35BB" w:rsidRPr="00E26D55" w:rsidRDefault="00FD35BB" w:rsidP="001853E3">
      <w:pPr>
        <w:widowControl w:val="0"/>
        <w:contextualSpacing/>
        <w:jc w:val="center"/>
        <w:rPr>
          <w:b/>
        </w:rPr>
      </w:pPr>
    </w:p>
    <w:p w14:paraId="4DC91BF3" w14:textId="77777777" w:rsidR="00FD35BB" w:rsidRPr="00E26D55" w:rsidRDefault="00FD35BB" w:rsidP="001853E3">
      <w:pPr>
        <w:widowControl w:val="0"/>
        <w:contextualSpacing/>
        <w:jc w:val="center"/>
        <w:rPr>
          <w:b/>
        </w:rPr>
      </w:pPr>
    </w:p>
    <w:p w14:paraId="37421238" w14:textId="77777777" w:rsidR="00FD35BB" w:rsidRPr="00E26D55" w:rsidRDefault="00FD35BB" w:rsidP="001853E3">
      <w:pPr>
        <w:widowControl w:val="0"/>
        <w:contextualSpacing/>
        <w:jc w:val="center"/>
        <w:rPr>
          <w:b/>
        </w:rPr>
      </w:pPr>
    </w:p>
    <w:p w14:paraId="51AFC897" w14:textId="69019F37" w:rsidR="00EF7A3E" w:rsidRPr="00EF7A3E" w:rsidRDefault="00EF7A3E" w:rsidP="00EF7A3E">
      <w:pPr>
        <w:jc w:val="center"/>
        <w:rPr>
          <w:rFonts w:eastAsia="Times New Roman"/>
        </w:rPr>
      </w:pPr>
      <w:r w:rsidRPr="00EF7A3E">
        <w:rPr>
          <w:rFonts w:eastAsia="Times New Roman"/>
        </w:rPr>
        <w:t>A Dissertation Presented for the</w:t>
      </w:r>
    </w:p>
    <w:p w14:paraId="5FD255CE" w14:textId="5B9E3811" w:rsidR="00EF7A3E" w:rsidRPr="00EF7A3E" w:rsidRDefault="00EF7A3E" w:rsidP="009F098E">
      <w:pPr>
        <w:jc w:val="center"/>
        <w:rPr>
          <w:rFonts w:eastAsia="Times New Roman"/>
        </w:rPr>
      </w:pPr>
      <w:r w:rsidRPr="00EF7A3E">
        <w:rPr>
          <w:rFonts w:eastAsia="Times New Roman"/>
        </w:rPr>
        <w:t>Doctor of Philosophy</w:t>
      </w:r>
      <w:r w:rsidR="009F098E">
        <w:rPr>
          <w:rFonts w:eastAsia="Times New Roman"/>
        </w:rPr>
        <w:t xml:space="preserve"> </w:t>
      </w:r>
      <w:r w:rsidRPr="00EF7A3E">
        <w:rPr>
          <w:rFonts w:eastAsia="Times New Roman"/>
        </w:rPr>
        <w:t>Degree</w:t>
      </w:r>
    </w:p>
    <w:p w14:paraId="2332A571" w14:textId="0D3C74F2" w:rsidR="00EF7A3E" w:rsidRPr="00EF7A3E" w:rsidRDefault="00EF7A3E" w:rsidP="00EF7A3E">
      <w:pPr>
        <w:jc w:val="center"/>
        <w:rPr>
          <w:rFonts w:eastAsia="Times New Roman"/>
        </w:rPr>
      </w:pPr>
      <w:r w:rsidRPr="00EF7A3E">
        <w:rPr>
          <w:rFonts w:eastAsia="Times New Roman"/>
        </w:rPr>
        <w:t>The University of Tennessee, Knoxville</w:t>
      </w:r>
    </w:p>
    <w:p w14:paraId="6B9B8926" w14:textId="635F2E58" w:rsidR="005A496F" w:rsidRDefault="005A496F" w:rsidP="001853E3">
      <w:pPr>
        <w:widowControl w:val="0"/>
        <w:contextualSpacing/>
        <w:jc w:val="center"/>
      </w:pPr>
    </w:p>
    <w:p w14:paraId="5581DC48" w14:textId="77777777" w:rsidR="00EF7A3E" w:rsidRDefault="00EF7A3E" w:rsidP="001853E3">
      <w:pPr>
        <w:widowControl w:val="0"/>
        <w:contextualSpacing/>
        <w:jc w:val="center"/>
      </w:pPr>
    </w:p>
    <w:p w14:paraId="71EC88B9" w14:textId="77777777" w:rsidR="00EF7A3E" w:rsidRDefault="00EF7A3E" w:rsidP="001853E3">
      <w:pPr>
        <w:widowControl w:val="0"/>
        <w:contextualSpacing/>
        <w:jc w:val="center"/>
      </w:pPr>
    </w:p>
    <w:p w14:paraId="1A4627DB" w14:textId="77777777" w:rsidR="00EF7A3E" w:rsidRDefault="00EF7A3E" w:rsidP="001853E3">
      <w:pPr>
        <w:widowControl w:val="0"/>
        <w:contextualSpacing/>
        <w:jc w:val="center"/>
      </w:pPr>
    </w:p>
    <w:p w14:paraId="1073BFC6" w14:textId="77777777" w:rsidR="00EF7A3E" w:rsidRDefault="00EF7A3E" w:rsidP="001853E3">
      <w:pPr>
        <w:widowControl w:val="0"/>
        <w:contextualSpacing/>
        <w:jc w:val="center"/>
      </w:pPr>
    </w:p>
    <w:p w14:paraId="4390BFC8" w14:textId="77777777" w:rsidR="00EF7A3E" w:rsidRDefault="00EF7A3E" w:rsidP="001853E3">
      <w:pPr>
        <w:widowControl w:val="0"/>
        <w:contextualSpacing/>
        <w:jc w:val="center"/>
      </w:pPr>
    </w:p>
    <w:p w14:paraId="231A45FB" w14:textId="77777777" w:rsidR="00EF7A3E" w:rsidRDefault="00EF7A3E" w:rsidP="001853E3">
      <w:pPr>
        <w:widowControl w:val="0"/>
        <w:contextualSpacing/>
        <w:jc w:val="center"/>
      </w:pPr>
    </w:p>
    <w:p w14:paraId="41FB7E5B" w14:textId="77777777" w:rsidR="00EF7A3E" w:rsidRDefault="00EF7A3E" w:rsidP="001853E3">
      <w:pPr>
        <w:widowControl w:val="0"/>
        <w:contextualSpacing/>
        <w:jc w:val="center"/>
      </w:pPr>
    </w:p>
    <w:p w14:paraId="7D324246" w14:textId="77777777" w:rsidR="00EF7A3E" w:rsidRDefault="00EF7A3E" w:rsidP="001853E3">
      <w:pPr>
        <w:widowControl w:val="0"/>
        <w:contextualSpacing/>
        <w:jc w:val="center"/>
      </w:pPr>
    </w:p>
    <w:p w14:paraId="0C25638E" w14:textId="77777777" w:rsidR="00EF7A3E" w:rsidRDefault="00EF7A3E" w:rsidP="001853E3">
      <w:pPr>
        <w:widowControl w:val="0"/>
        <w:contextualSpacing/>
        <w:jc w:val="center"/>
      </w:pPr>
    </w:p>
    <w:p w14:paraId="1168F643" w14:textId="77777777" w:rsidR="00EF7A3E" w:rsidRDefault="00EF7A3E" w:rsidP="001853E3">
      <w:pPr>
        <w:widowControl w:val="0"/>
        <w:contextualSpacing/>
        <w:jc w:val="center"/>
      </w:pPr>
    </w:p>
    <w:p w14:paraId="02BC1A3F" w14:textId="77777777" w:rsidR="00EF7A3E" w:rsidRDefault="00EF7A3E" w:rsidP="001853E3">
      <w:pPr>
        <w:widowControl w:val="0"/>
        <w:contextualSpacing/>
        <w:jc w:val="center"/>
      </w:pPr>
    </w:p>
    <w:p w14:paraId="05479551" w14:textId="77777777" w:rsidR="00EF7A3E" w:rsidRDefault="00EF7A3E" w:rsidP="001853E3">
      <w:pPr>
        <w:widowControl w:val="0"/>
        <w:contextualSpacing/>
        <w:jc w:val="center"/>
      </w:pPr>
    </w:p>
    <w:p w14:paraId="26380146" w14:textId="77777777" w:rsidR="00EF7A3E" w:rsidRDefault="00EF7A3E" w:rsidP="001853E3">
      <w:pPr>
        <w:widowControl w:val="0"/>
        <w:contextualSpacing/>
        <w:jc w:val="center"/>
      </w:pPr>
    </w:p>
    <w:p w14:paraId="4D95916B" w14:textId="77777777" w:rsidR="00EF7A3E" w:rsidRDefault="00EF7A3E" w:rsidP="001853E3">
      <w:pPr>
        <w:widowControl w:val="0"/>
        <w:contextualSpacing/>
        <w:jc w:val="center"/>
      </w:pPr>
    </w:p>
    <w:p w14:paraId="682B5088" w14:textId="77777777" w:rsidR="00EF7A3E" w:rsidRDefault="00EF7A3E" w:rsidP="001853E3">
      <w:pPr>
        <w:widowControl w:val="0"/>
        <w:contextualSpacing/>
        <w:jc w:val="center"/>
      </w:pPr>
    </w:p>
    <w:p w14:paraId="60BD6BB0" w14:textId="6F1C3EFE" w:rsidR="00EF7A3E" w:rsidRDefault="00EF7A3E" w:rsidP="001853E3">
      <w:pPr>
        <w:widowControl w:val="0"/>
        <w:contextualSpacing/>
        <w:jc w:val="center"/>
      </w:pPr>
      <w:r>
        <w:t>Lauren Carse Reid</w:t>
      </w:r>
    </w:p>
    <w:p w14:paraId="5DD9298F" w14:textId="4A610F47" w:rsidR="00EF7A3E" w:rsidRDefault="00EF7A3E" w:rsidP="001853E3">
      <w:pPr>
        <w:widowControl w:val="0"/>
        <w:contextualSpacing/>
        <w:jc w:val="center"/>
      </w:pPr>
      <w:r>
        <w:t>February 2015</w:t>
      </w:r>
    </w:p>
    <w:p w14:paraId="0893E612" w14:textId="77777777" w:rsidR="00EF7A3E" w:rsidRDefault="00EF7A3E">
      <w:r>
        <w:br w:type="page"/>
      </w:r>
    </w:p>
    <w:p w14:paraId="5FEAB650" w14:textId="2CEDFAC3" w:rsidR="00EF7A3E" w:rsidRDefault="00EF7A3E" w:rsidP="001853E3">
      <w:pPr>
        <w:widowControl w:val="0"/>
        <w:contextualSpacing/>
        <w:jc w:val="center"/>
        <w:rPr>
          <w:b/>
        </w:rPr>
      </w:pPr>
      <w:r>
        <w:rPr>
          <w:b/>
        </w:rPr>
        <w:lastRenderedPageBreak/>
        <w:t>DEDICATION</w:t>
      </w:r>
    </w:p>
    <w:p w14:paraId="10C69D4C" w14:textId="77777777" w:rsidR="005A1B78" w:rsidRDefault="005A1B78" w:rsidP="001853E3">
      <w:pPr>
        <w:widowControl w:val="0"/>
        <w:contextualSpacing/>
        <w:jc w:val="center"/>
        <w:rPr>
          <w:b/>
        </w:rPr>
      </w:pPr>
    </w:p>
    <w:p w14:paraId="2E8D3691" w14:textId="4BB39D3A" w:rsidR="005A1B78" w:rsidRPr="005A1B78" w:rsidRDefault="005A1B78" w:rsidP="005A1B78">
      <w:pPr>
        <w:widowControl w:val="0"/>
        <w:contextualSpacing/>
      </w:pPr>
      <w:r>
        <w:t>To be written….</w:t>
      </w:r>
    </w:p>
    <w:p w14:paraId="40B9C37C" w14:textId="77777777" w:rsidR="00EF7A3E" w:rsidRDefault="00EF7A3E" w:rsidP="001853E3">
      <w:pPr>
        <w:widowControl w:val="0"/>
        <w:contextualSpacing/>
        <w:jc w:val="center"/>
        <w:rPr>
          <w:b/>
        </w:rPr>
      </w:pPr>
    </w:p>
    <w:p w14:paraId="318D522D" w14:textId="77777777" w:rsidR="00EF7A3E" w:rsidRDefault="00EF7A3E" w:rsidP="001853E3">
      <w:pPr>
        <w:widowControl w:val="0"/>
        <w:contextualSpacing/>
        <w:jc w:val="center"/>
        <w:rPr>
          <w:b/>
        </w:rPr>
      </w:pPr>
    </w:p>
    <w:p w14:paraId="159651EE" w14:textId="77777777" w:rsidR="00EF7A3E" w:rsidRDefault="00EF7A3E" w:rsidP="001853E3">
      <w:pPr>
        <w:widowControl w:val="0"/>
        <w:contextualSpacing/>
        <w:jc w:val="center"/>
        <w:rPr>
          <w:b/>
        </w:rPr>
      </w:pPr>
    </w:p>
    <w:p w14:paraId="42D1D92C" w14:textId="77777777" w:rsidR="00EF7A3E" w:rsidRDefault="00EF7A3E" w:rsidP="001853E3">
      <w:pPr>
        <w:widowControl w:val="0"/>
        <w:contextualSpacing/>
        <w:jc w:val="center"/>
        <w:rPr>
          <w:b/>
        </w:rPr>
      </w:pPr>
    </w:p>
    <w:p w14:paraId="0785524B" w14:textId="77777777" w:rsidR="00EF7A3E" w:rsidRDefault="00EF7A3E" w:rsidP="001853E3">
      <w:pPr>
        <w:widowControl w:val="0"/>
        <w:contextualSpacing/>
        <w:jc w:val="center"/>
        <w:rPr>
          <w:b/>
        </w:rPr>
      </w:pPr>
    </w:p>
    <w:p w14:paraId="20B2AA8A" w14:textId="77777777" w:rsidR="00EF7A3E" w:rsidRDefault="00EF7A3E" w:rsidP="001853E3">
      <w:pPr>
        <w:widowControl w:val="0"/>
        <w:contextualSpacing/>
        <w:jc w:val="center"/>
        <w:rPr>
          <w:b/>
        </w:rPr>
      </w:pPr>
    </w:p>
    <w:p w14:paraId="014538D1" w14:textId="77777777" w:rsidR="00EF7A3E" w:rsidRDefault="00EF7A3E" w:rsidP="001853E3">
      <w:pPr>
        <w:widowControl w:val="0"/>
        <w:contextualSpacing/>
        <w:jc w:val="center"/>
        <w:rPr>
          <w:b/>
        </w:rPr>
      </w:pPr>
    </w:p>
    <w:p w14:paraId="57A164BE" w14:textId="77777777" w:rsidR="00EF7A3E" w:rsidRDefault="00EF7A3E" w:rsidP="001853E3">
      <w:pPr>
        <w:widowControl w:val="0"/>
        <w:contextualSpacing/>
        <w:jc w:val="center"/>
        <w:rPr>
          <w:b/>
        </w:rPr>
      </w:pPr>
    </w:p>
    <w:p w14:paraId="65A2BD6A" w14:textId="77777777" w:rsidR="00EF7A3E" w:rsidRDefault="00EF7A3E" w:rsidP="001853E3">
      <w:pPr>
        <w:widowControl w:val="0"/>
        <w:contextualSpacing/>
        <w:jc w:val="center"/>
        <w:rPr>
          <w:b/>
        </w:rPr>
      </w:pPr>
    </w:p>
    <w:p w14:paraId="2F49827F" w14:textId="77777777" w:rsidR="00EF7A3E" w:rsidRDefault="00EF7A3E" w:rsidP="001853E3">
      <w:pPr>
        <w:widowControl w:val="0"/>
        <w:contextualSpacing/>
        <w:jc w:val="center"/>
        <w:rPr>
          <w:b/>
        </w:rPr>
      </w:pPr>
    </w:p>
    <w:p w14:paraId="322006B3" w14:textId="77777777" w:rsidR="00EF7A3E" w:rsidRDefault="00EF7A3E" w:rsidP="001853E3">
      <w:pPr>
        <w:widowControl w:val="0"/>
        <w:contextualSpacing/>
        <w:jc w:val="center"/>
        <w:rPr>
          <w:b/>
        </w:rPr>
      </w:pPr>
    </w:p>
    <w:p w14:paraId="11ADBC39" w14:textId="77777777" w:rsidR="00EF7A3E" w:rsidRDefault="00EF7A3E" w:rsidP="001853E3">
      <w:pPr>
        <w:widowControl w:val="0"/>
        <w:contextualSpacing/>
        <w:jc w:val="center"/>
        <w:rPr>
          <w:b/>
        </w:rPr>
      </w:pPr>
    </w:p>
    <w:p w14:paraId="511A9D37" w14:textId="77777777" w:rsidR="00EF7A3E" w:rsidRPr="00EF7A3E" w:rsidRDefault="00EF7A3E" w:rsidP="001853E3">
      <w:pPr>
        <w:widowControl w:val="0"/>
        <w:contextualSpacing/>
        <w:jc w:val="center"/>
        <w:rPr>
          <w:b/>
        </w:rPr>
      </w:pPr>
    </w:p>
    <w:p w14:paraId="2526BD29" w14:textId="77777777" w:rsidR="00FD35BB" w:rsidRPr="00E26D55" w:rsidRDefault="00FD35BB" w:rsidP="001853E3">
      <w:pPr>
        <w:widowControl w:val="0"/>
        <w:contextualSpacing/>
        <w:jc w:val="center"/>
      </w:pPr>
    </w:p>
    <w:p w14:paraId="5A33979F" w14:textId="77777777" w:rsidR="00FD35BB" w:rsidRPr="00E26D55" w:rsidRDefault="00FD35BB" w:rsidP="001853E3">
      <w:pPr>
        <w:widowControl w:val="0"/>
        <w:contextualSpacing/>
        <w:jc w:val="center"/>
      </w:pPr>
    </w:p>
    <w:p w14:paraId="084CA4C7" w14:textId="77777777" w:rsidR="00FD35BB" w:rsidRPr="00E26D55" w:rsidRDefault="00FD35BB" w:rsidP="001853E3">
      <w:pPr>
        <w:widowControl w:val="0"/>
        <w:contextualSpacing/>
        <w:jc w:val="center"/>
      </w:pPr>
    </w:p>
    <w:p w14:paraId="7F5A1CFD" w14:textId="77777777" w:rsidR="00FD35BB" w:rsidRPr="00E26D55" w:rsidRDefault="00FD35BB" w:rsidP="001853E3">
      <w:pPr>
        <w:widowControl w:val="0"/>
        <w:contextualSpacing/>
        <w:jc w:val="center"/>
      </w:pPr>
    </w:p>
    <w:p w14:paraId="3F1706AD" w14:textId="77777777" w:rsidR="00FD35BB" w:rsidRPr="00E26D55" w:rsidRDefault="00FD35BB" w:rsidP="001853E3">
      <w:pPr>
        <w:widowControl w:val="0"/>
        <w:contextualSpacing/>
        <w:jc w:val="center"/>
      </w:pPr>
    </w:p>
    <w:p w14:paraId="13EAD59A" w14:textId="77777777" w:rsidR="006A4FFF" w:rsidRDefault="006A4FFF" w:rsidP="006A4FFF">
      <w:pPr>
        <w:widowControl w:val="0"/>
        <w:contextualSpacing/>
        <w:jc w:val="center"/>
        <w:rPr>
          <w:b/>
        </w:rPr>
      </w:pPr>
    </w:p>
    <w:p w14:paraId="33112AAC" w14:textId="15E24AE5" w:rsidR="006A4FFF" w:rsidRDefault="006A4FFF" w:rsidP="006A4FFF">
      <w:pPr>
        <w:widowControl w:val="0"/>
        <w:contextualSpacing/>
      </w:pPr>
    </w:p>
    <w:p w14:paraId="099DCF02" w14:textId="77777777" w:rsidR="00EF7A3E" w:rsidRDefault="00EF7A3E">
      <w:pPr>
        <w:rPr>
          <w:b/>
        </w:rPr>
      </w:pPr>
      <w:r>
        <w:rPr>
          <w:b/>
        </w:rPr>
        <w:br w:type="page"/>
      </w:r>
    </w:p>
    <w:p w14:paraId="061B3A06" w14:textId="49CF96BB" w:rsidR="00EF7A3E" w:rsidRDefault="00EF7A3E" w:rsidP="00EF7A3E">
      <w:pPr>
        <w:widowControl w:val="0"/>
        <w:contextualSpacing/>
        <w:jc w:val="center"/>
        <w:rPr>
          <w:b/>
        </w:rPr>
      </w:pPr>
      <w:r>
        <w:rPr>
          <w:b/>
        </w:rPr>
        <w:lastRenderedPageBreak/>
        <w:t>ACKNOWLEDGEMENTS</w:t>
      </w:r>
    </w:p>
    <w:p w14:paraId="04B25E12" w14:textId="77777777" w:rsidR="00EF7A3E" w:rsidRDefault="00EF7A3E" w:rsidP="00EF7A3E">
      <w:pPr>
        <w:widowControl w:val="0"/>
        <w:contextualSpacing/>
        <w:jc w:val="center"/>
        <w:rPr>
          <w:b/>
        </w:rPr>
      </w:pPr>
    </w:p>
    <w:p w14:paraId="20D0C8C1" w14:textId="459FBE91" w:rsidR="00EF7A3E" w:rsidRDefault="008A7A72" w:rsidP="008A7A72">
      <w:pPr>
        <w:widowControl w:val="0"/>
        <w:spacing w:line="480" w:lineRule="auto"/>
        <w:ind w:firstLine="720"/>
        <w:contextualSpacing/>
        <w:jc w:val="both"/>
      </w:pPr>
      <w:r w:rsidRPr="00E26D55">
        <w:t xml:space="preserve">I gratefully acknowledge the support of my dissertation committee: Joe Carcello (Chair), Chan Li, Dan Murphy, Terry Neal, and Georg Schaur. I also appreciate helpful comments and suggestions from Lee Biggerstaff, Jonathan Shipman, Quinn Swanquist, and Rob Whited. </w:t>
      </w:r>
      <w:r>
        <w:t xml:space="preserve">Finally, I greatly value the insights provided by Marek Grabowski of the U.K. Financial Reporting Council. </w:t>
      </w:r>
    </w:p>
    <w:p w14:paraId="1C5E969F" w14:textId="77777777" w:rsidR="008A7A72" w:rsidRPr="008A7A72" w:rsidRDefault="008A7A72" w:rsidP="008A7A72">
      <w:pPr>
        <w:widowControl w:val="0"/>
        <w:contextualSpacing/>
        <w:jc w:val="both"/>
      </w:pPr>
    </w:p>
    <w:p w14:paraId="6A5DD033" w14:textId="77777777" w:rsidR="008A7A72" w:rsidRDefault="008A7A72">
      <w:pPr>
        <w:rPr>
          <w:b/>
        </w:rPr>
      </w:pPr>
      <w:r>
        <w:rPr>
          <w:b/>
        </w:rPr>
        <w:br w:type="page"/>
      </w:r>
    </w:p>
    <w:p w14:paraId="5DA2C3F6" w14:textId="77777777" w:rsidR="008A7A72" w:rsidRDefault="008A7A72" w:rsidP="008A7A72">
      <w:pPr>
        <w:widowControl w:val="0"/>
        <w:spacing w:line="480" w:lineRule="auto"/>
        <w:contextualSpacing/>
        <w:jc w:val="center"/>
        <w:rPr>
          <w:b/>
        </w:rPr>
      </w:pPr>
      <w:r>
        <w:rPr>
          <w:b/>
        </w:rPr>
        <w:lastRenderedPageBreak/>
        <w:t>ABSTRACT</w:t>
      </w:r>
    </w:p>
    <w:p w14:paraId="66A261EB" w14:textId="61A775A8" w:rsidR="00DA5EA0" w:rsidRDefault="006A4FFF" w:rsidP="00EA260E">
      <w:pPr>
        <w:widowControl w:val="0"/>
        <w:spacing w:line="480" w:lineRule="auto"/>
        <w:ind w:firstLine="720"/>
        <w:contextualSpacing/>
        <w:jc w:val="both"/>
      </w:pPr>
      <w:r>
        <w:rPr>
          <w:b/>
        </w:rPr>
        <w:t xml:space="preserve"> </w:t>
      </w:r>
      <w:r w:rsidR="00173351" w:rsidRPr="008C2BC8">
        <w:t xml:space="preserve">Recently, U.S. and international regulators have proposed significant changes to auditor and audit committee reporting with the </w:t>
      </w:r>
      <w:r w:rsidR="00173351">
        <w:t xml:space="preserve">stated </w:t>
      </w:r>
      <w:r w:rsidR="00173351" w:rsidRPr="008C2BC8">
        <w:t xml:space="preserve">intention of delivering more useful information to stakeholders. Whether </w:t>
      </w:r>
      <w:r w:rsidR="00B03F8A">
        <w:t>new</w:t>
      </w:r>
      <w:r w:rsidR="00173351" w:rsidRPr="008C2BC8">
        <w:t xml:space="preserve"> disclosure</w:t>
      </w:r>
      <w:r w:rsidR="00173351">
        <w:t xml:space="preserve"> requirements</w:t>
      </w:r>
      <w:r w:rsidR="00173351" w:rsidRPr="008C2BC8">
        <w:t xml:space="preserve"> achieve this intended benefit, however, is unknown</w:t>
      </w:r>
      <w:r w:rsidR="00173351">
        <w:t xml:space="preserve">. </w:t>
      </w:r>
      <w:r w:rsidR="00173351" w:rsidRPr="008C2BC8">
        <w:t>Exploiting the exogenous shock of the recent changes to auditor and audit committee reports in the United Kingdom, I find that information asymmetry significantly decreased</w:t>
      </w:r>
      <w:r w:rsidR="00173351">
        <w:t xml:space="preserve"> following the implementation of the new disclosure regime</w:t>
      </w:r>
      <w:r w:rsidR="00173351" w:rsidRPr="008C2BC8">
        <w:t xml:space="preserve">. </w:t>
      </w:r>
      <w:r w:rsidR="00173351" w:rsidRPr="007E0758">
        <w:t>Furthermore, I find that reductions in information as</w:t>
      </w:r>
      <w:r w:rsidR="00173351">
        <w:t>ymmetry are greater for firms with</w:t>
      </w:r>
      <w:r w:rsidR="00173351" w:rsidRPr="007E0758">
        <w:t xml:space="preserve"> weak</w:t>
      </w:r>
      <w:r w:rsidR="00173351">
        <w:t>er</w:t>
      </w:r>
      <w:r w:rsidR="00173351" w:rsidRPr="007E0758">
        <w:t xml:space="preserve"> information environments</w:t>
      </w:r>
      <w:r w:rsidR="00173351">
        <w:rPr>
          <w:rFonts w:eastAsia="Times New Roman"/>
        </w:rPr>
        <w:t xml:space="preserve">, suggesting that the new disclosure requirements particularly benefit investors in these firms. </w:t>
      </w:r>
      <w:r w:rsidR="00173351">
        <w:t>Additionally, I</w:t>
      </w:r>
      <w:r w:rsidR="00173351" w:rsidRPr="007E0758">
        <w:t xml:space="preserve"> find some evidence</w:t>
      </w:r>
      <w:r w:rsidR="00173351">
        <w:t xml:space="preserve"> that</w:t>
      </w:r>
      <w:r w:rsidR="00173351" w:rsidRPr="007E0758">
        <w:t xml:space="preserve"> </w:t>
      </w:r>
      <w:r w:rsidR="00173351">
        <w:t>companies employing auditors that tend to provide more (less) detailed audit reports</w:t>
      </w:r>
      <w:r w:rsidR="00141EB8">
        <w:t xml:space="preserve"> under the new regime</w:t>
      </w:r>
      <w:r w:rsidR="00173351">
        <w:t xml:space="preserve"> experience more (less) significant reductions in information asymmetry. Overall, it appears that additional required </w:t>
      </w:r>
      <w:r w:rsidR="00A44E93">
        <w:t xml:space="preserve">disclosures from </w:t>
      </w:r>
      <w:r w:rsidR="00173351">
        <w:t>audit committee</w:t>
      </w:r>
      <w:r w:rsidR="00A44E93">
        <w:t>s</w:t>
      </w:r>
      <w:r w:rsidR="00173351">
        <w:t xml:space="preserve"> and auditor</w:t>
      </w:r>
      <w:r w:rsidR="00A44E93">
        <w:t>s</w:t>
      </w:r>
      <w:r w:rsidR="00173351">
        <w:t xml:space="preserve"> </w:t>
      </w:r>
      <w:r w:rsidR="001B06C9">
        <w:t>provide new and useful information</w:t>
      </w:r>
      <w:r w:rsidR="00173351">
        <w:t xml:space="preserve"> to investors and serve to reduce information asymmetry. The results of this study provide important information to regulators, auditors, audit committees, public companies, and capital markets worldwide.</w:t>
      </w:r>
    </w:p>
    <w:p w14:paraId="7059A670" w14:textId="77777777" w:rsidR="00EA260E" w:rsidRDefault="00EA260E" w:rsidP="00EA260E">
      <w:pPr>
        <w:widowControl w:val="0"/>
        <w:spacing w:line="480" w:lineRule="auto"/>
        <w:ind w:firstLine="720"/>
        <w:contextualSpacing/>
        <w:jc w:val="both"/>
      </w:pPr>
    </w:p>
    <w:p w14:paraId="3A5312EB" w14:textId="77777777" w:rsidR="00EA260E" w:rsidRDefault="00EA260E" w:rsidP="00EA260E">
      <w:pPr>
        <w:widowControl w:val="0"/>
        <w:spacing w:line="480" w:lineRule="auto"/>
        <w:ind w:firstLine="720"/>
        <w:contextualSpacing/>
        <w:jc w:val="both"/>
      </w:pPr>
    </w:p>
    <w:p w14:paraId="2009A182" w14:textId="77777777" w:rsidR="00EA260E" w:rsidRDefault="00EA260E" w:rsidP="00EA260E">
      <w:pPr>
        <w:widowControl w:val="0"/>
        <w:spacing w:line="480" w:lineRule="auto"/>
        <w:ind w:firstLine="720"/>
        <w:contextualSpacing/>
        <w:jc w:val="both"/>
      </w:pPr>
    </w:p>
    <w:p w14:paraId="2C85AD6D" w14:textId="77777777" w:rsidR="00EA260E" w:rsidRDefault="00EA260E" w:rsidP="00EA260E">
      <w:pPr>
        <w:widowControl w:val="0"/>
        <w:spacing w:line="480" w:lineRule="auto"/>
        <w:ind w:firstLine="720"/>
        <w:contextualSpacing/>
        <w:jc w:val="both"/>
      </w:pPr>
    </w:p>
    <w:p w14:paraId="2C48CB85" w14:textId="77777777" w:rsidR="00EA260E" w:rsidRDefault="00EA260E" w:rsidP="00EA260E">
      <w:pPr>
        <w:pStyle w:val="TOC3"/>
      </w:pPr>
    </w:p>
    <w:p w14:paraId="1F5B0717" w14:textId="77777777" w:rsidR="00EA260E" w:rsidRDefault="00EA260E" w:rsidP="00EA260E">
      <w:pPr>
        <w:widowControl w:val="0"/>
        <w:spacing w:line="480" w:lineRule="auto"/>
        <w:ind w:firstLine="720"/>
        <w:contextualSpacing/>
        <w:jc w:val="both"/>
      </w:pPr>
    </w:p>
    <w:p w14:paraId="022BC4B1" w14:textId="77777777" w:rsidR="00EA260E" w:rsidRDefault="00EA260E" w:rsidP="00EA260E">
      <w:pPr>
        <w:widowControl w:val="0"/>
        <w:spacing w:line="480" w:lineRule="auto"/>
        <w:ind w:firstLine="720"/>
        <w:contextualSpacing/>
        <w:jc w:val="both"/>
      </w:pPr>
    </w:p>
    <w:p w14:paraId="15BCFBE2" w14:textId="77777777" w:rsidR="00EA260E" w:rsidRDefault="00EA260E" w:rsidP="00EA260E">
      <w:pPr>
        <w:widowControl w:val="0"/>
        <w:spacing w:line="480" w:lineRule="auto"/>
        <w:ind w:firstLine="720"/>
        <w:contextualSpacing/>
        <w:jc w:val="both"/>
      </w:pPr>
    </w:p>
    <w:p w14:paraId="20B6BA9E" w14:textId="77777777" w:rsidR="007541BD" w:rsidRDefault="007541BD" w:rsidP="00DA5EA0">
      <w:pPr>
        <w:widowControl w:val="0"/>
        <w:contextualSpacing/>
        <w:jc w:val="both"/>
      </w:pPr>
    </w:p>
    <w:sdt>
      <w:sdtPr>
        <w:rPr>
          <w:b/>
        </w:rPr>
        <w:id w:val="-565494734"/>
        <w:docPartObj>
          <w:docPartGallery w:val="Table of Contents"/>
          <w:docPartUnique/>
        </w:docPartObj>
      </w:sdtPr>
      <w:sdtEndPr>
        <w:rPr>
          <w:bCs/>
          <w:noProof/>
        </w:rPr>
      </w:sdtEndPr>
      <w:sdtContent>
        <w:p w14:paraId="1E3D0F33" w14:textId="0BC7D348" w:rsidR="00EA260E" w:rsidRPr="00EA260E" w:rsidRDefault="00EA260E" w:rsidP="00EA260E">
          <w:pPr>
            <w:pStyle w:val="TOC1"/>
            <w:jc w:val="center"/>
            <w:rPr>
              <w:b/>
            </w:rPr>
          </w:pPr>
          <w:r w:rsidRPr="00EA260E">
            <w:rPr>
              <w:b/>
            </w:rPr>
            <w:t>TABLE OF CONTENTS</w:t>
          </w:r>
        </w:p>
        <w:p w14:paraId="298DD015" w14:textId="77777777" w:rsidR="00FA11BE" w:rsidRDefault="00FA11BE">
          <w:pPr>
            <w:pStyle w:val="TOC1"/>
            <w:tabs>
              <w:tab w:val="right" w:leader="dot" w:pos="9350"/>
            </w:tabs>
            <w:rPr>
              <w:rFonts w:asciiTheme="minorHAnsi" w:hAnsiTheme="minorHAnsi" w:cstheme="minorBidi"/>
              <w:noProof/>
              <w:lang w:eastAsia="ja-JP"/>
            </w:rPr>
          </w:pPr>
          <w:r>
            <w:rPr>
              <w:sz w:val="22"/>
              <w:szCs w:val="22"/>
            </w:rPr>
            <w:fldChar w:fldCharType="begin"/>
          </w:r>
          <w:r>
            <w:rPr>
              <w:sz w:val="22"/>
              <w:szCs w:val="22"/>
            </w:rPr>
            <w:instrText xml:space="preserve"> TOC \o "1-3" </w:instrText>
          </w:r>
          <w:r>
            <w:rPr>
              <w:sz w:val="22"/>
              <w:szCs w:val="22"/>
            </w:rPr>
            <w:fldChar w:fldCharType="separate"/>
          </w:r>
          <w:r>
            <w:rPr>
              <w:noProof/>
            </w:rPr>
            <w:t>I. INTRODUCTION</w:t>
          </w:r>
          <w:r>
            <w:rPr>
              <w:noProof/>
            </w:rPr>
            <w:tab/>
          </w:r>
          <w:r>
            <w:rPr>
              <w:noProof/>
            </w:rPr>
            <w:fldChar w:fldCharType="begin"/>
          </w:r>
          <w:r>
            <w:rPr>
              <w:noProof/>
            </w:rPr>
            <w:instrText xml:space="preserve"> PAGEREF _Toc286596258 \h </w:instrText>
          </w:r>
          <w:r>
            <w:rPr>
              <w:noProof/>
            </w:rPr>
          </w:r>
          <w:r>
            <w:rPr>
              <w:noProof/>
            </w:rPr>
            <w:fldChar w:fldCharType="separate"/>
          </w:r>
          <w:r>
            <w:rPr>
              <w:noProof/>
            </w:rPr>
            <w:t>1</w:t>
          </w:r>
          <w:r>
            <w:rPr>
              <w:noProof/>
            </w:rPr>
            <w:fldChar w:fldCharType="end"/>
          </w:r>
        </w:p>
        <w:p w14:paraId="40747851" w14:textId="77777777" w:rsidR="00FA11BE" w:rsidRDefault="00FA11BE">
          <w:pPr>
            <w:pStyle w:val="TOC1"/>
            <w:tabs>
              <w:tab w:val="right" w:leader="dot" w:pos="9350"/>
            </w:tabs>
            <w:rPr>
              <w:rFonts w:asciiTheme="minorHAnsi" w:hAnsiTheme="minorHAnsi" w:cstheme="minorBidi"/>
              <w:noProof/>
              <w:lang w:eastAsia="ja-JP"/>
            </w:rPr>
          </w:pPr>
          <w:r>
            <w:rPr>
              <w:noProof/>
            </w:rPr>
            <w:t>II. BACKGROUND AND HYPOTHESIS DEVELOPMENT</w:t>
          </w:r>
          <w:r>
            <w:rPr>
              <w:noProof/>
            </w:rPr>
            <w:tab/>
          </w:r>
          <w:r>
            <w:rPr>
              <w:noProof/>
            </w:rPr>
            <w:fldChar w:fldCharType="begin"/>
          </w:r>
          <w:r>
            <w:rPr>
              <w:noProof/>
            </w:rPr>
            <w:instrText xml:space="preserve"> PAGEREF _Toc286596259 \h </w:instrText>
          </w:r>
          <w:r>
            <w:rPr>
              <w:noProof/>
            </w:rPr>
          </w:r>
          <w:r>
            <w:rPr>
              <w:noProof/>
            </w:rPr>
            <w:fldChar w:fldCharType="separate"/>
          </w:r>
          <w:r>
            <w:rPr>
              <w:noProof/>
            </w:rPr>
            <w:t>9</w:t>
          </w:r>
          <w:r>
            <w:rPr>
              <w:noProof/>
            </w:rPr>
            <w:fldChar w:fldCharType="end"/>
          </w:r>
        </w:p>
        <w:p w14:paraId="4F38883A"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2.1 Background on the U.S. Audit Report</w:t>
          </w:r>
          <w:r>
            <w:rPr>
              <w:noProof/>
            </w:rPr>
            <w:tab/>
          </w:r>
          <w:r>
            <w:rPr>
              <w:noProof/>
            </w:rPr>
            <w:fldChar w:fldCharType="begin"/>
          </w:r>
          <w:r>
            <w:rPr>
              <w:noProof/>
            </w:rPr>
            <w:instrText xml:space="preserve"> PAGEREF _Toc286596260 \h </w:instrText>
          </w:r>
          <w:r>
            <w:rPr>
              <w:noProof/>
            </w:rPr>
          </w:r>
          <w:r>
            <w:rPr>
              <w:noProof/>
            </w:rPr>
            <w:fldChar w:fldCharType="separate"/>
          </w:r>
          <w:r>
            <w:rPr>
              <w:noProof/>
            </w:rPr>
            <w:t>9</w:t>
          </w:r>
          <w:r>
            <w:rPr>
              <w:noProof/>
            </w:rPr>
            <w:fldChar w:fldCharType="end"/>
          </w:r>
        </w:p>
        <w:p w14:paraId="46CEF9E1"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2.2 Background on the U.S. Audit Committee Report</w:t>
          </w:r>
          <w:r>
            <w:rPr>
              <w:noProof/>
            </w:rPr>
            <w:tab/>
          </w:r>
          <w:r>
            <w:rPr>
              <w:noProof/>
            </w:rPr>
            <w:fldChar w:fldCharType="begin"/>
          </w:r>
          <w:r>
            <w:rPr>
              <w:noProof/>
            </w:rPr>
            <w:instrText xml:space="preserve"> PAGEREF _Toc286596261 \h </w:instrText>
          </w:r>
          <w:r>
            <w:rPr>
              <w:noProof/>
            </w:rPr>
          </w:r>
          <w:r>
            <w:rPr>
              <w:noProof/>
            </w:rPr>
            <w:fldChar w:fldCharType="separate"/>
          </w:r>
          <w:r>
            <w:rPr>
              <w:noProof/>
            </w:rPr>
            <w:t>11</w:t>
          </w:r>
          <w:r>
            <w:rPr>
              <w:noProof/>
            </w:rPr>
            <w:fldChar w:fldCharType="end"/>
          </w:r>
        </w:p>
        <w:p w14:paraId="0D54FA4B"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2.3 United Kingdom Reporting Regime Changes</w:t>
          </w:r>
          <w:r>
            <w:rPr>
              <w:noProof/>
            </w:rPr>
            <w:tab/>
          </w:r>
          <w:r>
            <w:rPr>
              <w:noProof/>
            </w:rPr>
            <w:fldChar w:fldCharType="begin"/>
          </w:r>
          <w:r>
            <w:rPr>
              <w:noProof/>
            </w:rPr>
            <w:instrText xml:space="preserve"> PAGEREF _Toc286596262 \h </w:instrText>
          </w:r>
          <w:r>
            <w:rPr>
              <w:noProof/>
            </w:rPr>
          </w:r>
          <w:r>
            <w:rPr>
              <w:noProof/>
            </w:rPr>
            <w:fldChar w:fldCharType="separate"/>
          </w:r>
          <w:r>
            <w:rPr>
              <w:noProof/>
            </w:rPr>
            <w:t>13</w:t>
          </w:r>
          <w:r>
            <w:rPr>
              <w:noProof/>
            </w:rPr>
            <w:fldChar w:fldCharType="end"/>
          </w:r>
        </w:p>
        <w:p w14:paraId="1012C2A6"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2.4 Hypothesis Development</w:t>
          </w:r>
          <w:r>
            <w:rPr>
              <w:noProof/>
            </w:rPr>
            <w:tab/>
          </w:r>
          <w:r>
            <w:rPr>
              <w:noProof/>
            </w:rPr>
            <w:fldChar w:fldCharType="begin"/>
          </w:r>
          <w:r>
            <w:rPr>
              <w:noProof/>
            </w:rPr>
            <w:instrText xml:space="preserve"> PAGEREF _Toc286596263 \h </w:instrText>
          </w:r>
          <w:r>
            <w:rPr>
              <w:noProof/>
            </w:rPr>
          </w:r>
          <w:r>
            <w:rPr>
              <w:noProof/>
            </w:rPr>
            <w:fldChar w:fldCharType="separate"/>
          </w:r>
          <w:r>
            <w:rPr>
              <w:noProof/>
            </w:rPr>
            <w:t>15</w:t>
          </w:r>
          <w:r>
            <w:rPr>
              <w:noProof/>
            </w:rPr>
            <w:fldChar w:fldCharType="end"/>
          </w:r>
        </w:p>
        <w:p w14:paraId="3AC22502" w14:textId="77777777" w:rsidR="00FA11BE" w:rsidRDefault="00FA11BE">
          <w:pPr>
            <w:pStyle w:val="TOC1"/>
            <w:tabs>
              <w:tab w:val="right" w:leader="dot" w:pos="9350"/>
            </w:tabs>
            <w:rPr>
              <w:rFonts w:asciiTheme="minorHAnsi" w:hAnsiTheme="minorHAnsi" w:cstheme="minorBidi"/>
              <w:noProof/>
              <w:lang w:eastAsia="ja-JP"/>
            </w:rPr>
          </w:pPr>
          <w:r>
            <w:rPr>
              <w:noProof/>
            </w:rPr>
            <w:t>III. RESEARCH METHOD</w:t>
          </w:r>
          <w:r>
            <w:rPr>
              <w:noProof/>
            </w:rPr>
            <w:tab/>
          </w:r>
          <w:r>
            <w:rPr>
              <w:noProof/>
            </w:rPr>
            <w:fldChar w:fldCharType="begin"/>
          </w:r>
          <w:r>
            <w:rPr>
              <w:noProof/>
            </w:rPr>
            <w:instrText xml:space="preserve"> PAGEREF _Toc286596264 \h </w:instrText>
          </w:r>
          <w:r>
            <w:rPr>
              <w:noProof/>
            </w:rPr>
          </w:r>
          <w:r>
            <w:rPr>
              <w:noProof/>
            </w:rPr>
            <w:fldChar w:fldCharType="separate"/>
          </w:r>
          <w:r>
            <w:rPr>
              <w:noProof/>
            </w:rPr>
            <w:t>19</w:t>
          </w:r>
          <w:r>
            <w:rPr>
              <w:noProof/>
            </w:rPr>
            <w:fldChar w:fldCharType="end"/>
          </w:r>
        </w:p>
        <w:p w14:paraId="45129B3D"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3.1 Information Asymmetry Analysis</w:t>
          </w:r>
          <w:r>
            <w:rPr>
              <w:noProof/>
            </w:rPr>
            <w:tab/>
          </w:r>
          <w:r>
            <w:rPr>
              <w:noProof/>
            </w:rPr>
            <w:fldChar w:fldCharType="begin"/>
          </w:r>
          <w:r>
            <w:rPr>
              <w:noProof/>
            </w:rPr>
            <w:instrText xml:space="preserve"> PAGEREF _Toc286596265 \h </w:instrText>
          </w:r>
          <w:r>
            <w:rPr>
              <w:noProof/>
            </w:rPr>
          </w:r>
          <w:r>
            <w:rPr>
              <w:noProof/>
            </w:rPr>
            <w:fldChar w:fldCharType="separate"/>
          </w:r>
          <w:r>
            <w:rPr>
              <w:noProof/>
            </w:rPr>
            <w:t>19</w:t>
          </w:r>
          <w:r>
            <w:rPr>
              <w:noProof/>
            </w:rPr>
            <w:fldChar w:fldCharType="end"/>
          </w:r>
        </w:p>
        <w:p w14:paraId="75DA4102"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3.2 Sample</w:t>
          </w:r>
          <w:r>
            <w:rPr>
              <w:noProof/>
            </w:rPr>
            <w:tab/>
          </w:r>
          <w:r>
            <w:rPr>
              <w:noProof/>
            </w:rPr>
            <w:fldChar w:fldCharType="begin"/>
          </w:r>
          <w:r>
            <w:rPr>
              <w:noProof/>
            </w:rPr>
            <w:instrText xml:space="preserve"> PAGEREF _Toc286596266 \h </w:instrText>
          </w:r>
          <w:r>
            <w:rPr>
              <w:noProof/>
            </w:rPr>
          </w:r>
          <w:r>
            <w:rPr>
              <w:noProof/>
            </w:rPr>
            <w:fldChar w:fldCharType="separate"/>
          </w:r>
          <w:r>
            <w:rPr>
              <w:noProof/>
            </w:rPr>
            <w:t>22</w:t>
          </w:r>
          <w:r>
            <w:rPr>
              <w:noProof/>
            </w:rPr>
            <w:fldChar w:fldCharType="end"/>
          </w:r>
        </w:p>
        <w:p w14:paraId="50FCDF5D" w14:textId="77777777" w:rsidR="00FA11BE" w:rsidRDefault="00FA11BE">
          <w:pPr>
            <w:pStyle w:val="TOC1"/>
            <w:tabs>
              <w:tab w:val="right" w:leader="dot" w:pos="9350"/>
            </w:tabs>
            <w:rPr>
              <w:rFonts w:asciiTheme="minorHAnsi" w:hAnsiTheme="minorHAnsi" w:cstheme="minorBidi"/>
              <w:noProof/>
              <w:lang w:eastAsia="ja-JP"/>
            </w:rPr>
          </w:pPr>
          <w:r>
            <w:rPr>
              <w:noProof/>
            </w:rPr>
            <w:t>IV. RESULTS</w:t>
          </w:r>
          <w:r>
            <w:rPr>
              <w:noProof/>
            </w:rPr>
            <w:tab/>
          </w:r>
          <w:r>
            <w:rPr>
              <w:noProof/>
            </w:rPr>
            <w:fldChar w:fldCharType="begin"/>
          </w:r>
          <w:r>
            <w:rPr>
              <w:noProof/>
            </w:rPr>
            <w:instrText xml:space="preserve"> PAGEREF _Toc286596267 \h </w:instrText>
          </w:r>
          <w:r>
            <w:rPr>
              <w:noProof/>
            </w:rPr>
          </w:r>
          <w:r>
            <w:rPr>
              <w:noProof/>
            </w:rPr>
            <w:fldChar w:fldCharType="separate"/>
          </w:r>
          <w:r>
            <w:rPr>
              <w:noProof/>
            </w:rPr>
            <w:t>24</w:t>
          </w:r>
          <w:r>
            <w:rPr>
              <w:noProof/>
            </w:rPr>
            <w:fldChar w:fldCharType="end"/>
          </w:r>
        </w:p>
        <w:p w14:paraId="1011D385"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4.1 Univariate Results</w:t>
          </w:r>
          <w:r>
            <w:rPr>
              <w:noProof/>
            </w:rPr>
            <w:tab/>
          </w:r>
          <w:r>
            <w:rPr>
              <w:noProof/>
            </w:rPr>
            <w:fldChar w:fldCharType="begin"/>
          </w:r>
          <w:r>
            <w:rPr>
              <w:noProof/>
            </w:rPr>
            <w:instrText xml:space="preserve"> PAGEREF _Toc286596268 \h </w:instrText>
          </w:r>
          <w:r>
            <w:rPr>
              <w:noProof/>
            </w:rPr>
          </w:r>
          <w:r>
            <w:rPr>
              <w:noProof/>
            </w:rPr>
            <w:fldChar w:fldCharType="separate"/>
          </w:r>
          <w:r>
            <w:rPr>
              <w:noProof/>
            </w:rPr>
            <w:t>24</w:t>
          </w:r>
          <w:r>
            <w:rPr>
              <w:noProof/>
            </w:rPr>
            <w:fldChar w:fldCharType="end"/>
          </w:r>
        </w:p>
        <w:p w14:paraId="16EC5BE7"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4.2 Multivariate Results</w:t>
          </w:r>
          <w:r>
            <w:rPr>
              <w:noProof/>
            </w:rPr>
            <w:tab/>
          </w:r>
          <w:r>
            <w:rPr>
              <w:noProof/>
            </w:rPr>
            <w:fldChar w:fldCharType="begin"/>
          </w:r>
          <w:r>
            <w:rPr>
              <w:noProof/>
            </w:rPr>
            <w:instrText xml:space="preserve"> PAGEREF _Toc286596269 \h </w:instrText>
          </w:r>
          <w:r>
            <w:rPr>
              <w:noProof/>
            </w:rPr>
          </w:r>
          <w:r>
            <w:rPr>
              <w:noProof/>
            </w:rPr>
            <w:fldChar w:fldCharType="separate"/>
          </w:r>
          <w:r>
            <w:rPr>
              <w:noProof/>
            </w:rPr>
            <w:t>25</w:t>
          </w:r>
          <w:r>
            <w:rPr>
              <w:noProof/>
            </w:rPr>
            <w:fldChar w:fldCharType="end"/>
          </w:r>
        </w:p>
        <w:p w14:paraId="048E6472" w14:textId="77777777" w:rsidR="00FA11BE" w:rsidRDefault="00FA11BE">
          <w:pPr>
            <w:pStyle w:val="TOC1"/>
            <w:tabs>
              <w:tab w:val="right" w:leader="dot" w:pos="9350"/>
            </w:tabs>
            <w:rPr>
              <w:rFonts w:asciiTheme="minorHAnsi" w:hAnsiTheme="minorHAnsi" w:cstheme="minorBidi"/>
              <w:noProof/>
              <w:lang w:eastAsia="ja-JP"/>
            </w:rPr>
          </w:pPr>
          <w:r>
            <w:rPr>
              <w:noProof/>
            </w:rPr>
            <w:t>V. ADDITIONAL ANALYSES</w:t>
          </w:r>
          <w:r>
            <w:rPr>
              <w:noProof/>
            </w:rPr>
            <w:tab/>
          </w:r>
          <w:r>
            <w:rPr>
              <w:noProof/>
            </w:rPr>
            <w:fldChar w:fldCharType="begin"/>
          </w:r>
          <w:r>
            <w:rPr>
              <w:noProof/>
            </w:rPr>
            <w:instrText xml:space="preserve"> PAGEREF _Toc286596270 \h </w:instrText>
          </w:r>
          <w:r>
            <w:rPr>
              <w:noProof/>
            </w:rPr>
          </w:r>
          <w:r>
            <w:rPr>
              <w:noProof/>
            </w:rPr>
            <w:fldChar w:fldCharType="separate"/>
          </w:r>
          <w:r>
            <w:rPr>
              <w:noProof/>
            </w:rPr>
            <w:t>27</w:t>
          </w:r>
          <w:r>
            <w:rPr>
              <w:noProof/>
            </w:rPr>
            <w:fldChar w:fldCharType="end"/>
          </w:r>
        </w:p>
        <w:p w14:paraId="65B00D61"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5.1 Cross-Sectional Tests</w:t>
          </w:r>
          <w:r>
            <w:rPr>
              <w:noProof/>
            </w:rPr>
            <w:tab/>
          </w:r>
          <w:r>
            <w:rPr>
              <w:noProof/>
            </w:rPr>
            <w:fldChar w:fldCharType="begin"/>
          </w:r>
          <w:r>
            <w:rPr>
              <w:noProof/>
            </w:rPr>
            <w:instrText xml:space="preserve"> PAGEREF _Toc286596271 \h </w:instrText>
          </w:r>
          <w:r>
            <w:rPr>
              <w:noProof/>
            </w:rPr>
          </w:r>
          <w:r>
            <w:rPr>
              <w:noProof/>
            </w:rPr>
            <w:fldChar w:fldCharType="separate"/>
          </w:r>
          <w:r>
            <w:rPr>
              <w:noProof/>
            </w:rPr>
            <w:t>27</w:t>
          </w:r>
          <w:r>
            <w:rPr>
              <w:noProof/>
            </w:rPr>
            <w:fldChar w:fldCharType="end"/>
          </w:r>
        </w:p>
        <w:p w14:paraId="2DFE2346" w14:textId="77777777" w:rsidR="00FA11BE" w:rsidRDefault="00FA11BE">
          <w:pPr>
            <w:pStyle w:val="TOC3"/>
            <w:tabs>
              <w:tab w:val="right" w:leader="dot" w:pos="9350"/>
            </w:tabs>
            <w:rPr>
              <w:rFonts w:asciiTheme="minorHAnsi" w:hAnsiTheme="minorHAnsi" w:cstheme="minorBidi"/>
              <w:noProof/>
              <w:sz w:val="24"/>
              <w:szCs w:val="24"/>
              <w:lang w:eastAsia="ja-JP"/>
            </w:rPr>
          </w:pPr>
          <w:r>
            <w:rPr>
              <w:noProof/>
            </w:rPr>
            <w:t>5.1.1 Analyst Coverage Analysis</w:t>
          </w:r>
          <w:r>
            <w:rPr>
              <w:noProof/>
            </w:rPr>
            <w:tab/>
          </w:r>
          <w:r>
            <w:rPr>
              <w:noProof/>
            </w:rPr>
            <w:fldChar w:fldCharType="begin"/>
          </w:r>
          <w:r>
            <w:rPr>
              <w:noProof/>
            </w:rPr>
            <w:instrText xml:space="preserve"> PAGEREF _Toc286596272 \h </w:instrText>
          </w:r>
          <w:r>
            <w:rPr>
              <w:noProof/>
            </w:rPr>
          </w:r>
          <w:r>
            <w:rPr>
              <w:noProof/>
            </w:rPr>
            <w:fldChar w:fldCharType="separate"/>
          </w:r>
          <w:r>
            <w:rPr>
              <w:noProof/>
            </w:rPr>
            <w:t>27</w:t>
          </w:r>
          <w:r>
            <w:rPr>
              <w:noProof/>
            </w:rPr>
            <w:fldChar w:fldCharType="end"/>
          </w:r>
        </w:p>
        <w:p w14:paraId="099BF087" w14:textId="77777777" w:rsidR="00FA11BE" w:rsidRDefault="00FA11BE">
          <w:pPr>
            <w:pStyle w:val="TOC3"/>
            <w:tabs>
              <w:tab w:val="right" w:leader="dot" w:pos="9350"/>
            </w:tabs>
            <w:rPr>
              <w:rFonts w:asciiTheme="minorHAnsi" w:hAnsiTheme="minorHAnsi" w:cstheme="minorBidi"/>
              <w:noProof/>
              <w:sz w:val="24"/>
              <w:szCs w:val="24"/>
              <w:lang w:eastAsia="ja-JP"/>
            </w:rPr>
          </w:pPr>
          <w:r>
            <w:rPr>
              <w:noProof/>
            </w:rPr>
            <w:t>5.1.2 Auditor Analysis</w:t>
          </w:r>
          <w:r>
            <w:rPr>
              <w:noProof/>
            </w:rPr>
            <w:tab/>
          </w:r>
          <w:r>
            <w:rPr>
              <w:noProof/>
            </w:rPr>
            <w:fldChar w:fldCharType="begin"/>
          </w:r>
          <w:r>
            <w:rPr>
              <w:noProof/>
            </w:rPr>
            <w:instrText xml:space="preserve"> PAGEREF _Toc286596273 \h </w:instrText>
          </w:r>
          <w:r>
            <w:rPr>
              <w:noProof/>
            </w:rPr>
          </w:r>
          <w:r>
            <w:rPr>
              <w:noProof/>
            </w:rPr>
            <w:fldChar w:fldCharType="separate"/>
          </w:r>
          <w:r>
            <w:rPr>
              <w:noProof/>
            </w:rPr>
            <w:t>28</w:t>
          </w:r>
          <w:r>
            <w:rPr>
              <w:noProof/>
            </w:rPr>
            <w:fldChar w:fldCharType="end"/>
          </w:r>
        </w:p>
        <w:p w14:paraId="3E671215"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5.2 Control Group Analysis</w:t>
          </w:r>
          <w:r>
            <w:rPr>
              <w:noProof/>
            </w:rPr>
            <w:tab/>
          </w:r>
          <w:r>
            <w:rPr>
              <w:noProof/>
            </w:rPr>
            <w:fldChar w:fldCharType="begin"/>
          </w:r>
          <w:r>
            <w:rPr>
              <w:noProof/>
            </w:rPr>
            <w:instrText xml:space="preserve"> PAGEREF _Toc286596274 \h </w:instrText>
          </w:r>
          <w:r>
            <w:rPr>
              <w:noProof/>
            </w:rPr>
          </w:r>
          <w:r>
            <w:rPr>
              <w:noProof/>
            </w:rPr>
            <w:fldChar w:fldCharType="separate"/>
          </w:r>
          <w:r>
            <w:rPr>
              <w:noProof/>
            </w:rPr>
            <w:t>29</w:t>
          </w:r>
          <w:r>
            <w:rPr>
              <w:noProof/>
            </w:rPr>
            <w:fldChar w:fldCharType="end"/>
          </w:r>
        </w:p>
        <w:p w14:paraId="132D7B76" w14:textId="77777777" w:rsidR="00FA11BE" w:rsidRDefault="00FA11BE">
          <w:pPr>
            <w:pStyle w:val="TOC3"/>
            <w:tabs>
              <w:tab w:val="right" w:leader="dot" w:pos="9350"/>
            </w:tabs>
            <w:rPr>
              <w:rFonts w:asciiTheme="minorHAnsi" w:hAnsiTheme="minorHAnsi" w:cstheme="minorBidi"/>
              <w:noProof/>
              <w:sz w:val="24"/>
              <w:szCs w:val="24"/>
              <w:lang w:eastAsia="ja-JP"/>
            </w:rPr>
          </w:pPr>
          <w:r>
            <w:rPr>
              <w:noProof/>
            </w:rPr>
            <w:t>5.2.1 US Control Group</w:t>
          </w:r>
          <w:r>
            <w:rPr>
              <w:noProof/>
            </w:rPr>
            <w:tab/>
          </w:r>
          <w:r>
            <w:rPr>
              <w:noProof/>
            </w:rPr>
            <w:fldChar w:fldCharType="begin"/>
          </w:r>
          <w:r>
            <w:rPr>
              <w:noProof/>
            </w:rPr>
            <w:instrText xml:space="preserve"> PAGEREF _Toc286596275 \h </w:instrText>
          </w:r>
          <w:r>
            <w:rPr>
              <w:noProof/>
            </w:rPr>
          </w:r>
          <w:r>
            <w:rPr>
              <w:noProof/>
            </w:rPr>
            <w:fldChar w:fldCharType="separate"/>
          </w:r>
          <w:r>
            <w:rPr>
              <w:noProof/>
            </w:rPr>
            <w:t>29</w:t>
          </w:r>
          <w:r>
            <w:rPr>
              <w:noProof/>
            </w:rPr>
            <w:fldChar w:fldCharType="end"/>
          </w:r>
        </w:p>
        <w:p w14:paraId="52E60A73" w14:textId="77777777" w:rsidR="00FA11BE" w:rsidRDefault="00FA11BE">
          <w:pPr>
            <w:pStyle w:val="TOC3"/>
            <w:tabs>
              <w:tab w:val="right" w:leader="dot" w:pos="9350"/>
            </w:tabs>
            <w:rPr>
              <w:rFonts w:asciiTheme="minorHAnsi" w:hAnsiTheme="minorHAnsi" w:cstheme="minorBidi"/>
              <w:noProof/>
              <w:sz w:val="24"/>
              <w:szCs w:val="24"/>
              <w:lang w:eastAsia="ja-JP"/>
            </w:rPr>
          </w:pPr>
          <w:r>
            <w:rPr>
              <w:noProof/>
            </w:rPr>
            <w:t>5.2.2 AIM Control Group</w:t>
          </w:r>
          <w:r>
            <w:rPr>
              <w:noProof/>
            </w:rPr>
            <w:tab/>
          </w:r>
          <w:r>
            <w:rPr>
              <w:noProof/>
            </w:rPr>
            <w:fldChar w:fldCharType="begin"/>
          </w:r>
          <w:r>
            <w:rPr>
              <w:noProof/>
            </w:rPr>
            <w:instrText xml:space="preserve"> PAGEREF _Toc286596276 \h </w:instrText>
          </w:r>
          <w:r>
            <w:rPr>
              <w:noProof/>
            </w:rPr>
          </w:r>
          <w:r>
            <w:rPr>
              <w:noProof/>
            </w:rPr>
            <w:fldChar w:fldCharType="separate"/>
          </w:r>
          <w:r>
            <w:rPr>
              <w:noProof/>
            </w:rPr>
            <w:t>31</w:t>
          </w:r>
          <w:r>
            <w:rPr>
              <w:noProof/>
            </w:rPr>
            <w:fldChar w:fldCharType="end"/>
          </w:r>
        </w:p>
        <w:p w14:paraId="5E2BBA89"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5.3 Change Analysis</w:t>
          </w:r>
          <w:r>
            <w:rPr>
              <w:noProof/>
            </w:rPr>
            <w:tab/>
          </w:r>
          <w:r>
            <w:rPr>
              <w:noProof/>
            </w:rPr>
            <w:fldChar w:fldCharType="begin"/>
          </w:r>
          <w:r>
            <w:rPr>
              <w:noProof/>
            </w:rPr>
            <w:instrText xml:space="preserve"> PAGEREF _Toc286596277 \h </w:instrText>
          </w:r>
          <w:r>
            <w:rPr>
              <w:noProof/>
            </w:rPr>
          </w:r>
          <w:r>
            <w:rPr>
              <w:noProof/>
            </w:rPr>
            <w:fldChar w:fldCharType="separate"/>
          </w:r>
          <w:r>
            <w:rPr>
              <w:noProof/>
            </w:rPr>
            <w:t>32</w:t>
          </w:r>
          <w:r>
            <w:rPr>
              <w:noProof/>
            </w:rPr>
            <w:fldChar w:fldCharType="end"/>
          </w:r>
        </w:p>
        <w:p w14:paraId="4EA01507"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5.4 Management Disclosure Analysis</w:t>
          </w:r>
          <w:r>
            <w:rPr>
              <w:noProof/>
            </w:rPr>
            <w:tab/>
          </w:r>
          <w:r>
            <w:rPr>
              <w:noProof/>
            </w:rPr>
            <w:fldChar w:fldCharType="begin"/>
          </w:r>
          <w:r>
            <w:rPr>
              <w:noProof/>
            </w:rPr>
            <w:instrText xml:space="preserve"> PAGEREF _Toc286596278 \h </w:instrText>
          </w:r>
          <w:r>
            <w:rPr>
              <w:noProof/>
            </w:rPr>
          </w:r>
          <w:r>
            <w:rPr>
              <w:noProof/>
            </w:rPr>
            <w:fldChar w:fldCharType="separate"/>
          </w:r>
          <w:r>
            <w:rPr>
              <w:noProof/>
            </w:rPr>
            <w:t>33</w:t>
          </w:r>
          <w:r>
            <w:rPr>
              <w:noProof/>
            </w:rPr>
            <w:fldChar w:fldCharType="end"/>
          </w:r>
        </w:p>
        <w:p w14:paraId="6E537FA9" w14:textId="77777777" w:rsidR="00FA11BE" w:rsidRDefault="00FA11BE">
          <w:pPr>
            <w:pStyle w:val="TOC3"/>
            <w:tabs>
              <w:tab w:val="right" w:leader="dot" w:pos="9350"/>
            </w:tabs>
            <w:rPr>
              <w:rFonts w:asciiTheme="minorHAnsi" w:hAnsiTheme="minorHAnsi" w:cstheme="minorBidi"/>
              <w:noProof/>
              <w:sz w:val="24"/>
              <w:szCs w:val="24"/>
              <w:lang w:eastAsia="ja-JP"/>
            </w:rPr>
          </w:pPr>
          <w:r>
            <w:rPr>
              <w:noProof/>
            </w:rPr>
            <w:t>5.4.1 Strategic Reports Review</w:t>
          </w:r>
          <w:r>
            <w:rPr>
              <w:noProof/>
            </w:rPr>
            <w:tab/>
          </w:r>
          <w:r>
            <w:rPr>
              <w:noProof/>
            </w:rPr>
            <w:fldChar w:fldCharType="begin"/>
          </w:r>
          <w:r>
            <w:rPr>
              <w:noProof/>
            </w:rPr>
            <w:instrText xml:space="preserve"> PAGEREF _Toc286596279 \h </w:instrText>
          </w:r>
          <w:r>
            <w:rPr>
              <w:noProof/>
            </w:rPr>
          </w:r>
          <w:r>
            <w:rPr>
              <w:noProof/>
            </w:rPr>
            <w:fldChar w:fldCharType="separate"/>
          </w:r>
          <w:r>
            <w:rPr>
              <w:noProof/>
            </w:rPr>
            <w:t>33</w:t>
          </w:r>
          <w:r>
            <w:rPr>
              <w:noProof/>
            </w:rPr>
            <w:fldChar w:fldCharType="end"/>
          </w:r>
        </w:p>
        <w:p w14:paraId="14557999" w14:textId="77777777" w:rsidR="00FA11BE" w:rsidRDefault="00FA11BE">
          <w:pPr>
            <w:pStyle w:val="TOC3"/>
            <w:tabs>
              <w:tab w:val="right" w:leader="dot" w:pos="9350"/>
            </w:tabs>
            <w:rPr>
              <w:rFonts w:asciiTheme="minorHAnsi" w:hAnsiTheme="minorHAnsi" w:cstheme="minorBidi"/>
              <w:noProof/>
              <w:sz w:val="24"/>
              <w:szCs w:val="24"/>
              <w:lang w:eastAsia="ja-JP"/>
            </w:rPr>
          </w:pPr>
          <w:r>
            <w:rPr>
              <w:noProof/>
            </w:rPr>
            <w:t>5.4.2 Earnings Announcement Analysis</w:t>
          </w:r>
          <w:r>
            <w:rPr>
              <w:noProof/>
            </w:rPr>
            <w:tab/>
          </w:r>
          <w:r>
            <w:rPr>
              <w:noProof/>
            </w:rPr>
            <w:fldChar w:fldCharType="begin"/>
          </w:r>
          <w:r>
            <w:rPr>
              <w:noProof/>
            </w:rPr>
            <w:instrText xml:space="preserve"> PAGEREF _Toc286596280 \h </w:instrText>
          </w:r>
          <w:r>
            <w:rPr>
              <w:noProof/>
            </w:rPr>
          </w:r>
          <w:r>
            <w:rPr>
              <w:noProof/>
            </w:rPr>
            <w:fldChar w:fldCharType="separate"/>
          </w:r>
          <w:r>
            <w:rPr>
              <w:noProof/>
            </w:rPr>
            <w:t>33</w:t>
          </w:r>
          <w:r>
            <w:rPr>
              <w:noProof/>
            </w:rPr>
            <w:fldChar w:fldCharType="end"/>
          </w:r>
        </w:p>
        <w:p w14:paraId="2E269828" w14:textId="77777777" w:rsidR="00FA11BE" w:rsidRDefault="00FA11BE">
          <w:pPr>
            <w:pStyle w:val="TOC1"/>
            <w:tabs>
              <w:tab w:val="right" w:leader="dot" w:pos="9350"/>
            </w:tabs>
            <w:rPr>
              <w:rFonts w:asciiTheme="minorHAnsi" w:hAnsiTheme="minorHAnsi" w:cstheme="minorBidi"/>
              <w:noProof/>
              <w:lang w:eastAsia="ja-JP"/>
            </w:rPr>
          </w:pPr>
          <w:r>
            <w:rPr>
              <w:noProof/>
            </w:rPr>
            <w:t>VI. CONCLUSION</w:t>
          </w:r>
          <w:r>
            <w:rPr>
              <w:noProof/>
            </w:rPr>
            <w:tab/>
          </w:r>
          <w:r>
            <w:rPr>
              <w:noProof/>
            </w:rPr>
            <w:fldChar w:fldCharType="begin"/>
          </w:r>
          <w:r>
            <w:rPr>
              <w:noProof/>
            </w:rPr>
            <w:instrText xml:space="preserve"> PAGEREF _Toc286596281 \h </w:instrText>
          </w:r>
          <w:r>
            <w:rPr>
              <w:noProof/>
            </w:rPr>
          </w:r>
          <w:r>
            <w:rPr>
              <w:noProof/>
            </w:rPr>
            <w:fldChar w:fldCharType="separate"/>
          </w:r>
          <w:r>
            <w:rPr>
              <w:noProof/>
            </w:rPr>
            <w:t>35</w:t>
          </w:r>
          <w:r>
            <w:rPr>
              <w:noProof/>
            </w:rPr>
            <w:fldChar w:fldCharType="end"/>
          </w:r>
        </w:p>
        <w:p w14:paraId="19A80B81" w14:textId="77777777" w:rsidR="00FA11BE" w:rsidRDefault="00FA11BE">
          <w:pPr>
            <w:pStyle w:val="TOC1"/>
            <w:tabs>
              <w:tab w:val="right" w:leader="dot" w:pos="9350"/>
            </w:tabs>
            <w:rPr>
              <w:rFonts w:asciiTheme="minorHAnsi" w:hAnsiTheme="minorHAnsi" w:cstheme="minorBidi"/>
              <w:noProof/>
              <w:lang w:eastAsia="ja-JP"/>
            </w:rPr>
          </w:pPr>
          <w:r>
            <w:rPr>
              <w:noProof/>
            </w:rPr>
            <w:t>LIST OF REFERENCES</w:t>
          </w:r>
          <w:r>
            <w:rPr>
              <w:noProof/>
            </w:rPr>
            <w:tab/>
          </w:r>
          <w:r>
            <w:rPr>
              <w:noProof/>
            </w:rPr>
            <w:fldChar w:fldCharType="begin"/>
          </w:r>
          <w:r>
            <w:rPr>
              <w:noProof/>
            </w:rPr>
            <w:instrText xml:space="preserve"> PAGEREF _Toc286596282 \h </w:instrText>
          </w:r>
          <w:r>
            <w:rPr>
              <w:noProof/>
            </w:rPr>
          </w:r>
          <w:r>
            <w:rPr>
              <w:noProof/>
            </w:rPr>
            <w:fldChar w:fldCharType="separate"/>
          </w:r>
          <w:r>
            <w:rPr>
              <w:noProof/>
            </w:rPr>
            <w:t>37</w:t>
          </w:r>
          <w:r>
            <w:rPr>
              <w:noProof/>
            </w:rPr>
            <w:fldChar w:fldCharType="end"/>
          </w:r>
        </w:p>
        <w:p w14:paraId="5ECE0697" w14:textId="77777777" w:rsidR="00FA11BE" w:rsidRDefault="00FA11BE">
          <w:pPr>
            <w:pStyle w:val="TOC1"/>
            <w:tabs>
              <w:tab w:val="right" w:leader="dot" w:pos="9350"/>
            </w:tabs>
            <w:rPr>
              <w:rFonts w:asciiTheme="minorHAnsi" w:hAnsiTheme="minorHAnsi" w:cstheme="minorBidi"/>
              <w:noProof/>
              <w:lang w:eastAsia="ja-JP"/>
            </w:rPr>
          </w:pPr>
          <w:r>
            <w:rPr>
              <w:noProof/>
            </w:rPr>
            <w:t>APPENDICES</w:t>
          </w:r>
          <w:r>
            <w:rPr>
              <w:noProof/>
            </w:rPr>
            <w:tab/>
          </w:r>
          <w:r>
            <w:rPr>
              <w:noProof/>
            </w:rPr>
            <w:fldChar w:fldCharType="begin"/>
          </w:r>
          <w:r>
            <w:rPr>
              <w:noProof/>
            </w:rPr>
            <w:instrText xml:space="preserve"> PAGEREF _Toc286596283 \h </w:instrText>
          </w:r>
          <w:r>
            <w:rPr>
              <w:noProof/>
            </w:rPr>
          </w:r>
          <w:r>
            <w:rPr>
              <w:noProof/>
            </w:rPr>
            <w:fldChar w:fldCharType="separate"/>
          </w:r>
          <w:r>
            <w:rPr>
              <w:noProof/>
            </w:rPr>
            <w:t>44</w:t>
          </w:r>
          <w:r>
            <w:rPr>
              <w:noProof/>
            </w:rPr>
            <w:fldChar w:fldCharType="end"/>
          </w:r>
        </w:p>
        <w:p w14:paraId="20DFA793"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Appendix A: Tables</w:t>
          </w:r>
          <w:r>
            <w:rPr>
              <w:noProof/>
            </w:rPr>
            <w:tab/>
          </w:r>
          <w:r>
            <w:rPr>
              <w:noProof/>
            </w:rPr>
            <w:fldChar w:fldCharType="begin"/>
          </w:r>
          <w:r>
            <w:rPr>
              <w:noProof/>
            </w:rPr>
            <w:instrText xml:space="preserve"> PAGEREF _Toc286596284 \h </w:instrText>
          </w:r>
          <w:r>
            <w:rPr>
              <w:noProof/>
            </w:rPr>
          </w:r>
          <w:r>
            <w:rPr>
              <w:noProof/>
            </w:rPr>
            <w:fldChar w:fldCharType="separate"/>
          </w:r>
          <w:r>
            <w:rPr>
              <w:noProof/>
            </w:rPr>
            <w:t>45</w:t>
          </w:r>
          <w:r>
            <w:rPr>
              <w:noProof/>
            </w:rPr>
            <w:fldChar w:fldCharType="end"/>
          </w:r>
        </w:p>
        <w:p w14:paraId="3F2C6847" w14:textId="77777777" w:rsidR="00FA11BE" w:rsidRDefault="00FA11BE">
          <w:pPr>
            <w:pStyle w:val="TOC2"/>
            <w:tabs>
              <w:tab w:val="right" w:leader="dot" w:pos="9350"/>
            </w:tabs>
            <w:rPr>
              <w:rFonts w:asciiTheme="minorHAnsi" w:hAnsiTheme="minorHAnsi" w:cstheme="minorBidi"/>
              <w:noProof/>
              <w:sz w:val="24"/>
              <w:szCs w:val="24"/>
              <w:lang w:eastAsia="ja-JP"/>
            </w:rPr>
          </w:pPr>
          <w:r>
            <w:rPr>
              <w:noProof/>
            </w:rPr>
            <w:t>Appendix B: Variable Descriptions</w:t>
          </w:r>
          <w:r>
            <w:rPr>
              <w:noProof/>
            </w:rPr>
            <w:tab/>
          </w:r>
          <w:r>
            <w:rPr>
              <w:noProof/>
            </w:rPr>
            <w:fldChar w:fldCharType="begin"/>
          </w:r>
          <w:r>
            <w:rPr>
              <w:noProof/>
            </w:rPr>
            <w:instrText xml:space="preserve"> PAGEREF _Toc286596285 \h </w:instrText>
          </w:r>
          <w:r>
            <w:rPr>
              <w:noProof/>
            </w:rPr>
          </w:r>
          <w:r>
            <w:rPr>
              <w:noProof/>
            </w:rPr>
            <w:fldChar w:fldCharType="separate"/>
          </w:r>
          <w:r>
            <w:rPr>
              <w:noProof/>
            </w:rPr>
            <w:t>52</w:t>
          </w:r>
          <w:r>
            <w:rPr>
              <w:noProof/>
            </w:rPr>
            <w:fldChar w:fldCharType="end"/>
          </w:r>
        </w:p>
        <w:p w14:paraId="25A93646" w14:textId="77777777" w:rsidR="00FA11BE" w:rsidRDefault="00FA11BE">
          <w:pPr>
            <w:pStyle w:val="TOC1"/>
            <w:tabs>
              <w:tab w:val="right" w:leader="dot" w:pos="9350"/>
            </w:tabs>
            <w:rPr>
              <w:rFonts w:asciiTheme="minorHAnsi" w:hAnsiTheme="minorHAnsi" w:cstheme="minorBidi"/>
              <w:noProof/>
              <w:lang w:eastAsia="ja-JP"/>
            </w:rPr>
          </w:pPr>
          <w:r>
            <w:rPr>
              <w:noProof/>
            </w:rPr>
            <w:t>VITA</w:t>
          </w:r>
          <w:r>
            <w:rPr>
              <w:noProof/>
            </w:rPr>
            <w:tab/>
          </w:r>
          <w:r>
            <w:rPr>
              <w:noProof/>
            </w:rPr>
            <w:fldChar w:fldCharType="begin"/>
          </w:r>
          <w:r>
            <w:rPr>
              <w:noProof/>
            </w:rPr>
            <w:instrText xml:space="preserve"> PAGEREF _Toc286596286 \h </w:instrText>
          </w:r>
          <w:r>
            <w:rPr>
              <w:noProof/>
            </w:rPr>
          </w:r>
          <w:r>
            <w:rPr>
              <w:noProof/>
            </w:rPr>
            <w:fldChar w:fldCharType="separate"/>
          </w:r>
          <w:r>
            <w:rPr>
              <w:noProof/>
            </w:rPr>
            <w:t>53</w:t>
          </w:r>
          <w:r>
            <w:rPr>
              <w:noProof/>
            </w:rPr>
            <w:fldChar w:fldCharType="end"/>
          </w:r>
        </w:p>
        <w:p w14:paraId="5904BAAF" w14:textId="2FA0077C" w:rsidR="00EA260E" w:rsidRDefault="00FA11BE">
          <w:r>
            <w:rPr>
              <w:sz w:val="22"/>
              <w:szCs w:val="22"/>
            </w:rPr>
            <w:fldChar w:fldCharType="end"/>
          </w:r>
        </w:p>
      </w:sdtContent>
    </w:sdt>
    <w:p w14:paraId="29699F6D" w14:textId="65E08870" w:rsidR="005E0441" w:rsidRDefault="005E0441" w:rsidP="005E0441">
      <w:pPr>
        <w:jc w:val="center"/>
        <w:rPr>
          <w:b/>
        </w:rPr>
      </w:pPr>
      <w:r w:rsidRPr="005E0441">
        <w:rPr>
          <w:b/>
        </w:rPr>
        <w:t>LIST OF TABLES</w:t>
      </w:r>
    </w:p>
    <w:p w14:paraId="71DF2F50" w14:textId="77777777" w:rsidR="005E0441" w:rsidRPr="005E0441" w:rsidRDefault="005E0441" w:rsidP="005E0441">
      <w:pPr>
        <w:jc w:val="center"/>
        <w:rPr>
          <w:b/>
        </w:rPr>
      </w:pPr>
    </w:p>
    <w:p w14:paraId="1AE958DB" w14:textId="77777777" w:rsidR="005E0441" w:rsidRDefault="005E0441" w:rsidP="005E0441">
      <w:pPr>
        <w:pStyle w:val="TableofFigures"/>
        <w:tabs>
          <w:tab w:val="right" w:leader="dot" w:pos="9350"/>
        </w:tabs>
        <w:spacing w:line="480" w:lineRule="auto"/>
        <w:rPr>
          <w:rFonts w:asciiTheme="minorHAnsi" w:hAnsiTheme="minorHAnsi" w:cstheme="minorBidi"/>
          <w:noProof/>
          <w:lang w:eastAsia="ja-JP"/>
        </w:rPr>
      </w:pPr>
      <w:r>
        <w:fldChar w:fldCharType="begin"/>
      </w:r>
      <w:r>
        <w:instrText xml:space="preserve"> TOC \t "Table" \c </w:instrText>
      </w:r>
      <w:r>
        <w:fldChar w:fldCharType="separate"/>
      </w:r>
      <w:r>
        <w:rPr>
          <w:noProof/>
        </w:rPr>
        <w:t>Table 1: Sample Construction</w:t>
      </w:r>
      <w:r>
        <w:rPr>
          <w:noProof/>
        </w:rPr>
        <w:tab/>
      </w:r>
      <w:r>
        <w:rPr>
          <w:noProof/>
        </w:rPr>
        <w:fldChar w:fldCharType="begin"/>
      </w:r>
      <w:r>
        <w:rPr>
          <w:noProof/>
        </w:rPr>
        <w:instrText xml:space="preserve"> PAGEREF _Toc286595534 \h </w:instrText>
      </w:r>
      <w:r>
        <w:rPr>
          <w:noProof/>
        </w:rPr>
      </w:r>
      <w:r>
        <w:rPr>
          <w:noProof/>
        </w:rPr>
        <w:fldChar w:fldCharType="separate"/>
      </w:r>
      <w:r>
        <w:rPr>
          <w:noProof/>
        </w:rPr>
        <w:t>44</w:t>
      </w:r>
      <w:r>
        <w:rPr>
          <w:noProof/>
        </w:rPr>
        <w:fldChar w:fldCharType="end"/>
      </w:r>
    </w:p>
    <w:p w14:paraId="0502856E" w14:textId="77777777" w:rsidR="005E0441" w:rsidRDefault="005E0441" w:rsidP="005E0441">
      <w:pPr>
        <w:pStyle w:val="TableofFigures"/>
        <w:tabs>
          <w:tab w:val="right" w:leader="dot" w:pos="9350"/>
        </w:tabs>
        <w:spacing w:line="480" w:lineRule="auto"/>
        <w:rPr>
          <w:rFonts w:asciiTheme="minorHAnsi" w:hAnsiTheme="minorHAnsi" w:cstheme="minorBidi"/>
          <w:noProof/>
          <w:lang w:eastAsia="ja-JP"/>
        </w:rPr>
      </w:pPr>
      <w:r>
        <w:rPr>
          <w:noProof/>
        </w:rPr>
        <w:t>Table 2: Univariate Results</w:t>
      </w:r>
      <w:r>
        <w:rPr>
          <w:noProof/>
        </w:rPr>
        <w:tab/>
      </w:r>
      <w:r>
        <w:rPr>
          <w:noProof/>
        </w:rPr>
        <w:fldChar w:fldCharType="begin"/>
      </w:r>
      <w:r>
        <w:rPr>
          <w:noProof/>
        </w:rPr>
        <w:instrText xml:space="preserve"> PAGEREF _Toc286595535 \h </w:instrText>
      </w:r>
      <w:r>
        <w:rPr>
          <w:noProof/>
        </w:rPr>
      </w:r>
      <w:r>
        <w:rPr>
          <w:noProof/>
        </w:rPr>
        <w:fldChar w:fldCharType="separate"/>
      </w:r>
      <w:r>
        <w:rPr>
          <w:noProof/>
        </w:rPr>
        <w:t>45</w:t>
      </w:r>
      <w:r>
        <w:rPr>
          <w:noProof/>
        </w:rPr>
        <w:fldChar w:fldCharType="end"/>
      </w:r>
    </w:p>
    <w:p w14:paraId="4CC58575" w14:textId="77777777" w:rsidR="005E0441" w:rsidRDefault="005E0441" w:rsidP="005E0441">
      <w:pPr>
        <w:pStyle w:val="TableofFigures"/>
        <w:tabs>
          <w:tab w:val="right" w:leader="dot" w:pos="9350"/>
        </w:tabs>
        <w:spacing w:line="480" w:lineRule="auto"/>
        <w:rPr>
          <w:rFonts w:asciiTheme="minorHAnsi" w:hAnsiTheme="minorHAnsi" w:cstheme="minorBidi"/>
          <w:noProof/>
          <w:lang w:eastAsia="ja-JP"/>
        </w:rPr>
      </w:pPr>
      <w:r>
        <w:rPr>
          <w:noProof/>
        </w:rPr>
        <w:t>Table 3: Regression Results</w:t>
      </w:r>
      <w:r>
        <w:rPr>
          <w:noProof/>
        </w:rPr>
        <w:tab/>
      </w:r>
      <w:r>
        <w:rPr>
          <w:noProof/>
        </w:rPr>
        <w:fldChar w:fldCharType="begin"/>
      </w:r>
      <w:r>
        <w:rPr>
          <w:noProof/>
        </w:rPr>
        <w:instrText xml:space="preserve"> PAGEREF _Toc286595536 \h </w:instrText>
      </w:r>
      <w:r>
        <w:rPr>
          <w:noProof/>
        </w:rPr>
      </w:r>
      <w:r>
        <w:rPr>
          <w:noProof/>
        </w:rPr>
        <w:fldChar w:fldCharType="separate"/>
      </w:r>
      <w:r>
        <w:rPr>
          <w:noProof/>
        </w:rPr>
        <w:t>46</w:t>
      </w:r>
      <w:r>
        <w:rPr>
          <w:noProof/>
        </w:rPr>
        <w:fldChar w:fldCharType="end"/>
      </w:r>
    </w:p>
    <w:p w14:paraId="509DB1B2" w14:textId="77777777" w:rsidR="005E0441" w:rsidRDefault="005E0441" w:rsidP="005E0441">
      <w:pPr>
        <w:pStyle w:val="TableofFigures"/>
        <w:tabs>
          <w:tab w:val="right" w:leader="dot" w:pos="9350"/>
        </w:tabs>
        <w:spacing w:line="480" w:lineRule="auto"/>
        <w:rPr>
          <w:rFonts w:asciiTheme="minorHAnsi" w:hAnsiTheme="minorHAnsi" w:cstheme="minorBidi"/>
          <w:noProof/>
          <w:lang w:eastAsia="ja-JP"/>
        </w:rPr>
      </w:pPr>
      <w:r>
        <w:rPr>
          <w:noProof/>
        </w:rPr>
        <w:t>Table 4: Analyst Following Analysis</w:t>
      </w:r>
      <w:r>
        <w:rPr>
          <w:noProof/>
        </w:rPr>
        <w:tab/>
      </w:r>
      <w:r>
        <w:rPr>
          <w:noProof/>
        </w:rPr>
        <w:fldChar w:fldCharType="begin"/>
      </w:r>
      <w:r>
        <w:rPr>
          <w:noProof/>
        </w:rPr>
        <w:instrText xml:space="preserve"> PAGEREF _Toc286595537 \h </w:instrText>
      </w:r>
      <w:r>
        <w:rPr>
          <w:noProof/>
        </w:rPr>
      </w:r>
      <w:r>
        <w:rPr>
          <w:noProof/>
        </w:rPr>
        <w:fldChar w:fldCharType="separate"/>
      </w:r>
      <w:r>
        <w:rPr>
          <w:noProof/>
        </w:rPr>
        <w:t>47</w:t>
      </w:r>
      <w:r>
        <w:rPr>
          <w:noProof/>
        </w:rPr>
        <w:fldChar w:fldCharType="end"/>
      </w:r>
    </w:p>
    <w:p w14:paraId="4CB6CB7C" w14:textId="77777777" w:rsidR="005E0441" w:rsidRDefault="005E0441" w:rsidP="005E0441">
      <w:pPr>
        <w:pStyle w:val="TableofFigures"/>
        <w:tabs>
          <w:tab w:val="right" w:leader="dot" w:pos="9350"/>
        </w:tabs>
        <w:spacing w:line="480" w:lineRule="auto"/>
        <w:rPr>
          <w:rFonts w:asciiTheme="minorHAnsi" w:hAnsiTheme="minorHAnsi" w:cstheme="minorBidi"/>
          <w:noProof/>
          <w:lang w:eastAsia="ja-JP"/>
        </w:rPr>
      </w:pPr>
      <w:r>
        <w:rPr>
          <w:noProof/>
        </w:rPr>
        <w:t>Table 5: Regression Results using U.S. Control Group</w:t>
      </w:r>
      <w:r>
        <w:rPr>
          <w:noProof/>
        </w:rPr>
        <w:tab/>
      </w:r>
      <w:r>
        <w:rPr>
          <w:noProof/>
        </w:rPr>
        <w:fldChar w:fldCharType="begin"/>
      </w:r>
      <w:r>
        <w:rPr>
          <w:noProof/>
        </w:rPr>
        <w:instrText xml:space="preserve"> PAGEREF _Toc286595538 \h </w:instrText>
      </w:r>
      <w:r>
        <w:rPr>
          <w:noProof/>
        </w:rPr>
      </w:r>
      <w:r>
        <w:rPr>
          <w:noProof/>
        </w:rPr>
        <w:fldChar w:fldCharType="separate"/>
      </w:r>
      <w:r>
        <w:rPr>
          <w:noProof/>
        </w:rPr>
        <w:t>49</w:t>
      </w:r>
      <w:r>
        <w:rPr>
          <w:noProof/>
        </w:rPr>
        <w:fldChar w:fldCharType="end"/>
      </w:r>
    </w:p>
    <w:p w14:paraId="1BA93B60" w14:textId="77777777" w:rsidR="005E0441" w:rsidRDefault="005E0441" w:rsidP="005E0441">
      <w:pPr>
        <w:pStyle w:val="TableofFigures"/>
        <w:tabs>
          <w:tab w:val="right" w:leader="dot" w:pos="9350"/>
        </w:tabs>
        <w:spacing w:line="480" w:lineRule="auto"/>
        <w:rPr>
          <w:rFonts w:asciiTheme="minorHAnsi" w:hAnsiTheme="minorHAnsi" w:cstheme="minorBidi"/>
          <w:noProof/>
          <w:lang w:eastAsia="ja-JP"/>
        </w:rPr>
      </w:pPr>
      <w:r>
        <w:rPr>
          <w:noProof/>
        </w:rPr>
        <w:t>Table 6: Change Analysis</w:t>
      </w:r>
      <w:r>
        <w:rPr>
          <w:noProof/>
        </w:rPr>
        <w:tab/>
      </w:r>
      <w:r>
        <w:rPr>
          <w:noProof/>
        </w:rPr>
        <w:fldChar w:fldCharType="begin"/>
      </w:r>
      <w:r>
        <w:rPr>
          <w:noProof/>
        </w:rPr>
        <w:instrText xml:space="preserve"> PAGEREF _Toc286595539 \h </w:instrText>
      </w:r>
      <w:r>
        <w:rPr>
          <w:noProof/>
        </w:rPr>
      </w:r>
      <w:r>
        <w:rPr>
          <w:noProof/>
        </w:rPr>
        <w:fldChar w:fldCharType="separate"/>
      </w:r>
      <w:r>
        <w:rPr>
          <w:noProof/>
        </w:rPr>
        <w:t>50</w:t>
      </w:r>
      <w:r>
        <w:rPr>
          <w:noProof/>
        </w:rPr>
        <w:fldChar w:fldCharType="end"/>
      </w:r>
    </w:p>
    <w:p w14:paraId="42B565C1" w14:textId="77777777" w:rsidR="007541BD" w:rsidRPr="00BC36FE" w:rsidRDefault="005E0441" w:rsidP="005E0441">
      <w:pPr>
        <w:widowControl w:val="0"/>
        <w:spacing w:line="480" w:lineRule="auto"/>
        <w:contextualSpacing/>
        <w:jc w:val="both"/>
        <w:sectPr w:rsidR="007541BD" w:rsidRPr="00BC36FE" w:rsidSect="00653334">
          <w:footerReference w:type="even" r:id="rId10"/>
          <w:footerReference w:type="default" r:id="rId11"/>
          <w:footerReference w:type="first" r:id="rId12"/>
          <w:pgSz w:w="12240" w:h="15840"/>
          <w:pgMar w:top="1440" w:right="1440" w:bottom="1440" w:left="1440" w:header="720" w:footer="864" w:gutter="0"/>
          <w:pgNumType w:fmt="lowerRoman" w:start="1"/>
          <w:cols w:space="720"/>
          <w:titlePg/>
          <w:docGrid w:linePitch="360"/>
        </w:sectPr>
      </w:pPr>
      <w:r>
        <w:fldChar w:fldCharType="end"/>
      </w:r>
    </w:p>
    <w:p w14:paraId="691C1353" w14:textId="77777777" w:rsidR="00EC3278" w:rsidRDefault="003906B6" w:rsidP="00FA11BE">
      <w:pPr>
        <w:pStyle w:val="Heading1"/>
      </w:pPr>
      <w:bookmarkStart w:id="0" w:name="_Toc286596258"/>
      <w:r w:rsidRPr="00E26D55">
        <w:t xml:space="preserve">I. </w:t>
      </w:r>
      <w:r w:rsidRPr="007541BD">
        <w:t>INTRODUCTION</w:t>
      </w:r>
      <w:bookmarkEnd w:id="0"/>
    </w:p>
    <w:p w14:paraId="5E1F31FC" w14:textId="77777777" w:rsidR="007541BD" w:rsidRPr="007541BD" w:rsidRDefault="007541BD" w:rsidP="007541BD"/>
    <w:p w14:paraId="324EF51E" w14:textId="1EC2AFC0" w:rsidR="00FD7310" w:rsidRDefault="001D45D6" w:rsidP="00FD7310">
      <w:pPr>
        <w:widowControl w:val="0"/>
        <w:spacing w:line="480" w:lineRule="auto"/>
        <w:jc w:val="both"/>
      </w:pPr>
      <w:r w:rsidRPr="00E26D55">
        <w:tab/>
      </w:r>
      <w:r w:rsidR="005D4263" w:rsidRPr="00E26D55">
        <w:t>The external auditor plays a critical role in the capital markets by monitoring managem</w:t>
      </w:r>
      <w:r w:rsidR="00291C8C" w:rsidRPr="00E26D55">
        <w:t>ent and protecting shareholders’</w:t>
      </w:r>
      <w:r w:rsidR="005D4263" w:rsidRPr="00E26D55">
        <w:t xml:space="preserve"> interests through an independent attestation of a public company’s financial statements. As an additional monitoring mechanism, the audit committee oversees the </w:t>
      </w:r>
      <w:r w:rsidR="007A324C" w:rsidRPr="00E26D55">
        <w:t>financ</w:t>
      </w:r>
      <w:r w:rsidR="00C758FD" w:rsidRPr="00E26D55">
        <w:t>ial reporting process, including the appointment and performance of the external auditor.</w:t>
      </w:r>
      <w:r w:rsidR="005D4263" w:rsidRPr="00E26D55">
        <w:t xml:space="preserve"> Despite the important functions of both the auditor and the audit committee, the only communication they provide to investors, regulators, and other stakeh</w:t>
      </w:r>
      <w:r w:rsidR="006F6B81" w:rsidRPr="00E26D55">
        <w:t>olders are standardized reports</w:t>
      </w:r>
      <w:r w:rsidR="005D4263" w:rsidRPr="00E26D55">
        <w:t xml:space="preserve">. In </w:t>
      </w:r>
      <w:r w:rsidR="002771FE" w:rsidRPr="00E26D55">
        <w:t>the United States and many other countries</w:t>
      </w:r>
      <w:r w:rsidR="005D4263" w:rsidRPr="00E26D55">
        <w:t xml:space="preserve">, the audit report follows a “pass/fail” model that varies little between companies and offers minimal insight into the audit process. Similarly, the audit committee report is </w:t>
      </w:r>
      <w:r w:rsidR="00A54C8A">
        <w:t>typically</w:t>
      </w:r>
      <w:r w:rsidR="00DC6460">
        <w:t xml:space="preserve"> </w:t>
      </w:r>
      <w:r w:rsidR="005D4263" w:rsidRPr="00E26D55">
        <w:t xml:space="preserve">boilerplate and presents limited information on the committee’s oversight of the external auditor. </w:t>
      </w:r>
    </w:p>
    <w:p w14:paraId="6072A02B" w14:textId="35EBC866" w:rsidR="00740FB9" w:rsidRDefault="005D4263" w:rsidP="00CC1A39">
      <w:pPr>
        <w:widowControl w:val="0"/>
        <w:spacing w:line="480" w:lineRule="auto"/>
        <w:ind w:firstLine="720"/>
        <w:jc w:val="both"/>
      </w:pPr>
      <w:r w:rsidRPr="00E26D55">
        <w:t xml:space="preserve">Many stakeholders have expressed concern that the current reports provide little informational value and desire a revision to existing </w:t>
      </w:r>
      <w:r w:rsidR="001064D4" w:rsidRPr="00E26D55">
        <w:t xml:space="preserve">standards </w:t>
      </w:r>
      <w:r w:rsidR="0079592F" w:rsidRPr="00E26D55">
        <w:fldChar w:fldCharType="begin">
          <w:fldData xml:space="preserve">PEVuZE5vdGU+PENpdGU+PEF1dGhvcj5CbGFrZTwvQXV0aG9yPjxZZWFyPjIwMTE8L1llYXI+PFJl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</w:fldData>
        </w:fldChar>
      </w:r>
      <w:r w:rsidR="00104AD7" w:rsidRPr="00E26D55">
        <w:instrText xml:space="preserve"> ADDIN EN.CITE </w:instrText>
      </w:r>
      <w:r w:rsidR="0079592F" w:rsidRPr="00E26D55">
        <w:fldChar w:fldCharType="begin">
          <w:fldData xml:space="preserve">PEVuZE5vdGU+PENpdGU+PEF1dGhvcj5CbGFrZTwvQXV0aG9yPjxZZWFyPjIwMTE8L1llYXI+PFJl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</w:fldData>
        </w:fldChar>
      </w:r>
      <w:r w:rsidR="00104AD7" w:rsidRPr="00E26D55">
        <w:instrText xml:space="preserve"> ADDIN EN.CITE.DATA </w:instrText>
      </w:r>
      <w:r w:rsidR="0079592F" w:rsidRPr="00E26D55">
        <w:fldChar w:fldCharType="end"/>
      </w:r>
      <w:r w:rsidR="0079592F" w:rsidRPr="00E26D55">
        <w:fldChar w:fldCharType="separate"/>
      </w:r>
      <w:r w:rsidR="00104AD7" w:rsidRPr="00E26D55">
        <w:rPr>
          <w:noProof/>
        </w:rPr>
        <w:t>(</w:t>
      </w:r>
      <w:hyperlink w:anchor="_ENREF_8" w:tooltip="Blake, 2011 #115" w:history="1">
        <w:r w:rsidR="006A749C" w:rsidRPr="00E26D55">
          <w:rPr>
            <w:noProof/>
          </w:rPr>
          <w:t>Blake et al. 2011</w:t>
        </w:r>
      </w:hyperlink>
      <w:r w:rsidR="00104AD7" w:rsidRPr="00E26D55">
        <w:rPr>
          <w:noProof/>
        </w:rPr>
        <w:t xml:space="preserve">; </w:t>
      </w:r>
      <w:hyperlink w:anchor="_ENREF_67" w:tooltip="Turner, 2010 #116" w:history="1">
        <w:r w:rsidR="006A749C" w:rsidRPr="00E26D55">
          <w:rPr>
            <w:noProof/>
          </w:rPr>
          <w:t>Turner et al. 2010</w:t>
        </w:r>
      </w:hyperlink>
      <w:r w:rsidR="00104AD7" w:rsidRPr="00E26D55">
        <w:rPr>
          <w:noProof/>
        </w:rPr>
        <w:t>)</w:t>
      </w:r>
      <w:r w:rsidR="0079592F" w:rsidRPr="00E26D55">
        <w:fldChar w:fldCharType="end"/>
      </w:r>
      <w:r w:rsidR="00104AD7" w:rsidRPr="00E26D55">
        <w:t>.</w:t>
      </w:r>
      <w:r w:rsidR="00FD7310">
        <w:t xml:space="preserve"> In response to these concerns, regulators </w:t>
      </w:r>
      <w:r w:rsidR="00FF4599">
        <w:t xml:space="preserve">worldwide </w:t>
      </w:r>
      <w:r w:rsidR="00FD7310">
        <w:t xml:space="preserve">have </w:t>
      </w:r>
      <w:r w:rsidR="00FF4599">
        <w:t>taken action to improve the transparency of the audit report as well as the audit committee report</w:t>
      </w:r>
      <w:r w:rsidR="008D3299">
        <w:t xml:space="preserve"> </w:t>
      </w:r>
      <w:r w:rsidR="008D3299" w:rsidRPr="00A720CB">
        <w:fldChar w:fldCharType="begin"/>
      </w:r>
      <w:r w:rsidR="00F44D3A">
        <w:instrText xml:space="preserve"> ADDIN EN.CITE &lt;EndNote&gt;&lt;Cite&gt;&lt;Author&gt;IAASB&lt;/Author&gt;&lt;Year&gt;2013&lt;/Year&gt;&lt;RecNum&gt;172&lt;/RecNum&gt;&lt;DisplayText&gt;(IAASB 2013b; Cohn 2014)&lt;/DisplayText&gt;&lt;record&gt;&lt;rec-number&gt;172&lt;/rec-number&gt;&lt;foreign-keys&gt;&lt;key app="EN" db-id="frdsfrdx0zpts8ex5pfvfda4s9srzrvrxd9z" timestamp="1397499965"&gt;172&lt;/key&gt;&lt;key app="ENWeb" db-id=""&gt;0&lt;/key&gt;&lt;/foreign-keys&gt;&lt;ref-type name="Journal Article"&gt;17&lt;/ref-type&gt;&lt;contributors&gt;&lt;authors&gt;&lt;author&gt;IAASB&lt;/author&gt;&lt;/authors&gt;&lt;/contributors&gt;&lt;titles&gt;&lt;title&gt;Reporting on Audited Financial Statements: Proposed New and Revised International Standards on Auditing (ISAs)&lt;/title&gt;&lt;/titles&gt;&lt;volume&gt;Revised July 2013&lt;/volume&gt;&lt;dates&gt;&lt;year&gt;2013&lt;/year&gt;&lt;pub-dates&gt;&lt;date&gt;July 2013&lt;/date&gt;&lt;/pub-dates&gt;&lt;/dates&gt;&lt;urls&gt;&lt;related-urls&gt;&lt;url&gt;http://www.ifac.org/sites/default/files/publications/files/Complete%20ED,%20Reporting%20on%20Audited%20Financial%20Statements.pdf&lt;/url&gt;&lt;/related-urls&gt;&lt;/urls&gt;&lt;/record&gt;&lt;/Cite&gt;&lt;Cite&gt;&lt;Author&gt;Cohn&lt;/Author&gt;&lt;Year&gt;2014&lt;/Year&gt;&lt;RecNum&gt;157&lt;/RecNum&gt;&lt;record&gt;&lt;rec-number&gt;157&lt;/rec-number&gt;&lt;foreign-keys&gt;&lt;key app="EN" db-id="frdsfrdx0zpts8ex5pfvfda4s9srzrvrxd9z" timestamp="1397440894"&gt;157&lt;/key&gt;&lt;/foreign-keys&gt;&lt;ref-type name="Journal Article"&gt;17&lt;/ref-type&gt;&lt;contributors&gt;&lt;authors&gt;&lt;author&gt;Cohn, Michael&lt;/author&gt;&lt;/authors&gt;&lt;/contributors&gt;&lt;titles&gt;&lt;title&gt;European Parliament Moves Ahead on Audit Firm Reforms. Available at http://www.accountingtoday.com/news/european-parliament-moves-ahead-on-audit-firm-reforms-70226-1.html.&lt;/title&gt;&lt;/titles&gt;&lt;dates&gt;&lt;year&gt;2014&lt;/year&gt;&lt;pub-dates&gt;&lt;date&gt;April 3, 2014&lt;/date&gt;&lt;/pub-dates&gt;&lt;/dates&gt;&lt;urls&gt;&lt;related-urls&gt;&lt;url&gt;http://www.accountingtoday.com/news/european-parliament-moves-ahead-on-audit-firm-reforms-70226-1.html&lt;/url&gt;&lt;/related-urls&gt;&lt;/urls&gt;&lt;/record&gt;&lt;/Cite&gt;&lt;/EndNote&gt;</w:instrText>
      </w:r>
      <w:r w:rsidR="008D3299" w:rsidRPr="00A720CB">
        <w:fldChar w:fldCharType="separate"/>
      </w:r>
      <w:r w:rsidR="00F44D3A">
        <w:rPr>
          <w:noProof/>
        </w:rPr>
        <w:t>(</w:t>
      </w:r>
      <w:hyperlink w:anchor="_ENREF_47" w:tooltip="IAASB, 2013 #172" w:history="1">
        <w:r w:rsidR="006A749C">
          <w:rPr>
            <w:noProof/>
          </w:rPr>
          <w:t>IAASB 2013b</w:t>
        </w:r>
      </w:hyperlink>
      <w:r w:rsidR="00F44D3A">
        <w:rPr>
          <w:noProof/>
        </w:rPr>
        <w:t xml:space="preserve">; </w:t>
      </w:r>
      <w:hyperlink w:anchor="_ENREF_27" w:tooltip="Cohn, 2014 #157" w:history="1">
        <w:r w:rsidR="006A749C">
          <w:rPr>
            <w:noProof/>
          </w:rPr>
          <w:t>Cohn 2014</w:t>
        </w:r>
      </w:hyperlink>
      <w:r w:rsidR="00F44D3A">
        <w:rPr>
          <w:noProof/>
        </w:rPr>
        <w:t>)</w:t>
      </w:r>
      <w:r w:rsidR="008D3299" w:rsidRPr="00A720CB">
        <w:fldChar w:fldCharType="end"/>
      </w:r>
      <w:r w:rsidR="00BD5415">
        <w:t xml:space="preserve">. </w:t>
      </w:r>
      <w:r w:rsidR="00D75022">
        <w:t xml:space="preserve">Of particular interest to this study, the </w:t>
      </w:r>
      <w:r w:rsidR="00D75022" w:rsidRPr="00E26D55">
        <w:t xml:space="preserve">Public Company Accounting Oversight Board </w:t>
      </w:r>
      <w:r w:rsidR="00D75022" w:rsidRPr="00E26D55">
        <w:fldChar w:fldCharType="begin"/>
      </w:r>
      <w:r w:rsidR="00D75022" w:rsidRPr="00E26D55">
        <w:instrText xml:space="preserve"> ADDIN EN.CITE &lt;EndNote&gt;&lt;Cite ExcludeYear="1"&gt;&lt;Author&gt;PCAOB&lt;/Author&gt;&lt;Year&gt;2013&lt;/Year&gt;&lt;RecNum&gt;155&lt;/RecNum&gt;&lt;DisplayText&gt;(PCAOB)&lt;/DisplayText&gt;&lt;record&gt;&lt;rec-number&gt;155&lt;/rec-number&gt;&lt;foreign-keys&gt;&lt;key app="EN" db-id="frdsfrdx0zpts8ex5pfvfda4s9srzrvrxd9z" timestamp="1397440443"&gt;155&lt;/key&gt;&lt;key app="ENWeb" db-id=""&gt;0&lt;/key&gt;&lt;/foreign-keys&gt;&lt;ref-type name="Journal Article"&gt;17&lt;/ref-type&gt;&lt;contributors&gt;&lt;authors&gt;&lt;author&gt;PCAOB&lt;/author&gt;&lt;/authors&gt;&lt;/contributors&gt;&lt;titles&gt;&lt;title&gt;Proposed Auditing Standards: The Auditor&amp;apos;s Report on an Audit of Financial Statements When the Auditor Expresses an Unqualified Opinion&lt;/title&gt;&lt;/titles&gt;&lt;volume&gt;August 13, 2013.&lt;/volume&gt;&lt;dates&gt;&lt;year&gt;2013&lt;/year&gt;&lt;pub-dates&gt;&lt;date&gt;August 13, 2013&lt;/date&gt;&lt;/pub-dates&gt;&lt;/dates&gt;&lt;urls&gt;&lt;related-urls&gt;&lt;url&gt;http://pcaobus.org/Rules/Rulemaking/Docket034/Release_2013-005_ARM.pdf&lt;/url&gt;&lt;/related-urls&gt;&lt;/urls&gt;&lt;/record&gt;&lt;/Cite&gt;&lt;/EndNote&gt;</w:instrText>
      </w:r>
      <w:r w:rsidR="00D75022" w:rsidRPr="00E26D55">
        <w:fldChar w:fldCharType="separate"/>
      </w:r>
      <w:r w:rsidR="00D75022" w:rsidRPr="00E26D55">
        <w:rPr>
          <w:noProof/>
        </w:rPr>
        <w:t>(</w:t>
      </w:r>
      <w:hyperlink w:anchor="_ENREF_62" w:tooltip="PCAOB, 2013 #155" w:history="1">
        <w:r w:rsidR="006A749C" w:rsidRPr="00E26D55">
          <w:rPr>
            <w:noProof/>
          </w:rPr>
          <w:t>PCAOB</w:t>
        </w:r>
      </w:hyperlink>
      <w:r w:rsidR="00D75022" w:rsidRPr="00E26D55">
        <w:rPr>
          <w:noProof/>
        </w:rPr>
        <w:t>)</w:t>
      </w:r>
      <w:r w:rsidR="00D75022" w:rsidRPr="00E26D55">
        <w:fldChar w:fldCharType="end"/>
      </w:r>
      <w:r w:rsidR="00D75022">
        <w:t xml:space="preserve"> issued a proposed rule on August 13, 2013 that would require a discussion of critical audit matters (“CAMs”), auditor independence, and tenure</w:t>
      </w:r>
      <w:r w:rsidR="003F25DF">
        <w:t xml:space="preserve"> in the auditor report</w:t>
      </w:r>
      <w:r w:rsidR="0038661B">
        <w:t xml:space="preserve"> </w:t>
      </w:r>
      <w:r w:rsidR="0038661B">
        <w:fldChar w:fldCharType="begin"/>
      </w:r>
      <w:r w:rsidR="0038661B">
        <w:instrText xml:space="preserve"> ADDIN EN.CITE &lt;EndNote&gt;&lt;Cite&gt;&lt;Author&gt;PCAOB&lt;/Author&gt;&lt;Year&gt;2013&lt;/Year&gt;&lt;RecNum&gt;155&lt;/RecNum&gt;&lt;DisplayText&gt;(PCAOB 2013)&lt;/DisplayText&gt;&lt;record&gt;&lt;rec-number&gt;155&lt;/rec-number&gt;&lt;foreign-keys&gt;&lt;key app="EN" db-id="frdsfrdx0zpts8ex5pfvfda4s9srzrvrxd9z" timestamp="1397440443"&gt;155&lt;/key&gt;&lt;key app="ENWeb" db-id=""&gt;0&lt;/key&gt;&lt;/foreign-keys&gt;&lt;ref-type name="Journal Article"&gt;17&lt;/ref-type&gt;&lt;contributors&gt;&lt;authors&gt;&lt;author&gt;PCAOB&lt;/author&gt;&lt;/authors&gt;&lt;/contributors&gt;&lt;titles&gt;&lt;title&gt;Proposed Auditing Standards: The Auditor&amp;apos;s Report on an Audit of Financial Statements When the Auditor Expresses an Unqualified Opinion&lt;/title&gt;&lt;/titles&gt;&lt;volume&gt;August 13, 2013.&lt;/volume&gt;&lt;dates&gt;&lt;year&gt;2013&lt;/year&gt;&lt;pub-dates&gt;&lt;date&gt;August 13, 2013&lt;/date&gt;&lt;/pub-dates&gt;&lt;/dates&gt;&lt;urls&gt;&lt;related-urls&gt;&lt;url&gt;http://pcaobus.org/Rules/Rulemaking/Docket034/Release_2013-005_ARM.pdf&lt;/url&gt;&lt;/related-urls&gt;&lt;/urls&gt;&lt;/record&gt;&lt;/Cite&gt;&lt;/EndNote&gt;</w:instrText>
      </w:r>
      <w:r w:rsidR="0038661B">
        <w:fldChar w:fldCharType="separate"/>
      </w:r>
      <w:r w:rsidR="0038661B">
        <w:rPr>
          <w:noProof/>
        </w:rPr>
        <w:t>(</w:t>
      </w:r>
      <w:hyperlink w:anchor="_ENREF_62" w:tooltip="PCAOB, 2013 #155" w:history="1">
        <w:r w:rsidR="006A749C">
          <w:rPr>
            <w:noProof/>
          </w:rPr>
          <w:t>PCAOB 2013</w:t>
        </w:r>
      </w:hyperlink>
      <w:r w:rsidR="0038661B">
        <w:rPr>
          <w:noProof/>
        </w:rPr>
        <w:t>)</w:t>
      </w:r>
      <w:r w:rsidR="0038661B">
        <w:fldChar w:fldCharType="end"/>
      </w:r>
      <w:r w:rsidR="00D75022">
        <w:t xml:space="preserve">. </w:t>
      </w:r>
      <w:r w:rsidR="0038661B">
        <w:t>Additionally, t</w:t>
      </w:r>
      <w:r w:rsidR="00533D98">
        <w:t xml:space="preserve">he </w:t>
      </w:r>
      <w:r w:rsidR="00F2036E">
        <w:t xml:space="preserve">Securities and Exchange Commission (SEC) </w:t>
      </w:r>
      <w:r w:rsidR="00272F50">
        <w:t xml:space="preserve">plans to issue a concept release </w:t>
      </w:r>
      <w:r w:rsidR="00D4595B">
        <w:t xml:space="preserve">in early 2015 with the aim of enhancing the work of audit committees and more specifically, </w:t>
      </w:r>
      <w:r w:rsidR="0038661B">
        <w:t>i</w:t>
      </w:r>
      <w:r w:rsidR="00D4595B">
        <w:t>mproving</w:t>
      </w:r>
      <w:r w:rsidR="00315087">
        <w:t xml:space="preserve"> the </w:t>
      </w:r>
      <w:r w:rsidR="00D4595B">
        <w:t xml:space="preserve">audit committee </w:t>
      </w:r>
      <w:r w:rsidR="00315087">
        <w:t>report</w:t>
      </w:r>
      <w:r w:rsidR="00D4595B">
        <w:t xml:space="preserve"> to make it</w:t>
      </w:r>
      <w:r w:rsidR="00315087">
        <w:t xml:space="preserve"> </w:t>
      </w:r>
      <w:r w:rsidR="0038661B">
        <w:t xml:space="preserve">more useful to investors </w:t>
      </w:r>
      <w:r w:rsidR="0038661B">
        <w:fldChar w:fldCharType="begin">
          <w:fldData xml:space="preserve">PEVuZE5vdGU+PENpdGU+PEF1dGhvcj5XaGl0ZTwvQXV0aG9yPjxZZWFyPjIwMTQ8L1llYXI+PFJl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</w:fldData>
        </w:fldChar>
      </w:r>
      <w:r w:rsidR="005A4FF1">
        <w:instrText xml:space="preserve"> ADDIN EN.CITE </w:instrText>
      </w:r>
      <w:r w:rsidR="005A4FF1">
        <w:fldChar w:fldCharType="begin">
          <w:fldData xml:space="preserve">PEVuZE5vdGU+PENpdGU+PEF1dGhvcj5XaGl0ZTwvQXV0aG9yPjxZZWFyPjIwMTQ8L1llYXI+PFJl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</w:fldData>
        </w:fldChar>
      </w:r>
      <w:r w:rsidR="005A4FF1">
        <w:instrText xml:space="preserve"> ADDIN EN.CITE.DATA </w:instrText>
      </w:r>
      <w:r w:rsidR="005A4FF1">
        <w:fldChar w:fldCharType="end"/>
      </w:r>
      <w:r w:rsidR="0038661B">
        <w:fldChar w:fldCharType="separate"/>
      </w:r>
      <w:r w:rsidR="005A4FF1">
        <w:rPr>
          <w:noProof/>
        </w:rPr>
        <w:t>(</w:t>
      </w:r>
      <w:hyperlink w:anchor="_ENREF_71" w:tooltip="White, 2014 #348" w:history="1">
        <w:r w:rsidR="006A749C">
          <w:rPr>
            <w:noProof/>
          </w:rPr>
          <w:t>White 2014</w:t>
        </w:r>
      </w:hyperlink>
      <w:r w:rsidR="005A4FF1">
        <w:rPr>
          <w:noProof/>
        </w:rPr>
        <w:t xml:space="preserve">; </w:t>
      </w:r>
      <w:hyperlink w:anchor="_ENREF_45" w:tooltip="Heller, 2014 #356" w:history="1">
        <w:r w:rsidR="006A749C">
          <w:rPr>
            <w:noProof/>
          </w:rPr>
          <w:t>Heller 2014</w:t>
        </w:r>
      </w:hyperlink>
      <w:r w:rsidR="005A4FF1">
        <w:rPr>
          <w:noProof/>
        </w:rPr>
        <w:t xml:space="preserve">; </w:t>
      </w:r>
      <w:hyperlink w:anchor="_ENREF_72" w:tooltip="Whitehouse, 2014 #357" w:history="1">
        <w:r w:rsidR="006A749C">
          <w:rPr>
            <w:noProof/>
          </w:rPr>
          <w:t>Whitehouse 2014</w:t>
        </w:r>
      </w:hyperlink>
      <w:r w:rsidR="005A4FF1">
        <w:rPr>
          <w:noProof/>
        </w:rPr>
        <w:t>)</w:t>
      </w:r>
      <w:r w:rsidR="0038661B">
        <w:fldChar w:fldCharType="end"/>
      </w:r>
      <w:r w:rsidR="00381653">
        <w:t xml:space="preserve">. </w:t>
      </w:r>
      <w:r w:rsidRPr="00E26D55">
        <w:t xml:space="preserve">The effects of </w:t>
      </w:r>
      <w:r w:rsidR="002B377E">
        <w:t xml:space="preserve">these </w:t>
      </w:r>
      <w:r w:rsidRPr="00E26D55">
        <w:t xml:space="preserve">reporting changes, however, are unknown ex-ante. Proponents believe that enhancing the audit report </w:t>
      </w:r>
      <w:r w:rsidR="000D0D53">
        <w:t>and</w:t>
      </w:r>
      <w:r w:rsidRPr="00E26D55">
        <w:t xml:space="preserve"> the audit committee report will </w:t>
      </w:r>
      <w:r w:rsidR="00383315">
        <w:t>deliver new and useful information</w:t>
      </w:r>
      <w:r w:rsidR="003F61DF" w:rsidRPr="00E26D55">
        <w:t xml:space="preserve"> to investors </w:t>
      </w:r>
      <w:r w:rsidR="003F61DF" w:rsidRPr="00505994">
        <w:t xml:space="preserve">by </w:t>
      </w:r>
      <w:r w:rsidR="00505994" w:rsidRPr="007A4823">
        <w:t xml:space="preserve">providing </w:t>
      </w:r>
      <w:r w:rsidR="009038BE">
        <w:t xml:space="preserve">insights into the valuable perspective that these external monitors have on companies and </w:t>
      </w:r>
      <w:r w:rsidR="00E242B9">
        <w:t>increasing investors’ trust in the work performed by auditors and audit committees</w:t>
      </w:r>
      <w:r w:rsidR="009038BE">
        <w:t xml:space="preserve"> </w:t>
      </w:r>
      <w:r w:rsidR="00F30B7F" w:rsidRPr="007A4823">
        <w:fldChar w:fldCharType="begin">
          <w:fldData xml:space="preserve">PEVuZE5vdGU+PENpdGU+PEF1dGhvcj5CdWxsZXI8L0F1dGhvcj48WWVhcj4yMDEzPC9ZZWFyPjxS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</w:fldData>
        </w:fldChar>
      </w:r>
      <w:r w:rsidR="00202A14">
        <w:instrText xml:space="preserve"> ADDIN EN.CITE </w:instrText>
      </w:r>
      <w:r w:rsidR="00202A14">
        <w:fldChar w:fldCharType="begin">
          <w:fldData xml:space="preserve">PEVuZE5vdGU+PENpdGU+PEF1dGhvcj5CdWxsZXI8L0F1dGhvcj48WWVhcj4yMDEzPC9ZZWFyPjxS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</w:fldData>
        </w:fldChar>
      </w:r>
      <w:r w:rsidR="00202A14">
        <w:instrText xml:space="preserve"> ADDIN EN.CITE.DATA </w:instrText>
      </w:r>
      <w:r w:rsidR="00202A14">
        <w:fldChar w:fldCharType="end"/>
      </w:r>
      <w:r w:rsidR="00F30B7F" w:rsidRPr="007A4823">
        <w:fldChar w:fldCharType="separate"/>
      </w:r>
      <w:r w:rsidR="00202A14">
        <w:rPr>
          <w:noProof/>
        </w:rPr>
        <w:t>(</w:t>
      </w:r>
      <w:hyperlink w:anchor="_ENREF_11" w:tooltip="Buller, 2013 #117" w:history="1">
        <w:r w:rsidR="006A749C">
          <w:rPr>
            <w:noProof/>
          </w:rPr>
          <w:t>Buller 2013</w:t>
        </w:r>
      </w:hyperlink>
      <w:r w:rsidR="00202A14">
        <w:rPr>
          <w:noProof/>
        </w:rPr>
        <w:t xml:space="preserve">; </w:t>
      </w:r>
      <w:hyperlink w:anchor="_ENREF_46" w:tooltip="IAASB, 2013 #175" w:history="1">
        <w:r w:rsidR="006A749C">
          <w:rPr>
            <w:noProof/>
          </w:rPr>
          <w:t>IAASB 2013a</w:t>
        </w:r>
      </w:hyperlink>
      <w:r w:rsidR="00202A14">
        <w:rPr>
          <w:noProof/>
        </w:rPr>
        <w:t xml:space="preserve">; </w:t>
      </w:r>
      <w:hyperlink w:anchor="_ENREF_55" w:tooltip="Melvin, 2013 #180" w:history="1">
        <w:r w:rsidR="006A749C">
          <w:rPr>
            <w:noProof/>
          </w:rPr>
          <w:t>Melvin 2013</w:t>
        </w:r>
      </w:hyperlink>
      <w:r w:rsidR="00202A14">
        <w:rPr>
          <w:noProof/>
        </w:rPr>
        <w:t xml:space="preserve">; </w:t>
      </w:r>
      <w:hyperlink w:anchor="_ENREF_66" w:tooltip="Touche, 2014 #179" w:history="1">
        <w:r w:rsidR="006A749C">
          <w:rPr>
            <w:noProof/>
          </w:rPr>
          <w:t>Touche 2014</w:t>
        </w:r>
      </w:hyperlink>
      <w:r w:rsidR="00202A14">
        <w:rPr>
          <w:noProof/>
        </w:rPr>
        <w:t>)</w:t>
      </w:r>
      <w:r w:rsidR="00F30B7F" w:rsidRPr="007A4823">
        <w:fldChar w:fldCharType="end"/>
      </w:r>
      <w:r w:rsidR="003F61DF" w:rsidRPr="00E959E3">
        <w:t xml:space="preserve">. </w:t>
      </w:r>
      <w:r w:rsidR="00EF03FF" w:rsidRPr="00E959E3">
        <w:t xml:space="preserve">Opponents, however, </w:t>
      </w:r>
      <w:r w:rsidR="00DF4002" w:rsidRPr="00E959E3">
        <w:t>argue</w:t>
      </w:r>
      <w:r w:rsidRPr="00E959E3">
        <w:t xml:space="preserve"> </w:t>
      </w:r>
      <w:r w:rsidR="00493651" w:rsidRPr="00E959E3">
        <w:t>that</w:t>
      </w:r>
      <w:r w:rsidR="00817D67" w:rsidRPr="00E959E3">
        <w:t xml:space="preserve"> revising reporting requirements will be fruitless as</w:t>
      </w:r>
      <w:r w:rsidR="00493651" w:rsidRPr="00E959E3">
        <w:t xml:space="preserve"> additional</w:t>
      </w:r>
      <w:r w:rsidR="0021240A" w:rsidRPr="00E959E3">
        <w:t xml:space="preserve"> information will provide </w:t>
      </w:r>
      <w:r w:rsidR="00D944E4" w:rsidRPr="007A4823">
        <w:t xml:space="preserve">little, if </w:t>
      </w:r>
      <w:r w:rsidR="0021240A" w:rsidRPr="00505994">
        <w:t>any</w:t>
      </w:r>
      <w:r w:rsidR="00D944E4" w:rsidRPr="007A4823">
        <w:t>,</w:t>
      </w:r>
      <w:r w:rsidR="0021240A" w:rsidRPr="00505994">
        <w:t xml:space="preserve"> incremental value </w:t>
      </w:r>
      <w:r w:rsidR="008D1687" w:rsidRPr="00E959E3">
        <w:t>to</w:t>
      </w:r>
      <w:r w:rsidR="0021240A" w:rsidRPr="00E959E3">
        <w:t xml:space="preserve"> stakeholders</w:t>
      </w:r>
      <w:r w:rsidR="00D944E4" w:rsidRPr="007A4823">
        <w:t xml:space="preserve"> </w:t>
      </w:r>
      <w:r w:rsidR="006143EE" w:rsidRPr="007A4823">
        <w:t xml:space="preserve">given that investors may find the disclosures </w:t>
      </w:r>
      <w:r w:rsidR="00505994" w:rsidRPr="007A4823">
        <w:t xml:space="preserve">unnecessary, uninteresting, or too daunting to process in their trading decisions </w:t>
      </w:r>
      <w:r w:rsidR="00505994" w:rsidRPr="007A4823">
        <w:fldChar w:fldCharType="begin"/>
      </w:r>
      <w:r w:rsidR="00505994" w:rsidRPr="007A4823">
        <w:instrText xml:space="preserve"> ADDIN EN.CITE &lt;EndNote&gt;&lt;Cite&gt;&lt;Author&gt;Cardiff&lt;/Author&gt;&lt;Year&gt;2013&lt;/Year&gt;&lt;RecNum&gt;365&lt;/RecNum&gt;&lt;DisplayText&gt;(Cardiff 2013; Cates 2013; Goff 2013)&lt;/DisplayText&gt;&lt;record&gt;&lt;rec-number&gt;365&lt;/rec-number&gt;&lt;foreign-keys&gt;&lt;key app="EN" db-id="frdsfrdx0zpts8ex5pfvfda4s9srzrvrxd9z" timestamp="1416000115"&gt;365&lt;/key&gt;&lt;/foreign-keys&gt;&lt;ref-type name="Journal Article"&gt;17&lt;/ref-type&gt;&lt;contributors&gt;&lt;authors&gt;&lt;author&gt;Cardiff, Mark&lt;/author&gt;&lt;/authors&gt;&lt;/contributors&gt;&lt;titles&gt;&lt;title&gt;Grant Thornton UK Comment Letter on FRC Revision to ISA (UK and Ireland) 700: Requiring the auditor&amp;apos;s report to address risks of material misstatement, materiality and a summary of audit scope&lt;/title&gt;&lt;/titles&gt;&lt;dates&gt;&lt;year&gt;2013&lt;/year&gt;&lt;/dates&gt;&lt;urls&gt;&lt;/urls&gt;&lt;/record&gt;&lt;/Cite&gt;&lt;Cite&gt;&lt;Author&gt;Cates&lt;/Author&gt;&lt;Year&gt;2013&lt;/Year&gt;&lt;RecNum&gt;364&lt;/RecNum&gt;&lt;record&gt;&lt;rec-number&gt;364&lt;/rec-number&gt;&lt;foreign-keys&gt;&lt;key app="EN" db-id="frdsfrdx0zpts8ex5pfvfda4s9srzrvrxd9z" timestamp="1416000021"&gt;364&lt;/key&gt;&lt;/foreign-keys&gt;&lt;ref-type name="Journal Article"&gt;17&lt;/ref-type&gt;&lt;contributors&gt;&lt;authors&gt;&lt;author&gt;Cates, Tony&lt;/author&gt;&lt;/authors&gt;&lt;/contributors&gt;&lt;titles&gt;&lt;title&gt;KPMG UK Comment Letter on FRC Revision to ISA (UK and Ireland) 700: Requiring the auditor&amp;apos;s report to address risks of material misstatement, materiality and a summary of audit scope&lt;/title&gt;&lt;/titles&gt;&lt;dates&gt;&lt;year&gt;2013&lt;/year&gt;&lt;/dates&gt;&lt;urls&gt;&lt;/urls&gt;&lt;/record&gt;&lt;/Cite&gt;&lt;Cite&gt;&lt;Author&gt;Goff&lt;/Author&gt;&lt;Year&gt;2013&lt;/Year&gt;&lt;RecNum&gt;363&lt;/RecNum&gt;&lt;record&gt;&lt;rec-number&gt;363&lt;/rec-number&gt;&lt;foreign-keys&gt;&lt;key app="EN" db-id="frdsfrdx0zpts8ex5pfvfda4s9srzrvrxd9z" timestamp="1415999707"&gt;363&lt;/key&gt;&lt;/foreign-keys&gt;&lt;ref-type name="Journal Article"&gt;17&lt;/ref-type&gt;&lt;contributors&gt;&lt;authors&gt;&lt;author&gt;Goff, Phillip G.&lt;/author&gt;&lt;/authors&gt;&lt;/contributors&gt;&lt;titles&gt;&lt;title&gt;TIAA-CREF Comment Letter on PCAOB Rule Making Docket Matter No. 34: Proposed Auditing Standards on the Auditor&amp;apos;s Report and the Auditor&amp;apos;s Responsibilities Regarding Other Information and Related Amendments&lt;/title&gt;&lt;/titles&gt;&lt;dates&gt;&lt;year&gt;2013&lt;/year&gt;&lt;/dates&gt;&lt;urls&gt;&lt;/urls&gt;&lt;/record&gt;&lt;/Cite&gt;&lt;/EndNote&gt;</w:instrText>
      </w:r>
      <w:r w:rsidR="00505994" w:rsidRPr="007A4823">
        <w:fldChar w:fldCharType="separate"/>
      </w:r>
      <w:r w:rsidR="00505994" w:rsidRPr="007A4823">
        <w:rPr>
          <w:noProof/>
        </w:rPr>
        <w:t>(</w:t>
      </w:r>
      <w:hyperlink w:anchor="_ENREF_19" w:tooltip="Cardiff, 2013 #365" w:history="1">
        <w:r w:rsidR="006A749C" w:rsidRPr="007A4823">
          <w:rPr>
            <w:noProof/>
          </w:rPr>
          <w:t>Cardiff 2013</w:t>
        </w:r>
      </w:hyperlink>
      <w:r w:rsidR="00505994" w:rsidRPr="007A4823">
        <w:rPr>
          <w:noProof/>
        </w:rPr>
        <w:t xml:space="preserve">; </w:t>
      </w:r>
      <w:hyperlink w:anchor="_ENREF_21" w:tooltip="Cates, 2013 #364" w:history="1">
        <w:r w:rsidR="006A749C" w:rsidRPr="007A4823">
          <w:rPr>
            <w:noProof/>
          </w:rPr>
          <w:t>Cates 2013</w:t>
        </w:r>
      </w:hyperlink>
      <w:r w:rsidR="00505994" w:rsidRPr="007A4823">
        <w:rPr>
          <w:noProof/>
        </w:rPr>
        <w:t xml:space="preserve">; </w:t>
      </w:r>
      <w:hyperlink w:anchor="_ENREF_42" w:tooltip="Goff, 2013 #363" w:history="1">
        <w:r w:rsidR="006A749C" w:rsidRPr="007A4823">
          <w:rPr>
            <w:noProof/>
          </w:rPr>
          <w:t>Goff 2013</w:t>
        </w:r>
      </w:hyperlink>
      <w:r w:rsidR="00505994" w:rsidRPr="007A4823">
        <w:rPr>
          <w:noProof/>
        </w:rPr>
        <w:t>)</w:t>
      </w:r>
      <w:r w:rsidR="00505994" w:rsidRPr="007A4823">
        <w:fldChar w:fldCharType="end"/>
      </w:r>
      <w:r w:rsidR="003A2C42" w:rsidRPr="00505994">
        <w:t>.</w:t>
      </w:r>
      <w:r w:rsidR="003A2C42" w:rsidRPr="00E26D55">
        <w:t xml:space="preserve"> </w:t>
      </w:r>
      <w:r w:rsidR="00667CAC" w:rsidRPr="00E26D55">
        <w:t xml:space="preserve">While some researchers have conducted </w:t>
      </w:r>
      <w:r w:rsidR="00D6217B">
        <w:t xml:space="preserve">experiments, </w:t>
      </w:r>
      <w:r w:rsidR="00667CAC" w:rsidRPr="00E26D55">
        <w:t>focus groups</w:t>
      </w:r>
      <w:r w:rsidR="00D6217B">
        <w:t>,</w:t>
      </w:r>
      <w:r w:rsidR="00667CAC" w:rsidRPr="00E26D55">
        <w:t xml:space="preserve"> and in</w:t>
      </w:r>
      <w:r w:rsidR="00D6217B">
        <w:t xml:space="preserve">terviews to gain insight into potential avenues for </w:t>
      </w:r>
      <w:r w:rsidR="00776336">
        <w:t xml:space="preserve">report improvements </w:t>
      </w:r>
      <w:r w:rsidR="0079592F" w:rsidRPr="00E26D55">
        <w:fldChar w:fldCharType="begin">
          <w:fldData xml:space="preserve">PEVuZE5vdGU+PENpdGU+PEF1dGhvcj5HcmF5PC9BdXRob3I+PFllYXI+MjAxMTwvWWVhcj48UmVj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</w:fldData>
        </w:fldChar>
      </w:r>
      <w:r w:rsidR="00002D19">
        <w:instrText xml:space="preserve"> ADDIN EN.CITE </w:instrText>
      </w:r>
      <w:r w:rsidR="00002D19">
        <w:fldChar w:fldCharType="begin">
          <w:fldData xml:space="preserve">PEVuZE5vdGU+PENpdGU+PEF1dGhvcj5HcmF5PC9BdXRob3I+PFllYXI+MjAxMTwvWWVhcj48UmVj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</w:fldData>
        </w:fldChar>
      </w:r>
      <w:r w:rsidR="00002D19">
        <w:instrText xml:space="preserve"> ADDIN EN.CITE.DATA </w:instrText>
      </w:r>
      <w:r w:rsidR="00002D19">
        <w:fldChar w:fldCharType="end"/>
      </w:r>
      <w:r w:rsidR="0079592F" w:rsidRPr="00E26D55">
        <w:fldChar w:fldCharType="separate"/>
      </w:r>
      <w:r w:rsidR="00002D19">
        <w:rPr>
          <w:noProof/>
        </w:rPr>
        <w:t>(</w:t>
      </w:r>
      <w:hyperlink w:anchor="_ENREF_43" w:tooltip="Gray, 2011 #125" w:history="1">
        <w:r w:rsidR="006A749C">
          <w:rPr>
            <w:noProof/>
          </w:rPr>
          <w:t>Gray et al. 2011</w:t>
        </w:r>
      </w:hyperlink>
      <w:r w:rsidR="00002D19">
        <w:rPr>
          <w:noProof/>
        </w:rPr>
        <w:t xml:space="preserve">; </w:t>
      </w:r>
      <w:hyperlink w:anchor="_ENREF_69" w:tooltip="Vanstraelen, 2012 #124" w:history="1">
        <w:r w:rsidR="006A749C">
          <w:rPr>
            <w:noProof/>
          </w:rPr>
          <w:t>Vanstraelen et al. 2012</w:t>
        </w:r>
      </w:hyperlink>
      <w:r w:rsidR="00002D19">
        <w:rPr>
          <w:noProof/>
        </w:rPr>
        <w:t xml:space="preserve">; </w:t>
      </w:r>
      <w:hyperlink w:anchor="_ENREF_23" w:tooltip="Christensen, 2014 #149" w:history="1">
        <w:r w:rsidR="006A749C">
          <w:rPr>
            <w:noProof/>
          </w:rPr>
          <w:t>Christensen et al. 2014</w:t>
        </w:r>
      </w:hyperlink>
      <w:r w:rsidR="00002D19">
        <w:rPr>
          <w:noProof/>
        </w:rPr>
        <w:t xml:space="preserve">; </w:t>
      </w:r>
      <w:hyperlink w:anchor="_ENREF_49" w:tooltip="Kachelmeier, 2014 #349" w:history="1">
        <w:r w:rsidR="006A749C">
          <w:rPr>
            <w:noProof/>
          </w:rPr>
          <w:t>Kachelmeier et al. 2014</w:t>
        </w:r>
      </w:hyperlink>
      <w:r w:rsidR="00002D19">
        <w:rPr>
          <w:noProof/>
        </w:rPr>
        <w:t>)</w:t>
      </w:r>
      <w:r w:rsidR="0079592F" w:rsidRPr="00E26D55">
        <w:fldChar w:fldCharType="end"/>
      </w:r>
      <w:r w:rsidR="00667CAC" w:rsidRPr="00E26D55">
        <w:t xml:space="preserve">, the lack of actual regulatory change has been a major limitation in the examination of the effects of these reforms on financial statement users. </w:t>
      </w:r>
    </w:p>
    <w:p w14:paraId="6F874774" w14:textId="625E6386" w:rsidR="005D4263" w:rsidRPr="00E26D55" w:rsidRDefault="00CC1A39" w:rsidP="00740FB9">
      <w:pPr>
        <w:widowControl w:val="0"/>
        <w:spacing w:line="480" w:lineRule="auto"/>
        <w:ind w:firstLine="720"/>
        <w:jc w:val="both"/>
      </w:pPr>
      <w:r w:rsidRPr="00E26D55">
        <w:t xml:space="preserve">As former </w:t>
      </w:r>
      <w:r w:rsidR="00435635">
        <w:t>Financial Accounting Standards Board (</w:t>
      </w:r>
      <w:r w:rsidRPr="00E26D55">
        <w:t>FASB</w:t>
      </w:r>
      <w:r w:rsidR="00435635">
        <w:t>)</w:t>
      </w:r>
      <w:r w:rsidRPr="00E26D55">
        <w:t xml:space="preserve"> Chairman Dennis Beresford stated in his comment letter to the PCAOB, “once you have real world examples…then, it should be imperative to test how users would react to those disclosures and see if they would actually find them beneficial” </w:t>
      </w:r>
      <w:r w:rsidRPr="00E26D55">
        <w:fldChar w:fldCharType="begin"/>
      </w:r>
      <w:r w:rsidRPr="00E26D55">
        <w:instrText xml:space="preserve"> ADDIN EN.CITE &lt;EndNote&gt;&lt;Cite&gt;&lt;Author&gt;Beresford&lt;/Author&gt;&lt;Year&gt;2013&lt;/Year&gt;&lt;RecNum&gt;178&lt;/RecNum&gt;&lt;DisplayText&gt;(Beresford 2013)&lt;/DisplayText&gt;&lt;record&gt;&lt;rec-number&gt;178&lt;/rec-number&gt;&lt;foreign-keys&gt;&lt;key app="EN" db-id="frdsfrdx0zpts8ex5pfvfda4s9srzrvrxd9z" timestamp="1397502927"&gt;178&lt;/key&gt;&lt;key app="ENWeb" db-id=""&gt;0&lt;/key&gt;&lt;/foreign-keys&gt;&lt;ref-type name="Journal Article"&gt;17&lt;/ref-type&gt;&lt;contributors&gt;&lt;authors&gt;&lt;author&gt;Beresford, Dennis R.&lt;/author&gt;&lt;/authors&gt;&lt;/contributors&gt;&lt;titles&gt;&lt;title&gt;Comment Letter on PCAOB Rule Making Docket Matter No. 34: Proposed Auditing Standards on the Auditor&amp;apos;s Report and the Auditor&amp;apos;s Responsibilities Regarding Other Information and Related Amendments.&lt;/title&gt;&lt;/titles&gt;&lt;dates&gt;&lt;year&gt;2013&lt;/year&gt;&lt;pub-dates&gt;&lt;date&gt;October 11&lt;/date&gt;&lt;/pub-dates&gt;&lt;/dates&gt;&lt;urls&gt;&lt;related-urls&gt;&lt;url&gt;http://pcaobus.org/Rules/Rulemaking/Docket034/006b_DBeresford.pdf&lt;/url&gt;&lt;/related-urls&gt;&lt;/urls&gt;&lt;/record&gt;&lt;/Cite&gt;&lt;/EndNote&gt;</w:instrText>
      </w:r>
      <w:r w:rsidRPr="00E26D55">
        <w:fldChar w:fldCharType="separate"/>
      </w:r>
      <w:r w:rsidRPr="00E26D55">
        <w:rPr>
          <w:noProof/>
        </w:rPr>
        <w:t>(</w:t>
      </w:r>
      <w:hyperlink w:anchor="_ENREF_7" w:tooltip="Beresford, 2013 #178" w:history="1">
        <w:r w:rsidR="006A749C" w:rsidRPr="00E26D55">
          <w:rPr>
            <w:noProof/>
          </w:rPr>
          <w:t>Beresford 2013</w:t>
        </w:r>
      </w:hyperlink>
      <w:r w:rsidRPr="00E26D55">
        <w:rPr>
          <w:noProof/>
        </w:rPr>
        <w:t>)</w:t>
      </w:r>
      <w:r w:rsidRPr="00E26D55">
        <w:fldChar w:fldCharType="end"/>
      </w:r>
      <w:r w:rsidRPr="00E26D55">
        <w:t>. This study uses the “real world examp</w:t>
      </w:r>
      <w:r w:rsidR="00FE3E81">
        <w:t>les” provided by the United Kingdom</w:t>
      </w:r>
      <w:r w:rsidRPr="00E26D55">
        <w:t xml:space="preserve">’s reporting changes to </w:t>
      </w:r>
      <w:r w:rsidR="00477245">
        <w:t xml:space="preserve">examine the impact of </w:t>
      </w:r>
      <w:r w:rsidR="00740FB9">
        <w:t>additional disclosures</w:t>
      </w:r>
      <w:r w:rsidR="00477245">
        <w:t xml:space="preserve"> on financial statement users</w:t>
      </w:r>
      <w:r w:rsidR="00FE3E81">
        <w:t>.</w:t>
      </w:r>
      <w:r w:rsidR="00AE7793">
        <w:t xml:space="preserve"> </w:t>
      </w:r>
      <w:r w:rsidR="003F25DF">
        <w:t>Specifically</w:t>
      </w:r>
      <w:r w:rsidR="00C844FE" w:rsidRPr="00E26D55">
        <w:t>,</w:t>
      </w:r>
      <w:r w:rsidR="005D4263" w:rsidRPr="00E26D55">
        <w:t xml:space="preserve"> </w:t>
      </w:r>
      <w:r w:rsidR="00C844FE" w:rsidRPr="00E26D55">
        <w:t xml:space="preserve">I examine </w:t>
      </w:r>
      <w:r w:rsidR="005D4263" w:rsidRPr="00E26D55">
        <w:t xml:space="preserve">the Financial Reporting Council’s (FRC) issuance of changes to the U.K. Corporate Governance Code, its Guidance for Audit Committees, and the International Standards on Auditing (U.K. and Ireland). The regulatory changes, which became effective for financial </w:t>
      </w:r>
      <w:r w:rsidR="00F93EBC">
        <w:t xml:space="preserve">statement </w:t>
      </w:r>
      <w:r w:rsidR="005D4263" w:rsidRPr="00E26D55">
        <w:t>years beginning on or after October 1, 2012, stipulate that audit committees must include in their report, among other disclosures, the significant financial statement issues that the committee considered and how they addressed</w:t>
      </w:r>
      <w:r w:rsidR="009C25A0">
        <w:t xml:space="preserve"> </w:t>
      </w:r>
      <w:r w:rsidR="005D4263" w:rsidRPr="00E26D55">
        <w:t>these issues</w:t>
      </w:r>
      <w:r w:rsidR="00FF48A4" w:rsidRPr="00E26D55">
        <w:t xml:space="preserve"> </w:t>
      </w:r>
      <w:r w:rsidR="0079592F" w:rsidRPr="00E26D55">
        <w:fldChar w:fldCharType="begin"/>
      </w:r>
      <w:r w:rsidR="00716620" w:rsidRPr="00E26D55">
        <w:instrText xml:space="preserve"> ADDIN EN.CITE &lt;EndNote&gt;&lt;Cite&gt;&lt;Author&gt;FRC&lt;/Author&gt;&lt;Year&gt;2012&lt;/Year&gt;&lt;RecNum&gt;128&lt;/RecNum&gt;&lt;DisplayText&gt;(FRC 2012b)&lt;/DisplayText&gt;&lt;record&gt;&lt;rec-number&gt;128&lt;/rec-number&gt;&lt;foreign-keys&gt;&lt;key app="EN" db-id="frdsfrdx0zpts8ex5pfvfda4s9srzrvrxd9z" timestamp="1397433865"&gt;128&lt;/key&gt;&lt;key app="ENWeb" db-id=""&gt;0&lt;/key&gt;&lt;/foreign-keys&gt;&lt;ref-type name="Journal Article"&gt;17&lt;/ref-type&gt;&lt;contributors&gt;&lt;authors&gt;&lt;author&gt;FRC&lt;/author&gt;&lt;/authors&gt;&lt;/contributors&gt;&lt;titles&gt;&lt;title&gt;The UK Corporate Governance Code&lt;/title&gt;&lt;/titles&gt;&lt;volume&gt;Revised September 2012&lt;/volume&gt;&lt;dates&gt;&lt;year&gt;2012&lt;/year&gt;&lt;pub-dates&gt;&lt;date&gt;September 2012&lt;/date&gt;&lt;/pub-dates&gt;&lt;/dates&gt;&lt;urls&gt;&lt;related-urls&gt;&lt;url&gt;https://www.frc.org.uk/Our-Work/Publications/Corporate-Governance/UK-Corporate-Governance-Code-September-2012.aspx&lt;/url&gt;&lt;/related-urls&gt;&lt;/urls&gt;&lt;/record&gt;&lt;/Cite&gt;&lt;/EndNote&gt;</w:instrText>
      </w:r>
      <w:r w:rsidR="0079592F" w:rsidRPr="00E26D55">
        <w:fldChar w:fldCharType="separate"/>
      </w:r>
      <w:r w:rsidR="00104AD7" w:rsidRPr="00E26D55">
        <w:rPr>
          <w:noProof/>
        </w:rPr>
        <w:t>(</w:t>
      </w:r>
      <w:hyperlink w:anchor="_ENREF_39" w:tooltip="FRC, 2012 #128" w:history="1">
        <w:r w:rsidR="006A749C" w:rsidRPr="00E26D55">
          <w:rPr>
            <w:noProof/>
          </w:rPr>
          <w:t>FRC 2012b</w:t>
        </w:r>
      </w:hyperlink>
      <w:r w:rsidR="00104AD7" w:rsidRPr="00E26D55">
        <w:rPr>
          <w:noProof/>
        </w:rPr>
        <w:t>)</w:t>
      </w:r>
      <w:r w:rsidR="0079592F" w:rsidRPr="00E26D55">
        <w:fldChar w:fldCharType="end"/>
      </w:r>
      <w:r w:rsidR="005D4263" w:rsidRPr="00E26D55">
        <w:t>.</w:t>
      </w:r>
      <w:r w:rsidR="00977B96" w:rsidRPr="00E26D55">
        <w:rPr>
          <w:rStyle w:val="FootnoteReference"/>
        </w:rPr>
        <w:footnoteReference w:id="2"/>
      </w:r>
      <w:r w:rsidR="005D4263" w:rsidRPr="00E26D55">
        <w:t xml:space="preserve"> Additionally, the FRC’s revisions to the International Standard on Auditing 700 (U</w:t>
      </w:r>
      <w:r w:rsidR="00FE3DAB" w:rsidRPr="00E26D55">
        <w:t>.</w:t>
      </w:r>
      <w:r w:rsidR="005D4263" w:rsidRPr="00E26D55">
        <w:t>K</w:t>
      </w:r>
      <w:r w:rsidR="00FE3DAB" w:rsidRPr="00E26D55">
        <w:t>.</w:t>
      </w:r>
      <w:r w:rsidR="005D4263" w:rsidRPr="00E26D55">
        <w:t xml:space="preserve"> and Ireland) instruct auditors to include the following important items in their reports: (1) a discussion of assessed risks of material misstatement, (2) information on the materiality threshold applied in </w:t>
      </w:r>
      <w:r w:rsidR="00B31998">
        <w:t>the</w:t>
      </w:r>
      <w:r w:rsidR="00B31998" w:rsidRPr="00E26D55">
        <w:t xml:space="preserve"> </w:t>
      </w:r>
      <w:r w:rsidR="005D4263" w:rsidRPr="00E26D55">
        <w:t>engagement, and (3) a description of the scope of the audit</w:t>
      </w:r>
      <w:r w:rsidR="008F5B3C" w:rsidRPr="00E26D55">
        <w:t xml:space="preserve"> </w:t>
      </w:r>
      <w:r w:rsidR="0079592F" w:rsidRPr="00E26D55">
        <w:fldChar w:fldCharType="begin"/>
      </w:r>
      <w:r w:rsidR="00CA39EF" w:rsidRPr="00E26D55">
        <w:instrText xml:space="preserve"> ADDIN EN.CITE &lt;EndNote&gt;&lt;Cite&gt;&lt;Author&gt;FRC&lt;/Author&gt;&lt;Year&gt;2013&lt;/Year&gt;&lt;RecNum&gt;126&lt;/RecNum&gt;&lt;DisplayText&gt;(FRC 2013)&lt;/DisplayText&gt;&lt;record&gt;&lt;rec-number&gt;126&lt;/rec-number&gt;&lt;foreign-keys&gt;&lt;key app="EN" db-id="frdsfrdx0zpts8ex5pfvfda4s9srzrvrxd9z" timestamp="1397433359"&gt;126&lt;/key&gt;&lt;key app="ENWeb" db-id=""&gt;0&lt;/key&gt;&lt;/foreign-keys&gt;&lt;ref-type name="Journal Article"&gt;17&lt;/ref-type&gt;&lt;contributors&gt;&lt;authors&gt;&lt;author&gt;FRC&lt;/author&gt;&lt;/authors&gt;&lt;/contributors&gt;&lt;titles&gt;&lt;title&gt;International Standard on Auditing (UK and Ireland) 700: The independent auditor&amp;apos;s report on financial statements&lt;/title&gt;&lt;/titles&gt;&lt;volume&gt;Revised June 2013&lt;/volume&gt;&lt;dates&gt;&lt;year&gt;2013&lt;/year&gt;&lt;pub-dates&gt;&lt;date&gt;June 2013&lt;/date&gt;&lt;/pub-dates&gt;&lt;/dates&gt;&lt;urls&gt;&lt;related-urls&gt;&lt;url&gt;http://www.frc.org.uk/Our-Work/Publications/Audit-and-Assurance-Team/ISA-700-%28UK-and-Ireland%29-700-%28Revised%29-File.pdf&lt;/url&gt;&lt;/related-urls&gt;&lt;/urls&gt;&lt;/record&gt;&lt;/Cite&gt;&lt;/EndNote&gt;</w:instrText>
      </w:r>
      <w:r w:rsidR="0079592F" w:rsidRPr="00E26D55">
        <w:fldChar w:fldCharType="separate"/>
      </w:r>
      <w:r w:rsidR="00CA39EF" w:rsidRPr="00E26D55">
        <w:rPr>
          <w:noProof/>
        </w:rPr>
        <w:t>(</w:t>
      </w:r>
      <w:hyperlink w:anchor="_ENREF_40" w:tooltip="FRC, 2013 #126" w:history="1">
        <w:r w:rsidR="006A749C" w:rsidRPr="00E26D55">
          <w:rPr>
            <w:noProof/>
          </w:rPr>
          <w:t>FRC 2013</w:t>
        </w:r>
      </w:hyperlink>
      <w:r w:rsidR="00CA39EF" w:rsidRPr="00E26D55">
        <w:rPr>
          <w:noProof/>
        </w:rPr>
        <w:t>)</w:t>
      </w:r>
      <w:r w:rsidR="0079592F" w:rsidRPr="00E26D55">
        <w:fldChar w:fldCharType="end"/>
      </w:r>
      <w:r w:rsidR="005D4263" w:rsidRPr="00E26D55">
        <w:t>.</w:t>
      </w:r>
    </w:p>
    <w:p w14:paraId="1C32884E" w14:textId="6EAA4781" w:rsidR="007C4CFC" w:rsidRPr="00E26D55" w:rsidRDefault="00071E77" w:rsidP="001853E3">
      <w:pPr>
        <w:widowControl w:val="0"/>
        <w:spacing w:line="480" w:lineRule="auto"/>
        <w:ind w:firstLine="720"/>
        <w:jc w:val="both"/>
      </w:pPr>
      <w:r w:rsidRPr="00E26D55">
        <w:t>I</w:t>
      </w:r>
      <w:r w:rsidR="002232CB">
        <w:t>n this study, I</w:t>
      </w:r>
      <w:r w:rsidRPr="00E26D55">
        <w:t xml:space="preserve"> </w:t>
      </w:r>
      <w:r w:rsidR="002B098D">
        <w:t xml:space="preserve">empirically examine whether </w:t>
      </w:r>
      <w:r w:rsidR="007042B4">
        <w:t>new</w:t>
      </w:r>
      <w:r w:rsidR="002232CB">
        <w:t xml:space="preserve"> audit committee and auditor </w:t>
      </w:r>
      <w:r w:rsidR="005015CB">
        <w:t>reporting requirements</w:t>
      </w:r>
      <w:r w:rsidR="00963374" w:rsidRPr="00E26D55">
        <w:t xml:space="preserve"> </w:t>
      </w:r>
      <w:r w:rsidR="002232CB">
        <w:t xml:space="preserve">fulfill </w:t>
      </w:r>
      <w:r w:rsidR="00CE6B0A">
        <w:t>the</w:t>
      </w:r>
      <w:r w:rsidR="00963374" w:rsidRPr="00E26D55">
        <w:t xml:space="preserve"> intended benefit of </w:t>
      </w:r>
      <w:r w:rsidR="00112D93" w:rsidRPr="00E26D55">
        <w:t>delivering</w:t>
      </w:r>
      <w:r w:rsidR="00963374" w:rsidRPr="00E26D55">
        <w:t xml:space="preserve"> more information to stakeholders</w:t>
      </w:r>
      <w:r w:rsidR="002E3995">
        <w:t xml:space="preserve"> by exploiting the exogenous shock created by the U.K. reporting changes</w:t>
      </w:r>
      <w:r w:rsidR="00963374" w:rsidRPr="00E26D55">
        <w:t>.</w:t>
      </w:r>
      <w:r w:rsidR="007C4CFC" w:rsidRPr="00E26D55">
        <w:t xml:space="preserve"> </w:t>
      </w:r>
      <w:r w:rsidR="00B04E31" w:rsidRPr="00E26D55">
        <w:t>Prior literature finds that greater overall disclosure requirements</w:t>
      </w:r>
      <w:r w:rsidR="00F02460">
        <w:t xml:space="preserve"> as well as more specific disclosures in annual </w:t>
      </w:r>
      <w:r w:rsidR="00BC2964">
        <w:t>reports</w:t>
      </w:r>
      <w:r w:rsidR="00B04E31" w:rsidRPr="00E26D55">
        <w:t xml:space="preserve"> are associated with decreases in information asymmetry </w:t>
      </w:r>
      <w:r w:rsidR="00B04E31" w:rsidRPr="00E26D55">
        <w:fldChar w:fldCharType="begin">
          <w:fldData xml:space="preserve">PEVuZE5vdGU+PENpdGU+PEF1dGhvcj5Cb3Rvc2FuPC9BdXRob3I+PFllYXI+MTk5NzwvWWVhcj48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==
</w:fldData>
        </w:fldChar>
      </w:r>
      <w:r w:rsidR="00205750">
        <w:instrText xml:space="preserve"> ADDIN EN.CITE </w:instrText>
      </w:r>
      <w:r w:rsidR="00205750">
        <w:fldChar w:fldCharType="begin">
          <w:fldData xml:space="preserve">PEVuZE5vdGU+PENpdGU+PEF1dGhvcj5Cb3Rvc2FuPC9BdXRob3I+PFllYXI+MTk5NzwvWWVhcj48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==
</w:fldData>
        </w:fldChar>
      </w:r>
      <w:r w:rsidR="00205750">
        <w:instrText xml:space="preserve"> ADDIN EN.CITE.DATA </w:instrText>
      </w:r>
      <w:r w:rsidR="00205750">
        <w:fldChar w:fldCharType="end"/>
      </w:r>
      <w:r w:rsidR="00B04E31" w:rsidRPr="00E26D55">
        <w:fldChar w:fldCharType="separate"/>
      </w:r>
      <w:r w:rsidR="00205750">
        <w:rPr>
          <w:noProof/>
        </w:rPr>
        <w:t>(</w:t>
      </w:r>
      <w:hyperlink w:anchor="_ENREF_10" w:tooltip="Botosan, 1997 #344" w:history="1">
        <w:r w:rsidR="006A749C">
          <w:rPr>
            <w:noProof/>
          </w:rPr>
          <w:t>Botosan 1997</w:t>
        </w:r>
      </w:hyperlink>
      <w:r w:rsidR="00205750">
        <w:rPr>
          <w:noProof/>
        </w:rPr>
        <w:t xml:space="preserve">; </w:t>
      </w:r>
      <w:hyperlink w:anchor="_ENREF_54" w:tooltip="Leuz, 2000 #120" w:history="1">
        <w:r w:rsidR="006A749C">
          <w:rPr>
            <w:noProof/>
          </w:rPr>
          <w:t>Leuz and Verrecchia 2000</w:t>
        </w:r>
      </w:hyperlink>
      <w:r w:rsidR="00205750">
        <w:rPr>
          <w:noProof/>
        </w:rPr>
        <w:t xml:space="preserve">; </w:t>
      </w:r>
      <w:hyperlink w:anchor="_ENREF_44" w:tooltip="Hail, 2006 #51" w:history="1">
        <w:r w:rsidR="006A749C">
          <w:rPr>
            <w:noProof/>
          </w:rPr>
          <w:t>Hail and Leuz 2006</w:t>
        </w:r>
      </w:hyperlink>
      <w:r w:rsidR="00205750">
        <w:rPr>
          <w:noProof/>
        </w:rPr>
        <w:t xml:space="preserve">; </w:t>
      </w:r>
      <w:hyperlink w:anchor="_ENREF_30" w:tooltip="De Franco, 2011 #110" w:history="1">
        <w:r w:rsidR="006A749C">
          <w:rPr>
            <w:noProof/>
          </w:rPr>
          <w:t>De Franco et al. 2011</w:t>
        </w:r>
      </w:hyperlink>
      <w:r w:rsidR="00205750">
        <w:rPr>
          <w:noProof/>
        </w:rPr>
        <w:t xml:space="preserve">; </w:t>
      </w:r>
      <w:hyperlink w:anchor="_ENREF_53" w:tooltip="Lang, 2012 #121" w:history="1">
        <w:r w:rsidR="006A749C">
          <w:rPr>
            <w:noProof/>
          </w:rPr>
          <w:t>Lang et al. 2012</w:t>
        </w:r>
      </w:hyperlink>
      <w:r w:rsidR="00205750">
        <w:rPr>
          <w:noProof/>
        </w:rPr>
        <w:t xml:space="preserve">; </w:t>
      </w:r>
      <w:hyperlink w:anchor="_ENREF_13" w:tooltip="Campbell, 2014 #103" w:history="1">
        <w:r w:rsidR="006A749C">
          <w:rPr>
            <w:noProof/>
          </w:rPr>
          <w:t>Campbell et al. 2014</w:t>
        </w:r>
      </w:hyperlink>
      <w:r w:rsidR="00205750">
        <w:rPr>
          <w:noProof/>
        </w:rPr>
        <w:t>)</w:t>
      </w:r>
      <w:r w:rsidR="00B04E31" w:rsidRPr="00E26D55">
        <w:fldChar w:fldCharType="end"/>
      </w:r>
      <w:r w:rsidR="00D96677" w:rsidRPr="00E26D55">
        <w:t xml:space="preserve">. Based on this research, it is feasible that </w:t>
      </w:r>
      <w:r w:rsidR="00CB683A" w:rsidRPr="00E26D55">
        <w:t xml:space="preserve">enhanced audit committee and auditor disclosures could reduce information asymmetry by </w:t>
      </w:r>
      <w:r w:rsidR="0002388C">
        <w:t>providing new and useful information to investors</w:t>
      </w:r>
      <w:r w:rsidR="0012699C">
        <w:t>.</w:t>
      </w:r>
      <w:r w:rsidR="00C40CB8" w:rsidRPr="00202A14">
        <w:rPr>
          <w:rStyle w:val="FootnoteReference"/>
        </w:rPr>
        <w:footnoteReference w:id="3"/>
      </w:r>
      <w:r w:rsidR="00202A14" w:rsidRPr="00202A14">
        <w:rPr>
          <w:vertAlign w:val="superscript"/>
        </w:rPr>
        <w:t>,</w:t>
      </w:r>
      <w:r w:rsidR="00D372DB">
        <w:rPr>
          <w:rStyle w:val="FootnoteReference"/>
        </w:rPr>
        <w:footnoteReference w:id="4"/>
      </w:r>
      <w:r w:rsidR="00CB683A" w:rsidRPr="00E26D55">
        <w:t xml:space="preserve"> </w:t>
      </w:r>
      <w:r w:rsidR="0099666A" w:rsidRPr="004857CB">
        <w:t xml:space="preserve">It, however, is also possible that </w:t>
      </w:r>
      <w:r w:rsidR="002E2F86">
        <w:t>investors could view the new disclosures</w:t>
      </w:r>
      <w:r w:rsidR="00F811DB">
        <w:t xml:space="preserve"> </w:t>
      </w:r>
      <w:r w:rsidR="004857CB">
        <w:t xml:space="preserve">as unnecessary in their evaluation of a company or suffer from </w:t>
      </w:r>
      <w:r w:rsidR="00943B2B" w:rsidRPr="004857CB">
        <w:t>“information overload”</w:t>
      </w:r>
      <w:r w:rsidR="004857CB">
        <w:t xml:space="preserve"> and decide not to process the </w:t>
      </w:r>
      <w:r w:rsidR="004857CB" w:rsidRPr="00D32743">
        <w:t>disclosures</w:t>
      </w:r>
      <w:r w:rsidR="00943B2B" w:rsidRPr="00D32743">
        <w:t xml:space="preserve"> </w:t>
      </w:r>
      <w:r w:rsidR="00943B2B" w:rsidRPr="00D32743">
        <w:fldChar w:fldCharType="begin">
          <w:fldData xml:space="preserve">PEVuZE5vdGU+PENpdGU+PEF1dGhvcj5Zb3U8L0F1dGhvcj48WWVhcj4yMDA4PC9ZZWFyPjxSZWNO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</w:fldData>
        </w:fldChar>
      </w:r>
      <w:r w:rsidR="00E06FE3">
        <w:instrText xml:space="preserve"> ADDIN EN.CITE </w:instrText>
      </w:r>
      <w:r w:rsidR="00E06FE3">
        <w:fldChar w:fldCharType="begin">
          <w:fldData xml:space="preserve">PEVuZE5vdGU+PENpdGU+PEF1dGhvcj5Zb3U8L0F1dGhvcj48WWVhcj4yMDA4PC9ZZWFyPjxSZWNO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</w:fldData>
        </w:fldChar>
      </w:r>
      <w:r w:rsidR="00E06FE3">
        <w:instrText xml:space="preserve"> ADDIN EN.CITE.DATA </w:instrText>
      </w:r>
      <w:r w:rsidR="00E06FE3">
        <w:fldChar w:fldCharType="end"/>
      </w:r>
      <w:r w:rsidR="00943B2B" w:rsidRPr="00D32743">
        <w:fldChar w:fldCharType="separate"/>
      </w:r>
      <w:r w:rsidR="00E06FE3">
        <w:rPr>
          <w:noProof/>
        </w:rPr>
        <w:t>(</w:t>
      </w:r>
      <w:hyperlink w:anchor="_ENREF_74" w:tooltip="You, 2008 #42" w:history="1">
        <w:r w:rsidR="006A749C">
          <w:rPr>
            <w:noProof/>
          </w:rPr>
          <w:t>You and Zhang 2008</w:t>
        </w:r>
      </w:hyperlink>
      <w:r w:rsidR="00E06FE3">
        <w:rPr>
          <w:noProof/>
        </w:rPr>
        <w:t xml:space="preserve">; </w:t>
      </w:r>
      <w:hyperlink w:anchor="_ENREF_56" w:tooltip="Miller, 2010 #163" w:history="1">
        <w:r w:rsidR="006A749C">
          <w:rPr>
            <w:noProof/>
          </w:rPr>
          <w:t>Miller 2010</w:t>
        </w:r>
      </w:hyperlink>
      <w:r w:rsidR="00E06FE3">
        <w:rPr>
          <w:noProof/>
        </w:rPr>
        <w:t xml:space="preserve">; </w:t>
      </w:r>
      <w:hyperlink w:anchor="_ENREF_19" w:tooltip="Cardiff, 2013 #365" w:history="1">
        <w:r w:rsidR="006A749C">
          <w:rPr>
            <w:noProof/>
          </w:rPr>
          <w:t>Cardiff 2013</w:t>
        </w:r>
      </w:hyperlink>
      <w:r w:rsidR="00E06FE3">
        <w:rPr>
          <w:noProof/>
        </w:rPr>
        <w:t xml:space="preserve">; </w:t>
      </w:r>
      <w:hyperlink w:anchor="_ENREF_21" w:tooltip="Cates, 2013 #364" w:history="1">
        <w:r w:rsidR="006A749C">
          <w:rPr>
            <w:noProof/>
          </w:rPr>
          <w:t>Cates 2013</w:t>
        </w:r>
      </w:hyperlink>
      <w:r w:rsidR="00E06FE3">
        <w:rPr>
          <w:noProof/>
        </w:rPr>
        <w:t xml:space="preserve">; </w:t>
      </w:r>
      <w:hyperlink w:anchor="_ENREF_42" w:tooltip="Goff, 2013 #363" w:history="1">
        <w:r w:rsidR="006A749C">
          <w:rPr>
            <w:noProof/>
          </w:rPr>
          <w:t>Goff 2013</w:t>
        </w:r>
      </w:hyperlink>
      <w:r w:rsidR="00E06FE3">
        <w:rPr>
          <w:noProof/>
        </w:rPr>
        <w:t xml:space="preserve">; </w:t>
      </w:r>
      <w:hyperlink w:anchor="_ENREF_70" w:tooltip="White, 2013 #181" w:history="1">
        <w:r w:rsidR="006A749C">
          <w:rPr>
            <w:noProof/>
          </w:rPr>
          <w:t>White 2013</w:t>
        </w:r>
      </w:hyperlink>
      <w:r w:rsidR="00E06FE3">
        <w:rPr>
          <w:noProof/>
        </w:rPr>
        <w:t>)</w:t>
      </w:r>
      <w:r w:rsidR="00943B2B" w:rsidRPr="00D32743">
        <w:fldChar w:fldCharType="end"/>
      </w:r>
      <w:r w:rsidR="001B219E" w:rsidRPr="004857CB">
        <w:t>.</w:t>
      </w:r>
      <w:r w:rsidR="001B219E" w:rsidRPr="00961880">
        <w:t xml:space="preserve"> </w:t>
      </w:r>
      <w:r w:rsidR="00961880" w:rsidRPr="00961880">
        <w:t>Given the call from</w:t>
      </w:r>
      <w:r w:rsidR="00961880">
        <w:t xml:space="preserve"> investors for increased disclosures from auditors and audit committees</w:t>
      </w:r>
      <w:r w:rsidR="00B1703A">
        <w:t xml:space="preserve"> </w:t>
      </w:r>
      <w:r w:rsidR="00B1703A">
        <w:fldChar w:fldCharType="begin">
          <w:fldData xml:space="preserve">PEVuZE5vdGU+PENpdGU+PEF1dGhvcj5DYXJjZWxsbzwvQXV0aG9yPjxZZWFyPjIwMTE8L1llYXI+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</w:fldData>
        </w:fldChar>
      </w:r>
      <w:r w:rsidR="00B1703A">
        <w:instrText xml:space="preserve"> ADDIN EN.CITE </w:instrText>
      </w:r>
      <w:r w:rsidR="00B1703A">
        <w:fldChar w:fldCharType="begin">
          <w:fldData xml:space="preserve">PEVuZE5vdGU+PENpdGU+PEF1dGhvcj5DYXJjZWxsbzwvQXV0aG9yPjxZZWFyPjIwMTE8L1llYXI+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</w:fldData>
        </w:fldChar>
      </w:r>
      <w:r w:rsidR="00B1703A">
        <w:instrText xml:space="preserve"> ADDIN EN.CITE.DATA </w:instrText>
      </w:r>
      <w:r w:rsidR="00B1703A">
        <w:fldChar w:fldCharType="end"/>
      </w:r>
      <w:r w:rsidR="00B1703A">
        <w:fldChar w:fldCharType="separate"/>
      </w:r>
      <w:r w:rsidR="00B1703A">
        <w:rPr>
          <w:noProof/>
        </w:rPr>
        <w:t>(</w:t>
      </w:r>
      <w:hyperlink w:anchor="_ENREF_15" w:tooltip="Carcello, 2011 #177" w:history="1">
        <w:r w:rsidR="006A749C">
          <w:rPr>
            <w:noProof/>
          </w:rPr>
          <w:t>Carcello et al. 2011a</w:t>
        </w:r>
      </w:hyperlink>
      <w:r w:rsidR="00B1703A">
        <w:rPr>
          <w:noProof/>
        </w:rPr>
        <w:t xml:space="preserve">; </w:t>
      </w:r>
      <w:hyperlink w:anchor="_ENREF_22" w:tooltip="CFA, 2011 #198" w:history="1">
        <w:r w:rsidR="006A749C">
          <w:rPr>
            <w:noProof/>
          </w:rPr>
          <w:t>CFA 2011</w:t>
        </w:r>
      </w:hyperlink>
      <w:r w:rsidR="00B1703A">
        <w:rPr>
          <w:noProof/>
        </w:rPr>
        <w:t xml:space="preserve">; </w:t>
      </w:r>
      <w:hyperlink w:anchor="_ENREF_43" w:tooltip="Gray, 2011 #125" w:history="1">
        <w:r w:rsidR="006A749C">
          <w:rPr>
            <w:noProof/>
          </w:rPr>
          <w:t>Gray et al. 2011</w:t>
        </w:r>
      </w:hyperlink>
      <w:r w:rsidR="00B1703A">
        <w:rPr>
          <w:noProof/>
        </w:rPr>
        <w:t xml:space="preserve">; </w:t>
      </w:r>
      <w:hyperlink w:anchor="_ENREF_58" w:tooltip="Mock, 2013 #140" w:history="1">
        <w:r w:rsidR="006A749C">
          <w:rPr>
            <w:noProof/>
          </w:rPr>
          <w:t>Mock et al. 2013</w:t>
        </w:r>
      </w:hyperlink>
      <w:r w:rsidR="00B1703A">
        <w:rPr>
          <w:noProof/>
        </w:rPr>
        <w:t xml:space="preserve">; </w:t>
      </w:r>
      <w:hyperlink w:anchor="_ENREF_63" w:tooltip="PCAOB, 2014 #317" w:history="1">
        <w:r w:rsidR="006A749C">
          <w:rPr>
            <w:noProof/>
          </w:rPr>
          <w:t>PCAOB 2014</w:t>
        </w:r>
      </w:hyperlink>
      <w:r w:rsidR="00B1703A">
        <w:rPr>
          <w:noProof/>
        </w:rPr>
        <w:t>)</w:t>
      </w:r>
      <w:r w:rsidR="00B1703A">
        <w:fldChar w:fldCharType="end"/>
      </w:r>
      <w:r w:rsidR="00961880">
        <w:t xml:space="preserve">, </w:t>
      </w:r>
      <w:r w:rsidR="00961880" w:rsidRPr="00E26D55">
        <w:t>I predict that</w:t>
      </w:r>
      <w:r w:rsidR="00961880">
        <w:t xml:space="preserve"> </w:t>
      </w:r>
      <w:r w:rsidR="00B1703A">
        <w:t xml:space="preserve">investors will find the new reports more useful and the greater transparency will </w:t>
      </w:r>
      <w:r w:rsidR="00B1703A" w:rsidRPr="00E26D55">
        <w:t>serve to reduce information asymmetry.</w:t>
      </w:r>
    </w:p>
    <w:p w14:paraId="0E435E57" w14:textId="37E053F0" w:rsidR="003C0609" w:rsidRPr="00E26D55" w:rsidRDefault="003336FA" w:rsidP="001853E3">
      <w:pPr>
        <w:widowControl w:val="0"/>
        <w:spacing w:line="480" w:lineRule="auto"/>
        <w:ind w:firstLine="720"/>
        <w:jc w:val="both"/>
      </w:pPr>
      <w:r w:rsidRPr="00E26D55">
        <w:t>Following</w:t>
      </w:r>
      <w:r w:rsidR="00A42BE7" w:rsidRPr="00E26D55">
        <w:t xml:space="preserve"> prior literature, </w:t>
      </w:r>
      <w:r w:rsidRPr="00E26D55">
        <w:t xml:space="preserve">I measure </w:t>
      </w:r>
      <w:r w:rsidR="0006566C">
        <w:t>information asymmetry</w:t>
      </w:r>
      <w:r w:rsidRPr="00E26D55">
        <w:t xml:space="preserve"> </w:t>
      </w:r>
      <w:r w:rsidR="00DF7563" w:rsidRPr="00E26D55">
        <w:t xml:space="preserve">using two proxies: </w:t>
      </w:r>
      <w:r w:rsidRPr="00E26D55">
        <w:t>abnormal trading volume</w:t>
      </w:r>
      <w:r w:rsidR="00A42BE7" w:rsidRPr="00E26D55">
        <w:t xml:space="preserve"> </w:t>
      </w:r>
      <w:r w:rsidR="0021490B" w:rsidRPr="00E26D55">
        <w:t xml:space="preserve">and </w:t>
      </w:r>
      <w:r w:rsidR="00DF7563" w:rsidRPr="00E26D55">
        <w:t xml:space="preserve">abnormal </w:t>
      </w:r>
      <w:r w:rsidR="0021490B" w:rsidRPr="00E26D55">
        <w:t xml:space="preserve">bid-ask spreads </w:t>
      </w:r>
      <w:r w:rsidR="00222229" w:rsidRPr="00E26D55">
        <w:fldChar w:fldCharType="begin">
          <w:fldData xml:space="preserve">PEVuZE5vdGU+PENpdGU+PEF1dGhvcj5MZXV6PC9BdXRob3I+PFllYXI+MjAwMDwvWWVhcj48UmVj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=
</w:fldData>
        </w:fldChar>
      </w:r>
      <w:r w:rsidR="00205750">
        <w:instrText xml:space="preserve"> ADDIN EN.CITE </w:instrText>
      </w:r>
      <w:r w:rsidR="00205750">
        <w:fldChar w:fldCharType="begin">
          <w:fldData xml:space="preserve">PEVuZE5vdGU+PENpdGU+PEF1dGhvcj5MZXV6PC9BdXRob3I+PFllYXI+MjAwMDwvWWVhcj48UmVj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=
</w:fldData>
        </w:fldChar>
      </w:r>
      <w:r w:rsidR="00205750">
        <w:instrText xml:space="preserve"> ADDIN EN.CITE.DATA </w:instrText>
      </w:r>
      <w:r w:rsidR="00205750">
        <w:fldChar w:fldCharType="end"/>
      </w:r>
      <w:r w:rsidR="00222229" w:rsidRPr="00E26D55">
        <w:fldChar w:fldCharType="separate"/>
      </w:r>
      <w:r w:rsidR="00205750">
        <w:rPr>
          <w:noProof/>
        </w:rPr>
        <w:t>(</w:t>
      </w:r>
      <w:hyperlink w:anchor="_ENREF_54" w:tooltip="Leuz, 2000 #120" w:history="1">
        <w:r w:rsidR="006A749C">
          <w:rPr>
            <w:noProof/>
          </w:rPr>
          <w:t>Leuz and Verrecchia 2000</w:t>
        </w:r>
      </w:hyperlink>
      <w:r w:rsidR="00205750">
        <w:rPr>
          <w:noProof/>
        </w:rPr>
        <w:t xml:space="preserve">; </w:t>
      </w:r>
      <w:hyperlink w:anchor="_ENREF_31" w:tooltip="DeFond, 2007 #102" w:history="1">
        <w:r w:rsidR="006A749C">
          <w:rPr>
            <w:noProof/>
          </w:rPr>
          <w:t>DeFond et al. 2007</w:t>
        </w:r>
      </w:hyperlink>
      <w:r w:rsidR="00205750">
        <w:rPr>
          <w:noProof/>
        </w:rPr>
        <w:t xml:space="preserve">; </w:t>
      </w:r>
      <w:hyperlink w:anchor="_ENREF_12" w:tooltip="Bushee, 2010 #343" w:history="1">
        <w:r w:rsidR="006A749C">
          <w:rPr>
            <w:noProof/>
          </w:rPr>
          <w:t>Bushee et al. 2010</w:t>
        </w:r>
      </w:hyperlink>
      <w:r w:rsidR="00205750">
        <w:rPr>
          <w:noProof/>
        </w:rPr>
        <w:t xml:space="preserve">; </w:t>
      </w:r>
      <w:hyperlink w:anchor="_ENREF_52" w:tooltip="Landsman, 2012 #99" w:history="1">
        <w:r w:rsidR="006A749C">
          <w:rPr>
            <w:noProof/>
          </w:rPr>
          <w:t>Landsman et al. 2012</w:t>
        </w:r>
      </w:hyperlink>
      <w:r w:rsidR="00205750">
        <w:rPr>
          <w:noProof/>
        </w:rPr>
        <w:t xml:space="preserve">; </w:t>
      </w:r>
      <w:hyperlink w:anchor="_ENREF_9" w:tooltip="Blankespoor, 2014 #342" w:history="1">
        <w:r w:rsidR="006A749C">
          <w:rPr>
            <w:noProof/>
          </w:rPr>
          <w:t>Blankespoor et al. 2014</w:t>
        </w:r>
      </w:hyperlink>
      <w:r w:rsidR="00205750">
        <w:rPr>
          <w:noProof/>
        </w:rPr>
        <w:t>)</w:t>
      </w:r>
      <w:r w:rsidR="00222229" w:rsidRPr="00E26D55">
        <w:fldChar w:fldCharType="end"/>
      </w:r>
      <w:r w:rsidRPr="00E26D55">
        <w:t>.</w:t>
      </w:r>
      <w:r w:rsidR="00A04834">
        <w:rPr>
          <w:rStyle w:val="FootnoteReference"/>
        </w:rPr>
        <w:footnoteReference w:id="5"/>
      </w:r>
      <w:r w:rsidRPr="00E26D55">
        <w:t xml:space="preserve"> </w:t>
      </w:r>
      <w:r w:rsidR="00274C5D" w:rsidRPr="00E26D55">
        <w:t xml:space="preserve">A reduction in information asymmetry would be indicated by an increase in abnormal trading volume and a decrease in abnormal bid-ask spreads. </w:t>
      </w:r>
      <w:r w:rsidR="00F318A1" w:rsidRPr="00E26D55">
        <w:t xml:space="preserve">In the U.K., </w:t>
      </w:r>
      <w:r w:rsidR="000F73E5">
        <w:t>earnings announcements are</w:t>
      </w:r>
      <w:r w:rsidR="00214514" w:rsidRPr="00E26D55">
        <w:t xml:space="preserve"> typically released several weeks befor</w:t>
      </w:r>
      <w:r w:rsidR="0068754D">
        <w:t>e the annual report and include</w:t>
      </w:r>
      <w:r w:rsidR="00214514" w:rsidRPr="00E26D55">
        <w:t xml:space="preserve"> substantially the same information as the annual report with the exception of the audit committee and auditor reports.</w:t>
      </w:r>
      <w:r w:rsidR="00214514" w:rsidRPr="00E26D55">
        <w:rPr>
          <w:rStyle w:val="FootnoteReference"/>
        </w:rPr>
        <w:footnoteReference w:id="6"/>
      </w:r>
      <w:r w:rsidR="00F318A1" w:rsidRPr="00E26D55">
        <w:t xml:space="preserve"> </w:t>
      </w:r>
      <w:r w:rsidR="00B84C0D" w:rsidRPr="00E26D55">
        <w:t xml:space="preserve">I therefore </w:t>
      </w:r>
      <w:r w:rsidR="00457210" w:rsidRPr="00E26D55">
        <w:t>compare</w:t>
      </w:r>
      <w:r w:rsidR="00291C4E">
        <w:t xml:space="preserve"> </w:t>
      </w:r>
      <w:r w:rsidR="000E2352">
        <w:t>abnormal trading volume and bid-ask spreads</w:t>
      </w:r>
      <w:r w:rsidR="003C0609" w:rsidRPr="00E26D55">
        <w:t xml:space="preserve"> </w:t>
      </w:r>
      <w:r w:rsidR="00457210" w:rsidRPr="00E26D55">
        <w:t xml:space="preserve">around the annual report issuance </w:t>
      </w:r>
      <w:r w:rsidR="003C0609" w:rsidRPr="00E26D55">
        <w:t>from the period prior to the regulatory reform to the initial implementati</w:t>
      </w:r>
      <w:r w:rsidR="005D646C" w:rsidRPr="00E26D55">
        <w:t>on year</w:t>
      </w:r>
      <w:r w:rsidR="000E2352">
        <w:t xml:space="preserve"> for each firm</w:t>
      </w:r>
      <w:r w:rsidR="00E267BA">
        <w:t>. This design allows for the isolation</w:t>
      </w:r>
      <w:r w:rsidR="005D646C" w:rsidRPr="00E26D55">
        <w:t xml:space="preserve"> </w:t>
      </w:r>
      <w:r w:rsidR="00E267BA">
        <w:t>of the</w:t>
      </w:r>
      <w:r w:rsidR="005D646C" w:rsidRPr="00E26D55">
        <w:t xml:space="preserve"> change in information asymmetry attributable to the </w:t>
      </w:r>
      <w:r w:rsidR="003839C4">
        <w:t>new</w:t>
      </w:r>
      <w:r w:rsidR="005D646C" w:rsidRPr="00E26D55">
        <w:t xml:space="preserve"> </w:t>
      </w:r>
      <w:r w:rsidR="003C0609" w:rsidRPr="00E26D55">
        <w:t xml:space="preserve">audit committee and auditor </w:t>
      </w:r>
      <w:r w:rsidR="005D646C" w:rsidRPr="00E26D55">
        <w:t>disclosure</w:t>
      </w:r>
      <w:r w:rsidR="0017219C" w:rsidRPr="00E26D55">
        <w:t>s</w:t>
      </w:r>
      <w:r w:rsidR="003C0609" w:rsidRPr="00E26D55">
        <w:t xml:space="preserve">. </w:t>
      </w:r>
    </w:p>
    <w:p w14:paraId="201F8686" w14:textId="378F01B5" w:rsidR="00250F7B" w:rsidRDefault="0013096E" w:rsidP="00C47FA9">
      <w:pPr>
        <w:widowControl w:val="0"/>
        <w:spacing w:line="480" w:lineRule="auto"/>
        <w:ind w:firstLine="720"/>
        <w:contextualSpacing/>
        <w:jc w:val="both"/>
      </w:pPr>
      <w:r w:rsidRPr="00E26D55">
        <w:t>In an analysis of</w:t>
      </w:r>
      <w:r w:rsidR="002162FD" w:rsidRPr="00E26D55">
        <w:t xml:space="preserve"> U.K. firms mandated to c</w:t>
      </w:r>
      <w:r w:rsidR="00D3509C" w:rsidRPr="00E26D55">
        <w:t xml:space="preserve">omply with the new </w:t>
      </w:r>
      <w:r w:rsidR="002162FD" w:rsidRPr="00E26D55">
        <w:t>reporting requirements</w:t>
      </w:r>
      <w:r w:rsidR="003A69ED">
        <w:t xml:space="preserve">, </w:t>
      </w:r>
      <w:r w:rsidR="002162FD" w:rsidRPr="00E26D55">
        <w:t xml:space="preserve">I find that </w:t>
      </w:r>
      <w:r w:rsidR="00037C2F" w:rsidRPr="00E26D55">
        <w:t xml:space="preserve">abnormal trading volume significantly increases while abnormal bid-ask spreads significantly decrease from the </w:t>
      </w:r>
      <w:r w:rsidR="00BB4904" w:rsidRPr="00E26D55">
        <w:t>year prior to the reporting changes</w:t>
      </w:r>
      <w:r w:rsidR="00037C2F" w:rsidRPr="00E26D55">
        <w:t xml:space="preserve"> to</w:t>
      </w:r>
      <w:r w:rsidR="00BB4904" w:rsidRPr="00E26D55">
        <w:t xml:space="preserve"> the first year the additional disclosures are required</w:t>
      </w:r>
      <w:r w:rsidR="00037C2F" w:rsidRPr="00E26D55">
        <w:t xml:space="preserve">. </w:t>
      </w:r>
      <w:r w:rsidR="006C151E" w:rsidRPr="00945C6A">
        <w:t xml:space="preserve">These results are also economically significant as </w:t>
      </w:r>
      <w:r w:rsidR="005D1CCA" w:rsidRPr="00945C6A">
        <w:t>I document a</w:t>
      </w:r>
      <w:r w:rsidR="00440CCC">
        <w:t xml:space="preserve"> </w:t>
      </w:r>
      <w:r w:rsidR="005D1CCA" w:rsidRPr="00945C6A">
        <w:t>1</w:t>
      </w:r>
      <w:r w:rsidR="00D849CD" w:rsidRPr="00945C6A">
        <w:t>3.7 percent increase in the ratio of annual report trading volume to estimation period trading volume</w:t>
      </w:r>
      <w:r w:rsidR="005D1CCA" w:rsidRPr="00440CCC">
        <w:t xml:space="preserve"> </w:t>
      </w:r>
      <w:r w:rsidR="009F073E">
        <w:t>following the implementation of the new reporting regime</w:t>
      </w:r>
      <w:r w:rsidR="00945C6A">
        <w:t>. I also document</w:t>
      </w:r>
      <w:r w:rsidR="00241238" w:rsidRPr="00945C6A">
        <w:t xml:space="preserve"> that abnormal bid-ask spreads are, on average, 0.126 lower in the post-period relative to the pre-period</w:t>
      </w:r>
      <w:r w:rsidR="00945C6A">
        <w:t xml:space="preserve">, which is economically significant as the </w:t>
      </w:r>
      <w:r w:rsidR="00351037">
        <w:t xml:space="preserve">mean abnormal bid-ask spread of the sample </w:t>
      </w:r>
      <w:r w:rsidR="00F930C4">
        <w:t>in the pre-period is 0.138</w:t>
      </w:r>
      <w:r w:rsidR="00351037">
        <w:t xml:space="preserve">. </w:t>
      </w:r>
      <w:r w:rsidR="00931A8F" w:rsidRPr="00E26D55">
        <w:t>T</w:t>
      </w:r>
      <w:r w:rsidR="00351037">
        <w:t>aken together, t</w:t>
      </w:r>
      <w:r w:rsidR="00931A8F" w:rsidRPr="00E26D55">
        <w:t xml:space="preserve">hese results provide </w:t>
      </w:r>
      <w:r w:rsidR="003E101E">
        <w:t xml:space="preserve">statistically </w:t>
      </w:r>
      <w:r w:rsidR="00351037">
        <w:t xml:space="preserve">and economically </w:t>
      </w:r>
      <w:r w:rsidR="003E101E">
        <w:t xml:space="preserve">significant </w:t>
      </w:r>
      <w:r w:rsidR="00931A8F" w:rsidRPr="00E26D55">
        <w:t xml:space="preserve">evidence that enhanced auditor and audit committee reports </w:t>
      </w:r>
      <w:r w:rsidR="007870AE" w:rsidRPr="00E26D55">
        <w:t>are associated with a redu</w:t>
      </w:r>
      <w:r w:rsidR="00F47716" w:rsidRPr="00E26D55">
        <w:t xml:space="preserve">ction in information asymmetry. </w:t>
      </w:r>
    </w:p>
    <w:p w14:paraId="56975D9D" w14:textId="6BC99B3A" w:rsidR="00897BA6" w:rsidRPr="00E26D55" w:rsidRDefault="00B52747" w:rsidP="00250F7B">
      <w:pPr>
        <w:widowControl w:val="0"/>
        <w:spacing w:line="480" w:lineRule="auto"/>
        <w:ind w:firstLine="720"/>
        <w:contextualSpacing/>
        <w:jc w:val="both"/>
      </w:pPr>
      <w:r>
        <w:t>As the reporting changes are unlikely to affect all firms equally, I also perform cross-sectional analyses to exploit th</w:t>
      </w:r>
      <w:r w:rsidR="00AA410C">
        <w:t xml:space="preserve">e potential variation in the usefulness of the </w:t>
      </w:r>
      <w:r w:rsidR="00F0428A">
        <w:t>new</w:t>
      </w:r>
      <w:r w:rsidR="00AA410C">
        <w:t xml:space="preserve"> disclosures</w:t>
      </w:r>
      <w:r>
        <w:t xml:space="preserve">. </w:t>
      </w:r>
      <w:r w:rsidR="00F33E50">
        <w:t xml:space="preserve">Specifically, I </w:t>
      </w:r>
      <w:r w:rsidR="00B82369">
        <w:t>expect firms with weaker information environments (as proxied by low</w:t>
      </w:r>
      <w:r w:rsidR="000A6160">
        <w:t>er</w:t>
      </w:r>
      <w:r w:rsidR="00B82369">
        <w:t xml:space="preserve"> analyst coverage) to benefit more from the enhanced auditor and audit committee reports. In line with this prediction, I </w:t>
      </w:r>
      <w:r w:rsidR="00C93788" w:rsidRPr="00E26D55">
        <w:t>find greater reductions in information asymmetry as the number of analys</w:t>
      </w:r>
      <w:r w:rsidR="00C30AB1">
        <w:t>ts fol</w:t>
      </w:r>
      <w:r w:rsidR="00850B6D">
        <w:t xml:space="preserve">lowing the firm decreases. </w:t>
      </w:r>
      <w:r w:rsidR="00684A67">
        <w:t>Additionally</w:t>
      </w:r>
      <w:r w:rsidR="004445D6" w:rsidRPr="00E26D55">
        <w:t xml:space="preserve">, I </w:t>
      </w:r>
      <w:r w:rsidR="00902526">
        <w:t xml:space="preserve">perform an </w:t>
      </w:r>
      <w:r w:rsidR="004F3F24" w:rsidRPr="00E26D55">
        <w:t xml:space="preserve">analysis of the </w:t>
      </w:r>
      <w:r w:rsidR="00464E08" w:rsidRPr="00E26D55">
        <w:t xml:space="preserve">differences in </w:t>
      </w:r>
      <w:r w:rsidR="00967BB3" w:rsidRPr="00E26D55">
        <w:t>the useful</w:t>
      </w:r>
      <w:r w:rsidR="00004F5E">
        <w:t>ness</w:t>
      </w:r>
      <w:r w:rsidR="00967BB3" w:rsidRPr="00E26D55">
        <w:t xml:space="preserve"> of the new reports based upon the </w:t>
      </w:r>
      <w:r w:rsidR="00675E5C">
        <w:t>degree of detail that tends to be included in certain auditors’ reports</w:t>
      </w:r>
      <w:r w:rsidR="00E00537">
        <w:t xml:space="preserve"> under the new regime</w:t>
      </w:r>
      <w:r w:rsidR="00360DD9" w:rsidRPr="00E26D55">
        <w:t xml:space="preserve">. </w:t>
      </w:r>
      <w:r w:rsidR="00635157" w:rsidRPr="00E26D55">
        <w:t xml:space="preserve">A recent study </w:t>
      </w:r>
      <w:r w:rsidR="004447C1">
        <w:t xml:space="preserve">of the new U.K. </w:t>
      </w:r>
      <w:r w:rsidR="00757D3E">
        <w:t xml:space="preserve">audit reports </w:t>
      </w:r>
      <w:r w:rsidR="00635157" w:rsidRPr="00E26D55">
        <w:t xml:space="preserve">published by Citigroup concludes that </w:t>
      </w:r>
      <w:r w:rsidR="004447C1">
        <w:t xml:space="preserve">new </w:t>
      </w:r>
      <w:r w:rsidR="00635157" w:rsidRPr="00E26D55">
        <w:t>audit reports issued by KPMG provide</w:t>
      </w:r>
      <w:r w:rsidR="004A2FAE">
        <w:t xml:space="preserve"> the most useful disclosures among</w:t>
      </w:r>
      <w:r w:rsidR="005C310A" w:rsidRPr="00E26D55">
        <w:t xml:space="preserve"> the Big 4 firms while </w:t>
      </w:r>
      <w:r w:rsidR="004447C1">
        <w:t xml:space="preserve">the new </w:t>
      </w:r>
      <w:r w:rsidR="005C310A" w:rsidRPr="00E26D55">
        <w:t xml:space="preserve">EY reports provide the least useful information </w:t>
      </w:r>
      <w:r w:rsidR="00F332D8">
        <w:t>among</w:t>
      </w:r>
      <w:r w:rsidR="005C310A" w:rsidRPr="00E26D55">
        <w:t xml:space="preserve"> the Big 4 auditors</w:t>
      </w:r>
      <w:r w:rsidR="00404AA5">
        <w:t xml:space="preserve"> </w:t>
      </w:r>
      <w:r w:rsidR="00404AA5">
        <w:fldChar w:fldCharType="begin"/>
      </w:r>
      <w:r w:rsidR="00404AA5">
        <w:instrText xml:space="preserve"> ADDIN EN.CITE &lt;EndNote&gt;&lt;Cite&gt;&lt;Author&gt;Fisher&lt;/Author&gt;&lt;Year&gt;2014&lt;/Year&gt;&lt;RecNum&gt;345&lt;/RecNum&gt;&lt;DisplayText&gt;(Fisher and Deans 2014)&lt;/DisplayText&gt;&lt;record&gt;&lt;rec-number&gt;345&lt;/rec-number&gt;&lt;foreign-keys&gt;&lt;key app="EN" db-id="frdsfrdx0zpts8ex5pfvfda4s9srzrvrxd9z" timestamp="1412810680"&gt;345&lt;/key&gt;&lt;/foreign-keys&gt;&lt;ref-type name="Journal Article"&gt;17&lt;/ref-type&gt;&lt;contributors&gt;&lt;authors&gt;&lt;author&gt;Fisher, Terence&lt;/author&gt;&lt;author&gt;Deans, Sarah&lt;/author&gt;&lt;/authors&gt;&lt;/contributors&gt;&lt;titles&gt;&lt;title&gt;New UK Auditor&amp;apos;s Reports Update&lt;/title&gt;&lt;secondary-title&gt;Citigroup Research&lt;/secondary-title&gt;&lt;/titles&gt;&lt;periodical&gt;&lt;full-title&gt;Citigroup Research&lt;/full-title&gt;&lt;/periodical&gt;&lt;volume&gt;September 3, 2014&lt;/volume&gt;&lt;dates&gt;&lt;year&gt;2014&lt;/year&gt;&lt;/dates&gt;&lt;urls&gt;&lt;/urls&gt;&lt;/record&gt;&lt;/Cite&gt;&lt;/EndNote&gt;</w:instrText>
      </w:r>
      <w:r w:rsidR="00404AA5">
        <w:fldChar w:fldCharType="separate"/>
      </w:r>
      <w:r w:rsidR="00404AA5">
        <w:rPr>
          <w:noProof/>
        </w:rPr>
        <w:t>(</w:t>
      </w:r>
      <w:hyperlink w:anchor="_ENREF_37" w:tooltip="Fisher, 2014 #345" w:history="1">
        <w:r w:rsidR="006A749C">
          <w:rPr>
            <w:noProof/>
          </w:rPr>
          <w:t>Fisher and Deans 2014</w:t>
        </w:r>
      </w:hyperlink>
      <w:r w:rsidR="00404AA5">
        <w:rPr>
          <w:noProof/>
        </w:rPr>
        <w:t>)</w:t>
      </w:r>
      <w:r w:rsidR="00404AA5">
        <w:fldChar w:fldCharType="end"/>
      </w:r>
      <w:r w:rsidR="005C310A" w:rsidRPr="00E26D55">
        <w:t>.</w:t>
      </w:r>
      <w:r w:rsidR="00635157" w:rsidRPr="00E26D55">
        <w:t xml:space="preserve"> Based on this observation, I find some evidence that information asymmetry decreased more (less) for firms audited by KPMG (EY) compared to t</w:t>
      </w:r>
      <w:r w:rsidR="003F6AF6">
        <w:t>he remaining thr</w:t>
      </w:r>
      <w:r w:rsidR="00D13750">
        <w:t>ee Big 4 firms.</w:t>
      </w:r>
    </w:p>
    <w:p w14:paraId="17CB7388" w14:textId="624111C6" w:rsidR="00103208" w:rsidRPr="00E26D55" w:rsidRDefault="00D77830" w:rsidP="00C47FA9">
      <w:pPr>
        <w:pStyle w:val="FootnoteText"/>
        <w:spacing w:line="480" w:lineRule="auto"/>
        <w:ind w:firstLine="720"/>
        <w:jc w:val="both"/>
      </w:pPr>
      <w:r w:rsidRPr="00E01782">
        <w:t>In the analyses</w:t>
      </w:r>
      <w:r w:rsidR="0072544E" w:rsidRPr="00E01782">
        <w:t xml:space="preserve"> described above</w:t>
      </w:r>
      <w:r w:rsidR="00820D81" w:rsidRPr="00E01782">
        <w:t xml:space="preserve">, I employ a </w:t>
      </w:r>
      <w:r w:rsidR="003D18D6" w:rsidRPr="00E01782">
        <w:t xml:space="preserve">balanced </w:t>
      </w:r>
      <w:r w:rsidR="004146D3" w:rsidRPr="00E01782">
        <w:t xml:space="preserve">panel by requiring </w:t>
      </w:r>
      <w:r w:rsidR="0072544E" w:rsidRPr="00E01782">
        <w:t>each</w:t>
      </w:r>
      <w:r w:rsidR="006A50F1" w:rsidRPr="00E01782">
        <w:t xml:space="preserve"> </w:t>
      </w:r>
      <w:r w:rsidR="000C6430" w:rsidRPr="00E01782">
        <w:t xml:space="preserve">sample </w:t>
      </w:r>
      <w:r w:rsidR="006A50F1" w:rsidRPr="00E01782">
        <w:t>firm to be pr</w:t>
      </w:r>
      <w:r w:rsidR="006A50F1" w:rsidRPr="00F774C5">
        <w:t xml:space="preserve">esent in both </w:t>
      </w:r>
      <w:r w:rsidR="00E357E7" w:rsidRPr="00F774C5">
        <w:t>the pre and post</w:t>
      </w:r>
      <w:r w:rsidR="00317324" w:rsidRPr="00F774C5">
        <w:t xml:space="preserve"> periods. This </w:t>
      </w:r>
      <w:r w:rsidR="00FC1892" w:rsidRPr="00F774C5">
        <w:t xml:space="preserve">technique uses each company as its own control, which alleviates the threat of </w:t>
      </w:r>
      <w:r w:rsidR="0070168F" w:rsidRPr="003D7EB7">
        <w:t>t</w:t>
      </w:r>
      <w:r w:rsidR="00B25F54" w:rsidRPr="00E01782">
        <w:t xml:space="preserve">ime-invariant, </w:t>
      </w:r>
      <w:r w:rsidR="00FC1892" w:rsidRPr="00E01782">
        <w:t>firm-level correlated omitted variables</w:t>
      </w:r>
      <w:r w:rsidR="00E91400" w:rsidRPr="00E01782">
        <w:t xml:space="preserve"> (Carcello and Li 2013)</w:t>
      </w:r>
      <w:r w:rsidR="00FC1892" w:rsidRPr="00E01782">
        <w:t>.</w:t>
      </w:r>
      <w:r w:rsidR="007B03DE">
        <w:rPr>
          <w:rStyle w:val="FootnoteReference"/>
        </w:rPr>
        <w:footnoteReference w:id="7"/>
      </w:r>
      <w:r w:rsidR="00FC1892" w:rsidRPr="00E01782">
        <w:t xml:space="preserve"> </w:t>
      </w:r>
      <w:r w:rsidR="00173DC3" w:rsidRPr="00E01782">
        <w:t xml:space="preserve">It is also important to note that the information </w:t>
      </w:r>
      <w:r w:rsidR="0095483E" w:rsidRPr="00E01782">
        <w:t>asymmetry</w:t>
      </w:r>
      <w:r w:rsidR="00173DC3" w:rsidRPr="00E01782">
        <w:t xml:space="preserve"> measures employed (i.e., abnormal trading volume and abnormal bid-ask spreads) capture the event period volume and bid-ask spread</w:t>
      </w:r>
      <w:r w:rsidR="00125AFC" w:rsidRPr="00E01782">
        <w:t>s</w:t>
      </w:r>
      <w:r w:rsidR="00173DC3" w:rsidRPr="00E01782">
        <w:t xml:space="preserve"> </w:t>
      </w:r>
      <w:r w:rsidR="00173DC3" w:rsidRPr="00E01782">
        <w:rPr>
          <w:i/>
        </w:rPr>
        <w:t>relative</w:t>
      </w:r>
      <w:r w:rsidR="00D85F55">
        <w:t xml:space="preserve"> to</w:t>
      </w:r>
      <w:r w:rsidR="00173DC3" w:rsidRPr="00E01782">
        <w:t xml:space="preserve"> estimation period values of these proxies. This design mitigates the concern that other events occurring within a short time period before the annual re</w:t>
      </w:r>
      <w:r w:rsidR="00E169FA">
        <w:t>port release for each company are</w:t>
      </w:r>
      <w:r w:rsidR="00173DC3" w:rsidRPr="00E01782">
        <w:t xml:space="preserve"> driving the results.</w:t>
      </w:r>
      <w:r w:rsidR="00E91400" w:rsidRPr="00E01782">
        <w:rPr>
          <w:rStyle w:val="FootnoteReference"/>
        </w:rPr>
        <w:footnoteReference w:id="8"/>
      </w:r>
      <w:r w:rsidR="00173DC3" w:rsidRPr="00E01782">
        <w:t xml:space="preserve"> </w:t>
      </w:r>
      <w:r w:rsidR="005C5485" w:rsidRPr="00E01782">
        <w:t xml:space="preserve">As in any event study, </w:t>
      </w:r>
      <w:r w:rsidR="006223BC" w:rsidRPr="00E01782">
        <w:t xml:space="preserve">however, </w:t>
      </w:r>
      <w:r w:rsidR="0044280B">
        <w:t xml:space="preserve">there is </w:t>
      </w:r>
      <w:r w:rsidR="00B536B0" w:rsidRPr="00F774C5">
        <w:t xml:space="preserve">still </w:t>
      </w:r>
      <w:r w:rsidR="00E82DEA" w:rsidRPr="00F774C5">
        <w:t xml:space="preserve">a </w:t>
      </w:r>
      <w:r w:rsidR="005C5485" w:rsidRPr="00F774C5">
        <w:t xml:space="preserve">concern that contemporaneous events may confound the analysis. </w:t>
      </w:r>
      <w:r w:rsidR="009B482C" w:rsidRPr="00F774C5">
        <w:t xml:space="preserve">To </w:t>
      </w:r>
      <w:r w:rsidR="00EB0CF6" w:rsidRPr="00F774C5">
        <w:t>alleviate</w:t>
      </w:r>
      <w:r w:rsidR="009B482C" w:rsidRPr="00F774C5">
        <w:t xml:space="preserve"> the concern that global changes and events coul</w:t>
      </w:r>
      <w:r w:rsidR="009B482C" w:rsidRPr="003D7EB7">
        <w:t xml:space="preserve">d influence the degree of information asymmetry present in the market, </w:t>
      </w:r>
      <w:r w:rsidR="00B675FE">
        <w:t xml:space="preserve">I re-perform the analysis using </w:t>
      </w:r>
      <w:r w:rsidR="00E91400" w:rsidRPr="00E01782">
        <w:t xml:space="preserve">two control groups. The first </w:t>
      </w:r>
      <w:r w:rsidR="008823DC" w:rsidRPr="00E01782">
        <w:t xml:space="preserve">control group </w:t>
      </w:r>
      <w:r w:rsidR="00E91400" w:rsidRPr="00E01782">
        <w:t xml:space="preserve">is </w:t>
      </w:r>
      <w:r w:rsidR="00AA03D9">
        <w:t xml:space="preserve">comprised of </w:t>
      </w:r>
      <w:r w:rsidR="008823DC" w:rsidRPr="00E01782">
        <w:t xml:space="preserve">U.S. companies. </w:t>
      </w:r>
      <w:r w:rsidR="00F131A9" w:rsidRPr="00E01782">
        <w:t xml:space="preserve">These firms are affected by global events that also impact U.K. firms, but they are not subject to the new U.K. reporting regime. </w:t>
      </w:r>
      <w:r w:rsidR="00D034DB" w:rsidRPr="00E01782">
        <w:t xml:space="preserve">In </w:t>
      </w:r>
      <w:r w:rsidR="00D6703E" w:rsidRPr="00E01782">
        <w:t>a full sample of U.K. and U.S. firms as well as a propensity score matched sample</w:t>
      </w:r>
      <w:r w:rsidR="00D034DB" w:rsidRPr="00E01782">
        <w:t xml:space="preserve">, I find that abnormal trading volume (abnormal bid-ask spreads) increase (decrease) more for U.K. firms compared to U.S. firms from the pre-period to the post-period. </w:t>
      </w:r>
      <w:r w:rsidR="00E01782" w:rsidRPr="00E01782">
        <w:t xml:space="preserve">The second control group </w:t>
      </w:r>
      <w:r w:rsidR="00FD718E">
        <w:t>consists of</w:t>
      </w:r>
      <w:r w:rsidR="00E01782" w:rsidRPr="00E01782">
        <w:t xml:space="preserve"> </w:t>
      </w:r>
      <w:r w:rsidR="00E01782" w:rsidRPr="00535B1D">
        <w:t xml:space="preserve">firms listed on the Alternative Investment Market (AIM), which is a sub-market of the London Stock Exchange. </w:t>
      </w:r>
      <w:r w:rsidR="00E01782">
        <w:t>These firms are not subject to the revised auditor and audit committee report requirement</w:t>
      </w:r>
      <w:r w:rsidR="00C92793">
        <w:t>s, but are affected by other U.K. specific events</w:t>
      </w:r>
      <w:r w:rsidR="00E01782">
        <w:t xml:space="preserve">. </w:t>
      </w:r>
      <w:r w:rsidR="00532834">
        <w:t xml:space="preserve">The results indicate that compared </w:t>
      </w:r>
      <w:r w:rsidR="006E5CCE">
        <w:t>to</w:t>
      </w:r>
      <w:r w:rsidR="00532834">
        <w:t xml:space="preserve"> AIM firms, </w:t>
      </w:r>
      <w:r w:rsidR="00F774C5">
        <w:t xml:space="preserve">firms complying with the new </w:t>
      </w:r>
      <w:r w:rsidR="00AC56CA">
        <w:t>reporting</w:t>
      </w:r>
      <w:r w:rsidR="00F774C5">
        <w:t xml:space="preserve"> requirement</w:t>
      </w:r>
      <w:r w:rsidR="00AC56CA">
        <w:t>s</w:t>
      </w:r>
      <w:r w:rsidR="00F774C5">
        <w:t xml:space="preserve"> experience a greater</w:t>
      </w:r>
      <w:r w:rsidR="00DF4153">
        <w:t xml:space="preserve"> decrease in information asymmetry</w:t>
      </w:r>
      <w:r w:rsidR="00F774C5">
        <w:t>. Thus, t</w:t>
      </w:r>
      <w:r w:rsidR="00D6703E" w:rsidRPr="00E26D55">
        <w:t xml:space="preserve">hese additional analyses continue to reveal the significant impact enhanced auditor and </w:t>
      </w:r>
      <w:r w:rsidR="00A031BD" w:rsidRPr="00E26D55">
        <w:t>audit committee disclosures have on the degree of information asymmetry present and mitigate</w:t>
      </w:r>
      <w:r w:rsidR="00A632D5" w:rsidRPr="00E26D55">
        <w:t xml:space="preserve"> the threat that contemporaneous events are confounding the results of this study.</w:t>
      </w:r>
    </w:p>
    <w:p w14:paraId="762DD403" w14:textId="085BEBC0" w:rsidR="00525984" w:rsidRPr="00525984" w:rsidRDefault="00AC7CBA" w:rsidP="001853E3">
      <w:pPr>
        <w:widowControl w:val="0"/>
        <w:spacing w:line="480" w:lineRule="auto"/>
        <w:ind w:firstLine="720"/>
        <w:jc w:val="both"/>
      </w:pPr>
      <w:r w:rsidRPr="00E26D55">
        <w:t xml:space="preserve">Furthermore, to account for temporal changes within firms that are not associated with the revised reporting requirements, I re-perform the tests using a </w:t>
      </w:r>
      <w:r w:rsidR="00C006E8" w:rsidRPr="00E26D55">
        <w:t xml:space="preserve">strict </w:t>
      </w:r>
      <w:r w:rsidRPr="00E26D55">
        <w:t xml:space="preserve">change analysis. </w:t>
      </w:r>
      <w:r w:rsidR="00AD1C43" w:rsidRPr="00E26D55">
        <w:t xml:space="preserve">I find that the </w:t>
      </w:r>
      <w:r w:rsidR="00FD64E9" w:rsidRPr="00E26D55">
        <w:t>increase (decrease)</w:t>
      </w:r>
      <w:r w:rsidR="00AD1C43" w:rsidRPr="00E26D55">
        <w:t xml:space="preserve"> in abnormal trading volume (abnormal bid-ask spreads) is </w:t>
      </w:r>
      <w:r w:rsidR="00FD64E9" w:rsidRPr="00E26D55">
        <w:t xml:space="preserve">significantly greater from the year prior </w:t>
      </w:r>
      <w:r w:rsidR="006D4D2C" w:rsidRPr="00E26D55">
        <w:t>(</w:t>
      </w:r>
      <w:r w:rsidR="006D4D2C" w:rsidRPr="00E26D55">
        <w:rPr>
          <w:i/>
        </w:rPr>
        <w:t>t-1</w:t>
      </w:r>
      <w:r w:rsidR="006D4D2C" w:rsidRPr="00E26D55">
        <w:t xml:space="preserve">) </w:t>
      </w:r>
      <w:r w:rsidR="00FD64E9" w:rsidRPr="00E26D55">
        <w:t>to the implementation year</w:t>
      </w:r>
      <w:r w:rsidR="006D4D2C" w:rsidRPr="00E26D55">
        <w:t xml:space="preserve"> (</w:t>
      </w:r>
      <w:r w:rsidR="006D4D2C" w:rsidRPr="00E26D55">
        <w:rPr>
          <w:i/>
        </w:rPr>
        <w:t>t</w:t>
      </w:r>
      <w:r w:rsidR="006D4D2C" w:rsidRPr="00E26D55">
        <w:t>)</w:t>
      </w:r>
      <w:r w:rsidR="00FD64E9" w:rsidRPr="00E26D55">
        <w:t xml:space="preserve"> than the change in these measures from the two years prior</w:t>
      </w:r>
      <w:r w:rsidR="006D4D2C" w:rsidRPr="00E26D55">
        <w:t xml:space="preserve"> (</w:t>
      </w:r>
      <w:r w:rsidR="006D4D2C" w:rsidRPr="00E26D55">
        <w:rPr>
          <w:i/>
        </w:rPr>
        <w:t>t-2</w:t>
      </w:r>
      <w:r w:rsidR="006D4D2C" w:rsidRPr="00E26D55">
        <w:t>)</w:t>
      </w:r>
      <w:r w:rsidR="00FD64E9" w:rsidRPr="00E26D55">
        <w:t xml:space="preserve"> to </w:t>
      </w:r>
      <w:r w:rsidR="00C02416">
        <w:t>the prior year (</w:t>
      </w:r>
      <w:r w:rsidR="006D4D2C" w:rsidRPr="00E26D55">
        <w:rPr>
          <w:i/>
        </w:rPr>
        <w:t>t-1</w:t>
      </w:r>
      <w:r w:rsidR="00C02416">
        <w:t>)</w:t>
      </w:r>
      <w:r w:rsidR="006D4D2C" w:rsidRPr="00E26D55">
        <w:t>.</w:t>
      </w:r>
      <w:r w:rsidR="00FD64E9" w:rsidRPr="00E26D55">
        <w:t xml:space="preserve"> These results provide further evidence of a decrease in information asymmetry due to the </w:t>
      </w:r>
      <w:r w:rsidR="003D3633">
        <w:t>new</w:t>
      </w:r>
      <w:r w:rsidR="00DC2FC6" w:rsidRPr="00E26D55">
        <w:t xml:space="preserve"> auditor and audit committee disclosures and provide comfort that the results are not driven by other factors that change over </w:t>
      </w:r>
      <w:r w:rsidR="00DC2FC6" w:rsidRPr="00525984">
        <w:t>time.</w:t>
      </w:r>
      <w:r w:rsidR="00E170C9" w:rsidRPr="00525984">
        <w:t xml:space="preserve"> </w:t>
      </w:r>
    </w:p>
    <w:p w14:paraId="0AC8D0F5" w14:textId="79E04070" w:rsidR="00AC7CBA" w:rsidRPr="00E26D55" w:rsidRDefault="001970D7" w:rsidP="00D76090">
      <w:pPr>
        <w:widowControl w:val="0"/>
        <w:spacing w:line="480" w:lineRule="auto"/>
        <w:ind w:firstLine="720"/>
        <w:jc w:val="both"/>
      </w:pPr>
      <w:r>
        <w:t xml:space="preserve">Finally, </w:t>
      </w:r>
      <w:r w:rsidR="00E170C9" w:rsidRPr="00525984">
        <w:t xml:space="preserve">I </w:t>
      </w:r>
      <w:r w:rsidR="00C93C11" w:rsidRPr="00525984">
        <w:t xml:space="preserve">perform </w:t>
      </w:r>
      <w:r w:rsidR="0091719B" w:rsidRPr="00525984">
        <w:t>two additional analyses to mitigate the concern that the results are driven by changes in management disclosure practice</w:t>
      </w:r>
      <w:r w:rsidR="00E5417A" w:rsidRPr="00525984">
        <w:t>s</w:t>
      </w:r>
      <w:r>
        <w:t xml:space="preserve"> </w:t>
      </w:r>
      <w:r w:rsidR="00AC56CA">
        <w:t xml:space="preserve">that may have occurred </w:t>
      </w:r>
      <w:r>
        <w:t xml:space="preserve">around the same time as </w:t>
      </w:r>
      <w:r w:rsidR="00AC56CA">
        <w:t xml:space="preserve">the </w:t>
      </w:r>
      <w:r>
        <w:t>implementation of the new auditor and audit committee report</w:t>
      </w:r>
      <w:r w:rsidR="00AC56CA">
        <w:t>s</w:t>
      </w:r>
      <w:r w:rsidR="00E5417A" w:rsidRPr="00525984">
        <w:t xml:space="preserve">. </w:t>
      </w:r>
      <w:r w:rsidR="00897AC9" w:rsidRPr="00525984">
        <w:t xml:space="preserve">The only management disclosure </w:t>
      </w:r>
      <w:r w:rsidR="0072090E">
        <w:t xml:space="preserve">regulatory </w:t>
      </w:r>
      <w:r w:rsidR="00897AC9" w:rsidRPr="00525984">
        <w:t>change that occurred during this timeframe was the formal requirement of a strateg</w:t>
      </w:r>
      <w:r w:rsidR="000E2B27" w:rsidRPr="00525984">
        <w:t xml:space="preserve">ic review in the annual report. </w:t>
      </w:r>
      <w:r w:rsidR="00316216" w:rsidRPr="00525984">
        <w:t xml:space="preserve">I randomly select a sample of firms and compare </w:t>
      </w:r>
      <w:r w:rsidR="00897AC9" w:rsidRPr="00525984">
        <w:t>each company’s strategic report</w:t>
      </w:r>
      <w:r w:rsidR="00316216" w:rsidRPr="00525984">
        <w:t xml:space="preserve"> </w:t>
      </w:r>
      <w:r w:rsidR="00525984">
        <w:t>in the current year annual report to its business review in the prior year</w:t>
      </w:r>
      <w:r w:rsidR="00D7416A">
        <w:t xml:space="preserve"> annual report. Confirming the commonly held sentiment that the strategic report requirement did not materially change management’s disclosures, </w:t>
      </w:r>
      <w:r w:rsidR="00A1316F">
        <w:t xml:space="preserve">I do not find any significant differences in the primary disclosures. </w:t>
      </w:r>
      <w:r w:rsidR="004008E0">
        <w:t xml:space="preserve">Therefore, the formal implementation of strategic reports is unlikely to impact my analysis. </w:t>
      </w:r>
      <w:r>
        <w:t>In addition</w:t>
      </w:r>
      <w:r w:rsidR="00A1316F">
        <w:t xml:space="preserve">, I perform a falsification test </w:t>
      </w:r>
      <w:r w:rsidR="00D76090">
        <w:t xml:space="preserve">by </w:t>
      </w:r>
      <w:r w:rsidR="008F62F7">
        <w:t>examining changes in abnormal trading volume and abnormal bid-ask spreads</w:t>
      </w:r>
      <w:r w:rsidR="00C93C11" w:rsidRPr="00525984">
        <w:t xml:space="preserve"> around the earnings announcement dates for the sample firms</w:t>
      </w:r>
      <w:r w:rsidR="005D760A">
        <w:t>. Since the</w:t>
      </w:r>
      <w:r w:rsidR="00D76090">
        <w:t xml:space="preserve"> audit committee and auditor reports are not released to the mark</w:t>
      </w:r>
      <w:r w:rsidR="005D760A">
        <w:t>et until the annual report date, I do not expect to find significant changes around earnings releases.</w:t>
      </w:r>
      <w:r w:rsidR="00D76090">
        <w:t xml:space="preserve"> </w:t>
      </w:r>
      <w:r>
        <w:t xml:space="preserve">Consistent with </w:t>
      </w:r>
      <w:r w:rsidR="009C508A">
        <w:t>this</w:t>
      </w:r>
      <w:r>
        <w:t xml:space="preserve"> expectation</w:t>
      </w:r>
      <w:r w:rsidR="005D760A">
        <w:t xml:space="preserve">, </w:t>
      </w:r>
      <w:r w:rsidR="00D76090">
        <w:t xml:space="preserve">I </w:t>
      </w:r>
      <w:r w:rsidR="00C93C11" w:rsidRPr="00525984">
        <w:t>fail to find evidence of a reduction in information asymmetry</w:t>
      </w:r>
      <w:r w:rsidR="00D76090">
        <w:t xml:space="preserve"> around earnings announcement dates</w:t>
      </w:r>
      <w:r w:rsidR="00C93C11" w:rsidRPr="00525984">
        <w:t xml:space="preserve">. The lack of results assists in alleviating the concern that the findings of this study are due to a change in </w:t>
      </w:r>
      <w:r w:rsidR="009D4411">
        <w:t>management disclosure practices.</w:t>
      </w:r>
    </w:p>
    <w:p w14:paraId="584E962C" w14:textId="0C062307" w:rsidR="00803CB9" w:rsidRPr="00E26D55" w:rsidRDefault="0087011D" w:rsidP="001853E3">
      <w:pPr>
        <w:widowControl w:val="0"/>
        <w:spacing w:line="480" w:lineRule="auto"/>
        <w:ind w:firstLine="720"/>
        <w:jc w:val="both"/>
      </w:pPr>
      <w:r w:rsidRPr="00E26D55">
        <w:t xml:space="preserve">By examining the effect of </w:t>
      </w:r>
      <w:r w:rsidR="00803CB9" w:rsidRPr="00E26D55">
        <w:t xml:space="preserve">the United Kingdom’s recent </w:t>
      </w:r>
      <w:r w:rsidR="00D7085A" w:rsidRPr="00E26D55">
        <w:t>reporting regime</w:t>
      </w:r>
      <w:r w:rsidR="00803CB9" w:rsidRPr="00E26D55">
        <w:t xml:space="preserve"> changes</w:t>
      </w:r>
      <w:r w:rsidRPr="00E26D55">
        <w:t xml:space="preserve"> on investors</w:t>
      </w:r>
      <w:r w:rsidR="00803CB9" w:rsidRPr="00E26D55">
        <w:t xml:space="preserve">, this study provides </w:t>
      </w:r>
      <w:r w:rsidR="00D7085A" w:rsidRPr="00E26D55">
        <w:t>relevant and timely i</w:t>
      </w:r>
      <w:r w:rsidR="00803CB9" w:rsidRPr="00E26D55">
        <w:t xml:space="preserve">nformation </w:t>
      </w:r>
      <w:r w:rsidR="00D7085A" w:rsidRPr="00E26D55">
        <w:t xml:space="preserve">about a highly debated regulatory issue. </w:t>
      </w:r>
      <w:r w:rsidR="00F93EBC">
        <w:t xml:space="preserve">I find that </w:t>
      </w:r>
      <w:r w:rsidR="004A787F" w:rsidRPr="00E26D55">
        <w:t xml:space="preserve">additional </w:t>
      </w:r>
      <w:r w:rsidR="00A36153">
        <w:t xml:space="preserve">mandated </w:t>
      </w:r>
      <w:r w:rsidR="004A787F" w:rsidRPr="00E26D55">
        <w:t xml:space="preserve">auditor and audit committee </w:t>
      </w:r>
      <w:r w:rsidR="002B2D98" w:rsidRPr="00E26D55">
        <w:t xml:space="preserve">disclosures </w:t>
      </w:r>
      <w:r w:rsidR="00572FC8" w:rsidRPr="00E26D55">
        <w:t xml:space="preserve">provide </w:t>
      </w:r>
      <w:r w:rsidR="001A25F0" w:rsidRPr="00E26D55">
        <w:t xml:space="preserve">investors with </w:t>
      </w:r>
      <w:r w:rsidR="00E04584">
        <w:t xml:space="preserve">new and </w:t>
      </w:r>
      <w:r w:rsidR="001A25F0" w:rsidRPr="00E26D55">
        <w:t>useful information that impacts</w:t>
      </w:r>
      <w:r w:rsidR="0063216B" w:rsidRPr="00E26D55">
        <w:t xml:space="preserve"> their trading decisions.</w:t>
      </w:r>
      <w:r w:rsidR="001A25F0" w:rsidRPr="00E26D55">
        <w:t xml:space="preserve"> </w:t>
      </w:r>
      <w:r w:rsidR="00F07179" w:rsidRPr="0011700F">
        <w:t xml:space="preserve">This reduction in information asymmetry affects </w:t>
      </w:r>
      <w:r w:rsidR="00803CB9" w:rsidRPr="0011700F">
        <w:t>public companies, investors, regulators, other financial statement users, and the overall capital markets.</w:t>
      </w:r>
      <w:r w:rsidR="00803CB9" w:rsidRPr="00E26D55">
        <w:t xml:space="preserve"> </w:t>
      </w:r>
      <w:r w:rsidR="002018CC" w:rsidRPr="00E26D55">
        <w:t>In addition to commenting on the effect of these changes in the United Kingdom (an important market to examine in isolation), this setting inform</w:t>
      </w:r>
      <w:r w:rsidR="00B91944">
        <w:t>s</w:t>
      </w:r>
      <w:r w:rsidR="002018CC" w:rsidRPr="00E26D55">
        <w:t xml:space="preserve"> the debates occurring globally.</w:t>
      </w:r>
      <w:r w:rsidR="002018CC" w:rsidRPr="00E26D55">
        <w:rPr>
          <w:rStyle w:val="FootnoteReference"/>
        </w:rPr>
        <w:footnoteReference w:id="9"/>
      </w:r>
      <w:r w:rsidR="002018CC" w:rsidRPr="00E26D55">
        <w:t xml:space="preserve"> Regulatory bodies, including the Public Company Accounting Oversight Board </w:t>
      </w:r>
      <w:r w:rsidR="002018CC" w:rsidRPr="00E26D55">
        <w:fldChar w:fldCharType="begin"/>
      </w:r>
      <w:r w:rsidR="002018CC" w:rsidRPr="00E26D55">
        <w:instrText xml:space="preserve"> ADDIN EN.CITE &lt;EndNote&gt;&lt;Cite ExcludeYear="1"&gt;&lt;Author&gt;PCAOB&lt;/Author&gt;&lt;Year&gt;2013&lt;/Year&gt;&lt;RecNum&gt;155&lt;/RecNum&gt;&lt;DisplayText&gt;(PCAOB)&lt;/DisplayText&gt;&lt;record&gt;&lt;rec-number&gt;155&lt;/rec-number&gt;&lt;foreign-keys&gt;&lt;key app="EN" db-id="frdsfrdx0zpts8ex5pfvfda4s9srzrvrxd9z" timestamp="1397440443"&gt;155&lt;/key&gt;&lt;key app="ENWeb" db-id=""&gt;0&lt;/key&gt;&lt;/foreign-keys&gt;&lt;ref-type name="Journal Article"&gt;17&lt;/ref-type&gt;&lt;contributors&gt;&lt;authors&gt;&lt;author&gt;PCAOB&lt;/author&gt;&lt;/authors&gt;&lt;/contributors&gt;&lt;titles&gt;&lt;title&gt;Proposed Auditing Standards: The Auditor&amp;apos;s Report on an Audit of Financial Statements When the Auditor Expresses an Unqualified Opinion&lt;/title&gt;&lt;/titles&gt;&lt;volume&gt;August 13, 2013.&lt;/volume&gt;&lt;dates&gt;&lt;year&gt;2013&lt;/year&gt;&lt;pub-dates&gt;&lt;date&gt;August 13, 2013&lt;/date&gt;&lt;/pub-dates&gt;&lt;/dates&gt;&lt;urls&gt;&lt;related-urls&gt;&lt;url&gt;http://pcaobus.org/Rules/Rulemaking/Docket034/Release_2013-005_ARM.pdf&lt;/url&gt;&lt;/related-urls&gt;&lt;/urls&gt;&lt;/record&gt;&lt;/Cite&gt;&lt;/EndNote&gt;</w:instrText>
      </w:r>
      <w:r w:rsidR="002018CC" w:rsidRPr="00E26D55">
        <w:fldChar w:fldCharType="separate"/>
      </w:r>
      <w:r w:rsidR="002018CC" w:rsidRPr="00E26D55">
        <w:rPr>
          <w:noProof/>
        </w:rPr>
        <w:t>(</w:t>
      </w:r>
      <w:hyperlink w:anchor="_ENREF_62" w:tooltip="PCAOB, 2013 #155" w:history="1">
        <w:r w:rsidR="006A749C" w:rsidRPr="00E26D55">
          <w:rPr>
            <w:noProof/>
          </w:rPr>
          <w:t>PCAOB</w:t>
        </w:r>
      </w:hyperlink>
      <w:r w:rsidR="002018CC" w:rsidRPr="00E26D55">
        <w:rPr>
          <w:noProof/>
        </w:rPr>
        <w:t>)</w:t>
      </w:r>
      <w:r w:rsidR="002018CC" w:rsidRPr="00E26D55">
        <w:fldChar w:fldCharType="end"/>
      </w:r>
      <w:r w:rsidR="002018CC" w:rsidRPr="00E26D55">
        <w:t>, the</w:t>
      </w:r>
      <w:r w:rsidR="004C137A">
        <w:t xml:space="preserve"> Securities and Exchange Commission (SEC)</w:t>
      </w:r>
      <w:r w:rsidR="002018CC" w:rsidRPr="00E26D55">
        <w:t xml:space="preserve">, the International Auditing and Assurance Standards Board (IAASB), and the European </w:t>
      </w:r>
      <w:r w:rsidR="008A28FA">
        <w:t xml:space="preserve">Parliament, </w:t>
      </w:r>
      <w:r w:rsidR="002018CC" w:rsidRPr="00E26D55">
        <w:t xml:space="preserve">are also deliberating the enhancement of audit committee and auditor reporting. In particular, given the legal and cultural similarities between the United Kingdom and the United States, the examination of the U.K.’s revised regulations </w:t>
      </w:r>
      <w:r w:rsidR="00683E58">
        <w:t xml:space="preserve">presents </w:t>
      </w:r>
      <w:r w:rsidR="004615C4">
        <w:t xml:space="preserve">important </w:t>
      </w:r>
      <w:r w:rsidR="00683E58">
        <w:t xml:space="preserve">considerations for the evaluation of the standards proposed </w:t>
      </w:r>
      <w:r w:rsidR="00276AB2">
        <w:t xml:space="preserve">by regulators </w:t>
      </w:r>
      <w:r w:rsidR="002018CC" w:rsidRPr="00E26D55">
        <w:t>in</w:t>
      </w:r>
      <w:r w:rsidR="002018CC">
        <w:t xml:space="preserve"> the United States.</w:t>
      </w:r>
    </w:p>
    <w:p w14:paraId="399BBE19" w14:textId="5EBEB68C" w:rsidR="00F8053B" w:rsidRPr="00E26D55" w:rsidRDefault="00BE7666" w:rsidP="001853E3">
      <w:pPr>
        <w:widowControl w:val="0"/>
        <w:spacing w:line="480" w:lineRule="auto"/>
        <w:ind w:firstLine="720"/>
        <w:contextualSpacing/>
        <w:jc w:val="both"/>
      </w:pPr>
      <w:r w:rsidRPr="00E26D55">
        <w:t>The remainder of the paper is organized as follows. Section II provides background on auditor</w:t>
      </w:r>
      <w:r w:rsidR="00FD0B9F" w:rsidRPr="00E26D55">
        <w:t xml:space="preserve"> and audit committee reporting and </w:t>
      </w:r>
      <w:r w:rsidR="00C716B6" w:rsidRPr="00E26D55">
        <w:t xml:space="preserve">develops </w:t>
      </w:r>
      <w:r w:rsidR="00FD0B9F" w:rsidRPr="00E26D55">
        <w:t>the primary hypothesis. Section III</w:t>
      </w:r>
      <w:r w:rsidRPr="00E26D55">
        <w:t xml:space="preserve"> outlines the resea</w:t>
      </w:r>
      <w:r w:rsidR="00FD0B9F" w:rsidRPr="00E26D55">
        <w:t>rch method and discusses</w:t>
      </w:r>
      <w:r w:rsidR="00AB3B9F" w:rsidRPr="00E26D55">
        <w:t xml:space="preserve"> the sample</w:t>
      </w:r>
      <w:r w:rsidR="00FD0B9F" w:rsidRPr="00E26D55">
        <w:t xml:space="preserve">. </w:t>
      </w:r>
      <w:r w:rsidR="00C716B6" w:rsidRPr="00E26D55">
        <w:t xml:space="preserve">Section </w:t>
      </w:r>
      <w:r w:rsidR="00AB1856" w:rsidRPr="00E26D55">
        <w:t>I</w:t>
      </w:r>
      <w:r w:rsidR="00C716B6" w:rsidRPr="00E26D55">
        <w:t xml:space="preserve">V </w:t>
      </w:r>
      <w:r w:rsidR="00FD0B9F" w:rsidRPr="00E26D55">
        <w:t>presents the res</w:t>
      </w:r>
      <w:r w:rsidR="00AB1856" w:rsidRPr="00E26D55">
        <w:t>ults of the study and Section V</w:t>
      </w:r>
      <w:r w:rsidR="00FD0B9F" w:rsidRPr="00E26D55">
        <w:t xml:space="preserve"> </w:t>
      </w:r>
      <w:r w:rsidR="00C716B6" w:rsidRPr="00E26D55">
        <w:t>describes a</w:t>
      </w:r>
      <w:r w:rsidR="00AB3B9F" w:rsidRPr="00E26D55">
        <w:t>dditional analyses</w:t>
      </w:r>
      <w:r w:rsidR="00C076EC">
        <w:t xml:space="preserve">. </w:t>
      </w:r>
      <w:r w:rsidRPr="00E26D55">
        <w:t>The final section</w:t>
      </w:r>
      <w:r w:rsidR="0076138A" w:rsidRPr="00E26D55">
        <w:t xml:space="preserve"> </w:t>
      </w:r>
      <w:r w:rsidRPr="00E26D55">
        <w:t>concludes.</w:t>
      </w:r>
    </w:p>
    <w:p w14:paraId="7565AFC0" w14:textId="77777777" w:rsidR="00E22765" w:rsidRPr="00E26D55" w:rsidRDefault="00E22765" w:rsidP="001853E3">
      <w:pPr>
        <w:widowControl w:val="0"/>
        <w:ind w:firstLine="720"/>
        <w:contextualSpacing/>
        <w:jc w:val="both"/>
      </w:pPr>
    </w:p>
    <w:p w14:paraId="09E95AA3" w14:textId="77777777" w:rsidR="00E17771" w:rsidRPr="00E26D55" w:rsidRDefault="00E17771" w:rsidP="001853E3">
      <w:pPr>
        <w:widowControl w:val="0"/>
        <w:ind w:firstLine="720"/>
        <w:contextualSpacing/>
        <w:jc w:val="both"/>
      </w:pPr>
    </w:p>
    <w:p w14:paraId="736DCF4C" w14:textId="77777777" w:rsidR="00E32E93" w:rsidRDefault="00E32E93">
      <w:pPr>
        <w:rPr>
          <w:rFonts w:eastAsiaTheme="majorEastAsia" w:cstheme="majorBidi"/>
          <w:b/>
          <w:bCs/>
          <w:szCs w:val="32"/>
        </w:rPr>
      </w:pPr>
      <w:r>
        <w:br w:type="page"/>
      </w:r>
    </w:p>
    <w:p w14:paraId="194EB980" w14:textId="05539AFF" w:rsidR="002918BE" w:rsidRDefault="003906B6" w:rsidP="007541BD">
      <w:pPr>
        <w:pStyle w:val="Heading1"/>
      </w:pPr>
      <w:bookmarkStart w:id="1" w:name="_Toc286596259"/>
      <w:r w:rsidRPr="00E26D55">
        <w:t>II. BACKGROUND</w:t>
      </w:r>
      <w:r w:rsidR="00B42751" w:rsidRPr="00E26D55">
        <w:t xml:space="preserve"> AND HYPOTHESIS DEVELOPMENT</w:t>
      </w:r>
      <w:bookmarkEnd w:id="1"/>
    </w:p>
    <w:p w14:paraId="24B3929A" w14:textId="77777777" w:rsidR="007541BD" w:rsidRPr="007541BD" w:rsidRDefault="007541BD" w:rsidP="007541BD"/>
    <w:p w14:paraId="7C2F103B" w14:textId="0C4BFA56" w:rsidR="00DA5BE4" w:rsidRDefault="007541BD" w:rsidP="007541BD">
      <w:pPr>
        <w:pStyle w:val="Heading2"/>
      </w:pPr>
      <w:bookmarkStart w:id="2" w:name="_Toc286596260"/>
      <w:r>
        <w:t xml:space="preserve">2.1 </w:t>
      </w:r>
      <w:r w:rsidR="005C0960" w:rsidRPr="00E26D55">
        <w:t xml:space="preserve">Background on </w:t>
      </w:r>
      <w:r w:rsidR="00BB73C0" w:rsidRPr="00E26D55">
        <w:t>the U.S. Audit Report</w:t>
      </w:r>
      <w:bookmarkEnd w:id="2"/>
    </w:p>
    <w:p w14:paraId="0FCD232E" w14:textId="77777777" w:rsidR="007541BD" w:rsidRPr="007541BD" w:rsidRDefault="007541BD" w:rsidP="007541BD"/>
    <w:p w14:paraId="348E9222" w14:textId="79CFE81A" w:rsidR="00B55046" w:rsidRPr="00E26D55" w:rsidRDefault="000B2F0F" w:rsidP="001853E3">
      <w:pPr>
        <w:pStyle w:val="ListParagraph"/>
        <w:widowControl w:val="0"/>
        <w:autoSpaceDE w:val="0"/>
        <w:autoSpaceDN w:val="0"/>
        <w:adjustRightInd w:val="0"/>
        <w:ind w:left="630" w:right="270"/>
        <w:jc w:val="both"/>
      </w:pPr>
      <w:r w:rsidRPr="00E26D55">
        <w:t xml:space="preserve"> </w:t>
      </w:r>
      <w:r w:rsidR="00F44726" w:rsidRPr="00E26D55">
        <w:t>“</w:t>
      </w:r>
      <w:r w:rsidR="00C85E96" w:rsidRPr="00E26D55">
        <w:t>Audits of public companies can involve scores of auditors, thousands of hours, and millions in fees. The documentation in support of the auditor’s opinion is voluminous. Indeed, with the possible exception of senior financial management, in most cases, the auditor knows more about the financial statements and financial reporting risk of the audited company than other individuals, both inside and outside the company (including members of the audit committee). Notwithstanding this significant accumulated knowledge, the only communication between the auditor and investors is typically a boilerplate three-paragraph letter (hardly a ‘‘report,’’ despite the commonly used title) that is essentially identical for the overwhelming m</w:t>
      </w:r>
      <w:r w:rsidR="00F44726" w:rsidRPr="00E26D55">
        <w:t>ajority of all publi</w:t>
      </w:r>
      <w:r w:rsidR="00A569C6" w:rsidRPr="00E26D55">
        <w:t xml:space="preserve">c companies” </w:t>
      </w:r>
      <w:r w:rsidR="0079592F" w:rsidRPr="00E26D55">
        <w:fldChar w:fldCharType="begin"/>
      </w:r>
      <w:r w:rsidR="00104AD7" w:rsidRPr="00E26D55">
        <w:instrText xml:space="preserve"> ADDIN EN.CITE &lt;EndNote&gt;&lt;Cite&gt;&lt;Author&gt;Blake&lt;/Author&gt;&lt;Year&gt;2011&lt;/Year&gt;&lt;RecNum&gt;115&lt;/RecNum&gt;&lt;DisplayText&gt;(Blake et al. 2011)&lt;/DisplayText&gt;&lt;record&gt;&lt;rec-number&gt;115&lt;/rec-number&gt;&lt;foreign-keys&gt;&lt;key app="EN" db-id="frdsfrdx0zpts8ex5pfvfda4s9srzrvrxd9z" timestamp="1397428585"&gt;115&lt;/key&gt;&lt;key app="ENWeb" db-id=""&gt;0&lt;/key&gt;&lt;/foreign-keys&gt;&lt;ref-type name="Journal Article"&gt;17&lt;/ref-type&gt;&lt;contributors&gt;&lt;authors&gt;&lt;author&gt;Blake, Kelvin&lt;/author&gt;&lt;author&gt;Carcello, Joseph V.&lt;/author&gt;&lt;author&gt;Harrison, Norman J.&lt;/author&gt;&lt;author&gt;Head, Michael J.&lt;/author&gt;&lt;author&gt;Roper, Barbara E.&lt;/author&gt;&lt;author&gt;Simpson, Anne&lt;/author&gt;&lt;author&gt;Sondhi, Tony&lt;/author&gt;&lt;author&gt;Tarola, Robert M.&lt;/author&gt;&lt;author&gt;Turner, Lynn E.&lt;/author&gt;&lt;author&gt;Williams, Meredith&lt;/author&gt;&lt;author&gt;Yerger, Ann&lt;/author&gt;&lt;/authors&gt;&lt;/contributors&gt;&lt;titles&gt;&lt;title&gt;Response of a Subgroup of the PCAOB&amp;apos;s Investor Advisory Group to the PCAOB&amp;apos;s Concept Release Concerning Reports on Audited Financial Statements and Related Amendments to PCAOB Standards&lt;/title&gt;&lt;secondary-title&gt;Current Issues in Auditing&lt;/secondary-title&gt;&lt;/titles&gt;&lt;periodical&gt;&lt;full-title&gt;Current Issues in Auditing&lt;/full-title&gt;&lt;/periodical&gt;&lt;pages&gt;C21-C50&lt;/pages&gt;&lt;volume&gt;5&lt;/volume&gt;&lt;number&gt;2&lt;/number&gt;&lt;dates&gt;&lt;year&gt;2011&lt;/year&gt;&lt;/dates&gt;&lt;isbn&gt;1936-1270&lt;/isbn&gt;&lt;urls&gt;&lt;/urls&gt;&lt;electronic-resource-num&gt;10.2308/ciia-50101&lt;/electronic-resource-num&gt;&lt;/record&gt;&lt;/Cite&gt;&lt;/EndNote&gt;</w:instrText>
      </w:r>
      <w:r w:rsidR="0079592F" w:rsidRPr="00E26D55">
        <w:fldChar w:fldCharType="separate"/>
      </w:r>
      <w:r w:rsidR="00104AD7" w:rsidRPr="00E26D55">
        <w:rPr>
          <w:noProof/>
        </w:rPr>
        <w:t>(</w:t>
      </w:r>
      <w:hyperlink w:anchor="_ENREF_8" w:tooltip="Blake, 2011 #115" w:history="1">
        <w:r w:rsidR="006A749C" w:rsidRPr="00E26D55">
          <w:rPr>
            <w:noProof/>
          </w:rPr>
          <w:t>Blake et al. 2011</w:t>
        </w:r>
      </w:hyperlink>
      <w:r w:rsidR="00104AD7" w:rsidRPr="00E26D55">
        <w:rPr>
          <w:noProof/>
        </w:rPr>
        <w:t>)</w:t>
      </w:r>
      <w:r w:rsidR="0079592F" w:rsidRPr="00E26D55">
        <w:fldChar w:fldCharType="end"/>
      </w:r>
      <w:r w:rsidR="00F44726" w:rsidRPr="00E26D55">
        <w:t xml:space="preserve">. </w:t>
      </w:r>
    </w:p>
    <w:p w14:paraId="50523CA0" w14:textId="77777777" w:rsidR="00BA347C" w:rsidRPr="00E26D55" w:rsidRDefault="00BA347C" w:rsidP="001853E3">
      <w:pPr>
        <w:widowControl w:val="0"/>
        <w:autoSpaceDE w:val="0"/>
        <w:autoSpaceDN w:val="0"/>
        <w:adjustRightInd w:val="0"/>
        <w:ind w:right="270"/>
        <w:jc w:val="both"/>
      </w:pPr>
    </w:p>
    <w:p w14:paraId="5AAD97D9" w14:textId="5E8A70BA" w:rsidR="00613566" w:rsidRDefault="00CE0FE5" w:rsidP="001853E3">
      <w:pPr>
        <w:widowControl w:val="0"/>
        <w:spacing w:line="480" w:lineRule="auto"/>
        <w:contextualSpacing/>
        <w:jc w:val="both"/>
      </w:pPr>
      <w:r w:rsidRPr="00E26D55">
        <w:tab/>
      </w:r>
      <w:r w:rsidR="00D30B4A" w:rsidRPr="00E26D55">
        <w:t xml:space="preserve">As described in the above quote, </w:t>
      </w:r>
      <w:r w:rsidR="00261010" w:rsidRPr="00E26D55">
        <w:t xml:space="preserve">some </w:t>
      </w:r>
      <w:r w:rsidR="00523258" w:rsidRPr="00E26D55">
        <w:t xml:space="preserve">stakeholders are frustrated with the </w:t>
      </w:r>
      <w:r w:rsidR="000730E1" w:rsidRPr="00E26D55">
        <w:t xml:space="preserve">limited information provided by the </w:t>
      </w:r>
      <w:r w:rsidR="0034183A" w:rsidRPr="00E26D55">
        <w:t xml:space="preserve">audit report </w:t>
      </w:r>
      <w:r w:rsidR="000730E1" w:rsidRPr="00E26D55">
        <w:t xml:space="preserve">despite the </w:t>
      </w:r>
      <w:r w:rsidR="00C051C0" w:rsidRPr="00E26D55">
        <w:t xml:space="preserve">substantial </w:t>
      </w:r>
      <w:r w:rsidR="00621887" w:rsidRPr="00E26D55">
        <w:t xml:space="preserve">work performed and insight obtained by </w:t>
      </w:r>
      <w:r w:rsidR="00BA347C" w:rsidRPr="00E26D55">
        <w:t>the external auditor</w:t>
      </w:r>
      <w:r w:rsidR="001A3EA8" w:rsidRPr="00E26D55">
        <w:t xml:space="preserve">. </w:t>
      </w:r>
      <w:r w:rsidR="00773F87" w:rsidRPr="00E26D55">
        <w:t xml:space="preserve">While several groups have recommended changes to the </w:t>
      </w:r>
      <w:r w:rsidR="003D7C57">
        <w:t>standardized “pass/fail” model</w:t>
      </w:r>
      <w:r w:rsidR="00466A64">
        <w:t xml:space="preserve"> </w:t>
      </w:r>
      <w:r w:rsidR="00466A64">
        <w:fldChar w:fldCharType="begin"/>
      </w:r>
      <w:r w:rsidR="00466A64">
        <w:instrText xml:space="preserve"> ADDIN EN.CITE &lt;EndNote&gt;&lt;Cite&gt;&lt;Author&gt;AICPA&lt;/Author&gt;&lt;Year&gt;1978&lt;/Year&gt;&lt;RecNum&gt;130&lt;/RecNum&gt;&lt;DisplayText&gt;(AICPA 1978; NCFFR 1987)&lt;/DisplayText&gt;&lt;record&gt;&lt;rec-number&gt;130&lt;/rec-number&gt;&lt;foreign-keys&gt;&lt;key app="EN" db-id="frdsfrdx0zpts8ex5pfvfda4s9srzrvrxd9z" timestamp="1397434317"&gt;130&lt;/key&gt;&lt;key app="ENWeb" db-id=""&gt;0&lt;/key&gt;&lt;/foreign-keys&gt;&lt;ref-type name="Report"&gt;27&lt;/ref-type&gt;&lt;contributors&gt;&lt;authors&gt;&lt;author&gt;AICPA&lt;/author&gt;&lt;/authors&gt;&lt;/contributors&gt;&lt;titles&gt;&lt;title&gt;The Commission on Auditors&amp;apos; Responsibilities: Report, Conclusions, and Recommendations&lt;/title&gt;&lt;/titles&gt;&lt;dates&gt;&lt;year&gt;1978&lt;/year&gt;&lt;/dates&gt;&lt;pub-location&gt;New York, NY&lt;/pub-location&gt;&lt;urls&gt;&lt;/urls&gt;&lt;/record&gt;&lt;/Cite&gt;&lt;Cite&gt;&lt;Author&gt;NCFFR&lt;/Author&gt;&lt;Year&gt;1987&lt;/Year&gt;&lt;RecNum&gt;361&lt;/RecNum&gt;&lt;record&gt;&lt;rec-number&gt;361&lt;/rec-number&gt;&lt;foreign-keys&gt;&lt;key app="EN" db-id="frdsfrdx0zpts8ex5pfvfda4s9srzrvrxd9z" timestamp="1415726575"&gt;361&lt;/key&gt;&lt;/foreign-keys&gt;&lt;ref-type name="Journal Article"&gt;17&lt;/ref-type&gt;&lt;contributors&gt;&lt;authors&gt;&lt;author&gt;NCFFR&lt;/author&gt;&lt;/authors&gt;&lt;/contributors&gt;&lt;titles&gt;&lt;secondary-title&gt;Report of the National Commission on Fraudulent Financial Reporting (NCFFR)&lt;/secondary-title&gt;&lt;/titles&gt;&lt;periodical&gt;&lt;full-title&gt;Report of the National Commission on Fraudulent Financial Reporting (NCFFR)&lt;/full-title&gt;&lt;/periodical&gt;&lt;dates&gt;&lt;year&gt;1987&lt;/year&gt;&lt;/dates&gt;&lt;urls&gt;&lt;/urls&gt;&lt;/record&gt;&lt;/Cite&gt;&lt;/EndNote&gt;</w:instrText>
      </w:r>
      <w:r w:rsidR="00466A64">
        <w:fldChar w:fldCharType="separate"/>
      </w:r>
      <w:r w:rsidR="00466A64">
        <w:rPr>
          <w:noProof/>
        </w:rPr>
        <w:t>(</w:t>
      </w:r>
      <w:hyperlink w:anchor="_ENREF_1" w:tooltip="AICPA, 1978 #130" w:history="1">
        <w:r w:rsidR="006A749C">
          <w:rPr>
            <w:noProof/>
          </w:rPr>
          <w:t>AICPA 1978</w:t>
        </w:r>
      </w:hyperlink>
      <w:r w:rsidR="00466A64">
        <w:rPr>
          <w:noProof/>
        </w:rPr>
        <w:t xml:space="preserve">; </w:t>
      </w:r>
      <w:hyperlink w:anchor="_ENREF_60" w:tooltip="NCFFR, 1987 #361" w:history="1">
        <w:r w:rsidR="006A749C">
          <w:rPr>
            <w:noProof/>
          </w:rPr>
          <w:t>NCFFR 1987</w:t>
        </w:r>
      </w:hyperlink>
      <w:r w:rsidR="00466A64">
        <w:rPr>
          <w:noProof/>
        </w:rPr>
        <w:t>)</w:t>
      </w:r>
      <w:r w:rsidR="00466A64">
        <w:fldChar w:fldCharType="end"/>
      </w:r>
      <w:r w:rsidR="00BE0626" w:rsidRPr="00E26D55">
        <w:t>,</w:t>
      </w:r>
      <w:r w:rsidR="00773F87" w:rsidRPr="00E26D55">
        <w:t xml:space="preserve"> the U.S. audit report has only been revised twice</w:t>
      </w:r>
      <w:r w:rsidR="003D7C57">
        <w:t xml:space="preserve"> since its initial adoption in the United States during the 1940s</w:t>
      </w:r>
      <w:r w:rsidR="00773F87" w:rsidRPr="00E26D55">
        <w:t>: (1) the inclusion of a scope paragraph per SAS No. 58 in 1988 and (2) the requirement to report on internal control over financial reporting per Section 404 of the Sarbanes-Oxley Act of 2002</w:t>
      </w:r>
      <w:r w:rsidR="00773F87" w:rsidRPr="00251B77">
        <w:t>.</w:t>
      </w:r>
      <w:r w:rsidR="00466A64" w:rsidRPr="00251B77">
        <w:rPr>
          <w:rStyle w:val="FootnoteReference"/>
        </w:rPr>
        <w:footnoteReference w:id="10"/>
      </w:r>
      <w:r w:rsidR="00C3201E" w:rsidRPr="00251B77">
        <w:rPr>
          <w:rStyle w:val="FootnoteReference"/>
          <w:vertAlign w:val="baseline"/>
        </w:rPr>
        <w:t xml:space="preserve"> </w:t>
      </w:r>
      <w:r w:rsidR="000972D5" w:rsidRPr="00251B77">
        <w:t>Studies</w:t>
      </w:r>
      <w:r w:rsidR="000972D5" w:rsidRPr="00E26D55">
        <w:t xml:space="preserve"> </w:t>
      </w:r>
      <w:r w:rsidR="00F4103E" w:rsidRPr="00E26D55">
        <w:t>that examine</w:t>
      </w:r>
      <w:r w:rsidR="000972D5" w:rsidRPr="00E26D55">
        <w:t xml:space="preserve"> these previous changes to the </w:t>
      </w:r>
      <w:r w:rsidR="00D37E71" w:rsidRPr="00E26D55">
        <w:t xml:space="preserve">U.S. </w:t>
      </w:r>
      <w:r w:rsidR="000972D5" w:rsidRPr="00E26D55">
        <w:t>auditor’s repor</w:t>
      </w:r>
      <w:r w:rsidR="005C6E64" w:rsidRPr="00E26D55">
        <w:t>t</w:t>
      </w:r>
      <w:r w:rsidR="00416061" w:rsidRPr="00E26D55">
        <w:t xml:space="preserve"> find</w:t>
      </w:r>
      <w:r w:rsidR="00761A98" w:rsidRPr="00E26D55">
        <w:t xml:space="preserve"> mixed </w:t>
      </w:r>
      <w:r w:rsidR="00F4103E" w:rsidRPr="00E26D55">
        <w:t xml:space="preserve">evidence </w:t>
      </w:r>
      <w:r w:rsidR="00761A98" w:rsidRPr="00E26D55">
        <w:t xml:space="preserve">as to whether </w:t>
      </w:r>
      <w:r w:rsidR="00F4103E" w:rsidRPr="00E26D55">
        <w:t xml:space="preserve">the </w:t>
      </w:r>
      <w:r w:rsidR="00396C47" w:rsidRPr="00E26D55">
        <w:t xml:space="preserve">revised reports provide </w:t>
      </w:r>
      <w:r w:rsidR="00F4103E" w:rsidRPr="00E26D55">
        <w:t>incremental value to fina</w:t>
      </w:r>
      <w:r w:rsidR="00396C47" w:rsidRPr="00E26D55">
        <w:t xml:space="preserve">ncial statement users. </w:t>
      </w:r>
      <w:r w:rsidR="00EE48CA">
        <w:t>S</w:t>
      </w:r>
      <w:r w:rsidR="00396C47" w:rsidRPr="00E26D55">
        <w:t>ome surveys of investors, bankers, and loan officers document that additional communication from auditors enhances the users’ understanding of the audit and impacts their investment decisions</w:t>
      </w:r>
      <w:r w:rsidR="00EE48CA">
        <w:t xml:space="preserve"> while</w:t>
      </w:r>
      <w:r w:rsidR="007672B4" w:rsidRPr="00E26D55">
        <w:t xml:space="preserve"> other </w:t>
      </w:r>
      <w:r w:rsidR="001E6CB0">
        <w:t xml:space="preserve">empirical </w:t>
      </w:r>
      <w:r w:rsidR="007672B4" w:rsidRPr="00E26D55">
        <w:t>research fails to find a significant impact of the “new” reports</w:t>
      </w:r>
      <w:r w:rsidR="007C5DE5" w:rsidRPr="00E26D55">
        <w:t xml:space="preserve"> </w:t>
      </w:r>
      <w:r w:rsidR="00CF2EA4" w:rsidRPr="00E26D55">
        <w:fldChar w:fldCharType="begin">
          <w:fldData xml:space="preserve">PEVuZE5vdGU+PENpdGU+PEF1dGhvcj5CZW5laXNoPC9BdXRob3I+PFllYXI+MjAwODwvWWVhcj48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</w:fldData>
        </w:fldChar>
      </w:r>
      <w:r w:rsidR="00CF2EA4" w:rsidRPr="00E26D55">
        <w:instrText xml:space="preserve"> ADDIN EN.CITE </w:instrText>
      </w:r>
      <w:r w:rsidR="00CF2EA4" w:rsidRPr="00E26D55">
        <w:fldChar w:fldCharType="begin">
          <w:fldData xml:space="preserve">PEVuZE5vdGU+PENpdGU+PEF1dGhvcj5CZW5laXNoPC9BdXRob3I+PFllYXI+MjAwODwvWWVhcj48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</w:fldData>
        </w:fldChar>
      </w:r>
      <w:r w:rsidR="00CF2EA4" w:rsidRPr="00E26D55">
        <w:instrText xml:space="preserve"> ADDIN EN.CITE.DATA </w:instrText>
      </w:r>
      <w:r w:rsidR="00CF2EA4" w:rsidRPr="00E26D55">
        <w:fldChar w:fldCharType="end"/>
      </w:r>
      <w:r w:rsidR="00CF2EA4" w:rsidRPr="00E26D55">
        <w:fldChar w:fldCharType="separate"/>
      </w:r>
      <w:r w:rsidR="00CF2EA4" w:rsidRPr="00E26D55">
        <w:rPr>
          <w:noProof/>
        </w:rPr>
        <w:t>(</w:t>
      </w:r>
      <w:hyperlink w:anchor="_ENREF_6" w:tooltip="Beneish, 2008 #136" w:history="1">
        <w:r w:rsidR="006A749C" w:rsidRPr="00E26D55">
          <w:rPr>
            <w:noProof/>
          </w:rPr>
          <w:t>Beneish et al. 2008</w:t>
        </w:r>
      </w:hyperlink>
      <w:r w:rsidR="00CF2EA4" w:rsidRPr="00E26D55">
        <w:rPr>
          <w:noProof/>
        </w:rPr>
        <w:t xml:space="preserve">; </w:t>
      </w:r>
      <w:hyperlink w:anchor="_ENREF_50" w:tooltip="Kelly, 1989 #131" w:history="1">
        <w:r w:rsidR="006A749C" w:rsidRPr="00E26D55">
          <w:rPr>
            <w:noProof/>
          </w:rPr>
          <w:t>Kelly and Mohrweis 1989</w:t>
        </w:r>
      </w:hyperlink>
      <w:r w:rsidR="00CF2EA4" w:rsidRPr="00E26D55">
        <w:rPr>
          <w:noProof/>
        </w:rPr>
        <w:t xml:space="preserve">; </w:t>
      </w:r>
      <w:hyperlink w:anchor="_ENREF_57" w:tooltip="Miller, 1993 #132" w:history="1">
        <w:r w:rsidR="006A749C" w:rsidRPr="00E26D55">
          <w:rPr>
            <w:noProof/>
          </w:rPr>
          <w:t>Miller et al. 1993</w:t>
        </w:r>
      </w:hyperlink>
      <w:r w:rsidR="00CF2EA4" w:rsidRPr="00E26D55">
        <w:rPr>
          <w:noProof/>
        </w:rPr>
        <w:t>)</w:t>
      </w:r>
      <w:r w:rsidR="00CF2EA4" w:rsidRPr="00E26D55">
        <w:fldChar w:fldCharType="end"/>
      </w:r>
      <w:r w:rsidR="00CF2EA4" w:rsidRPr="00E26D55">
        <w:t>.</w:t>
      </w:r>
      <w:r w:rsidR="00F108FD" w:rsidRPr="00E26D55">
        <w:t xml:space="preserve"> </w:t>
      </w:r>
    </w:p>
    <w:p w14:paraId="7E32023C" w14:textId="43782CD1" w:rsidR="00516F9C" w:rsidRPr="00613566" w:rsidRDefault="004B3C75" w:rsidP="001853E3">
      <w:pPr>
        <w:widowControl w:val="0"/>
        <w:spacing w:line="480" w:lineRule="auto"/>
        <w:ind w:firstLine="720"/>
        <w:contextualSpacing/>
        <w:jc w:val="both"/>
      </w:pPr>
      <w:r>
        <w:t xml:space="preserve">Studies examining the current U.S. audit report conclude that </w:t>
      </w:r>
      <w:r w:rsidR="0072662B" w:rsidRPr="00E26D55">
        <w:t xml:space="preserve">the report has some “symbolic value, but conveys little </w:t>
      </w:r>
      <w:r w:rsidR="00C67757">
        <w:t xml:space="preserve">communicative value” due to its </w:t>
      </w:r>
      <w:r w:rsidR="0072662B" w:rsidRPr="00E26D55">
        <w:t>stan</w:t>
      </w:r>
      <w:r w:rsidR="001606DC" w:rsidRPr="00E26D55">
        <w:t xml:space="preserve">dardized nature </w:t>
      </w:r>
      <w:r w:rsidR="00230CF9">
        <w:fldChar w:fldCharType="begin"/>
      </w:r>
      <w:r w:rsidR="00230CF9">
        <w:instrText xml:space="preserve"> ADDIN EN.CITE &lt;EndNote&gt;&lt;Cite&gt;&lt;Author&gt;Church&lt;/Author&gt;&lt;Year&gt;2008&lt;/Year&gt;&lt;RecNum&gt;139&lt;/RecNum&gt;&lt;DisplayText&gt;(Church et al. 2008)&lt;/DisplayText&gt;&lt;record&gt;&lt;rec-number&gt;139&lt;/rec-number&gt;&lt;foreign-keys&gt;&lt;key app="EN" db-id="frdsfrdx0zpts8ex5pfvfda4s9srzrvrxd9z" timestamp="1397436601"&gt;139&lt;/key&gt;&lt;/foreign-keys&gt;&lt;ref-type name="Journal Article"&gt;17&lt;/ref-type&gt;&lt;contributors&gt;&lt;authors&gt;&lt;author&gt;Church, Bryan K.&lt;/author&gt;&lt;author&gt;Davis, Shawn M.&lt;/author&gt;&lt;author&gt;McCracken, Susan A.&lt;/author&gt;&lt;/authors&gt;&lt;/contributors&gt;&lt;titles&gt;&lt;title&gt;The Auditor&amp;apos;s Reporting Model: A Literature Overview and Research Synthesis&lt;/title&gt;&lt;secondary-title&gt;Accounting Horizons&lt;/secondary-title&gt;&lt;/titles&gt;&lt;periodical&gt;&lt;full-title&gt;Accounting Horizons&lt;/full-title&gt;&lt;/periodical&gt;&lt;pages&gt;69-90&lt;/pages&gt;&lt;volume&gt;22&lt;/volume&gt;&lt;number&gt;1&lt;/number&gt;&lt;keywords&gt;&lt;keyword&gt;RESEARCH&lt;/keyword&gt;&lt;keyword&gt;AUDITORS&amp;apos; reports&lt;/keyword&gt;&lt;keyword&gt;FINANCIAL statements&lt;/keyword&gt;&lt;keyword&gt;ACCOUNTING standards&lt;/keyword&gt;&lt;keyword&gt;DECISION making&lt;/keyword&gt;&lt;keyword&gt;ACCOUNTING methods&lt;/keyword&gt;&lt;keyword&gt;EXPECTATION gap&lt;/keyword&gt;&lt;keyword&gt;INTERNAL auditing&lt;/keyword&gt;&lt;keyword&gt;CHIEF financial officers&lt;/keyword&gt;&lt;keyword&gt;FINANCIAL market reaction&lt;/keyword&gt;&lt;keyword&gt;ACCOUNTING literature&lt;/keyword&gt;&lt;keyword&gt;EDUCATION&lt;/keyword&gt;&lt;keyword&gt;PUBLIC Company Accounting Oversight Board&lt;/keyword&gt;&lt;/keywords&gt;&lt;dates&gt;&lt;year&gt;2008&lt;/year&gt;&lt;/dates&gt;&lt;publisher&gt;American Accounting Association&lt;/publisher&gt;&lt;isbn&gt;08887993&lt;/isbn&gt;&lt;accession-num&gt;31204556&lt;/accession-num&gt;&lt;work-type&gt;Article&lt;/work-type&gt;&lt;urls&gt;&lt;related-urls&gt;&lt;url&gt;http://proxy.lib.utk.edu:90/login?url=http://search.ebscohost.com/login.aspx?direct=true&amp;amp;db=bth&amp;amp;AN=31204556&amp;amp;scope=site&lt;/url&gt;&lt;/related-urls&gt;&lt;/urls&gt;&lt;remote-database-name&gt;bth&lt;/remote-database-name&gt;&lt;remote-database-provider&gt;EBSCOhost&lt;/remote-database-provider&gt;&lt;/record&gt;&lt;/Cite&gt;&lt;/EndNote&gt;</w:instrText>
      </w:r>
      <w:r w:rsidR="00230CF9">
        <w:fldChar w:fldCharType="separate"/>
      </w:r>
      <w:r w:rsidR="00230CF9">
        <w:rPr>
          <w:noProof/>
        </w:rPr>
        <w:t>(</w:t>
      </w:r>
      <w:hyperlink w:anchor="_ENREF_24" w:tooltip="Church, 2008 #139" w:history="1">
        <w:r w:rsidR="006A749C">
          <w:rPr>
            <w:noProof/>
          </w:rPr>
          <w:t>Church et al. 2008</w:t>
        </w:r>
      </w:hyperlink>
      <w:r w:rsidR="00230CF9">
        <w:rPr>
          <w:noProof/>
        </w:rPr>
        <w:t>)</w:t>
      </w:r>
      <w:r w:rsidR="00230CF9">
        <w:fldChar w:fldCharType="end"/>
      </w:r>
      <w:r w:rsidR="001606DC" w:rsidRPr="00E26D55">
        <w:t xml:space="preserve">. </w:t>
      </w:r>
      <w:r w:rsidR="00230CF9" w:rsidRPr="00E26D55">
        <w:t xml:space="preserve">Prior </w:t>
      </w:r>
      <w:r w:rsidR="00127CD2">
        <w:t>research</w:t>
      </w:r>
      <w:r w:rsidR="00230CF9" w:rsidRPr="00E26D55">
        <w:t xml:space="preserve"> also reveal</w:t>
      </w:r>
      <w:r w:rsidR="00127CD2">
        <w:t>s</w:t>
      </w:r>
      <w:r w:rsidR="00230CF9" w:rsidRPr="00E26D55">
        <w:t xml:space="preserve"> that users sometimes misinterpret the terminology included in the report as well as the level of assurance </w:t>
      </w:r>
      <w:r w:rsidR="00DA49DF">
        <w:t>provided</w:t>
      </w:r>
      <w:r w:rsidR="00230CF9" w:rsidRPr="00E26D55">
        <w:t xml:space="preserve"> by the auditor </w:t>
      </w:r>
      <w:r w:rsidR="00230CF9" w:rsidRPr="00E26D55">
        <w:fldChar w:fldCharType="begin"/>
      </w:r>
      <w:r w:rsidR="00230CF9" w:rsidRPr="00E26D55">
        <w:instrText xml:space="preserve"> ADDIN EN.CITE &lt;EndNote&gt;&lt;Cite&gt;&lt;Author&gt;Asare&lt;/Author&gt;&lt;Year&gt;2012&lt;/Year&gt;&lt;RecNum&gt;143&lt;/RecNum&gt;&lt;DisplayText&gt;(Asare and Wright 2012; Gray et al. 2011)&lt;/DisplayText&gt;&lt;record&gt;&lt;rec-number&gt;143&lt;/rec-number&gt;&lt;foreign-keys&gt;&lt;key app="EN" db-id="frdsfrdx0zpts8ex5pfvfda4s9srzrvrxd9z" timestamp="1397437296"&gt;143&lt;/key&gt;&lt;key app="ENWeb" db-id=""&gt;0&lt;/key&gt;&lt;/foreign-keys&gt;&lt;ref-type name="Journal Article"&gt;17&lt;/ref-type&gt;&lt;contributors&gt;&lt;authors&gt;&lt;author&gt;Asare, Stephen Kwaku&lt;/author&gt;&lt;author&gt;Wright, Arnold M.&lt;/author&gt;&lt;/authors&gt;&lt;/contributors&gt;&lt;titles&gt;&lt;title&gt;Investors&amp;apos;, Auditors&amp;apos;, and Lenders&amp;apos; Understanding of the Message Conveyed by the Standard Audit Report on the Financial Statements&lt;/title&gt;&lt;secondary-title&gt;Accounting Horizons&lt;/secondary-title&gt;&lt;/titles&gt;&lt;periodical&gt;&lt;full-title&gt;Accounting Horizons&lt;/full-title&gt;&lt;/periodical&gt;&lt;pages&gt;193-217&lt;/pages&gt;&lt;volume&gt;26&lt;/volume&gt;&lt;number&gt;2&lt;/number&gt;&lt;dates&gt;&lt;year&gt;2012&lt;/year&gt;&lt;/dates&gt;&lt;isbn&gt;0888-7993&amp;#xD;1558-7975&lt;/isbn&gt;&lt;urls&gt;&lt;/urls&gt;&lt;electronic-resource-num&gt;10.2308/acch-50138&lt;/electronic-resource-num&gt;&lt;/record&gt;&lt;/Cite&gt;&lt;Cite&gt;&lt;Author&gt;Gray&lt;/Author&gt;&lt;Year&gt;2011&lt;/Year&gt;&lt;RecNum&gt;125&lt;/RecNum&gt;&lt;record&gt;&lt;rec-number&gt;125&lt;/rec-number&gt;&lt;foreign-keys&gt;&lt;key app="EN" db-id="frdsfrdx0zpts8ex5pfvfda4s9srzrvrxd9z" timestamp="1397433065"&gt;125&lt;/key&gt;&lt;key app="ENWeb" db-id=""&gt;0&lt;/key&gt;&lt;/foreign-keys&gt;&lt;ref-type name="Journal Article"&gt;17&lt;/ref-type&gt;&lt;contributors&gt;&lt;authors&gt;&lt;author&gt;Gray, Glen L.&lt;/author&gt;&lt;author&gt;Turner, Jerry L.&lt;/author&gt;&lt;author&gt;Coram, Paul J.&lt;/author&gt;&lt;author&gt;Mock, Theodore J.&lt;/author&gt;&lt;/authors&gt;&lt;/contributors&gt;&lt;titles&gt;&lt;title&gt;Perceptions and Misperceptions Regarding the Unqualified Auditor&amp;apos;s Report by Financial Statement Preparers, Users, and Auditors&lt;/title&gt;&lt;secondary-title&gt;Accounting Horizons&lt;/secondary-title&gt;&lt;/titles&gt;&lt;periodical&gt;&lt;full-title&gt;Accounting Horizons&lt;/full-title&gt;&lt;/periodical&gt;&lt;pages&gt;659-684&lt;/pages&gt;&lt;volume&gt;25&lt;/volume&gt;&lt;number&gt;4&lt;/number&gt;&lt;dates&gt;&lt;year&gt;2011&lt;/year&gt;&lt;/dates&gt;&lt;isbn&gt;0888-7993&amp;#xD;1558-7975&lt;/isbn&gt;&lt;urls&gt;&lt;/urls&gt;&lt;electronic-resource-num&gt;10.2308/acch-50060&lt;/electronic-resource-num&gt;&lt;/record&gt;&lt;/Cite&gt;&lt;/EndNote&gt;</w:instrText>
      </w:r>
      <w:r w:rsidR="00230CF9" w:rsidRPr="00E26D55">
        <w:fldChar w:fldCharType="separate"/>
      </w:r>
      <w:r w:rsidR="00230CF9" w:rsidRPr="00E26D55">
        <w:rPr>
          <w:noProof/>
        </w:rPr>
        <w:t>(</w:t>
      </w:r>
      <w:hyperlink w:anchor="_ENREF_2" w:tooltip="Asare, 2012 #143" w:history="1">
        <w:r w:rsidR="006A749C" w:rsidRPr="00E26D55">
          <w:rPr>
            <w:noProof/>
          </w:rPr>
          <w:t>Asare and Wright 2012</w:t>
        </w:r>
      </w:hyperlink>
      <w:r w:rsidR="00230CF9" w:rsidRPr="00E26D55">
        <w:rPr>
          <w:noProof/>
        </w:rPr>
        <w:t xml:space="preserve">; </w:t>
      </w:r>
      <w:hyperlink w:anchor="_ENREF_43" w:tooltip="Gray, 2011 #125" w:history="1">
        <w:r w:rsidR="006A749C" w:rsidRPr="00E26D55">
          <w:rPr>
            <w:noProof/>
          </w:rPr>
          <w:t>Gray et al. 2011</w:t>
        </w:r>
      </w:hyperlink>
      <w:r w:rsidR="00230CF9" w:rsidRPr="00E26D55">
        <w:rPr>
          <w:noProof/>
        </w:rPr>
        <w:t>)</w:t>
      </w:r>
      <w:r w:rsidR="00230CF9" w:rsidRPr="00E26D55">
        <w:fldChar w:fldCharType="end"/>
      </w:r>
      <w:r w:rsidR="00230CF9" w:rsidRPr="00E26D55">
        <w:t xml:space="preserve">. </w:t>
      </w:r>
      <w:r w:rsidR="000B2C07" w:rsidRPr="00E26D55">
        <w:rPr>
          <w:color w:val="1A1718"/>
        </w:rPr>
        <w:t>Par</w:t>
      </w:r>
      <w:r w:rsidR="006C7F83" w:rsidRPr="00E26D55">
        <w:rPr>
          <w:color w:val="1A1718"/>
        </w:rPr>
        <w:t>ticipants in a</w:t>
      </w:r>
      <w:r w:rsidR="000B2C07" w:rsidRPr="00E26D55">
        <w:rPr>
          <w:color w:val="1A1718"/>
        </w:rPr>
        <w:t xml:space="preserve"> focus group conducted by </w:t>
      </w:r>
      <w:hyperlink w:anchor="_ENREF_43" w:tooltip="Gray, 2011 #125" w:history="1">
        <w:r w:rsidR="006A749C" w:rsidRPr="00E26D55">
          <w:rPr>
            <w:color w:val="1A1718"/>
          </w:rPr>
          <w:fldChar w:fldCharType="begin"/>
        </w:r>
        <w:r w:rsidR="006A749C" w:rsidRPr="00E26D55">
          <w:rPr>
            <w:color w:val="1A1718"/>
          </w:rPr>
          <w:instrText xml:space="preserve"> ADDIN EN.CITE &lt;EndNote&gt;&lt;Cite AuthorYear="1"&gt;&lt;Author&gt;Gray&lt;/Author&gt;&lt;Year&gt;2011&lt;/Year&gt;&lt;RecNum&gt;125&lt;/RecNum&gt;&lt;DisplayText&gt;Gray et al. (2011)&lt;/DisplayText&gt;&lt;record&gt;&lt;rec-number&gt;125&lt;/rec-number&gt;&lt;foreign-keys&gt;&lt;key app="EN" db-id="frdsfrdx0zpts8ex5pfvfda4s9srzrvrxd9z" timestamp="1397433065"&gt;125&lt;/key&gt;&lt;key app="ENWeb" db-id=""&gt;0&lt;/key&gt;&lt;/foreign-keys&gt;&lt;ref-type name="Journal Article"&gt;17&lt;/ref-type&gt;&lt;contributors&gt;&lt;authors&gt;&lt;author&gt;Gray, Glen L.&lt;/author&gt;&lt;author&gt;Turner, Jerry L.&lt;/author&gt;&lt;author&gt;Coram, Paul J.&lt;/author&gt;&lt;author&gt;Mock, Theodore J.&lt;/author&gt;&lt;/authors&gt;&lt;/contributors&gt;&lt;titles&gt;&lt;title&gt;Perceptions and Misperceptions Regarding the Unqualified Auditor&amp;apos;s Report by Financial Statement Preparers, Users, and Auditors&lt;/title&gt;&lt;secondary-title&gt;Accounting Horizons&lt;/secondary-title&gt;&lt;/titles&gt;&lt;periodical&gt;&lt;full-title&gt;Accounting Horizons&lt;/full-title&gt;&lt;/periodical&gt;&lt;pages&gt;659-684&lt;/pages&gt;&lt;volume&gt;25&lt;/volume&gt;&lt;number&gt;4&lt;/number&gt;&lt;dates&gt;&lt;year&gt;2011&lt;/year&gt;&lt;/dates&gt;&lt;isbn&gt;0888-7993&amp;#xD;1558-7975&lt;/isbn&gt;&lt;urls&gt;&lt;/urls&gt;&lt;electronic-resource-num&gt;10.2308/acch-50060&lt;/electronic-resource-num&gt;&lt;/record&gt;&lt;/Cite&gt;&lt;/EndNote&gt;</w:instrText>
        </w:r>
        <w:r w:rsidR="006A749C" w:rsidRPr="00E26D55">
          <w:rPr>
            <w:color w:val="1A1718"/>
          </w:rPr>
          <w:fldChar w:fldCharType="separate"/>
        </w:r>
        <w:r w:rsidR="006A749C" w:rsidRPr="00E26D55">
          <w:rPr>
            <w:noProof/>
            <w:color w:val="1A1718"/>
          </w:rPr>
          <w:t>Gray et al. (2011)</w:t>
        </w:r>
        <w:r w:rsidR="006A749C" w:rsidRPr="00E26D55">
          <w:rPr>
            <w:color w:val="1A1718"/>
          </w:rPr>
          <w:fldChar w:fldCharType="end"/>
        </w:r>
      </w:hyperlink>
      <w:r w:rsidR="006C7F83" w:rsidRPr="00E26D55">
        <w:rPr>
          <w:color w:val="1A1718"/>
        </w:rPr>
        <w:t xml:space="preserve"> suggest that audit</w:t>
      </w:r>
      <w:r w:rsidR="000B2C07" w:rsidRPr="00E26D55">
        <w:rPr>
          <w:color w:val="1A1718"/>
        </w:rPr>
        <w:t xml:space="preserve"> reports would provide more meaningful information if client-specific content </w:t>
      </w:r>
      <w:r w:rsidR="00771181">
        <w:rPr>
          <w:color w:val="1A1718"/>
        </w:rPr>
        <w:t xml:space="preserve">was </w:t>
      </w:r>
      <w:r w:rsidR="000B2C07" w:rsidRPr="00E26D55">
        <w:rPr>
          <w:color w:val="1A1718"/>
        </w:rPr>
        <w:t xml:space="preserve">included rather than </w:t>
      </w:r>
      <w:r w:rsidR="00717E3B" w:rsidRPr="00E26D55">
        <w:rPr>
          <w:color w:val="1A1718"/>
        </w:rPr>
        <w:t xml:space="preserve">the </w:t>
      </w:r>
      <w:r w:rsidR="000B2C07" w:rsidRPr="00E26D55">
        <w:rPr>
          <w:color w:val="1A1718"/>
        </w:rPr>
        <w:t>boiler</w:t>
      </w:r>
      <w:r w:rsidR="00304528" w:rsidRPr="00E26D55">
        <w:rPr>
          <w:color w:val="1A1718"/>
        </w:rPr>
        <w:t>plate report currently issued.</w:t>
      </w:r>
      <w:r w:rsidR="001531BF">
        <w:rPr>
          <w:rStyle w:val="FootnoteReference"/>
          <w:color w:val="1A1718"/>
        </w:rPr>
        <w:footnoteReference w:id="11"/>
      </w:r>
      <w:r w:rsidR="00304528" w:rsidRPr="00E26D55">
        <w:rPr>
          <w:color w:val="1A1718"/>
        </w:rPr>
        <w:t xml:space="preserve"> </w:t>
      </w:r>
      <w:r w:rsidR="000A0206">
        <w:t>Furthermore, a</w:t>
      </w:r>
      <w:r w:rsidR="00516F9C" w:rsidRPr="00E26D55">
        <w:t xml:space="preserve"> survey of sophisticated financial statement users reports that 79 percent of the participants want more informative audit report disclosures regarding management’s significant judgments and estimates </w:t>
      </w:r>
      <w:r w:rsidR="00516F9C" w:rsidRPr="00E26D55">
        <w:fldChar w:fldCharType="begin"/>
      </w:r>
      <w:r w:rsidR="00516F9C" w:rsidRPr="00E26D55">
        <w:instrText xml:space="preserve"> ADDIN EN.CITE &lt;EndNote&gt;&lt;Cite&gt;&lt;Author&gt;Carcello&lt;/Author&gt;&lt;Year&gt;2011&lt;/Year&gt;&lt;RecNum&gt;177&lt;/RecNum&gt;&lt;DisplayText&gt;(Carcello et al. 2011a)&lt;/DisplayText&gt;&lt;record&gt;&lt;rec-number&gt;177&lt;/rec-number&gt;&lt;foreign-keys&gt;&lt;key app="EN" db-id="frdsfrdx0zpts8ex5pfvfda4s9srzrvrxd9z" timestamp="1397502677"&gt;177&lt;/key&gt;&lt;/foreign-keys&gt;&lt;ref-type name="Report"&gt;27&lt;/ref-type&gt;&lt;contributors&gt;&lt;authors&gt;&lt;author&gt;Carcello, Joseph V.&lt;/author&gt;&lt;author&gt;Harrison, Norman J.&lt;/author&gt;&lt;author&gt;Sauter, Gus&lt;/author&gt;&lt;author&gt;Yerger, Ann&lt;/author&gt;&lt;/authors&gt;&lt;/contributors&gt;&lt;titles&gt;&lt;title&gt;Improving the Auditor&amp;apos;s Report. Presented at the PCAOB Investor Advisory Group Meeting on March 16, 2011&lt;/title&gt;&lt;/titles&gt;&lt;dates&gt;&lt;year&gt;2011&lt;/year&gt;&lt;pub-dates&gt;&lt;date&gt;March 16&lt;/date&gt;&lt;/pub-dates&gt;&lt;/dates&gt;&lt;urls&gt;&lt;/urls&gt;&lt;/record&gt;&lt;/Cite&gt;&lt;/EndNote&gt;</w:instrText>
      </w:r>
      <w:r w:rsidR="00516F9C" w:rsidRPr="00E26D55">
        <w:fldChar w:fldCharType="separate"/>
      </w:r>
      <w:r w:rsidR="00516F9C" w:rsidRPr="00E26D55">
        <w:rPr>
          <w:noProof/>
        </w:rPr>
        <w:t>(</w:t>
      </w:r>
      <w:hyperlink w:anchor="_ENREF_15" w:tooltip="Carcello, 2011 #177" w:history="1">
        <w:r w:rsidR="006A749C" w:rsidRPr="00E26D55">
          <w:rPr>
            <w:noProof/>
          </w:rPr>
          <w:t>Carcello et al. 2011a</w:t>
        </w:r>
      </w:hyperlink>
      <w:r w:rsidR="00516F9C" w:rsidRPr="00E26D55">
        <w:rPr>
          <w:noProof/>
        </w:rPr>
        <w:t>)</w:t>
      </w:r>
      <w:r w:rsidR="00516F9C" w:rsidRPr="00E26D55">
        <w:fldChar w:fldCharType="end"/>
      </w:r>
      <w:r w:rsidR="00516F9C" w:rsidRPr="00E26D55">
        <w:t xml:space="preserve">. Additionally, 77 percent of the respondents desire auditor disclosures of the greatest financial statement and audit risks as well as the audit procedures performed to address the risks </w:t>
      </w:r>
      <w:r w:rsidR="00516F9C" w:rsidRPr="00E26D55">
        <w:fldChar w:fldCharType="begin"/>
      </w:r>
      <w:r w:rsidR="00516F9C" w:rsidRPr="00E26D55">
        <w:instrText xml:space="preserve"> ADDIN EN.CITE &lt;EndNote&gt;&lt;Cite&gt;&lt;Author&gt;Carcello&lt;/Author&gt;&lt;Year&gt;2011&lt;/Year&gt;&lt;RecNum&gt;177&lt;/RecNum&gt;&lt;DisplayText&gt;(Carcello et al. 2011a)&lt;/DisplayText&gt;&lt;record&gt;&lt;rec-number&gt;177&lt;/rec-number&gt;&lt;foreign-keys&gt;&lt;key app="EN" db-id="frdsfrdx0zpts8ex5pfvfda4s9srzrvrxd9z" timestamp="1397502677"&gt;177&lt;/key&gt;&lt;/foreign-keys&gt;&lt;ref-type name="Report"&gt;27&lt;/ref-type&gt;&lt;contributors&gt;&lt;authors&gt;&lt;author&gt;Carcello, Joseph V.&lt;/author&gt;&lt;author&gt;Harrison, Norman J.&lt;/author&gt;&lt;author&gt;Sauter, Gus&lt;/author&gt;&lt;author&gt;Yerger, Ann&lt;/author&gt;&lt;/authors&gt;&lt;/contributors&gt;&lt;titles&gt;&lt;title&gt;Improving the Auditor&amp;apos;s Report. Presented at the PCAOB Investor Advisory Group Meeting on March 16, 2011&lt;/title&gt;&lt;/titles&gt;&lt;dates&gt;&lt;year&gt;2011&lt;/year&gt;&lt;pub-dates&gt;&lt;date&gt;March 16&lt;/date&gt;&lt;/pub-dates&gt;&lt;/dates&gt;&lt;urls&gt;&lt;/urls&gt;&lt;/record&gt;&lt;/Cite&gt;&lt;/EndNote&gt;</w:instrText>
      </w:r>
      <w:r w:rsidR="00516F9C" w:rsidRPr="00E26D55">
        <w:fldChar w:fldCharType="separate"/>
      </w:r>
      <w:r w:rsidR="00516F9C" w:rsidRPr="00E26D55">
        <w:rPr>
          <w:noProof/>
        </w:rPr>
        <w:t>(</w:t>
      </w:r>
      <w:hyperlink w:anchor="_ENREF_15" w:tooltip="Carcello, 2011 #177" w:history="1">
        <w:r w:rsidR="006A749C" w:rsidRPr="00E26D55">
          <w:rPr>
            <w:noProof/>
          </w:rPr>
          <w:t>Carcello et al. 2011a</w:t>
        </w:r>
      </w:hyperlink>
      <w:r w:rsidR="00516F9C" w:rsidRPr="00E26D55">
        <w:rPr>
          <w:noProof/>
        </w:rPr>
        <w:t>)</w:t>
      </w:r>
      <w:r w:rsidR="00516F9C" w:rsidRPr="00E26D55">
        <w:fldChar w:fldCharType="end"/>
      </w:r>
      <w:r w:rsidR="00516F9C" w:rsidRPr="00E26D55">
        <w:t>.</w:t>
      </w:r>
      <w:r w:rsidR="00516F9C" w:rsidRPr="00E26D55">
        <w:rPr>
          <w:rStyle w:val="FootnoteReference"/>
        </w:rPr>
        <w:footnoteReference w:id="12"/>
      </w:r>
      <w:r w:rsidR="00516F9C" w:rsidRPr="00E26D55">
        <w:t xml:space="preserve"> </w:t>
      </w:r>
    </w:p>
    <w:p w14:paraId="1D30ECD3" w14:textId="332F480D" w:rsidR="00FD0DAF" w:rsidRPr="00E26D55" w:rsidRDefault="00FD0DAF" w:rsidP="001853E3">
      <w:pPr>
        <w:widowControl w:val="0"/>
        <w:spacing w:line="480" w:lineRule="auto"/>
        <w:ind w:firstLine="720"/>
        <w:jc w:val="both"/>
        <w:rPr>
          <w:rFonts w:eastAsia="Times New Roman"/>
        </w:rPr>
      </w:pPr>
      <w:r w:rsidRPr="00E26D55">
        <w:rPr>
          <w:rFonts w:eastAsia="Times New Roman"/>
        </w:rPr>
        <w:t>In response to stakeholder dissatisfaction with the current auditor report, regulators have taken action to impr</w:t>
      </w:r>
      <w:r w:rsidR="00357633">
        <w:rPr>
          <w:rFonts w:eastAsia="Times New Roman"/>
        </w:rPr>
        <w:t>ove the transparency of the audit report</w:t>
      </w:r>
      <w:r w:rsidRPr="00E26D55">
        <w:rPr>
          <w:rFonts w:eastAsia="Times New Roman"/>
        </w:rPr>
        <w:t xml:space="preserve">. Most notably, the PCAOB proposed a new audit reporting model on August 13, 2013 </w:t>
      </w:r>
      <w:r w:rsidRPr="00E26D55">
        <w:rPr>
          <w:rFonts w:eastAsia="Times New Roman"/>
        </w:rPr>
        <w:fldChar w:fldCharType="begin"/>
      </w:r>
      <w:r w:rsidRPr="00E26D55">
        <w:rPr>
          <w:rFonts w:eastAsia="Times New Roman"/>
        </w:rPr>
        <w:instrText xml:space="preserve"> ADDIN EN.CITE &lt;EndNote&gt;&lt;Cite&gt;&lt;Author&gt;PCAOB&lt;/Author&gt;&lt;Year&gt;2013&lt;/Year&gt;&lt;RecNum&gt;155&lt;/RecNum&gt;&lt;DisplayText&gt;(PCAOB 2013)&lt;/DisplayText&gt;&lt;record&gt;&lt;rec-number&gt;155&lt;/rec-number&gt;&lt;foreign-keys&gt;&lt;key app="EN" db-id="frdsfrdx0zpts8ex5pfvfda4s9srzrvrxd9z" timestamp="1397440443"&gt;155&lt;/key&gt;&lt;key app="ENWeb" db-id=""&gt;0&lt;/key&gt;&lt;/foreign-keys&gt;&lt;ref-type name="Journal Article"&gt;17&lt;/ref-type&gt;&lt;contributors&gt;&lt;authors&gt;&lt;author&gt;PCAOB&lt;/author&gt;&lt;/authors&gt;&lt;/contributors&gt;&lt;titles&gt;&lt;title&gt;Proposed Auditing Standards: The Auditor&amp;apos;s Report on an Audit of Financial Statements When the Auditor Expresses an Unqualified Opinion&lt;/title&gt;&lt;/titles&gt;&lt;volume&gt;August 13, 2013.&lt;/volume&gt;&lt;dates&gt;&lt;year&gt;2013&lt;/year&gt;&lt;pub-dates&gt;&lt;date&gt;August 13, 2013&lt;/date&gt;&lt;/pub-dates&gt;&lt;/dates&gt;&lt;urls&gt;&lt;related-urls&gt;&lt;url&gt;http://pcaobus.org/Rules/Rulemaking/Docket034/Release_2013-005_ARM.pdf&lt;/url&gt;&lt;/related-urls&gt;&lt;/urls&gt;&lt;/record&gt;&lt;/Cite&gt;&lt;/EndNote&gt;</w:instrText>
      </w:r>
      <w:r w:rsidRPr="00E26D55">
        <w:rPr>
          <w:rFonts w:eastAsia="Times New Roman"/>
        </w:rPr>
        <w:fldChar w:fldCharType="separate"/>
      </w:r>
      <w:r w:rsidRPr="00E26D55">
        <w:rPr>
          <w:rFonts w:eastAsia="Times New Roman"/>
          <w:noProof/>
        </w:rPr>
        <w:t>(</w:t>
      </w:r>
      <w:hyperlink w:anchor="_ENREF_62" w:tooltip="PCAOB, 2013 #155" w:history="1">
        <w:r w:rsidR="006A749C" w:rsidRPr="00E26D55">
          <w:rPr>
            <w:rFonts w:eastAsia="Times New Roman"/>
            <w:noProof/>
          </w:rPr>
          <w:t>PCAOB 2013</w:t>
        </w:r>
      </w:hyperlink>
      <w:r w:rsidRPr="00E26D55">
        <w:rPr>
          <w:rFonts w:eastAsia="Times New Roman"/>
          <w:noProof/>
        </w:rPr>
        <w:t>)</w:t>
      </w:r>
      <w:r w:rsidRPr="00E26D55">
        <w:rPr>
          <w:rFonts w:eastAsia="Times New Roman"/>
        </w:rPr>
        <w:fldChar w:fldCharType="end"/>
      </w:r>
      <w:r w:rsidRPr="00E26D55">
        <w:rPr>
          <w:rFonts w:eastAsia="Times New Roman"/>
        </w:rPr>
        <w:t xml:space="preserve">. The proposed changes are aimed at providing more insight into the audit process and creating a report that is entity and engagement specific. The revisions, if passed, would require a discussion of critical audit matters </w:t>
      </w:r>
      <w:r w:rsidR="001447B6" w:rsidRPr="001447B6">
        <w:rPr>
          <w:rFonts w:eastAsia="Times New Roman"/>
        </w:rPr>
        <w:t>(“CAMs”)</w:t>
      </w:r>
      <w:r w:rsidR="001447B6" w:rsidRPr="00690631">
        <w:rPr>
          <w:rFonts w:eastAsia="Times New Roman"/>
          <w:sz w:val="20"/>
          <w:szCs w:val="20"/>
        </w:rPr>
        <w:t xml:space="preserve"> </w:t>
      </w:r>
      <w:r w:rsidRPr="00E26D55">
        <w:rPr>
          <w:rFonts w:eastAsia="Times New Roman"/>
        </w:rPr>
        <w:t>in order to increase transparency in the areas that were the most significant and/or most difficult in the audit.</w:t>
      </w:r>
      <w:r w:rsidR="00690631">
        <w:rPr>
          <w:rStyle w:val="FootnoteReference"/>
          <w:rFonts w:eastAsia="Times New Roman"/>
        </w:rPr>
        <w:footnoteReference w:id="13"/>
      </w:r>
      <w:r w:rsidRPr="00E26D55">
        <w:rPr>
          <w:rFonts w:eastAsia="Times New Roman"/>
        </w:rPr>
        <w:t xml:space="preserve"> The PCAOB’s proposal also requires additional information on the auditor’s independence, tenure, and responsibilities for fraud and financial statement notes </w:t>
      </w:r>
      <w:r w:rsidRPr="00E26D55">
        <w:rPr>
          <w:rFonts w:eastAsia="Times New Roman"/>
        </w:rPr>
        <w:fldChar w:fldCharType="begin"/>
      </w:r>
      <w:r w:rsidRPr="00E26D55">
        <w:rPr>
          <w:rFonts w:eastAsia="Times New Roman"/>
        </w:rPr>
        <w:instrText xml:space="preserve"> ADDIN EN.CITE &lt;EndNote&gt;&lt;Cite&gt;&lt;Author&gt;PCAOB&lt;/Author&gt;&lt;Year&gt;2013&lt;/Year&gt;&lt;RecNum&gt;155&lt;/RecNum&gt;&lt;DisplayText&gt;(PCAOB 2013)&lt;/DisplayText&gt;&lt;record&gt;&lt;rec-number&gt;155&lt;/rec-number&gt;&lt;foreign-keys&gt;&lt;key app="EN" db-id="frdsfrdx0zpts8ex5pfvfda4s9srzrvrxd9z" timestamp="1397440443"&gt;155&lt;/key&gt;&lt;key app="ENWeb" db-id=""&gt;0&lt;/key&gt;&lt;/foreign-keys&gt;&lt;ref-type name="Journal Article"&gt;17&lt;/ref-type&gt;&lt;contributors&gt;&lt;authors&gt;&lt;author&gt;PCAOB&lt;/author&gt;&lt;/authors&gt;&lt;/contributors&gt;&lt;titles&gt;&lt;title&gt;Proposed Auditing Standards: The Auditor&amp;apos;s Report on an Audit of Financial Statements When the Auditor Expresses an Unqualified Opinion&lt;/title&gt;&lt;/titles&gt;&lt;volume&gt;August 13, 2013.&lt;/volume&gt;&lt;dates&gt;&lt;year&gt;2013&lt;/year&gt;&lt;pub-dates&gt;&lt;date&gt;August 13, 2013&lt;/date&gt;&lt;/pub-dates&gt;&lt;/dates&gt;&lt;urls&gt;&lt;related-urls&gt;&lt;url&gt;http://pcaobus.org/Rules/Rulemaking/Docket034/Release_2013-005_ARM.pdf&lt;/url&gt;&lt;/related-urls&gt;&lt;/urls&gt;&lt;/record&gt;&lt;/Cite&gt;&lt;/EndNote&gt;</w:instrText>
      </w:r>
      <w:r w:rsidRPr="00E26D55">
        <w:rPr>
          <w:rFonts w:eastAsia="Times New Roman"/>
        </w:rPr>
        <w:fldChar w:fldCharType="separate"/>
      </w:r>
      <w:r w:rsidRPr="00E26D55">
        <w:rPr>
          <w:rFonts w:eastAsia="Times New Roman"/>
          <w:noProof/>
        </w:rPr>
        <w:t>(</w:t>
      </w:r>
      <w:hyperlink w:anchor="_ENREF_62" w:tooltip="PCAOB, 2013 #155" w:history="1">
        <w:r w:rsidR="006A749C" w:rsidRPr="00E26D55">
          <w:rPr>
            <w:rFonts w:eastAsia="Times New Roman"/>
            <w:noProof/>
          </w:rPr>
          <w:t>PCAOB 2013</w:t>
        </w:r>
      </w:hyperlink>
      <w:r w:rsidRPr="00E26D55">
        <w:rPr>
          <w:rFonts w:eastAsia="Times New Roman"/>
          <w:noProof/>
        </w:rPr>
        <w:t>)</w:t>
      </w:r>
      <w:r w:rsidRPr="00E26D55">
        <w:rPr>
          <w:rFonts w:eastAsia="Times New Roman"/>
        </w:rPr>
        <w:fldChar w:fldCharType="end"/>
      </w:r>
      <w:r w:rsidRPr="00E26D55">
        <w:rPr>
          <w:rFonts w:eastAsia="Times New Roman"/>
        </w:rPr>
        <w:t>.</w:t>
      </w:r>
      <w:r w:rsidRPr="00E26D55">
        <w:rPr>
          <w:rStyle w:val="FootnoteReference"/>
          <w:rFonts w:eastAsia="Times New Roman"/>
        </w:rPr>
        <w:footnoteReference w:id="14"/>
      </w:r>
      <w:r w:rsidRPr="00E26D55">
        <w:rPr>
          <w:rFonts w:eastAsia="Times New Roman"/>
        </w:rPr>
        <w:t xml:space="preserve">  </w:t>
      </w:r>
    </w:p>
    <w:p w14:paraId="7EDEBE72" w14:textId="10705420" w:rsidR="00A8345D" w:rsidRPr="00E26D55" w:rsidRDefault="00C474C9" w:rsidP="001853E3">
      <w:pPr>
        <w:widowControl w:val="0"/>
        <w:spacing w:line="480" w:lineRule="auto"/>
        <w:ind w:firstLine="720"/>
        <w:jc w:val="both"/>
        <w:rPr>
          <w:color w:val="1A1718"/>
        </w:rPr>
      </w:pPr>
      <w:r w:rsidRPr="00E26D55">
        <w:rPr>
          <w:rFonts w:eastAsia="Times New Roman"/>
        </w:rPr>
        <w:t xml:space="preserve">Recent experimental studies </w:t>
      </w:r>
      <w:r w:rsidR="00360771" w:rsidRPr="00E26D55">
        <w:rPr>
          <w:rFonts w:eastAsia="Times New Roman"/>
        </w:rPr>
        <w:t>reveal potenti</w:t>
      </w:r>
      <w:r w:rsidR="003F7284" w:rsidRPr="00E26D55">
        <w:rPr>
          <w:rFonts w:eastAsia="Times New Roman"/>
        </w:rPr>
        <w:t>al benefits and consequence</w:t>
      </w:r>
      <w:r w:rsidR="00A8345D" w:rsidRPr="00E26D55">
        <w:rPr>
          <w:rFonts w:eastAsia="Times New Roman"/>
        </w:rPr>
        <w:t xml:space="preserve">s of the PCAOB’s proposed rule. </w:t>
      </w:r>
      <w:hyperlink w:anchor="_ENREF_23" w:tooltip="Christensen, 2014 #149" w:history="1">
        <w:r w:rsidR="006A749C" w:rsidRPr="00E26D55">
          <w:rPr>
            <w:color w:val="1A1718"/>
          </w:rPr>
          <w:fldChar w:fldCharType="begin"/>
        </w:r>
        <w:r w:rsidR="006A749C" w:rsidRPr="00E26D55">
          <w:rPr>
            <w:color w:val="1A1718"/>
          </w:rPr>
          <w:instrText xml:space="preserve"> ADDIN EN.CITE &lt;EndNote&gt;&lt;Cite AuthorYear="1"&gt;&lt;Author&gt;Christensen&lt;/Author&gt;&lt;Year&gt;2014&lt;/Year&gt;&lt;RecNum&gt;149&lt;/RecNum&gt;&lt;DisplayText&gt;Christensen et al. (2014)&lt;/DisplayText&gt;&lt;record&gt;&lt;rec-number&gt;149&lt;/rec-number&gt;&lt;foreign-keys&gt;&lt;key app="EN" db-id="frdsfrdx0zpts8ex5pfvfda4s9srzrvrxd9z" timestamp="1397438312"&gt;149&lt;/key&gt;&lt;key app="ENWeb" db-id=""&gt;0&lt;/key&gt;&lt;/foreign-keys&gt;&lt;ref-type name="Journal Article"&gt;17&lt;/ref-type&gt;&lt;contributors&gt;&lt;authors&gt;&lt;author&gt;Christensen, Brant E.&lt;/author&gt;&lt;author&gt;Glover, Steven M.&lt;/author&gt;&lt;author&gt;Wolfe, Christopher J.&lt;/author&gt;&lt;/authors&gt;&lt;/contributors&gt;&lt;titles&gt;&lt;title&gt;Do Critical Audit Matter Paragraphs in the Audit Report Change Nonprofessional Investors’ Decision to Invest? &lt;/title&gt;&lt;secondary-title&gt;Forthcoming at Auditing: A Journal of Practice and Theory&lt;/secondary-title&gt;&lt;/titles&gt;&lt;periodical&gt;&lt;full-title&gt;Forthcoming at Auditing: A Journal of Practice and Theory&lt;/full-title&gt;&lt;/periodical&gt;&lt;dates&gt;&lt;year&gt;2014&lt;/year&gt;&lt;/dates&gt;&lt;urls&gt;&lt;/urls&gt;&lt;/record&gt;&lt;/Cite&gt;&lt;/EndNote&gt;</w:instrText>
        </w:r>
        <w:r w:rsidR="006A749C" w:rsidRPr="00E26D55">
          <w:rPr>
            <w:color w:val="1A1718"/>
          </w:rPr>
          <w:fldChar w:fldCharType="separate"/>
        </w:r>
        <w:r w:rsidR="006A749C" w:rsidRPr="00E26D55">
          <w:rPr>
            <w:noProof/>
            <w:color w:val="1A1718"/>
          </w:rPr>
          <w:t>Christensen et al. (2014)</w:t>
        </w:r>
        <w:r w:rsidR="006A749C" w:rsidRPr="00E26D55">
          <w:rPr>
            <w:color w:val="1A1718"/>
          </w:rPr>
          <w:fldChar w:fldCharType="end"/>
        </w:r>
      </w:hyperlink>
      <w:r w:rsidR="00DA2814" w:rsidRPr="00E26D55">
        <w:rPr>
          <w:color w:val="1A1718"/>
        </w:rPr>
        <w:t xml:space="preserve"> </w:t>
      </w:r>
      <w:r w:rsidR="009C514F" w:rsidRPr="00E26D55">
        <w:rPr>
          <w:color w:val="1A1718"/>
        </w:rPr>
        <w:t>examine</w:t>
      </w:r>
      <w:r w:rsidR="00A77769" w:rsidRPr="00E26D55">
        <w:rPr>
          <w:color w:val="1A1718"/>
        </w:rPr>
        <w:t xml:space="preserve"> the relevance of the PCAOB’s critical audit matter proposed rule by performing an experiment with nonprofessional investors. The authors find that investors are more likely to alter their investment decision when the standard audit report contains a discussion of critical audit matters compared to investors that were provided with the standard audit report</w:t>
      </w:r>
      <w:r w:rsidR="00B40CEC" w:rsidRPr="00E26D55">
        <w:rPr>
          <w:color w:val="1A1718"/>
        </w:rPr>
        <w:t xml:space="preserve"> </w:t>
      </w:r>
      <w:r w:rsidR="0079592F" w:rsidRPr="00E26D55">
        <w:rPr>
          <w:color w:val="1A1718"/>
        </w:rPr>
        <w:fldChar w:fldCharType="begin"/>
      </w:r>
      <w:r w:rsidR="00222229" w:rsidRPr="00E26D55">
        <w:rPr>
          <w:color w:val="1A1718"/>
        </w:rPr>
        <w:instrText xml:space="preserve"> ADDIN EN.CITE &lt;EndNote&gt;&lt;Cite&gt;&lt;Author&gt;Christensen&lt;/Author&gt;&lt;Year&gt;2014&lt;/Year&gt;&lt;RecNum&gt;149&lt;/RecNum&gt;&lt;DisplayText&gt;(Christensen et al. 2014)&lt;/DisplayText&gt;&lt;record&gt;&lt;rec-number&gt;149&lt;/rec-number&gt;&lt;foreign-keys&gt;&lt;key app="EN" db-id="frdsfrdx0zpts8ex5pfvfda4s9srzrvrxd9z" timestamp="1397438312"&gt;149&lt;/key&gt;&lt;key app="ENWeb" db-id=""&gt;0&lt;/key&gt;&lt;/foreign-keys&gt;&lt;ref-type name="Journal Article"&gt;17&lt;/ref-type&gt;&lt;contributors&gt;&lt;authors&gt;&lt;author&gt;Christensen, Brant E.&lt;/author&gt;&lt;author&gt;Glover, Steven M.&lt;/author&gt;&lt;author&gt;Wolfe, Christopher J.&lt;/author&gt;&lt;/authors&gt;&lt;/contributors&gt;&lt;titles&gt;&lt;title&gt;Do Critical Audit Matter Paragraphs in the Audit Report Change Nonprofessional Investors’ Decision to Invest? &lt;/title&gt;&lt;secondary-title&gt;Forthcoming at Auditing: A Journal of Practice and Theory&lt;/secondary-title&gt;&lt;/titles&gt;&lt;periodical&gt;&lt;full-title&gt;Forthcoming at Auditing: A Journal of Practice and Theory&lt;/full-title&gt;&lt;/periodical&gt;&lt;dates&gt;&lt;year&gt;2014&lt;/year&gt;&lt;/dates&gt;&lt;urls&gt;&lt;/urls&gt;&lt;/record&gt;&lt;/Cite&gt;&lt;/EndNote&gt;</w:instrText>
      </w:r>
      <w:r w:rsidR="0079592F" w:rsidRPr="00E26D55">
        <w:rPr>
          <w:color w:val="1A1718"/>
        </w:rPr>
        <w:fldChar w:fldCharType="separate"/>
      </w:r>
      <w:r w:rsidR="00104AD7" w:rsidRPr="00E26D55">
        <w:rPr>
          <w:noProof/>
          <w:color w:val="1A1718"/>
        </w:rPr>
        <w:t>(</w:t>
      </w:r>
      <w:hyperlink w:anchor="_ENREF_23" w:tooltip="Christensen, 2014 #149" w:history="1">
        <w:r w:rsidR="006A749C" w:rsidRPr="00E26D55">
          <w:rPr>
            <w:noProof/>
            <w:color w:val="1A1718"/>
          </w:rPr>
          <w:t>Christensen et al. 2014</w:t>
        </w:r>
      </w:hyperlink>
      <w:r w:rsidR="00104AD7" w:rsidRPr="00E26D55">
        <w:rPr>
          <w:noProof/>
          <w:color w:val="1A1718"/>
        </w:rPr>
        <w:t>)</w:t>
      </w:r>
      <w:r w:rsidR="0079592F" w:rsidRPr="00E26D55">
        <w:rPr>
          <w:color w:val="1A1718"/>
        </w:rPr>
        <w:fldChar w:fldCharType="end"/>
      </w:r>
      <w:r w:rsidR="00DA2814" w:rsidRPr="00E26D55">
        <w:rPr>
          <w:color w:val="1A1718"/>
        </w:rPr>
        <w:t xml:space="preserve">. </w:t>
      </w:r>
      <w:hyperlink w:anchor="_ENREF_49" w:tooltip="Kachelmeier, 2014 #349" w:history="1">
        <w:r w:rsidR="006A749C" w:rsidRPr="00E26D55">
          <w:rPr>
            <w:color w:val="1A1718"/>
          </w:rPr>
          <w:fldChar w:fldCharType="begin"/>
        </w:r>
        <w:r w:rsidR="006A749C">
          <w:rPr>
            <w:color w:val="1A1718"/>
          </w:rPr>
          <w:instrText xml:space="preserve"> ADDIN EN.CITE &lt;EndNote&gt;&lt;Cite AuthorYear="1"&gt;&lt;Author&gt;Kachelmeier&lt;/Author&gt;&lt;Year&gt;2014&lt;/Year&gt;&lt;RecNum&gt;349&lt;/RecNum&gt;&lt;DisplayText&gt;Kachelmeier et al. (2014)&lt;/DisplayText&gt;&lt;record&gt;&lt;rec-number&gt;349&lt;/rec-number&gt;&lt;foreign-keys&gt;&lt;key app="EN" db-id="frdsfrdx0zpts8ex5pfvfda4s9srzrvrxd9z" timestamp="1413148390"&gt;349&lt;/key&gt;&lt;/foreign-keys&gt;&lt;ref-type name="Journal Article"&gt;17&lt;/ref-type&gt;&lt;contributors&gt;&lt;authors&gt;&lt;author&gt;Kachelmeier, Steven J.&lt;/author&gt;&lt;author&gt;Schmidt, Jaime J.&lt;/author&gt;&lt;author&gt;Valentine, Kristen&lt;/author&gt;&lt;/authors&gt;&lt;/contributors&gt;&lt;titles&gt;&lt;title&gt;The Effect of Disclosing Critical Audit Matters in the Auditor&amp;apos;s Report on Perceived Auditor Responsibility for Misstatements&lt;/title&gt;&lt;secondary-title&gt;http://papers.ssrn.com/sol3/papers.cfm?abstract_id=2481284&lt;/secondary-title&gt;&lt;/titles&gt;&lt;periodical&gt;&lt;full-title&gt;http://papers.ssrn.com/sol3/papers.cfm?abstract_id=2481284&lt;/full-title&gt;&lt;/periodical&gt;&lt;dates&gt;&lt;year&gt;2014&lt;/year&gt;&lt;/dates&gt;&lt;urls&gt;&lt;/urls&gt;&lt;/record&gt;&lt;/Cite&gt;&lt;/EndNote&gt;</w:instrText>
        </w:r>
        <w:r w:rsidR="006A749C" w:rsidRPr="00E26D55">
          <w:rPr>
            <w:color w:val="1A1718"/>
          </w:rPr>
          <w:fldChar w:fldCharType="separate"/>
        </w:r>
        <w:r w:rsidR="006A749C" w:rsidRPr="00E26D55">
          <w:rPr>
            <w:noProof/>
            <w:color w:val="1A1718"/>
          </w:rPr>
          <w:t>Kachelmeier et al. (2014)</w:t>
        </w:r>
        <w:r w:rsidR="006A749C" w:rsidRPr="00E26D55">
          <w:rPr>
            <w:color w:val="1A1718"/>
          </w:rPr>
          <w:fldChar w:fldCharType="end"/>
        </w:r>
      </w:hyperlink>
      <w:r w:rsidR="00A8345D" w:rsidRPr="00E26D55">
        <w:rPr>
          <w:color w:val="1A1718"/>
        </w:rPr>
        <w:t xml:space="preserve">, however, reveal a potential unintended consequence of the PCAOB’s proposal as their experiment suggests </w:t>
      </w:r>
      <w:r w:rsidR="00072031" w:rsidRPr="00E26D55">
        <w:rPr>
          <w:color w:val="1A1718"/>
        </w:rPr>
        <w:t>that the disclosure of a CAM is</w:t>
      </w:r>
      <w:r w:rsidR="00547E77">
        <w:rPr>
          <w:color w:val="1A1718"/>
        </w:rPr>
        <w:t xml:space="preserve"> viewed as</w:t>
      </w:r>
      <w:r w:rsidR="00072031" w:rsidRPr="00E26D55">
        <w:rPr>
          <w:color w:val="1A1718"/>
        </w:rPr>
        <w:t xml:space="preserve"> a “partial disclaimer of auditor responsibility for the area identified as a CAM”. </w:t>
      </w:r>
    </w:p>
    <w:p w14:paraId="6DB28EC0" w14:textId="4BCB552E" w:rsidR="009D0F08" w:rsidRDefault="007541BD" w:rsidP="007541BD">
      <w:pPr>
        <w:pStyle w:val="Heading2"/>
      </w:pPr>
      <w:bookmarkStart w:id="3" w:name="_Toc286596261"/>
      <w:r>
        <w:t xml:space="preserve">2.2 </w:t>
      </w:r>
      <w:r w:rsidR="00DA5BE4" w:rsidRPr="00E26D55">
        <w:t xml:space="preserve">Background on </w:t>
      </w:r>
      <w:r w:rsidR="00D7754C" w:rsidRPr="00E26D55">
        <w:t>the U.S. Audit Committee Report</w:t>
      </w:r>
      <w:bookmarkEnd w:id="3"/>
    </w:p>
    <w:p w14:paraId="056ECF0A" w14:textId="77777777" w:rsidR="007541BD" w:rsidRPr="007541BD" w:rsidRDefault="007541BD" w:rsidP="007541BD"/>
    <w:p w14:paraId="12CE8F87" w14:textId="03560106" w:rsidR="00DA5BE4" w:rsidRPr="00E26D55" w:rsidRDefault="008A1DB3" w:rsidP="000A115E">
      <w:pPr>
        <w:widowControl w:val="0"/>
        <w:spacing w:line="480" w:lineRule="auto"/>
        <w:contextualSpacing/>
        <w:jc w:val="both"/>
      </w:pPr>
      <w:r w:rsidRPr="00E26D55">
        <w:tab/>
      </w:r>
      <w:r w:rsidR="008A355F" w:rsidRPr="00E26D55">
        <w:t>Audit committees are recognized as integral components of a well functioning financial reporting environment. They are responsible for overseeing managements’ financial reporting processes as well as the audit processes of public co</w:t>
      </w:r>
      <w:r w:rsidR="008E7075" w:rsidRPr="00E26D55">
        <w:t xml:space="preserve">mpanies </w:t>
      </w:r>
      <w:r w:rsidR="0079592F" w:rsidRPr="00E26D55">
        <w:fldChar w:fldCharType="begin"/>
      </w:r>
      <w:r w:rsidR="00104AD7" w:rsidRPr="00E26D55">
        <w:instrText xml:space="preserve"> ADDIN EN.CITE &lt;EndNote&gt;&lt;Cite&gt;&lt;Author&gt;Beasley&lt;/Author&gt;&lt;Year&gt;2009&lt;/Year&gt;&lt;RecNum&gt;43&lt;/RecNum&gt;&lt;DisplayText&gt;(Beasley et al. 2009)&lt;/DisplayText&gt;&lt;record&gt;&lt;rec-number&gt;43&lt;/rec-number&gt;&lt;foreign-keys&gt;&lt;key app="EN" db-id="frdsfrdx0zpts8ex5pfvfda4s9srzrvrxd9z" timestamp="1386536740"&gt;43&lt;/key&gt;&lt;/foreign-keys&gt;&lt;ref-type name="Journal Article"&gt;17&lt;/ref-type&gt;&lt;contributors&gt;&lt;authors&gt;&lt;author&gt;Beasley, Mark S.&lt;/author&gt;&lt;author&gt;Carcello, Joseph V.&lt;/author&gt;&lt;author&gt;Hermanson, Dana R.&lt;/author&gt;&lt;author&gt;Neal, Terry L.&lt;/author&gt;&lt;/authors&gt;&lt;/contributors&gt;&lt;titles&gt;&lt;title&gt;The Audit Committee Oversight Process&lt;/title&gt;&lt;secondary-title&gt;Contemporary Accounting Research&lt;/secondary-title&gt;&lt;/titles&gt;&lt;periodical&gt;&lt;full-title&gt;Contemporary Accounting Research&lt;/full-title&gt;&lt;/periodical&gt;&lt;pages&gt;65-122&lt;/pages&gt;&lt;volume&gt;26&lt;/volume&gt;&lt;number&gt;1&lt;/number&gt;&lt;keywords&gt;&lt;keyword&gt;AUDIT committees&lt;/keyword&gt;&lt;keyword&gt;CORPORATIONS -- Auditing&lt;/keyword&gt;&lt;keyword&gt;AUDITING&lt;/keyword&gt;&lt;keyword&gt;DIRECTORS of corporations&lt;/keyword&gt;&lt;keyword&gt;PUBLIC companies&lt;/keyword&gt;&lt;keyword&gt;FINANCIAL statements&lt;/keyword&gt;&lt;keyword&gt;CORPORATE governance&lt;/keyword&gt;&lt;keyword&gt;FINANCIAL executives&lt;/keyword&gt;&lt;keyword&gt;DUE diligence&lt;/keyword&gt;&lt;keyword&gt;UNITED States&lt;/keyword&gt;&lt;keyword&gt;Agency theory&lt;/keyword&gt;&lt;keyword&gt;Audit committee&lt;/keyword&gt;&lt;keyword&gt;Institutional theory&lt;/keyword&gt;&lt;keyword&gt;UNITED States. Sarbanes-Oxley Act of 2002&lt;/keyword&gt;&lt;keyword&gt;HOLLINGER International Inc.&lt;/keyword&gt;&lt;/keywords&gt;&lt;dates&gt;&lt;year&gt;2009&lt;/year&gt;&lt;pub-dates&gt;&lt;date&gt;Spring2009&lt;/date&gt;&lt;/pub-dates&gt;&lt;/dates&gt;&lt;publisher&gt;Canadian Academic Accounting Association&lt;/publisher&gt;&lt;isbn&gt;08239150&lt;/isbn&gt;&lt;accession-num&gt;37317764&lt;/accession-num&gt;&lt;work-type&gt;Article&lt;/work-type&gt;&lt;urls&gt;&lt;related-urls&gt;&lt;url&gt;http://proxy.lib.utk.edu:90/login?url=http://search.ebscohost.com/login.aspx?direct=true&amp;amp;db=bth&amp;amp;AN=37317764&amp;amp;scope=site&lt;/url&gt;&lt;/related-urls&gt;&lt;/urls&gt;&lt;remote-database-name&gt;bth&lt;/remote-database-name&gt;&lt;remote-database-provider&gt;EBSCOhost&lt;/remote-database-provider&gt;&lt;/record&gt;&lt;/Cite&gt;&lt;/EndNote&gt;</w:instrText>
      </w:r>
      <w:r w:rsidR="0079592F" w:rsidRPr="00E26D55">
        <w:fldChar w:fldCharType="separate"/>
      </w:r>
      <w:r w:rsidR="00104AD7" w:rsidRPr="00E26D55">
        <w:rPr>
          <w:noProof/>
        </w:rPr>
        <w:t>(</w:t>
      </w:r>
      <w:hyperlink w:anchor="_ENREF_5" w:tooltip="Beasley, 2009 #43" w:history="1">
        <w:r w:rsidR="006A749C" w:rsidRPr="00E26D55">
          <w:rPr>
            <w:noProof/>
          </w:rPr>
          <w:t>Beasley et al. 2009</w:t>
        </w:r>
      </w:hyperlink>
      <w:r w:rsidR="00104AD7" w:rsidRPr="00E26D55">
        <w:rPr>
          <w:noProof/>
        </w:rPr>
        <w:t>)</w:t>
      </w:r>
      <w:r w:rsidR="0079592F" w:rsidRPr="00E26D55">
        <w:fldChar w:fldCharType="end"/>
      </w:r>
      <w:r w:rsidR="008E7075" w:rsidRPr="00E26D55">
        <w:t xml:space="preserve">. </w:t>
      </w:r>
      <w:r w:rsidR="00A264D5" w:rsidRPr="00E26D55">
        <w:t>While</w:t>
      </w:r>
      <w:r w:rsidR="00CF4377" w:rsidRPr="00E26D55">
        <w:t xml:space="preserve"> the importance of audit committees has been widely accepted and documented</w:t>
      </w:r>
      <w:r w:rsidR="00EC79FE" w:rsidRPr="00E26D55">
        <w:t xml:space="preserve"> (</w:t>
      </w:r>
      <w:r w:rsidR="00642F97" w:rsidRPr="00E26D55">
        <w:t xml:space="preserve">see </w:t>
      </w:r>
      <w:hyperlink w:anchor="_ENREF_17" w:tooltip="Carcello, 2011 #48" w:history="1">
        <w:r w:rsidR="006A749C" w:rsidRPr="00E26D55">
          <w:fldChar w:fldCharType="begin"/>
        </w:r>
        <w:r w:rsidR="006A749C" w:rsidRPr="00E26D55">
          <w:instrText xml:space="preserve"> ADDIN EN.CITE &lt;EndNote&gt;&lt;Cite AuthorYear="1"&gt;&lt;Author&gt;Carcello&lt;/Author&gt;&lt;Year&gt;2011&lt;/Year&gt;&lt;RecNum&gt;48&lt;/RecNum&gt;&lt;DisplayText&gt;Carcello et al. (2011b)&lt;/DisplayText&gt;&lt;record&gt;&lt;rec-number&gt;48&lt;/rec-number&gt;&lt;foreign-keys&gt;&lt;key app="EN" db-id="frdsfrdx0zpts8ex5pfvfda4s9srzrvrxd9z" timestamp="1386544483"&gt;48&lt;/key&gt;&lt;/foreign-keys&gt;&lt;ref-type name="Journal Article"&gt;17&lt;/ref-type&gt;&lt;contributors&gt;&lt;authors&gt;&lt;author&gt;Carcello, Joseph V.&lt;/author&gt;&lt;author&gt;Hermanson, Dana R.&lt;/author&gt;&lt;author&gt;Zhongxia, Ye&lt;/author&gt;&lt;/authors&gt;&lt;/contributors&gt;&lt;titles&gt;&lt;title&gt;Corporate Governance Research in Accounting and Auditing: Insights, Practice Implications, and Future Research Directions&lt;/title&gt;&lt;secondary-title&gt;Auditing: A Journal of Practice &amp;amp; Theory&lt;/secondary-title&gt;&lt;/titles&gt;&lt;periodical&gt;&lt;full-title&gt;AUDITING: A Journal of Practice &amp;amp; Theory&lt;/full-title&gt;&lt;/periodical&gt;&lt;pages&gt;1-31&lt;/pages&gt;&lt;volume&gt;30&lt;/volume&gt;&lt;number&gt;3&lt;/number&gt;&lt;keywords&gt;&lt;keyword&gt;AUDITING&lt;/keyword&gt;&lt;keyword&gt;AUDIT committees&lt;/keyword&gt;&lt;keyword&gt;CORPORATIONS -- Auditing&lt;/keyword&gt;&lt;keyword&gt;INDUSTRIAL management&lt;/keyword&gt;&lt;keyword&gt;META-analysis&lt;/keyword&gt;&lt;keyword&gt;audit committee&lt;/keyword&gt;&lt;keyword&gt;board&lt;/keyword&gt;&lt;keyword&gt;corporate governance&lt;/keyword&gt;&lt;keyword&gt;literature review&lt;/keyword&gt;&lt;/keywords&gt;&lt;dates&gt;&lt;year&gt;2011&lt;/year&gt;&lt;/dates&gt;&lt;publisher&gt;American Accounting Association&lt;/publisher&gt;&lt;isbn&gt;02780380&lt;/isbn&gt;&lt;accession-num&gt;64925322&lt;/accession-num&gt;&lt;work-type&gt;Article&lt;/work-type&gt;&lt;urls&gt;&lt;related-urls&gt;&lt;url&gt;http://proxy.lib.utk.edu:90/login?url=http://search.ebscohost.com/login.aspx?direct=true&amp;amp;db=bth&amp;amp;AN=64925322&amp;amp;scope=site&lt;/url&gt;&lt;/related-urls&gt;&lt;/urls&gt;&lt;electronic-resource-num&gt;10.2308/ajpt-10112&lt;/electronic-resource-num&gt;&lt;remote-database-name&gt;bth&lt;/remote-database-name&gt;&lt;remote-database-provider&gt;EBSCOhost&lt;/remote-database-provider&gt;&lt;/record&gt;&lt;/Cite&gt;&lt;/EndNote&gt;</w:instrText>
        </w:r>
        <w:r w:rsidR="006A749C" w:rsidRPr="00E26D55">
          <w:fldChar w:fldCharType="separate"/>
        </w:r>
        <w:r w:rsidR="006A749C" w:rsidRPr="00E26D55">
          <w:rPr>
            <w:noProof/>
          </w:rPr>
          <w:t>Carcello et al. (2011b)</w:t>
        </w:r>
        <w:r w:rsidR="006A749C" w:rsidRPr="00E26D55">
          <w:fldChar w:fldCharType="end"/>
        </w:r>
      </w:hyperlink>
      <w:r w:rsidR="002418D5" w:rsidRPr="00E26D55">
        <w:t xml:space="preserve"> </w:t>
      </w:r>
      <w:r w:rsidR="002F3347" w:rsidRPr="00E26D55">
        <w:t xml:space="preserve">for </w:t>
      </w:r>
      <w:r w:rsidR="00E40010" w:rsidRPr="00E26D55">
        <w:t xml:space="preserve">a </w:t>
      </w:r>
      <w:r w:rsidR="002F3347" w:rsidRPr="00E26D55">
        <w:t>literature review),</w:t>
      </w:r>
      <w:r w:rsidR="00C35B38" w:rsidRPr="00E26D55">
        <w:t xml:space="preserve"> </w:t>
      </w:r>
      <w:r w:rsidR="0031207B" w:rsidRPr="00E26D55">
        <w:t xml:space="preserve">the communication </w:t>
      </w:r>
      <w:r w:rsidR="00A513FC" w:rsidRPr="00E26D55">
        <w:t>between</w:t>
      </w:r>
      <w:r w:rsidR="0031207B" w:rsidRPr="00E26D55">
        <w:t xml:space="preserve"> </w:t>
      </w:r>
      <w:r w:rsidR="00CF4377" w:rsidRPr="00E26D55">
        <w:t>these</w:t>
      </w:r>
      <w:r w:rsidR="00A513FC" w:rsidRPr="00E26D55">
        <w:t xml:space="preserve"> committees and</w:t>
      </w:r>
      <w:r w:rsidR="0031207B" w:rsidRPr="00E26D55">
        <w:t xml:space="preserve"> stakeholders </w:t>
      </w:r>
      <w:r w:rsidR="00CF4377" w:rsidRPr="00E26D55">
        <w:t>is fairly limited.</w:t>
      </w:r>
      <w:r w:rsidR="0016244B" w:rsidRPr="00E26D55">
        <w:t xml:space="preserve"> In the Unit</w:t>
      </w:r>
      <w:r w:rsidR="00CB6E3D" w:rsidRPr="00E26D55">
        <w:t>ed States, the preparation of an audit committee</w:t>
      </w:r>
      <w:r w:rsidR="000A115E">
        <w:t xml:space="preserve"> report was voluntary until the SEC adopted a rule </w:t>
      </w:r>
      <w:r w:rsidR="006A6532">
        <w:t xml:space="preserve">in 2000 </w:t>
      </w:r>
      <w:r w:rsidR="000A115E">
        <w:t xml:space="preserve">that requires publicly listed companies to include a report in its annual proxy statement </w:t>
      </w:r>
      <w:r w:rsidR="000A115E" w:rsidRPr="00E26D55">
        <w:t xml:space="preserve">that states whether the committee fulfilled its responsibilities </w:t>
      </w:r>
      <w:r w:rsidR="000A115E" w:rsidRPr="00E26D55">
        <w:fldChar w:fldCharType="begin"/>
      </w:r>
      <w:r w:rsidR="000A115E" w:rsidRPr="00E26D55">
        <w:instrText xml:space="preserve"> ADDIN EN.CITE &lt;EndNote&gt;&lt;Cite&gt;&lt;Author&gt;SEC&lt;/Author&gt;&lt;Year&gt;2000&lt;/Year&gt;&lt;RecNum&gt;151&lt;/RecNum&gt;&lt;DisplayText&gt;(SEC 2000)&lt;/DisplayText&gt;&lt;record&gt;&lt;rec-number&gt;151&lt;/rec-number&gt;&lt;foreign-keys&gt;&lt;key app="EN" db-id="frdsfrdx0zpts8ex5pfvfda4s9srzrvrxd9z" timestamp="1397439163"&gt;151&lt;/key&gt;&lt;key app="ENWeb" db-id=""&gt;0&lt;/key&gt;&lt;/foreign-keys&gt;&lt;ref-type name="Journal Article"&gt;17&lt;/ref-type&gt;&lt;contributors&gt;&lt;authors&gt;&lt;author&gt;SEC&lt;/author&gt;&lt;/authors&gt;&lt;/contributors&gt;&lt;titles&gt;&lt;title&gt;Final Rule: Audit Committee Disclosure. January 10, 2000. Available at http://www.sec.gov/rules/final/34-42266.htm&lt;/title&gt;&lt;/titles&gt;&lt;dates&gt;&lt;year&gt;2000&lt;/year&gt;&lt;pub-dates&gt;&lt;date&gt;January 10, 2000&lt;/date&gt;&lt;/pub-dates&gt;&lt;/dates&gt;&lt;urls&gt;&lt;related-urls&gt;&lt;url&gt;http://www.sec.gov/rules/final/34-42266.htm&lt;/url&gt;&lt;/related-urls&gt;&lt;/urls&gt;&lt;/record&gt;&lt;/Cite&gt;&lt;/EndNote&gt;</w:instrText>
      </w:r>
      <w:r w:rsidR="000A115E" w:rsidRPr="00E26D55">
        <w:fldChar w:fldCharType="separate"/>
      </w:r>
      <w:r w:rsidR="000A115E" w:rsidRPr="00E26D55">
        <w:rPr>
          <w:noProof/>
        </w:rPr>
        <w:t>(</w:t>
      </w:r>
      <w:hyperlink w:anchor="_ENREF_65" w:tooltip="SEC, 2000 #151" w:history="1">
        <w:r w:rsidR="006A749C" w:rsidRPr="00E26D55">
          <w:rPr>
            <w:noProof/>
          </w:rPr>
          <w:t>SEC 2000</w:t>
        </w:r>
      </w:hyperlink>
      <w:r w:rsidR="000A115E" w:rsidRPr="00E26D55">
        <w:rPr>
          <w:noProof/>
        </w:rPr>
        <w:t>)</w:t>
      </w:r>
      <w:r w:rsidR="000A115E" w:rsidRPr="00E26D55">
        <w:fldChar w:fldCharType="end"/>
      </w:r>
      <w:r w:rsidR="000A115E" w:rsidRPr="00E26D55">
        <w:t>.</w:t>
      </w:r>
      <w:r w:rsidR="00D55408">
        <w:rPr>
          <w:rStyle w:val="FootnoteReference"/>
        </w:rPr>
        <w:footnoteReference w:id="15"/>
      </w:r>
      <w:r w:rsidR="00CB6E3D" w:rsidRPr="00E26D55">
        <w:t xml:space="preserve"> </w:t>
      </w:r>
      <w:r w:rsidR="000A115E">
        <w:t>This rule was</w:t>
      </w:r>
      <w:r w:rsidR="00770499" w:rsidRPr="00E26D55">
        <w:t xml:space="preserve"> enacted with the intention of promoting investor confidence in the financial reporting process </w:t>
      </w:r>
      <w:r w:rsidR="0079592F" w:rsidRPr="00E26D55">
        <w:fldChar w:fldCharType="begin"/>
      </w:r>
      <w:r w:rsidR="002861C8" w:rsidRPr="00E26D55">
        <w:instrText xml:space="preserve"> ADDIN EN.CITE &lt;EndNote&gt;&lt;Cite&gt;&lt;Author&gt;SEC&lt;/Author&gt;&lt;Year&gt;2000&lt;/Year&gt;&lt;RecNum&gt;151&lt;/RecNum&gt;&lt;DisplayText&gt;(SEC 2000)&lt;/DisplayText&gt;&lt;record&gt;&lt;rec-number&gt;151&lt;/rec-number&gt;&lt;foreign-keys&gt;&lt;key app="EN" db-id="frdsfrdx0zpts8ex5pfvfda4s9srzrvrxd9z" timestamp="1397439163"&gt;151&lt;/key&gt;&lt;key app="ENWeb" db-id=""&gt;0&lt;/key&gt;&lt;/foreign-keys&gt;&lt;ref-type name="Journal Article"&gt;17&lt;/ref-type&gt;&lt;contributors&gt;&lt;authors&gt;&lt;author&gt;SEC&lt;/author&gt;&lt;/authors&gt;&lt;/contributors&gt;&lt;titles&gt;&lt;title&gt;Final Rule: Audit Committee Disclosure. January 10, 2000. Available at http://www.sec.gov/rules/final/34-42266.htm&lt;/title&gt;&lt;/titles&gt;&lt;dates&gt;&lt;year&gt;2000&lt;/year&gt;&lt;pub-dates&gt;&lt;date&gt;January 10, 2000&lt;/date&gt;&lt;/pub-dates&gt;&lt;/dates&gt;&lt;urls&gt;&lt;related-urls&gt;&lt;url&gt;http://www.sec.gov/rules/final/34-42266.htm&lt;/url&gt;&lt;/related-urls&gt;&lt;/urls&gt;&lt;/record&gt;&lt;/Cite&gt;&lt;/EndNote&gt;</w:instrText>
      </w:r>
      <w:r w:rsidR="0079592F" w:rsidRPr="00E26D55">
        <w:fldChar w:fldCharType="separate"/>
      </w:r>
      <w:r w:rsidR="00104AD7" w:rsidRPr="00E26D55">
        <w:rPr>
          <w:noProof/>
        </w:rPr>
        <w:t>(</w:t>
      </w:r>
      <w:hyperlink w:anchor="_ENREF_65" w:tooltip="SEC, 2000 #151" w:history="1">
        <w:r w:rsidR="006A749C" w:rsidRPr="00E26D55">
          <w:rPr>
            <w:noProof/>
          </w:rPr>
          <w:t>SEC 2000</w:t>
        </w:r>
      </w:hyperlink>
      <w:r w:rsidR="00104AD7" w:rsidRPr="00E26D55">
        <w:rPr>
          <w:noProof/>
        </w:rPr>
        <w:t>)</w:t>
      </w:r>
      <w:r w:rsidR="0079592F" w:rsidRPr="00E26D55">
        <w:fldChar w:fldCharType="end"/>
      </w:r>
      <w:r w:rsidR="000C52D4" w:rsidRPr="00E26D55">
        <w:t xml:space="preserve">. </w:t>
      </w:r>
      <w:r w:rsidR="001B3AE4" w:rsidRPr="00E26D55">
        <w:t>While</w:t>
      </w:r>
      <w:r w:rsidR="00B46124" w:rsidRPr="00E26D55">
        <w:t xml:space="preserve"> studies </w:t>
      </w:r>
      <w:r w:rsidR="00A240C0" w:rsidRPr="00E26D55">
        <w:t>find th</w:t>
      </w:r>
      <w:r w:rsidR="00B46124" w:rsidRPr="00E26D55">
        <w:t xml:space="preserve">at </w:t>
      </w:r>
      <w:r w:rsidR="001B3AE4" w:rsidRPr="00E26D55">
        <w:t xml:space="preserve">most listed companies </w:t>
      </w:r>
      <w:r w:rsidR="00E72FFA" w:rsidRPr="00E26D55">
        <w:t xml:space="preserve">properly adopted the newly mandated audit committee disclosures </w:t>
      </w:r>
      <w:r w:rsidR="0079592F" w:rsidRPr="00E26D55">
        <w:fldChar w:fldCharType="begin">
          <w:fldData xml:space="preserve">PEVuZE5vdGU+PENpdGU+PEF1dGhvcj5QYW5kaXQ8L0F1dGhvcj48WWVhcj4yMDA2PC9ZZWFyPjxS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</w:fldData>
        </w:fldChar>
      </w:r>
      <w:r w:rsidR="002418D5" w:rsidRPr="00E26D55">
        <w:instrText xml:space="preserve"> ADDIN EN.CITE </w:instrText>
      </w:r>
      <w:r w:rsidR="0079592F" w:rsidRPr="00E26D55">
        <w:fldChar w:fldCharType="begin">
          <w:fldData xml:space="preserve">PEVuZE5vdGU+PENpdGU+PEF1dGhvcj5QYW5kaXQ8L0F1dGhvcj48WWVhcj4yMDA2PC9ZZWFyPjxS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</w:fldData>
        </w:fldChar>
      </w:r>
      <w:r w:rsidR="002418D5" w:rsidRPr="00E26D55">
        <w:instrText xml:space="preserve"> ADDIN EN.CITE.DATA </w:instrText>
      </w:r>
      <w:r w:rsidR="0079592F" w:rsidRPr="00E26D55">
        <w:fldChar w:fldCharType="end"/>
      </w:r>
      <w:r w:rsidR="0079592F" w:rsidRPr="00E26D55">
        <w:fldChar w:fldCharType="separate"/>
      </w:r>
      <w:r w:rsidR="002418D5" w:rsidRPr="00E26D55">
        <w:rPr>
          <w:noProof/>
        </w:rPr>
        <w:t>(</w:t>
      </w:r>
      <w:hyperlink w:anchor="_ENREF_61" w:tooltip="Pandit, 2006 #52" w:history="1">
        <w:r w:rsidR="006A749C" w:rsidRPr="00E26D55">
          <w:rPr>
            <w:noProof/>
          </w:rPr>
          <w:t>Pandit et al. 2006</w:t>
        </w:r>
      </w:hyperlink>
      <w:r w:rsidR="002418D5" w:rsidRPr="00E26D55">
        <w:rPr>
          <w:noProof/>
        </w:rPr>
        <w:t xml:space="preserve">; </w:t>
      </w:r>
      <w:hyperlink w:anchor="_ENREF_64" w:tooltip="Rezaee, 2003 #53" w:history="1">
        <w:r w:rsidR="006A749C" w:rsidRPr="00E26D55">
          <w:rPr>
            <w:noProof/>
          </w:rPr>
          <w:t>Rezaee et al. 2003</w:t>
        </w:r>
      </w:hyperlink>
      <w:r w:rsidR="002418D5" w:rsidRPr="00E26D55">
        <w:rPr>
          <w:noProof/>
        </w:rPr>
        <w:t>)</w:t>
      </w:r>
      <w:r w:rsidR="0079592F" w:rsidRPr="00E26D55">
        <w:fldChar w:fldCharType="end"/>
      </w:r>
      <w:r w:rsidR="002418D5" w:rsidRPr="00E26D55">
        <w:t>,</w:t>
      </w:r>
      <w:r w:rsidR="00DF6A81" w:rsidRPr="00E26D55">
        <w:t xml:space="preserve"> </w:t>
      </w:r>
      <w:r w:rsidR="00E72FFA" w:rsidRPr="00E26D55">
        <w:t xml:space="preserve">the level of voluntary disclosures </w:t>
      </w:r>
      <w:r w:rsidR="00A240C0" w:rsidRPr="00E26D55">
        <w:t>is</w:t>
      </w:r>
      <w:r w:rsidR="00E72FFA" w:rsidRPr="00E26D55">
        <w:t xml:space="preserve"> variable </w:t>
      </w:r>
      <w:r w:rsidR="0079592F" w:rsidRPr="00E26D55">
        <w:fldChar w:fldCharType="begin">
          <w:fldData xml:space="preserve">PEVuZE5vdGU+PENpdGU+PEF1dGhvcj5DYXJjZWxsbzwvQXV0aG9yPjxZZWFyPjIwMDI8L1llYXI+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==
</w:fldData>
        </w:fldChar>
      </w:r>
      <w:r w:rsidR="002418D5" w:rsidRPr="00E26D55">
        <w:instrText xml:space="preserve"> ADDIN EN.CITE </w:instrText>
      </w:r>
      <w:r w:rsidR="0079592F" w:rsidRPr="00E26D55">
        <w:fldChar w:fldCharType="begin">
          <w:fldData xml:space="preserve">PEVuZE5vdGU+PENpdGU+PEF1dGhvcj5DYXJjZWxsbzwvQXV0aG9yPjxZZWFyPjIwMDI8L1llYXI+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==
</w:fldData>
        </w:fldChar>
      </w:r>
      <w:r w:rsidR="002418D5" w:rsidRPr="00E26D55">
        <w:instrText xml:space="preserve"> ADDIN EN.CITE.DATA </w:instrText>
      </w:r>
      <w:r w:rsidR="0079592F" w:rsidRPr="00E26D55">
        <w:fldChar w:fldCharType="end"/>
      </w:r>
      <w:r w:rsidR="0079592F" w:rsidRPr="00E26D55">
        <w:fldChar w:fldCharType="separate"/>
      </w:r>
      <w:r w:rsidR="002418D5" w:rsidRPr="00E26D55">
        <w:rPr>
          <w:noProof/>
        </w:rPr>
        <w:t>(</w:t>
      </w:r>
      <w:hyperlink w:anchor="_ENREF_16" w:tooltip="Carcello, 2002 #152" w:history="1">
        <w:r w:rsidR="006A749C" w:rsidRPr="00E26D55">
          <w:rPr>
            <w:noProof/>
          </w:rPr>
          <w:t>Carcello et al. 2002</w:t>
        </w:r>
      </w:hyperlink>
      <w:r w:rsidR="002418D5" w:rsidRPr="00E26D55">
        <w:rPr>
          <w:noProof/>
        </w:rPr>
        <w:t xml:space="preserve">; </w:t>
      </w:r>
      <w:hyperlink w:anchor="_ENREF_61" w:tooltip="Pandit, 2006 #52" w:history="1">
        <w:r w:rsidR="006A749C" w:rsidRPr="00E26D55">
          <w:rPr>
            <w:noProof/>
          </w:rPr>
          <w:t>Pandit et al. 2006</w:t>
        </w:r>
      </w:hyperlink>
      <w:r w:rsidR="002418D5" w:rsidRPr="00E26D55">
        <w:rPr>
          <w:noProof/>
        </w:rPr>
        <w:t>)</w:t>
      </w:r>
      <w:r w:rsidR="0079592F" w:rsidRPr="00E26D55">
        <w:fldChar w:fldCharType="end"/>
      </w:r>
      <w:r w:rsidR="001E6160" w:rsidRPr="00E26D55">
        <w:t>.</w:t>
      </w:r>
      <w:r w:rsidR="00E72FFA" w:rsidRPr="00E26D55">
        <w:t xml:space="preserve"> </w:t>
      </w:r>
    </w:p>
    <w:p w14:paraId="1964D7A1" w14:textId="446A7F04" w:rsidR="00F019B3" w:rsidRPr="00E26D55" w:rsidRDefault="00FD5CF3" w:rsidP="001853E3">
      <w:pPr>
        <w:widowControl w:val="0"/>
        <w:spacing w:line="480" w:lineRule="auto"/>
        <w:contextualSpacing/>
        <w:jc w:val="both"/>
      </w:pPr>
      <w:r w:rsidRPr="00E26D55">
        <w:tab/>
      </w:r>
      <w:r w:rsidR="00341704" w:rsidRPr="00E26D55">
        <w:t xml:space="preserve">In recent years, the value of audit committee </w:t>
      </w:r>
      <w:r w:rsidR="003235C5" w:rsidRPr="00E26D55">
        <w:t>di</w:t>
      </w:r>
      <w:r w:rsidR="00B42511" w:rsidRPr="00E26D55">
        <w:t xml:space="preserve">sclosures has been questioned. </w:t>
      </w:r>
      <w:r w:rsidR="008A7C6E" w:rsidRPr="00E26D55">
        <w:t xml:space="preserve">The National Association of Corporate Directors </w:t>
      </w:r>
      <w:r w:rsidR="0079592F" w:rsidRPr="00E26D55">
        <w:fldChar w:fldCharType="begin"/>
      </w:r>
      <w:r w:rsidR="002861C8" w:rsidRPr="00E26D55">
        <w:instrText xml:space="preserve"> ADDIN EN.CITE &lt;EndNote&gt;&lt;Cite ExcludeYear="1"&gt;&lt;Author&gt;NACD&lt;/Author&gt;&lt;Year&gt;2013&lt;/Year&gt;&lt;RecNum&gt;153&lt;/RecNum&gt;&lt;DisplayText&gt;(NACD)&lt;/DisplayText&gt;&lt;record&gt;&lt;rec-number&gt;153&lt;/rec-number&gt;&lt;foreign-keys&gt;&lt;key app="EN" db-id="frdsfrdx0zpts8ex5pfvfda4s9srzrvrxd9z" timestamp="1397439822"&gt;153&lt;/key&gt;&lt;key app="ENWeb" db-id=""&gt;0&lt;/key&gt;&lt;/foreign-keys&gt;&lt;ref-type name="Journal Article"&gt;17&lt;/ref-type&gt;&lt;contributors&gt;&lt;authors&gt;&lt;author&gt;NACD&lt;/author&gt;&lt;/authors&gt;&lt;/contributors&gt;&lt;titles&gt;&lt;title&gt;Audit Committee Chair Advisory Council: Summary of Proceedings&lt;/title&gt;&lt;/titles&gt;&lt;volume&gt;June 19, 2013&lt;/volume&gt;&lt;dates&gt;&lt;year&gt;2013&lt;/year&gt;&lt;pub-dates&gt;&lt;date&gt;June 19, 2013&lt;/date&gt;&lt;/pub-dates&gt;&lt;/dates&gt;&lt;urls&gt;&lt;/urls&gt;&lt;/record&gt;&lt;/Cite&gt;&lt;/EndNote&gt;</w:instrText>
      </w:r>
      <w:r w:rsidR="0079592F" w:rsidRPr="00E26D55">
        <w:fldChar w:fldCharType="separate"/>
      </w:r>
      <w:r w:rsidR="00104AD7" w:rsidRPr="00E26D55">
        <w:rPr>
          <w:noProof/>
        </w:rPr>
        <w:t>(</w:t>
      </w:r>
      <w:hyperlink w:anchor="_ENREF_59" w:tooltip="NACD, 2013 #153" w:history="1">
        <w:r w:rsidR="006A749C" w:rsidRPr="00E26D55">
          <w:rPr>
            <w:noProof/>
          </w:rPr>
          <w:t>NACD</w:t>
        </w:r>
      </w:hyperlink>
      <w:r w:rsidR="00104AD7" w:rsidRPr="00E26D55">
        <w:rPr>
          <w:noProof/>
        </w:rPr>
        <w:t>)</w:t>
      </w:r>
      <w:r w:rsidR="0079592F" w:rsidRPr="00E26D55">
        <w:fldChar w:fldCharType="end"/>
      </w:r>
      <w:r w:rsidR="000A115E">
        <w:t xml:space="preserve"> reports that the </w:t>
      </w:r>
      <w:r w:rsidR="008A7C6E" w:rsidRPr="00E26D55">
        <w:t>audit committee</w:t>
      </w:r>
      <w:r w:rsidR="000A115E">
        <w:t>s’ disclosures are minimalistic</w:t>
      </w:r>
      <w:r w:rsidR="008A7C6E" w:rsidRPr="00E26D55">
        <w:t xml:space="preserve"> </w:t>
      </w:r>
      <w:r w:rsidR="00154B66" w:rsidRPr="00E26D55">
        <w:t>and do not adequately commu</w:t>
      </w:r>
      <w:r w:rsidR="00DB71C9" w:rsidRPr="00E26D55">
        <w:t xml:space="preserve">nicate the work performed by </w:t>
      </w:r>
      <w:r w:rsidR="00B42511" w:rsidRPr="00E26D55">
        <w:t xml:space="preserve">audit committees </w:t>
      </w:r>
      <w:r w:rsidR="0079592F" w:rsidRPr="00E26D55">
        <w:fldChar w:fldCharType="begin"/>
      </w:r>
      <w:r w:rsidR="002861C8" w:rsidRPr="00E26D55">
        <w:instrText xml:space="preserve"> ADDIN EN.CITE &lt;EndNote&gt;&lt;Cite&gt;&lt;Author&gt;NACD&lt;/Author&gt;&lt;Year&gt;2013&lt;/Year&gt;&lt;RecNum&gt;153&lt;/RecNum&gt;&lt;DisplayText&gt;(NACD 2013)&lt;/DisplayText&gt;&lt;record&gt;&lt;rec-number&gt;153&lt;/rec-number&gt;&lt;foreign-keys&gt;&lt;key app="EN" db-id="frdsfrdx0zpts8ex5pfvfda4s9srzrvrxd9z" timestamp="1397439822"&gt;153&lt;/key&gt;&lt;key app="ENWeb" db-id=""&gt;0&lt;/key&gt;&lt;/foreign-keys&gt;&lt;ref-type name="Journal Article"&gt;17&lt;/ref-type&gt;&lt;contributors&gt;&lt;authors&gt;&lt;author&gt;NACD&lt;/author&gt;&lt;/authors&gt;&lt;/contributors&gt;&lt;titles&gt;&lt;title&gt;Audit Committee Chair Advisory Council: Summary of Proceedings&lt;/title&gt;&lt;/titles&gt;&lt;volume&gt;June 19, 2013&lt;/volume&gt;&lt;dates&gt;&lt;year&gt;2013&lt;/year&gt;&lt;pub-dates&gt;&lt;date&gt;June 19, 2013&lt;/date&gt;&lt;/pub-dates&gt;&lt;/dates&gt;&lt;urls&gt;&lt;/urls&gt;&lt;/record&gt;&lt;/Cite&gt;&lt;/EndNote&gt;</w:instrText>
      </w:r>
      <w:r w:rsidR="0079592F" w:rsidRPr="00E26D55">
        <w:fldChar w:fldCharType="separate"/>
      </w:r>
      <w:r w:rsidR="00104AD7" w:rsidRPr="00E26D55">
        <w:rPr>
          <w:noProof/>
        </w:rPr>
        <w:t>(</w:t>
      </w:r>
      <w:hyperlink w:anchor="_ENREF_59" w:tooltip="NACD, 2013 #153" w:history="1">
        <w:r w:rsidR="006A749C" w:rsidRPr="00E26D55">
          <w:rPr>
            <w:noProof/>
          </w:rPr>
          <w:t>NACD 2013</w:t>
        </w:r>
      </w:hyperlink>
      <w:r w:rsidR="00104AD7" w:rsidRPr="00E26D55">
        <w:rPr>
          <w:noProof/>
        </w:rPr>
        <w:t>)</w:t>
      </w:r>
      <w:r w:rsidR="0079592F" w:rsidRPr="00E26D55">
        <w:fldChar w:fldCharType="end"/>
      </w:r>
      <w:r w:rsidR="00A7171A" w:rsidRPr="00E26D55">
        <w:t xml:space="preserve">. </w:t>
      </w:r>
      <w:r w:rsidR="004910B7" w:rsidRPr="00E26D55">
        <w:t xml:space="preserve">In its review of voluntary audit committee disclosures, Ernst &amp; Young finds that only eight percent of the sample companies disclosed specific matters discussed by audit committees and auditors </w:t>
      </w:r>
      <w:r w:rsidR="004910B7" w:rsidRPr="00E26D55">
        <w:fldChar w:fldCharType="begin"/>
      </w:r>
      <w:r w:rsidR="004910B7" w:rsidRPr="00E26D55">
        <w:instrText xml:space="preserve"> ADDIN EN.CITE &lt;EndNote&gt;&lt;Cite&gt;&lt;Author&gt;EY&lt;/Author&gt;&lt;Year&gt;2013&lt;/Year&gt;&lt;RecNum&gt;171&lt;/RecNum&gt;&lt;DisplayText&gt;(EY 2013a)&lt;/DisplayText&gt;&lt;record&gt;&lt;rec-number&gt;171&lt;/rec-number&gt;&lt;foreign-keys&gt;&lt;key app="EN" db-id="frdsfrdx0zpts8ex5pfvfda4s9srzrvrxd9z" timestamp="1397499606"&gt;171&lt;/key&gt;&lt;key app="ENWeb" db-id=""&gt;0&lt;/key&gt;&lt;/foreign-keys&gt;&lt;ref-type name="Journal Article"&gt;17&lt;/ref-type&gt;&lt;contributors&gt;&lt;authors&gt;&lt;author&gt;EY&lt;/author&gt;&lt;/authors&gt;&lt;/contributors&gt;&lt;titles&gt;&lt;title&gt;Audit committee reporting to shareholders: 2013 proxy season update&lt;/title&gt;&lt;/titles&gt;&lt;dates&gt;&lt;year&gt;2013&lt;/year&gt;&lt;/dates&gt;&lt;urls&gt;&lt;related-urls&gt;&lt;url&gt;http://www.ey.com/Publication/vwLUAssets/Audit_committee_reporting_2013_proxy_season_update/$FILE/Audit_committee_reporting_shareholder_2013_proxy_season_update.pdf&lt;/url&gt;&lt;/related-urls&gt;&lt;/urls&gt;&lt;/record&gt;&lt;/Cite&gt;&lt;/EndNote&gt;</w:instrText>
      </w:r>
      <w:r w:rsidR="004910B7" w:rsidRPr="00E26D55">
        <w:fldChar w:fldCharType="separate"/>
      </w:r>
      <w:r w:rsidR="004910B7" w:rsidRPr="00E26D55">
        <w:rPr>
          <w:noProof/>
        </w:rPr>
        <w:t>(</w:t>
      </w:r>
      <w:hyperlink w:anchor="_ENREF_34" w:tooltip="EY, 2013 #171" w:history="1">
        <w:r w:rsidR="006A749C" w:rsidRPr="00E26D55">
          <w:rPr>
            <w:noProof/>
          </w:rPr>
          <w:t>EY 2013a</w:t>
        </w:r>
      </w:hyperlink>
      <w:r w:rsidR="004910B7" w:rsidRPr="00E26D55">
        <w:rPr>
          <w:noProof/>
        </w:rPr>
        <w:t>)</w:t>
      </w:r>
      <w:r w:rsidR="004910B7" w:rsidRPr="00E26D55">
        <w:fldChar w:fldCharType="end"/>
      </w:r>
      <w:r w:rsidR="004910B7" w:rsidRPr="00E26D55">
        <w:t xml:space="preserve">. </w:t>
      </w:r>
      <w:r w:rsidR="00BA1634">
        <w:t>Given the limited information provided by audit committee reports, v</w:t>
      </w:r>
      <w:r w:rsidR="004910B7" w:rsidRPr="00E26D55">
        <w:t xml:space="preserve">arious groups have called for greater audit committee transparency. </w:t>
      </w:r>
      <w:r w:rsidR="00180AAA" w:rsidRPr="00E26D55">
        <w:t>For instance, in response to the PCAOB’s Concept Release on mandatory audit firm rotation</w:t>
      </w:r>
      <w:r w:rsidR="00D57D4E" w:rsidRPr="00E26D55">
        <w:t xml:space="preserve"> issued on August 16, 2011</w:t>
      </w:r>
      <w:r w:rsidR="00180AAA" w:rsidRPr="00E26D55">
        <w:t>, many c</w:t>
      </w:r>
      <w:r w:rsidR="00F11386">
        <w:t>omment letters opposed rotation</w:t>
      </w:r>
      <w:r w:rsidR="00180AAA" w:rsidRPr="00E26D55">
        <w:t xml:space="preserve"> but suggested increasing audit committee disclosures regarding its role in the external audit process in order to improve audit independence without the potential costs of rotation</w:t>
      </w:r>
      <w:r w:rsidR="00E43767" w:rsidRPr="00E26D55">
        <w:t xml:space="preserve"> </w:t>
      </w:r>
      <w:r w:rsidR="0079592F" w:rsidRPr="00E26D55">
        <w:fldChar w:fldCharType="begin"/>
      </w:r>
      <w:r w:rsidR="00716620" w:rsidRPr="00E26D55">
        <w:instrText xml:space="preserve"> ADDIN EN.CITE &lt;EndNote&gt;&lt;Cite&gt;&lt;Author&gt;EY&lt;/Author&gt;&lt;Year&gt;2013&lt;/Year&gt;&lt;RecNum&gt;190&lt;/RecNum&gt;&lt;DisplayText&gt;(EY 2013b)&lt;/DisplayText&gt;&lt;record&gt;&lt;rec-number&gt;190&lt;/rec-number&gt;&lt;foreign-keys&gt;&lt;key app="EN" db-id="frdsfrdx0zpts8ex5pfvfda4s9srzrvrxd9z" timestamp="1397509626"&gt;190&lt;/key&gt;&lt;/foreign-keys&gt;&lt;ref-type name="Report"&gt;27&lt;/ref-type&gt;&lt;contributors&gt;&lt;authors&gt;&lt;author&gt;EY&lt;/author&gt;&lt;/authors&gt;&lt;/contributors&gt;&lt;titles&gt;&lt;title&gt;Audit committee reporting to shareholders: going beyond the minimum. Join the conversation on audit committee transparency. February 2013&lt;/title&gt;&lt;/titles&gt;&lt;dates&gt;&lt;year&gt;2013&lt;/year&gt;&lt;pub-dates&gt;&lt;date&gt;February&lt;/date&gt;&lt;/pub-dates&gt;&lt;/dates&gt;&lt;urls&gt;&lt;related-urls&gt;&lt;url&gt;http://www.ey.com/Publication/vwLUAssets/Audit_committee_reporting_to_shareholders:_going_beyond_the_minimum/$FILE/Audit_committee_reporting_CF0039.pdf&lt;/url&gt;&lt;/related-urls&gt;&lt;/urls&gt;&lt;/record&gt;&lt;/Cite&gt;&lt;/EndNote&gt;</w:instrText>
      </w:r>
      <w:r w:rsidR="0079592F" w:rsidRPr="00E26D55">
        <w:fldChar w:fldCharType="separate"/>
      </w:r>
      <w:r w:rsidR="00E43767" w:rsidRPr="00E26D55">
        <w:rPr>
          <w:noProof/>
        </w:rPr>
        <w:t>(</w:t>
      </w:r>
      <w:hyperlink w:anchor="_ENREF_35" w:tooltip="EY, 2013 #190" w:history="1">
        <w:r w:rsidR="006A749C" w:rsidRPr="00E26D55">
          <w:rPr>
            <w:noProof/>
          </w:rPr>
          <w:t>EY 2013b</w:t>
        </w:r>
      </w:hyperlink>
      <w:r w:rsidR="00E43767" w:rsidRPr="00E26D55">
        <w:rPr>
          <w:noProof/>
        </w:rPr>
        <w:t>)</w:t>
      </w:r>
      <w:r w:rsidR="0079592F" w:rsidRPr="00E26D55">
        <w:fldChar w:fldCharType="end"/>
      </w:r>
      <w:r w:rsidR="00180AAA" w:rsidRPr="00E26D55">
        <w:t xml:space="preserve">. </w:t>
      </w:r>
      <w:r w:rsidR="004910B7" w:rsidRPr="00E26D55">
        <w:t xml:space="preserve">Even </w:t>
      </w:r>
      <w:r w:rsidR="0077621D">
        <w:t xml:space="preserve">some </w:t>
      </w:r>
      <w:r w:rsidR="004910B7" w:rsidRPr="00E26D55">
        <w:t>audit committee members desire the expansio</w:t>
      </w:r>
      <w:r w:rsidR="005B081A">
        <w:t>n of audit committee disclosure as one delegate at the 2013 NACD meeting stated:</w:t>
      </w:r>
      <w:r w:rsidR="004910B7" w:rsidRPr="00E26D55">
        <w:t xml:space="preserve"> “Frankly we don’t do a good job of communicating what we do. The public doesn’t see all the wo</w:t>
      </w:r>
      <w:r w:rsidR="005B081A">
        <w:t>rk we do, quarter after quarter</w:t>
      </w:r>
      <w:r w:rsidR="004910B7" w:rsidRPr="00E26D55">
        <w:t>”</w:t>
      </w:r>
      <w:r w:rsidR="005B081A">
        <w:t xml:space="preserve"> </w:t>
      </w:r>
      <w:r w:rsidR="005B081A">
        <w:fldChar w:fldCharType="begin"/>
      </w:r>
      <w:r w:rsidR="005B081A">
        <w:instrText xml:space="preserve"> ADDIN EN.CITE &lt;EndNote&gt;&lt;Cite&gt;&lt;Author&gt;NACD&lt;/Author&gt;&lt;Year&gt;2013&lt;/Year&gt;&lt;RecNum&gt;153&lt;/RecNum&gt;&lt;DisplayText&gt;(NACD 2013)&lt;/DisplayText&gt;&lt;record&gt;&lt;rec-number&gt;153&lt;/rec-number&gt;&lt;foreign-keys&gt;&lt;key app="EN" db-id="frdsfrdx0zpts8ex5pfvfda4s9srzrvrxd9z" timestamp="1397439822"&gt;153&lt;/key&gt;&lt;key app="ENWeb" db-id=""&gt;0&lt;/key&gt;&lt;/foreign-keys&gt;&lt;ref-type name="Journal Article"&gt;17&lt;/ref-type&gt;&lt;contributors&gt;&lt;authors&gt;&lt;author&gt;NACD&lt;/author&gt;&lt;/authors&gt;&lt;/contributors&gt;&lt;titles&gt;&lt;title&gt;Audit Committee Chair Advisory Council: Summary of Proceedings&lt;/title&gt;&lt;/titles&gt;&lt;volume&gt;June 19, 2013&lt;/volume&gt;&lt;dates&gt;&lt;year&gt;2013&lt;/year&gt;&lt;pub-dates&gt;&lt;date&gt;June 19, 2013&lt;/date&gt;&lt;/pub-dates&gt;&lt;/dates&gt;&lt;urls&gt;&lt;/urls&gt;&lt;/record&gt;&lt;/Cite&gt;&lt;/EndNote&gt;</w:instrText>
      </w:r>
      <w:r w:rsidR="005B081A">
        <w:fldChar w:fldCharType="separate"/>
      </w:r>
      <w:r w:rsidR="005B081A">
        <w:rPr>
          <w:noProof/>
        </w:rPr>
        <w:t>(</w:t>
      </w:r>
      <w:hyperlink w:anchor="_ENREF_59" w:tooltip="NACD, 2013 #153" w:history="1">
        <w:r w:rsidR="006A749C">
          <w:rPr>
            <w:noProof/>
          </w:rPr>
          <w:t>NACD 2013</w:t>
        </w:r>
      </w:hyperlink>
      <w:r w:rsidR="005B081A">
        <w:rPr>
          <w:noProof/>
        </w:rPr>
        <w:t>)</w:t>
      </w:r>
      <w:r w:rsidR="005B081A">
        <w:fldChar w:fldCharType="end"/>
      </w:r>
      <w:r w:rsidR="00BA1634">
        <w:t>.</w:t>
      </w:r>
      <w:r w:rsidR="004177B2">
        <w:t xml:space="preserve"> </w:t>
      </w:r>
    </w:p>
    <w:p w14:paraId="729DE292" w14:textId="198D4E74" w:rsidR="00186CB5" w:rsidRPr="00E26D55" w:rsidRDefault="00A8345D" w:rsidP="001A0E68">
      <w:pPr>
        <w:widowControl w:val="0"/>
        <w:spacing w:line="480" w:lineRule="auto"/>
        <w:ind w:firstLine="720"/>
        <w:contextualSpacing/>
        <w:jc w:val="both"/>
        <w:rPr>
          <w:rFonts w:eastAsia="Times New Roman"/>
        </w:rPr>
      </w:pPr>
      <w:r w:rsidRPr="00E26D55">
        <w:rPr>
          <w:rFonts w:eastAsia="Times New Roman"/>
        </w:rPr>
        <w:t>Pr</w:t>
      </w:r>
      <w:r w:rsidR="007A4D56">
        <w:rPr>
          <w:rFonts w:eastAsia="Times New Roman"/>
        </w:rPr>
        <w:t xml:space="preserve">ofessional governance advocates </w:t>
      </w:r>
      <w:r w:rsidR="00DD4DC7" w:rsidRPr="00E26D55">
        <w:rPr>
          <w:rFonts w:eastAsia="Times New Roman"/>
        </w:rPr>
        <w:t>have</w:t>
      </w:r>
      <w:r w:rsidR="00C07A38" w:rsidRPr="00E26D55">
        <w:rPr>
          <w:rFonts w:eastAsia="Times New Roman"/>
        </w:rPr>
        <w:t xml:space="preserve"> formally </w:t>
      </w:r>
      <w:r w:rsidR="00DD4DC7" w:rsidRPr="00E26D55">
        <w:rPr>
          <w:rFonts w:eastAsia="Times New Roman"/>
        </w:rPr>
        <w:t xml:space="preserve">discussed </w:t>
      </w:r>
      <w:r w:rsidR="00C07A38" w:rsidRPr="00E26D55">
        <w:rPr>
          <w:rFonts w:eastAsia="Times New Roman"/>
        </w:rPr>
        <w:t>audit committee report improvements</w:t>
      </w:r>
      <w:r w:rsidR="00DD4DC7" w:rsidRPr="00E26D55">
        <w:rPr>
          <w:rFonts w:eastAsia="Times New Roman"/>
        </w:rPr>
        <w:t xml:space="preserve"> in the United States</w:t>
      </w:r>
      <w:r w:rsidR="00C07A38" w:rsidRPr="00E26D55">
        <w:rPr>
          <w:rFonts w:eastAsia="Times New Roman"/>
        </w:rPr>
        <w:t xml:space="preserve">. For example, </w:t>
      </w:r>
      <w:r w:rsidR="003E64DB">
        <w:rPr>
          <w:rFonts w:eastAsia="Times New Roman"/>
        </w:rPr>
        <w:t>o</w:t>
      </w:r>
      <w:r w:rsidR="00186CB5" w:rsidRPr="00E26D55">
        <w:rPr>
          <w:rFonts w:eastAsia="Times New Roman"/>
        </w:rPr>
        <w:t xml:space="preserve">n November 20, 2013 the Center for Audit Quality </w:t>
      </w:r>
      <w:r w:rsidR="0079592F" w:rsidRPr="00E26D55">
        <w:rPr>
          <w:rFonts w:eastAsia="Times New Roman"/>
        </w:rPr>
        <w:fldChar w:fldCharType="begin"/>
      </w:r>
      <w:r w:rsidR="002861C8" w:rsidRPr="00E26D55">
        <w:rPr>
          <w:rFonts w:eastAsia="Times New Roman"/>
        </w:rPr>
        <w:instrText xml:space="preserve"> ADDIN EN.CITE &lt;EndNote&gt;&lt;Cite ExcludeYear="1"&gt;&lt;Author&gt;CAQ&lt;/Author&gt;&lt;Year&gt;2013&lt;/Year&gt;&lt;RecNum&gt;154&lt;/RecNum&gt;&lt;DisplayText&gt;(CAQ)&lt;/DisplayText&gt;&lt;record&gt;&lt;rec-number&gt;154&lt;/rec-number&gt;&lt;foreign-keys&gt;&lt;key app="EN" db-id="frdsfrdx0zpts8ex5pfvfda4s9srzrvrxd9z" timestamp="1397440014"&gt;154&lt;/key&gt;&lt;key app="ENWeb" db-id=""&gt;0&lt;/key&gt;&lt;/foreign-keys&gt;&lt;ref-type name="Unpublished Work"&gt;34&lt;/ref-type&gt;&lt;contributors&gt;&lt;authors&gt;&lt;author&gt;CAQ&lt;/author&gt;&lt;/authors&gt;&lt;/contributors&gt;&lt;titles&gt;&lt;title&gt;Enhancing the Audit Committee Report: A Call to Action. Available from http://www.auditcommitteecollaboration.org/EnhancingtheAuditCommitteeReport-ACalltoAction.pdf.&lt;/title&gt;&lt;/titles&gt;&lt;dates&gt;&lt;year&gt;2013&lt;/year&gt;&lt;/dates&gt;&lt;urls&gt;&lt;related-urls&gt;&lt;url&gt;http://www.auditcommitteecollaboration.org/EnhancingtheAuditCommitteeReport-ACalltoAction.pdf&lt;/url&gt;&lt;/related-urls&gt;&lt;/urls&gt;&lt;/record&gt;&lt;/Cite&gt;&lt;/EndNote&gt;</w:instrText>
      </w:r>
      <w:r w:rsidR="0079592F" w:rsidRPr="00E26D55">
        <w:rPr>
          <w:rFonts w:eastAsia="Times New Roman"/>
        </w:rPr>
        <w:fldChar w:fldCharType="separate"/>
      </w:r>
      <w:r w:rsidR="00104AD7" w:rsidRPr="00E26D55">
        <w:rPr>
          <w:rFonts w:eastAsia="Times New Roman"/>
          <w:noProof/>
        </w:rPr>
        <w:t>(</w:t>
      </w:r>
      <w:hyperlink w:anchor="_ENREF_14" w:tooltip="CAQ, 2013 #154" w:history="1">
        <w:r w:rsidR="006A749C" w:rsidRPr="00E26D55">
          <w:rPr>
            <w:rFonts w:eastAsia="Times New Roman"/>
            <w:noProof/>
          </w:rPr>
          <w:t>CAQ</w:t>
        </w:r>
      </w:hyperlink>
      <w:r w:rsidR="00104AD7" w:rsidRPr="00E26D55">
        <w:rPr>
          <w:rFonts w:eastAsia="Times New Roman"/>
          <w:noProof/>
        </w:rPr>
        <w:t>)</w:t>
      </w:r>
      <w:r w:rsidR="0079592F" w:rsidRPr="00E26D55">
        <w:rPr>
          <w:rFonts w:eastAsia="Times New Roman"/>
        </w:rPr>
        <w:fldChar w:fldCharType="end"/>
      </w:r>
      <w:r w:rsidR="00186CB5" w:rsidRPr="00E26D55">
        <w:rPr>
          <w:rFonts w:eastAsia="Times New Roman"/>
        </w:rPr>
        <w:t xml:space="preserve"> issued a powerful “call to action” to “encourage all public company audit committees to thoughtfully reassess their reporting and communication with stakeholders and, if need be, to streng</w:t>
      </w:r>
      <w:r w:rsidR="00DB2AAC" w:rsidRPr="00E26D55">
        <w:rPr>
          <w:rFonts w:eastAsia="Times New Roman"/>
        </w:rPr>
        <w:t xml:space="preserve">then them in the future” </w:t>
      </w:r>
      <w:r w:rsidR="0079592F" w:rsidRPr="00E26D55">
        <w:rPr>
          <w:rFonts w:eastAsia="Times New Roman"/>
        </w:rPr>
        <w:fldChar w:fldCharType="begin"/>
      </w:r>
      <w:r w:rsidR="002861C8" w:rsidRPr="00E26D55">
        <w:rPr>
          <w:rFonts w:eastAsia="Times New Roman"/>
        </w:rPr>
        <w:instrText xml:space="preserve"> ADDIN EN.CITE &lt;EndNote&gt;&lt;Cite&gt;&lt;Author&gt;CAQ&lt;/Author&gt;&lt;Year&gt;2013&lt;/Year&gt;&lt;RecNum&gt;154&lt;/RecNum&gt;&lt;DisplayText&gt;(CAQ 2013)&lt;/DisplayText&gt;&lt;record&gt;&lt;rec-number&gt;154&lt;/rec-number&gt;&lt;foreign-keys&gt;&lt;key app="EN" db-id="frdsfrdx0zpts8ex5pfvfda4s9srzrvrxd9z" timestamp="1397440014"&gt;154&lt;/key&gt;&lt;key app="ENWeb" db-id=""&gt;0&lt;/key&gt;&lt;/foreign-keys&gt;&lt;ref-type name="Unpublished Work"&gt;34&lt;/ref-type&gt;&lt;contributors&gt;&lt;authors&gt;&lt;author&gt;CAQ&lt;/author&gt;&lt;/authors&gt;&lt;/contributors&gt;&lt;titles&gt;&lt;title&gt;Enhancing the Audit Committee Report: A Call to Action. Available from http://www.auditcommitteecollaboration.org/EnhancingtheAuditCommitteeReport-ACalltoAction.pdf.&lt;/title&gt;&lt;/titles&gt;&lt;dates&gt;&lt;year&gt;2013&lt;/year&gt;&lt;/dates&gt;&lt;urls&gt;&lt;related-urls&gt;&lt;url&gt;http://www.auditcommitteecollaboration.org/EnhancingtheAuditCommitteeReport-ACalltoAction.pdf&lt;/url&gt;&lt;/related-urls&gt;&lt;/urls&gt;&lt;/record&gt;&lt;/Cite&gt;&lt;/EndNote&gt;</w:instrText>
      </w:r>
      <w:r w:rsidR="0079592F" w:rsidRPr="00E26D55">
        <w:rPr>
          <w:rFonts w:eastAsia="Times New Roman"/>
        </w:rPr>
        <w:fldChar w:fldCharType="separate"/>
      </w:r>
      <w:r w:rsidR="00104AD7" w:rsidRPr="00E26D55">
        <w:rPr>
          <w:rFonts w:eastAsia="Times New Roman"/>
          <w:noProof/>
        </w:rPr>
        <w:t>(</w:t>
      </w:r>
      <w:hyperlink w:anchor="_ENREF_14" w:tooltip="CAQ, 2013 #154" w:history="1">
        <w:r w:rsidR="006A749C" w:rsidRPr="00E26D55">
          <w:rPr>
            <w:rFonts w:eastAsia="Times New Roman"/>
            <w:noProof/>
          </w:rPr>
          <w:t>CAQ 2013</w:t>
        </w:r>
      </w:hyperlink>
      <w:r w:rsidR="00104AD7" w:rsidRPr="00E26D55">
        <w:rPr>
          <w:rFonts w:eastAsia="Times New Roman"/>
          <w:noProof/>
        </w:rPr>
        <w:t>)</w:t>
      </w:r>
      <w:r w:rsidR="0079592F" w:rsidRPr="00E26D55">
        <w:rPr>
          <w:rFonts w:eastAsia="Times New Roman"/>
        </w:rPr>
        <w:fldChar w:fldCharType="end"/>
      </w:r>
      <w:r w:rsidR="00186CB5" w:rsidRPr="00E26D55">
        <w:rPr>
          <w:rFonts w:eastAsia="Times New Roman"/>
        </w:rPr>
        <w:t xml:space="preserve">. </w:t>
      </w:r>
      <w:r w:rsidR="007A4D56">
        <w:rPr>
          <w:rFonts w:eastAsia="Times New Roman"/>
        </w:rPr>
        <w:t xml:space="preserve">The Investor Advisory Group (IAG) of the PCAOB presented a report </w:t>
      </w:r>
      <w:r w:rsidR="00973D14">
        <w:rPr>
          <w:rFonts w:eastAsia="Times New Roman"/>
        </w:rPr>
        <w:t xml:space="preserve">at a board meeting held </w:t>
      </w:r>
      <w:r w:rsidR="00AB217C">
        <w:rPr>
          <w:rFonts w:eastAsia="Times New Roman"/>
        </w:rPr>
        <w:t>on October 20, 2014 that evaluated</w:t>
      </w:r>
      <w:r w:rsidR="007A4D56">
        <w:rPr>
          <w:rFonts w:eastAsia="Times New Roman"/>
        </w:rPr>
        <w:t xml:space="preserve"> the current state of audit committee regulation and noted the </w:t>
      </w:r>
      <w:r w:rsidR="001C2E5B">
        <w:rPr>
          <w:rFonts w:eastAsia="Times New Roman"/>
        </w:rPr>
        <w:t>need</w:t>
      </w:r>
      <w:r w:rsidR="007A4D56">
        <w:rPr>
          <w:rFonts w:eastAsia="Times New Roman"/>
        </w:rPr>
        <w:t xml:space="preserve"> for more transparency from audit committees in the United States</w:t>
      </w:r>
      <w:r w:rsidR="00CB06E2">
        <w:rPr>
          <w:rFonts w:eastAsia="Times New Roman"/>
        </w:rPr>
        <w:t xml:space="preserve"> </w:t>
      </w:r>
      <w:r w:rsidR="00CB06E2">
        <w:rPr>
          <w:rFonts w:eastAsia="Times New Roman"/>
        </w:rPr>
        <w:fldChar w:fldCharType="begin"/>
      </w:r>
      <w:r w:rsidR="00CB06E2">
        <w:rPr>
          <w:rFonts w:eastAsia="Times New Roman"/>
        </w:rPr>
        <w:instrText xml:space="preserve"> ADDIN EN.CITE &lt;EndNote&gt;&lt;Cite&gt;&lt;Author&gt;IAG&lt;/Author&gt;&lt;Year&gt;2014&lt;/Year&gt;&lt;RecNum&gt;358&lt;/RecNum&gt;&lt;DisplayText&gt;(IAG 2014)&lt;/DisplayText&gt;&lt;record&gt;&lt;rec-number&gt;358&lt;/rec-number&gt;&lt;foreign-keys&gt;&lt;key app="EN" db-id="frdsfrdx0zpts8ex5pfvfda4s9srzrvrxd9z" timestamp="1414527812"&gt;358&lt;/key&gt;&lt;/foreign-keys&gt;&lt;ref-type name="Journal Article"&gt;17&lt;/ref-type&gt;&lt;contributors&gt;&lt;authors&gt;&lt;author&gt;IAG&lt;/author&gt;&lt;/authors&gt;&lt;/contributors&gt;&lt;titles&gt;&lt;title&gt;Report from the Working Group on the Relationship and Role of the Auditor with the Audit Committee&lt;/title&gt;&lt;secondary-title&gt;PCAOB Investor Advisory Group Meeting.&lt;/secondary-title&gt;&lt;/titles&gt;&lt;periodical&gt;&lt;full-title&gt;PCAOB Investor Advisory Group Meeting.&lt;/full-title&gt;&lt;/periodical&gt;&lt;volume&gt;October 20, 2014&lt;/volume&gt;&lt;dates&gt;&lt;year&gt;2014&lt;/year&gt;&lt;/dates&gt;&lt;urls&gt;&lt;/urls&gt;&lt;/record&gt;&lt;/Cite&gt;&lt;/EndNote&gt;</w:instrText>
      </w:r>
      <w:r w:rsidR="00CB06E2">
        <w:rPr>
          <w:rFonts w:eastAsia="Times New Roman"/>
        </w:rPr>
        <w:fldChar w:fldCharType="separate"/>
      </w:r>
      <w:r w:rsidR="00CB06E2">
        <w:rPr>
          <w:rFonts w:eastAsia="Times New Roman"/>
          <w:noProof/>
        </w:rPr>
        <w:t>(</w:t>
      </w:r>
      <w:hyperlink w:anchor="_ENREF_48" w:tooltip="IAG, 2014 #358" w:history="1">
        <w:r w:rsidR="006A749C">
          <w:rPr>
            <w:rFonts w:eastAsia="Times New Roman"/>
            <w:noProof/>
          </w:rPr>
          <w:t>IAG 2014</w:t>
        </w:r>
      </w:hyperlink>
      <w:r w:rsidR="00CB06E2">
        <w:rPr>
          <w:rFonts w:eastAsia="Times New Roman"/>
          <w:noProof/>
        </w:rPr>
        <w:t>)</w:t>
      </w:r>
      <w:r w:rsidR="00CB06E2">
        <w:rPr>
          <w:rFonts w:eastAsia="Times New Roman"/>
        </w:rPr>
        <w:fldChar w:fldCharType="end"/>
      </w:r>
      <w:r w:rsidR="007A4D56">
        <w:rPr>
          <w:rFonts w:eastAsia="Times New Roman"/>
        </w:rPr>
        <w:t>.</w:t>
      </w:r>
      <w:r w:rsidR="003E64DB">
        <w:rPr>
          <w:rStyle w:val="FootnoteReference"/>
          <w:rFonts w:eastAsia="Times New Roman"/>
        </w:rPr>
        <w:footnoteReference w:id="16"/>
      </w:r>
      <w:r w:rsidR="001A0E68">
        <w:rPr>
          <w:rFonts w:eastAsia="Times New Roman"/>
        </w:rPr>
        <w:t xml:space="preserve"> </w:t>
      </w:r>
      <w:r w:rsidR="00A45F43">
        <w:rPr>
          <w:rFonts w:eastAsia="Times New Roman"/>
        </w:rPr>
        <w:t xml:space="preserve">These </w:t>
      </w:r>
      <w:r w:rsidR="001E5D81">
        <w:rPr>
          <w:rFonts w:eastAsia="Times New Roman"/>
        </w:rPr>
        <w:t>requests</w:t>
      </w:r>
      <w:r w:rsidR="00A45F43">
        <w:rPr>
          <w:rFonts w:eastAsia="Times New Roman"/>
        </w:rPr>
        <w:t xml:space="preserve"> from governance advocates </w:t>
      </w:r>
      <w:r w:rsidR="001A0E68">
        <w:rPr>
          <w:rFonts w:eastAsia="Times New Roman"/>
        </w:rPr>
        <w:t>and</w:t>
      </w:r>
      <w:r w:rsidR="00A45F43">
        <w:rPr>
          <w:rFonts w:eastAsia="Times New Roman"/>
        </w:rPr>
        <w:t xml:space="preserve"> the IAG have prompted regulatory action. </w:t>
      </w:r>
      <w:r w:rsidR="007A4D56">
        <w:rPr>
          <w:rFonts w:eastAsia="Times New Roman"/>
        </w:rPr>
        <w:t xml:space="preserve">The SEC </w:t>
      </w:r>
      <w:r w:rsidR="00AF42CE">
        <w:rPr>
          <w:rFonts w:eastAsia="Times New Roman"/>
        </w:rPr>
        <w:t>plans</w:t>
      </w:r>
      <w:r w:rsidR="002E6E04">
        <w:rPr>
          <w:rFonts w:eastAsia="Times New Roman"/>
        </w:rPr>
        <w:t xml:space="preserve"> to issue a concept release in early 2015 that will explore possible changes </w:t>
      </w:r>
      <w:r w:rsidR="001A0E68">
        <w:rPr>
          <w:rFonts w:eastAsia="Times New Roman"/>
        </w:rPr>
        <w:t>to</w:t>
      </w:r>
      <w:r w:rsidR="00621722">
        <w:rPr>
          <w:rFonts w:eastAsia="Times New Roman"/>
        </w:rPr>
        <w:t xml:space="preserve"> the audit committee report</w:t>
      </w:r>
      <w:r w:rsidR="001A0E68">
        <w:rPr>
          <w:rFonts w:eastAsia="Times New Roman"/>
        </w:rPr>
        <w:t xml:space="preserve"> in order to provide more useful information to investors</w:t>
      </w:r>
      <w:r w:rsidR="00621722">
        <w:rPr>
          <w:rFonts w:eastAsia="Times New Roman"/>
        </w:rPr>
        <w:t xml:space="preserve"> </w:t>
      </w:r>
      <w:r w:rsidR="00621722">
        <w:rPr>
          <w:rFonts w:eastAsia="Times New Roman"/>
        </w:rPr>
        <w:fldChar w:fldCharType="begin">
          <w:fldData xml:space="preserve">PEVuZE5vdGU+PENpdGU+PEF1dGhvcj5IZWxsZXI8L0F1dGhvcj48WWVhcj4yMDE0PC9ZZWFyPjxS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</w:fldData>
        </w:fldChar>
      </w:r>
      <w:r w:rsidR="008B49E4">
        <w:rPr>
          <w:rFonts w:eastAsia="Times New Roman"/>
        </w:rPr>
        <w:instrText xml:space="preserve"> ADDIN EN.CITE </w:instrText>
      </w:r>
      <w:r w:rsidR="008B49E4">
        <w:rPr>
          <w:rFonts w:eastAsia="Times New Roman"/>
        </w:rPr>
        <w:fldChar w:fldCharType="begin">
          <w:fldData xml:space="preserve">PEVuZE5vdGU+PENpdGU+PEF1dGhvcj5IZWxsZXI8L0F1dGhvcj48WWVhcj4yMDE0PC9ZZWFyPjxS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</w:fldData>
        </w:fldChar>
      </w:r>
      <w:r w:rsidR="008B49E4">
        <w:rPr>
          <w:rFonts w:eastAsia="Times New Roman"/>
        </w:rPr>
        <w:instrText xml:space="preserve"> ADDIN EN.CITE.DATA </w:instrText>
      </w:r>
      <w:r w:rsidR="008B49E4">
        <w:rPr>
          <w:rFonts w:eastAsia="Times New Roman"/>
        </w:rPr>
      </w:r>
      <w:r w:rsidR="008B49E4">
        <w:rPr>
          <w:rFonts w:eastAsia="Times New Roman"/>
        </w:rPr>
        <w:fldChar w:fldCharType="end"/>
      </w:r>
      <w:r w:rsidR="00621722">
        <w:rPr>
          <w:rFonts w:eastAsia="Times New Roman"/>
        </w:rPr>
      </w:r>
      <w:r w:rsidR="00621722">
        <w:rPr>
          <w:rFonts w:eastAsia="Times New Roman"/>
        </w:rPr>
        <w:fldChar w:fldCharType="separate"/>
      </w:r>
      <w:r w:rsidR="008B49E4">
        <w:rPr>
          <w:rFonts w:eastAsia="Times New Roman"/>
          <w:noProof/>
        </w:rPr>
        <w:t>(</w:t>
      </w:r>
      <w:hyperlink w:anchor="_ENREF_45" w:tooltip="Heller, 2014 #356" w:history="1">
        <w:r w:rsidR="006A749C">
          <w:rPr>
            <w:rFonts w:eastAsia="Times New Roman"/>
            <w:noProof/>
          </w:rPr>
          <w:t>Heller 2014</w:t>
        </w:r>
      </w:hyperlink>
      <w:r w:rsidR="008B49E4">
        <w:rPr>
          <w:rFonts w:eastAsia="Times New Roman"/>
          <w:noProof/>
        </w:rPr>
        <w:t xml:space="preserve">; </w:t>
      </w:r>
      <w:hyperlink w:anchor="_ENREF_71" w:tooltip="White, 2014 #348" w:history="1">
        <w:r w:rsidR="006A749C">
          <w:rPr>
            <w:rFonts w:eastAsia="Times New Roman"/>
            <w:noProof/>
          </w:rPr>
          <w:t>White 2014</w:t>
        </w:r>
      </w:hyperlink>
      <w:r w:rsidR="008B49E4">
        <w:rPr>
          <w:rFonts w:eastAsia="Times New Roman"/>
          <w:noProof/>
        </w:rPr>
        <w:t xml:space="preserve">; </w:t>
      </w:r>
      <w:hyperlink w:anchor="_ENREF_72" w:tooltip="Whitehouse, 2014 #357" w:history="1">
        <w:r w:rsidR="006A749C">
          <w:rPr>
            <w:rFonts w:eastAsia="Times New Roman"/>
            <w:noProof/>
          </w:rPr>
          <w:t>Whitehouse 2014</w:t>
        </w:r>
      </w:hyperlink>
      <w:r w:rsidR="008B49E4">
        <w:rPr>
          <w:rFonts w:eastAsia="Times New Roman"/>
          <w:noProof/>
        </w:rPr>
        <w:t>)</w:t>
      </w:r>
      <w:r w:rsidR="00621722">
        <w:rPr>
          <w:rFonts w:eastAsia="Times New Roman"/>
        </w:rPr>
        <w:fldChar w:fldCharType="end"/>
      </w:r>
      <w:r w:rsidR="00621722">
        <w:rPr>
          <w:rFonts w:eastAsia="Times New Roman"/>
        </w:rPr>
        <w:t>.</w:t>
      </w:r>
    </w:p>
    <w:p w14:paraId="2E09E97C" w14:textId="18F63DD0" w:rsidR="00FB0C6C" w:rsidRDefault="009F0F4D" w:rsidP="009F0F4D">
      <w:pPr>
        <w:pStyle w:val="Heading2"/>
      </w:pPr>
      <w:bookmarkStart w:id="4" w:name="_Toc286596262"/>
      <w:r>
        <w:t xml:space="preserve">2.3 </w:t>
      </w:r>
      <w:r w:rsidR="00851BBA" w:rsidRPr="00E26D55">
        <w:t>United Kingdom Reporting Regime Changes</w:t>
      </w:r>
      <w:bookmarkEnd w:id="4"/>
    </w:p>
    <w:p w14:paraId="39AE2230" w14:textId="77777777" w:rsidR="009F0F4D" w:rsidRPr="009F0F4D" w:rsidRDefault="009F0F4D" w:rsidP="009F0F4D"/>
    <w:p w14:paraId="4D4F09FF" w14:textId="126F1AB9" w:rsidR="00511FB1" w:rsidRPr="00E26D55" w:rsidRDefault="002918BE" w:rsidP="001853E3">
      <w:pPr>
        <w:widowControl w:val="0"/>
        <w:spacing w:line="480" w:lineRule="auto"/>
        <w:ind w:firstLine="720"/>
        <w:contextualSpacing/>
        <w:jc w:val="both"/>
        <w:rPr>
          <w:b/>
        </w:rPr>
      </w:pPr>
      <w:r w:rsidRPr="00E26D55">
        <w:t>In the fall of 2012, t</w:t>
      </w:r>
      <w:r w:rsidR="00AC41D1" w:rsidRPr="00E26D55">
        <w:t>he FRC</w:t>
      </w:r>
      <w:r w:rsidRPr="00E26D55">
        <w:t xml:space="preserve"> issued changes to the </w:t>
      </w:r>
      <w:r w:rsidR="00C671D6" w:rsidRPr="00E26D55">
        <w:t>U.K.</w:t>
      </w:r>
      <w:r w:rsidRPr="00E26D55">
        <w:t xml:space="preserve"> Corporate Governance Code, its Guidance for Audit Committees, and the Inter</w:t>
      </w:r>
      <w:r w:rsidR="004A3BA2" w:rsidRPr="00E26D55">
        <w:t xml:space="preserve">national Standards on Auditing </w:t>
      </w:r>
      <w:r w:rsidR="00355663" w:rsidRPr="00E26D55">
        <w:t>(</w:t>
      </w:r>
      <w:r w:rsidR="00C671D6" w:rsidRPr="00E26D55">
        <w:t>U.K.</w:t>
      </w:r>
      <w:r w:rsidRPr="00E26D55">
        <w:t xml:space="preserve"> and I</w:t>
      </w:r>
      <w:r w:rsidR="004A3BA2" w:rsidRPr="00E26D55">
        <w:t>reland</w:t>
      </w:r>
      <w:r w:rsidR="00355663" w:rsidRPr="00E26D55">
        <w:t>)</w:t>
      </w:r>
      <w:r w:rsidR="00D87A1F" w:rsidRPr="00E26D55">
        <w:t>.</w:t>
      </w:r>
      <w:r w:rsidR="00382748" w:rsidRPr="00E26D55">
        <w:t xml:space="preserve"> E</w:t>
      </w:r>
      <w:r w:rsidR="00AB4F24" w:rsidRPr="00E26D55">
        <w:t>ffective</w:t>
      </w:r>
      <w:r w:rsidRPr="00E26D55">
        <w:t xml:space="preserve"> for financial years </w:t>
      </w:r>
      <w:r w:rsidR="008B49E4">
        <w:t>ending on or after September 30, 2013</w:t>
      </w:r>
      <w:r w:rsidRPr="00E26D55">
        <w:t xml:space="preserve">, </w:t>
      </w:r>
      <w:r w:rsidR="00382748" w:rsidRPr="00E26D55">
        <w:t xml:space="preserve">this regulatory reform </w:t>
      </w:r>
      <w:r w:rsidRPr="00E26D55">
        <w:t>require</w:t>
      </w:r>
      <w:r w:rsidR="00401BB9" w:rsidRPr="00E26D55">
        <w:t>s</w:t>
      </w:r>
      <w:r w:rsidRPr="00E26D55">
        <w:t xml:space="preserve"> additional disclosures </w:t>
      </w:r>
      <w:r w:rsidR="00E90BF1" w:rsidRPr="00E26D55">
        <w:t>in the</w:t>
      </w:r>
      <w:r w:rsidRPr="00E26D55">
        <w:t xml:space="preserve"> audit committee </w:t>
      </w:r>
      <w:r w:rsidR="00E40010" w:rsidRPr="00E26D55">
        <w:t xml:space="preserve">report </w:t>
      </w:r>
      <w:r w:rsidR="0038014F" w:rsidRPr="00E26D55">
        <w:t>as well as</w:t>
      </w:r>
      <w:r w:rsidRPr="00E26D55">
        <w:t xml:space="preserve"> additional language in the auditor’s report. </w:t>
      </w:r>
      <w:r w:rsidR="00812516" w:rsidRPr="00E26D55">
        <w:t>Specifically,</w:t>
      </w:r>
      <w:r w:rsidR="001C0902" w:rsidRPr="00E26D55">
        <w:t xml:space="preserve"> </w:t>
      </w:r>
      <w:r w:rsidR="001E2C93" w:rsidRPr="00E26D55">
        <w:t xml:space="preserve">the FRC </w:t>
      </w:r>
      <w:r w:rsidR="00C67EF0" w:rsidRPr="00E26D55">
        <w:t>issued r</w:t>
      </w:r>
      <w:r w:rsidRPr="00E26D55">
        <w:t>evis</w:t>
      </w:r>
      <w:r w:rsidR="00C67EF0" w:rsidRPr="00E26D55">
        <w:t xml:space="preserve">ed governance policies </w:t>
      </w:r>
      <w:r w:rsidR="002305E5" w:rsidRPr="00E26D55">
        <w:t>instructing</w:t>
      </w:r>
      <w:r w:rsidRPr="00E26D55">
        <w:t xml:space="preserve"> audit committees t</w:t>
      </w:r>
      <w:r w:rsidR="002305E5" w:rsidRPr="00E26D55">
        <w:t>o</w:t>
      </w:r>
      <w:r w:rsidRPr="00E26D55">
        <w:t xml:space="preserve"> include in their report “the significant issues that the committee considered in relation to the financial statements and how these issues were addressed, having regard to matters communicated to i</w:t>
      </w:r>
      <w:r w:rsidR="00CA27D5" w:rsidRPr="00E26D55">
        <w:t xml:space="preserve">t by the </w:t>
      </w:r>
      <w:r w:rsidR="004C05A3" w:rsidRPr="00E26D55">
        <w:t xml:space="preserve">auditors” </w:t>
      </w:r>
      <w:r w:rsidR="0079592F" w:rsidRPr="00E26D55">
        <w:fldChar w:fldCharType="begin"/>
      </w:r>
      <w:r w:rsidR="00716620" w:rsidRPr="00E26D55">
        <w:instrText xml:space="preserve"> ADDIN EN.CITE &lt;EndNote&gt;&lt;Cite&gt;&lt;Author&gt;FRC&lt;/Author&gt;&lt;Year&gt;2012&lt;/Year&gt;&lt;RecNum&gt;128&lt;/RecNum&gt;&lt;DisplayText&gt;(FRC 2012b)&lt;/DisplayText&gt;&lt;record&gt;&lt;rec-number&gt;128&lt;/rec-number&gt;&lt;foreign-keys&gt;&lt;key app="EN" db-id="frdsfrdx0zpts8ex5pfvfda4s9srzrvrxd9z" timestamp="1397433865"&gt;128&lt;/key&gt;&lt;key app="ENWeb" db-id=""&gt;0&lt;/key&gt;&lt;/foreign-keys&gt;&lt;ref-type name="Journal Article"&gt;17&lt;/ref-type&gt;&lt;contributors&gt;&lt;authors&gt;&lt;author&gt;FRC&lt;/author&gt;&lt;/authors&gt;&lt;/contributors&gt;&lt;titles&gt;&lt;title&gt;The UK Corporate Governance Code&lt;/title&gt;&lt;/titles&gt;&lt;volume&gt;Revised September 2012&lt;/volume&gt;&lt;dates&gt;&lt;year&gt;2012&lt;/year&gt;&lt;pub-dates&gt;&lt;date&gt;September 2012&lt;/date&gt;&lt;/pub-dates&gt;&lt;/dates&gt;&lt;urls&gt;&lt;related-urls&gt;&lt;url&gt;https://www.frc.org.uk/Our-Work/Publications/Corporate-Governance/UK-Corporate-Governance-Code-September-2012.aspx&lt;/url&gt;&lt;/related-urls&gt;&lt;/urls&gt;&lt;/record&gt;&lt;/Cite&gt;&lt;/EndNote&gt;</w:instrText>
      </w:r>
      <w:r w:rsidR="0079592F" w:rsidRPr="00E26D55">
        <w:fldChar w:fldCharType="separate"/>
      </w:r>
      <w:r w:rsidR="00104AD7" w:rsidRPr="00E26D55">
        <w:rPr>
          <w:noProof/>
        </w:rPr>
        <w:t>(</w:t>
      </w:r>
      <w:hyperlink w:anchor="_ENREF_39" w:tooltip="FRC, 2012 #128" w:history="1">
        <w:r w:rsidR="006A749C" w:rsidRPr="00E26D55">
          <w:rPr>
            <w:noProof/>
          </w:rPr>
          <w:t>FRC 2012b</w:t>
        </w:r>
      </w:hyperlink>
      <w:r w:rsidR="00104AD7" w:rsidRPr="00E26D55">
        <w:rPr>
          <w:noProof/>
        </w:rPr>
        <w:t>)</w:t>
      </w:r>
      <w:r w:rsidR="0079592F" w:rsidRPr="00E26D55">
        <w:fldChar w:fldCharType="end"/>
      </w:r>
      <w:r w:rsidR="00CA27D5" w:rsidRPr="00E26D55">
        <w:t xml:space="preserve">. </w:t>
      </w:r>
      <w:r w:rsidR="0056665E" w:rsidRPr="00E26D55">
        <w:t>Furthermore</w:t>
      </w:r>
      <w:r w:rsidRPr="00E26D55">
        <w:t>, if the auditor is not satisfied with the audit committee’s reporting of the matters communicated by the auditor to the audit committee, then the auditor is obligated to include such information in the auditor’s report</w:t>
      </w:r>
      <w:r w:rsidR="00C67EF0" w:rsidRPr="00E26D55">
        <w:t xml:space="preserve"> </w:t>
      </w:r>
      <w:r w:rsidR="0079592F" w:rsidRPr="00E26D55">
        <w:fldChar w:fldCharType="begin"/>
      </w:r>
      <w:r w:rsidR="00716620" w:rsidRPr="00E26D55">
        <w:instrText xml:space="preserve"> ADDIN EN.CITE &lt;EndNote&gt;&lt;Cite&gt;&lt;Author&gt;FRC&lt;/Author&gt;&lt;Year&gt;2012&lt;/Year&gt;&lt;RecNum&gt;127&lt;/RecNum&gt;&lt;DisplayText&gt;(FRC 2012a)&lt;/DisplayText&gt;&lt;record&gt;&lt;rec-number&gt;127&lt;/rec-number&gt;&lt;foreign-keys&gt;&lt;key app="EN" db-id="frdsfrdx0zpts8ex5pfvfda4s9srzrvrxd9z" timestamp="1397433720"&gt;127&lt;/key&gt;&lt;key app="ENWeb" db-id=""&gt;0&lt;/key&gt;&lt;/foreign-keys&gt;&lt;ref-type name="Journal Article"&gt;17&lt;/ref-type&gt;&lt;contributors&gt;&lt;authors&gt;&lt;author&gt;FRC&lt;/author&gt;&lt;/authors&gt;&lt;/contributors&gt;&lt;titles&gt;&lt;title&gt;International Standard on Auditing (UK and Ireland) 700: The independent auditor&amp;apos;s report on financial statements&lt;/title&gt;&lt;/titles&gt;&lt;volume&gt;Revised October 2012&lt;/volume&gt;&lt;dates&gt;&lt;year&gt;2012&lt;/year&gt;&lt;pub-dates&gt;&lt;date&gt;October 2012&lt;/date&gt;&lt;/pub-dates&gt;&lt;/dates&gt;&lt;urls&gt;&lt;related-urls&gt;&lt;url&gt;https://www.frc.org.uk/getattachment/60e7565d-bd38-465a-885b-b25307a03cf7/ISA-%28UK-and-Ireland%29-700-Revised-October-2012.aspx&lt;/url&gt;&lt;/related-urls&gt;&lt;/urls&gt;&lt;/record&gt;&lt;/Cite&gt;&lt;/EndNote&gt;</w:instrText>
      </w:r>
      <w:r w:rsidR="0079592F" w:rsidRPr="00E26D55">
        <w:fldChar w:fldCharType="separate"/>
      </w:r>
      <w:r w:rsidR="00104AD7" w:rsidRPr="00E26D55">
        <w:rPr>
          <w:noProof/>
        </w:rPr>
        <w:t>(</w:t>
      </w:r>
      <w:hyperlink w:anchor="_ENREF_38" w:tooltip="FRC, 2012 #127" w:history="1">
        <w:r w:rsidR="006A749C" w:rsidRPr="00E26D55">
          <w:rPr>
            <w:noProof/>
          </w:rPr>
          <w:t>FRC 2012a</w:t>
        </w:r>
      </w:hyperlink>
      <w:r w:rsidR="00104AD7" w:rsidRPr="00E26D55">
        <w:rPr>
          <w:noProof/>
        </w:rPr>
        <w:t>)</w:t>
      </w:r>
      <w:r w:rsidR="0079592F" w:rsidRPr="00E26D55">
        <w:fldChar w:fldCharType="end"/>
      </w:r>
      <w:r w:rsidRPr="00E26D55">
        <w:t xml:space="preserve">. </w:t>
      </w:r>
      <w:r w:rsidR="00AC7F3B" w:rsidRPr="00E26D55">
        <w:t xml:space="preserve">The </w:t>
      </w:r>
      <w:r w:rsidR="000060ED" w:rsidRPr="00E26D55">
        <w:t xml:space="preserve">revised standard also added the requirement </w:t>
      </w:r>
      <w:r w:rsidR="0076626B" w:rsidRPr="00E26D55">
        <w:t xml:space="preserve">to discuss the evaluation of the external audit as well as </w:t>
      </w:r>
      <w:r w:rsidR="00125978" w:rsidRPr="00E26D55">
        <w:t>the process by which the external auditor is appointed or reappointed</w:t>
      </w:r>
      <w:r w:rsidR="004C05A3" w:rsidRPr="00E26D55">
        <w:t xml:space="preserve"> </w:t>
      </w:r>
      <w:r w:rsidR="0079592F" w:rsidRPr="00E26D55">
        <w:fldChar w:fldCharType="begin"/>
      </w:r>
      <w:r w:rsidR="00716620" w:rsidRPr="00E26D55">
        <w:instrText xml:space="preserve"> ADDIN EN.CITE &lt;EndNote&gt;&lt;Cite&gt;&lt;Author&gt;FRC&lt;/Author&gt;&lt;Year&gt;2012&lt;/Year&gt;&lt;RecNum&gt;128&lt;/RecNum&gt;&lt;DisplayText&gt;(FRC 2012b)&lt;/DisplayText&gt;&lt;record&gt;&lt;rec-number&gt;128&lt;/rec-number&gt;&lt;foreign-keys&gt;&lt;key app="EN" db-id="frdsfrdx0zpts8ex5pfvfda4s9srzrvrxd9z" timestamp="1397433865"&gt;128&lt;/key&gt;&lt;key app="ENWeb" db-id=""&gt;0&lt;/key&gt;&lt;/foreign-keys&gt;&lt;ref-type name="Journal Article"&gt;17&lt;/ref-type&gt;&lt;contributors&gt;&lt;authors&gt;&lt;author&gt;FRC&lt;/author&gt;&lt;/authors&gt;&lt;/contributors&gt;&lt;titles&gt;&lt;title&gt;The UK Corporate Governance Code&lt;/title&gt;&lt;/titles&gt;&lt;volume&gt;Revised September 2012&lt;/volume&gt;&lt;dates&gt;&lt;year&gt;2012&lt;/year&gt;&lt;pub-dates&gt;&lt;date&gt;September 2012&lt;/date&gt;&lt;/pub-dates&gt;&lt;/dates&gt;&lt;urls&gt;&lt;related-urls&gt;&lt;url&gt;https://www.frc.org.uk/Our-Work/Publications/Corporate-Governance/UK-Corporate-Governance-Code-September-2012.aspx&lt;/url&gt;&lt;/related-urls&gt;&lt;/urls&gt;&lt;/record&gt;&lt;/Cite&gt;&lt;/EndNote&gt;</w:instrText>
      </w:r>
      <w:r w:rsidR="0079592F" w:rsidRPr="00E26D55">
        <w:fldChar w:fldCharType="separate"/>
      </w:r>
      <w:r w:rsidR="00104AD7" w:rsidRPr="00E26D55">
        <w:rPr>
          <w:noProof/>
        </w:rPr>
        <w:t>(</w:t>
      </w:r>
      <w:hyperlink w:anchor="_ENREF_39" w:tooltip="FRC, 2012 #128" w:history="1">
        <w:r w:rsidR="006A749C" w:rsidRPr="00E26D55">
          <w:rPr>
            <w:noProof/>
          </w:rPr>
          <w:t>FRC 2012b</w:t>
        </w:r>
      </w:hyperlink>
      <w:r w:rsidR="00104AD7" w:rsidRPr="00E26D55">
        <w:rPr>
          <w:noProof/>
        </w:rPr>
        <w:t>)</w:t>
      </w:r>
      <w:r w:rsidR="0079592F" w:rsidRPr="00E26D55">
        <w:fldChar w:fldCharType="end"/>
      </w:r>
      <w:r w:rsidR="00125978" w:rsidRPr="00E26D55">
        <w:t xml:space="preserve">. </w:t>
      </w:r>
      <w:r w:rsidR="00E666D4" w:rsidRPr="00E26D55">
        <w:t>In addition</w:t>
      </w:r>
      <w:r w:rsidR="00125978" w:rsidRPr="00E26D55">
        <w:t xml:space="preserve">, the audit committee report must include </w:t>
      </w:r>
      <w:r w:rsidR="007448B0" w:rsidRPr="00E26D55">
        <w:t>information on audit firm tenure and state the timing of the most recent tendering of the audit contract</w:t>
      </w:r>
      <w:r w:rsidR="004C05A3" w:rsidRPr="00E26D55">
        <w:t xml:space="preserve"> </w:t>
      </w:r>
      <w:r w:rsidR="0079592F" w:rsidRPr="00E26D55">
        <w:fldChar w:fldCharType="begin"/>
      </w:r>
      <w:r w:rsidR="00716620" w:rsidRPr="00E26D55">
        <w:instrText xml:space="preserve"> ADDIN EN.CITE &lt;EndNote&gt;&lt;Cite&gt;&lt;Author&gt;FRC&lt;/Author&gt;&lt;Year&gt;2012&lt;/Year&gt;&lt;RecNum&gt;128&lt;/RecNum&gt;&lt;DisplayText&gt;(FRC 2012b)&lt;/DisplayText&gt;&lt;record&gt;&lt;rec-number&gt;128&lt;/rec-number&gt;&lt;foreign-keys&gt;&lt;key app="EN" db-id="frdsfrdx0zpts8ex5pfvfda4s9srzrvrxd9z" timestamp="1397433865"&gt;128&lt;/key&gt;&lt;key app="ENWeb" db-id=""&gt;0&lt;/key&gt;&lt;/foreign-keys&gt;&lt;ref-type name="Journal Article"&gt;17&lt;/ref-type&gt;&lt;contributors&gt;&lt;authors&gt;&lt;author&gt;FRC&lt;/author&gt;&lt;/authors&gt;&lt;/contributors&gt;&lt;titles&gt;&lt;title&gt;The UK Corporate Governance Code&lt;/title&gt;&lt;/titles&gt;&lt;volume&gt;Revised September 2012&lt;/volume&gt;&lt;dates&gt;&lt;year&gt;2012&lt;/year&gt;&lt;pub-dates&gt;&lt;date&gt;September 2012&lt;/date&gt;&lt;/pub-dates&gt;&lt;/dates&gt;&lt;urls&gt;&lt;related-urls&gt;&lt;url&gt;https://www.frc.org.uk/Our-Work/Publications/Corporate-Governance/UK-Corporate-Governance-Code-September-2012.aspx&lt;/url&gt;&lt;/related-urls&gt;&lt;/urls&gt;&lt;/record&gt;&lt;/Cite&gt;&lt;/EndNote&gt;</w:instrText>
      </w:r>
      <w:r w:rsidR="0079592F" w:rsidRPr="00E26D55">
        <w:fldChar w:fldCharType="separate"/>
      </w:r>
      <w:r w:rsidR="00104AD7" w:rsidRPr="00E26D55">
        <w:rPr>
          <w:noProof/>
        </w:rPr>
        <w:t>(</w:t>
      </w:r>
      <w:hyperlink w:anchor="_ENREF_39" w:tooltip="FRC, 2012 #128" w:history="1">
        <w:r w:rsidR="006A749C" w:rsidRPr="00E26D55">
          <w:rPr>
            <w:noProof/>
          </w:rPr>
          <w:t>FRC 2012b</w:t>
        </w:r>
      </w:hyperlink>
      <w:r w:rsidR="00104AD7" w:rsidRPr="00E26D55">
        <w:rPr>
          <w:noProof/>
        </w:rPr>
        <w:t>)</w:t>
      </w:r>
      <w:r w:rsidR="0079592F" w:rsidRPr="00E26D55">
        <w:fldChar w:fldCharType="end"/>
      </w:r>
      <w:r w:rsidR="007448B0" w:rsidRPr="00E26D55">
        <w:t>.</w:t>
      </w:r>
      <w:r w:rsidR="00AC7F3B" w:rsidRPr="00E26D55">
        <w:rPr>
          <w:rStyle w:val="FootnoteReference"/>
        </w:rPr>
        <w:footnoteReference w:id="17"/>
      </w:r>
    </w:p>
    <w:p w14:paraId="232D7350" w14:textId="407508B1" w:rsidR="00A8345D" w:rsidRPr="00E26D55" w:rsidRDefault="002918BE" w:rsidP="001853E3">
      <w:pPr>
        <w:widowControl w:val="0"/>
        <w:spacing w:line="480" w:lineRule="auto"/>
        <w:ind w:firstLine="720"/>
        <w:contextualSpacing/>
        <w:jc w:val="both"/>
      </w:pPr>
      <w:r w:rsidRPr="00E26D55">
        <w:t xml:space="preserve">The FRC implemented further changes to the auditor’s report when it issued revisions to </w:t>
      </w:r>
      <w:r w:rsidR="00C74CFE" w:rsidRPr="00E26D55">
        <w:t xml:space="preserve">the </w:t>
      </w:r>
      <w:r w:rsidRPr="00E26D55">
        <w:t>International Standard on Auditing (</w:t>
      </w:r>
      <w:r w:rsidR="00C671D6" w:rsidRPr="00E26D55">
        <w:t>U.K.</w:t>
      </w:r>
      <w:r w:rsidRPr="00E26D55">
        <w:t xml:space="preserve"> and Ireland) 700 in June 2013. These reforms also take effect for financial years </w:t>
      </w:r>
      <w:r w:rsidR="008B49E4">
        <w:t>ending</w:t>
      </w:r>
      <w:r w:rsidRPr="00E26D55">
        <w:t xml:space="preserve"> on or after </w:t>
      </w:r>
      <w:r w:rsidR="008B49E4">
        <w:t>September 30, 2013</w:t>
      </w:r>
      <w:r w:rsidRPr="00E26D55">
        <w:t xml:space="preserve"> and instruct a</w:t>
      </w:r>
      <w:r w:rsidR="00C74CFE" w:rsidRPr="00E26D55">
        <w:t>uditors to include</w:t>
      </w:r>
      <w:r w:rsidR="005E36B0" w:rsidRPr="00E26D55">
        <w:t xml:space="preserve"> a</w:t>
      </w:r>
      <w:r w:rsidR="00C74CFE" w:rsidRPr="00E26D55">
        <w:t xml:space="preserve"> </w:t>
      </w:r>
      <w:r w:rsidRPr="00E26D55">
        <w:t>discussion of assessed risks of material misstatement</w:t>
      </w:r>
      <w:r w:rsidR="00843BE7" w:rsidRPr="00E26D55">
        <w:t xml:space="preserve">, </w:t>
      </w:r>
      <w:r w:rsidRPr="00E26D55">
        <w:t>materiality, and t</w:t>
      </w:r>
      <w:r w:rsidR="00793963" w:rsidRPr="00E26D55">
        <w:t>he scope of the audit in their</w:t>
      </w:r>
      <w:r w:rsidRPr="00E26D55">
        <w:t xml:space="preserve"> report</w:t>
      </w:r>
      <w:r w:rsidR="004C05A3" w:rsidRPr="00E26D55">
        <w:t xml:space="preserve"> </w:t>
      </w:r>
      <w:r w:rsidR="0079592F" w:rsidRPr="00E26D55">
        <w:fldChar w:fldCharType="begin"/>
      </w:r>
      <w:r w:rsidR="00CA39EF" w:rsidRPr="00E26D55">
        <w:instrText xml:space="preserve"> ADDIN EN.CITE &lt;EndNote&gt;&lt;Cite&gt;&lt;Author&gt;FRC&lt;/Author&gt;&lt;Year&gt;2013&lt;/Year&gt;&lt;RecNum&gt;126&lt;/RecNum&gt;&lt;DisplayText&gt;(FRC 2013)&lt;/DisplayText&gt;&lt;record&gt;&lt;rec-number&gt;126&lt;/rec-number&gt;&lt;foreign-keys&gt;&lt;key app="EN" db-id="frdsfrdx0zpts8ex5pfvfda4s9srzrvrxd9z" timestamp="1397433359"&gt;126&lt;/key&gt;&lt;key app="ENWeb" db-id=""&gt;0&lt;/key&gt;&lt;/foreign-keys&gt;&lt;ref-type name="Journal Article"&gt;17&lt;/ref-type&gt;&lt;contributors&gt;&lt;authors&gt;&lt;author&gt;FRC&lt;/author&gt;&lt;/authors&gt;&lt;/contributors&gt;&lt;titles&gt;&lt;title&gt;International Standard on Auditing (UK and Ireland) 700: The independent auditor&amp;apos;s report on financial statements&lt;/title&gt;&lt;/titles&gt;&lt;volume&gt;Revised June 2013&lt;/volume&gt;&lt;dates&gt;&lt;year&gt;2013&lt;/year&gt;&lt;pub-dates&gt;&lt;date&gt;June 2013&lt;/date&gt;&lt;/pub-dates&gt;&lt;/dates&gt;&lt;urls&gt;&lt;related-urls&gt;&lt;url&gt;http://www.frc.org.uk/Our-Work/Publications/Audit-and-Assurance-Team/ISA-700-%28UK-and-Ireland%29-700-%28Revised%29-File.pdf&lt;/url&gt;&lt;/related-urls&gt;&lt;/urls&gt;&lt;/record&gt;&lt;/Cite&gt;&lt;/EndNote&gt;</w:instrText>
      </w:r>
      <w:r w:rsidR="0079592F" w:rsidRPr="00E26D55">
        <w:fldChar w:fldCharType="separate"/>
      </w:r>
      <w:r w:rsidR="00CA39EF" w:rsidRPr="00E26D55">
        <w:rPr>
          <w:noProof/>
        </w:rPr>
        <w:t>(</w:t>
      </w:r>
      <w:hyperlink w:anchor="_ENREF_40" w:tooltip="FRC, 2013 #126" w:history="1">
        <w:r w:rsidR="006A749C" w:rsidRPr="00E26D55">
          <w:rPr>
            <w:noProof/>
          </w:rPr>
          <w:t>FRC 2013</w:t>
        </w:r>
      </w:hyperlink>
      <w:r w:rsidR="00CA39EF" w:rsidRPr="00E26D55">
        <w:rPr>
          <w:noProof/>
        </w:rPr>
        <w:t>)</w:t>
      </w:r>
      <w:r w:rsidR="0079592F" w:rsidRPr="00E26D55">
        <w:fldChar w:fldCharType="end"/>
      </w:r>
      <w:r w:rsidRPr="00E26D55">
        <w:t xml:space="preserve">. </w:t>
      </w:r>
      <w:r w:rsidR="005E36B0" w:rsidRPr="00E26D55">
        <w:t xml:space="preserve">Specifically, </w:t>
      </w:r>
      <w:r w:rsidR="002E11A2" w:rsidRPr="00E26D55">
        <w:t>the auditor is required to describe risks that had the “greatest effect on the overall audit strategy, the allocation of resources in the audit, and directing the efforts of th</w:t>
      </w:r>
      <w:r w:rsidR="004C05A3" w:rsidRPr="00E26D55">
        <w:t xml:space="preserve">e engagement team” </w:t>
      </w:r>
      <w:r w:rsidR="0079592F" w:rsidRPr="00E26D55">
        <w:fldChar w:fldCharType="begin"/>
      </w:r>
      <w:r w:rsidR="00CA39EF" w:rsidRPr="00E26D55">
        <w:instrText xml:space="preserve"> ADDIN EN.CITE &lt;EndNote&gt;&lt;Cite&gt;&lt;Author&gt;FRC&lt;/Author&gt;&lt;Year&gt;2013&lt;/Year&gt;&lt;RecNum&gt;126&lt;/RecNum&gt;&lt;DisplayText&gt;(FRC 2013)&lt;/DisplayText&gt;&lt;record&gt;&lt;rec-number&gt;126&lt;/rec-number&gt;&lt;foreign-keys&gt;&lt;key app="EN" db-id="frdsfrdx0zpts8ex5pfvfda4s9srzrvrxd9z" timestamp="1397433359"&gt;126&lt;/key&gt;&lt;key app="ENWeb" db-id=""&gt;0&lt;/key&gt;&lt;/foreign-keys&gt;&lt;ref-type name="Journal Article"&gt;17&lt;/ref-type&gt;&lt;contributors&gt;&lt;authors&gt;&lt;author&gt;FRC&lt;/author&gt;&lt;/authors&gt;&lt;/contributors&gt;&lt;titles&gt;&lt;title&gt;International Standard on Auditing (UK and Ireland) 700: The independent auditor&amp;apos;s report on financial statements&lt;/title&gt;&lt;/titles&gt;&lt;volume&gt;Revised June 2013&lt;/volume&gt;&lt;dates&gt;&lt;year&gt;2013&lt;/year&gt;&lt;pub-dates&gt;&lt;date&gt;June 2013&lt;/date&gt;&lt;/pub-dates&gt;&lt;/dates&gt;&lt;urls&gt;&lt;related-urls&gt;&lt;url&gt;http://www.frc.org.uk/Our-Work/Publications/Audit-and-Assurance-Team/ISA-700-%28UK-and-Ireland%29-700-%28Revised%29-File.pdf&lt;/url&gt;&lt;/related-urls&gt;&lt;/urls&gt;&lt;/record&gt;&lt;/Cite&gt;&lt;/EndNote&gt;</w:instrText>
      </w:r>
      <w:r w:rsidR="0079592F" w:rsidRPr="00E26D55">
        <w:fldChar w:fldCharType="separate"/>
      </w:r>
      <w:r w:rsidR="00CA39EF" w:rsidRPr="00E26D55">
        <w:rPr>
          <w:noProof/>
        </w:rPr>
        <w:t>(</w:t>
      </w:r>
      <w:hyperlink w:anchor="_ENREF_40" w:tooltip="FRC, 2013 #126" w:history="1">
        <w:r w:rsidR="006A749C" w:rsidRPr="00E26D55">
          <w:rPr>
            <w:noProof/>
          </w:rPr>
          <w:t>FRC 2013</w:t>
        </w:r>
      </w:hyperlink>
      <w:r w:rsidR="00CA39EF" w:rsidRPr="00E26D55">
        <w:rPr>
          <w:noProof/>
        </w:rPr>
        <w:t>)</w:t>
      </w:r>
      <w:r w:rsidR="0079592F" w:rsidRPr="00E26D55">
        <w:fldChar w:fldCharType="end"/>
      </w:r>
      <w:r w:rsidR="00C14A0C" w:rsidRPr="00E26D55">
        <w:t xml:space="preserve">. </w:t>
      </w:r>
      <w:r w:rsidR="002E11A2" w:rsidRPr="00E26D55">
        <w:t>With reg</w:t>
      </w:r>
      <w:r w:rsidR="00E757C1" w:rsidRPr="00E26D55">
        <w:t xml:space="preserve">ard to materiality, the audit report should now include an explanation of how </w:t>
      </w:r>
      <w:r w:rsidR="001313E1" w:rsidRPr="00E26D55">
        <w:t>materiality was applied during the planning and performance of the audit</w:t>
      </w:r>
      <w:r w:rsidR="00E757C1" w:rsidRPr="00E26D55">
        <w:t xml:space="preserve"> </w:t>
      </w:r>
      <w:r w:rsidR="001313E1" w:rsidRPr="00E26D55">
        <w:t xml:space="preserve">as well as a disclosure of the specific materiality threshold </w:t>
      </w:r>
      <w:r w:rsidR="00DA7BCC" w:rsidRPr="00E26D55">
        <w:t>employed in</w:t>
      </w:r>
      <w:r w:rsidR="001313E1" w:rsidRPr="00E26D55">
        <w:t xml:space="preserve"> the audit</w:t>
      </w:r>
      <w:r w:rsidR="00B333BE" w:rsidRPr="00E26D55">
        <w:t xml:space="preserve"> </w:t>
      </w:r>
      <w:r w:rsidR="0079592F" w:rsidRPr="00E26D55">
        <w:fldChar w:fldCharType="begin"/>
      </w:r>
      <w:r w:rsidR="00CA39EF" w:rsidRPr="00E26D55">
        <w:instrText xml:space="preserve"> ADDIN EN.CITE &lt;EndNote&gt;&lt;Cite&gt;&lt;Author&gt;FRC&lt;/Author&gt;&lt;Year&gt;2013&lt;/Year&gt;&lt;RecNum&gt;126&lt;/RecNum&gt;&lt;DisplayText&gt;(FRC 2013)&lt;/DisplayText&gt;&lt;record&gt;&lt;rec-number&gt;126&lt;/rec-number&gt;&lt;foreign-keys&gt;&lt;key app="EN" db-id="frdsfrdx0zpts8ex5pfvfda4s9srzrvrxd9z" timestamp="1397433359"&gt;126&lt;/key&gt;&lt;key app="ENWeb" db-id=""&gt;0&lt;/key&gt;&lt;/foreign-keys&gt;&lt;ref-type name="Journal Article"&gt;17&lt;/ref-type&gt;&lt;contributors&gt;&lt;authors&gt;&lt;author&gt;FRC&lt;/author&gt;&lt;/authors&gt;&lt;/contributors&gt;&lt;titles&gt;&lt;title&gt;International Standard on Auditing (UK and Ireland) 700: The independent auditor&amp;apos;s report on financial statements&lt;/title&gt;&lt;/titles&gt;&lt;volume&gt;Revised June 2013&lt;/volume&gt;&lt;dates&gt;&lt;year&gt;2013&lt;/year&gt;&lt;pub-dates&gt;&lt;date&gt;June 2013&lt;/date&gt;&lt;/pub-dates&gt;&lt;/dates&gt;&lt;urls&gt;&lt;related-urls&gt;&lt;url&gt;http://www.frc.org.uk/Our-Work/Publications/Audit-and-Assurance-Team/ISA-700-%28UK-and-Ireland%29-700-%28Revised%29-File.pdf&lt;/url&gt;&lt;/related-urls&gt;&lt;/urls&gt;&lt;/record&gt;&lt;/Cite&gt;&lt;/EndNote&gt;</w:instrText>
      </w:r>
      <w:r w:rsidR="0079592F" w:rsidRPr="00E26D55">
        <w:fldChar w:fldCharType="separate"/>
      </w:r>
      <w:r w:rsidR="00CA39EF" w:rsidRPr="00E26D55">
        <w:rPr>
          <w:noProof/>
        </w:rPr>
        <w:t>(</w:t>
      </w:r>
      <w:hyperlink w:anchor="_ENREF_40" w:tooltip="FRC, 2013 #126" w:history="1">
        <w:r w:rsidR="006A749C" w:rsidRPr="00E26D55">
          <w:rPr>
            <w:noProof/>
          </w:rPr>
          <w:t>FRC 2013</w:t>
        </w:r>
      </w:hyperlink>
      <w:r w:rsidR="00CA39EF" w:rsidRPr="00E26D55">
        <w:rPr>
          <w:noProof/>
        </w:rPr>
        <w:t>)</w:t>
      </w:r>
      <w:r w:rsidR="0079592F" w:rsidRPr="00E26D55">
        <w:fldChar w:fldCharType="end"/>
      </w:r>
      <w:r w:rsidR="00C14A0C" w:rsidRPr="00E26D55">
        <w:t xml:space="preserve">. </w:t>
      </w:r>
      <w:r w:rsidR="00E757C1" w:rsidRPr="00E26D55">
        <w:t xml:space="preserve">Finally, the auditor is directed to provide information about how the scope of the audit addressed the assessed risks of material misstatement as well as how the auditor’s materiality </w:t>
      </w:r>
      <w:r w:rsidR="00F66CE7" w:rsidRPr="00E26D55">
        <w:t xml:space="preserve">determination </w:t>
      </w:r>
      <w:r w:rsidR="00E757C1" w:rsidRPr="00E26D55">
        <w:t>influenced the scope of the audit</w:t>
      </w:r>
      <w:r w:rsidR="00B333BE" w:rsidRPr="00E26D55">
        <w:t xml:space="preserve"> </w:t>
      </w:r>
      <w:r w:rsidR="0079592F" w:rsidRPr="00E26D55">
        <w:fldChar w:fldCharType="begin"/>
      </w:r>
      <w:r w:rsidR="00CA39EF" w:rsidRPr="00E26D55">
        <w:instrText xml:space="preserve"> ADDIN EN.CITE &lt;EndNote&gt;&lt;Cite&gt;&lt;Author&gt;FRC&lt;/Author&gt;&lt;Year&gt;2013&lt;/Year&gt;&lt;RecNum&gt;126&lt;/RecNum&gt;&lt;DisplayText&gt;(FRC 2013)&lt;/DisplayText&gt;&lt;record&gt;&lt;rec-number&gt;126&lt;/rec-number&gt;&lt;foreign-keys&gt;&lt;key app="EN" db-id="frdsfrdx0zpts8ex5pfvfda4s9srzrvrxd9z" timestamp="1397433359"&gt;126&lt;/key&gt;&lt;key app="ENWeb" db-id=""&gt;0&lt;/key&gt;&lt;/foreign-keys&gt;&lt;ref-type name="Journal Article"&gt;17&lt;/ref-type&gt;&lt;contributors&gt;&lt;authors&gt;&lt;author&gt;FRC&lt;/author&gt;&lt;/authors&gt;&lt;/contributors&gt;&lt;titles&gt;&lt;title&gt;International Standard on Auditing (UK and Ireland) 700: The independent auditor&amp;apos;s report on financial statements&lt;/title&gt;&lt;/titles&gt;&lt;volume&gt;Revised June 2013&lt;/volume&gt;&lt;dates&gt;&lt;year&gt;2013&lt;/year&gt;&lt;pub-dates&gt;&lt;date&gt;June 2013&lt;/date&gt;&lt;/pub-dates&gt;&lt;/dates&gt;&lt;urls&gt;&lt;related-urls&gt;&lt;url&gt;http://www.frc.org.uk/Our-Work/Publications/Audit-and-Assurance-Team/ISA-700-%28UK-and-Ireland%29-700-%28Revised%29-File.pdf&lt;/url&gt;&lt;/related-urls&gt;&lt;/urls&gt;&lt;/record&gt;&lt;/Cite&gt;&lt;/EndNote&gt;</w:instrText>
      </w:r>
      <w:r w:rsidR="0079592F" w:rsidRPr="00E26D55">
        <w:fldChar w:fldCharType="separate"/>
      </w:r>
      <w:r w:rsidR="00CA39EF" w:rsidRPr="00E26D55">
        <w:rPr>
          <w:noProof/>
        </w:rPr>
        <w:t>(</w:t>
      </w:r>
      <w:hyperlink w:anchor="_ENREF_40" w:tooltip="FRC, 2013 #126" w:history="1">
        <w:r w:rsidR="006A749C" w:rsidRPr="00E26D55">
          <w:rPr>
            <w:noProof/>
          </w:rPr>
          <w:t>FRC 2013</w:t>
        </w:r>
      </w:hyperlink>
      <w:r w:rsidR="00CA39EF" w:rsidRPr="00E26D55">
        <w:rPr>
          <w:noProof/>
        </w:rPr>
        <w:t>)</w:t>
      </w:r>
      <w:r w:rsidR="0079592F" w:rsidRPr="00E26D55">
        <w:fldChar w:fldCharType="end"/>
      </w:r>
      <w:r w:rsidR="00E757C1" w:rsidRPr="00E26D55">
        <w:t>.</w:t>
      </w:r>
      <w:r w:rsidR="00D22377" w:rsidRPr="00E26D55">
        <w:rPr>
          <w:rStyle w:val="FootnoteReference"/>
        </w:rPr>
        <w:footnoteReference w:id="18"/>
      </w:r>
    </w:p>
    <w:p w14:paraId="0A885533" w14:textId="2D1991B9" w:rsidR="00A8345D" w:rsidRPr="00E26D55" w:rsidRDefault="00863238" w:rsidP="001853E3">
      <w:pPr>
        <w:widowControl w:val="0"/>
        <w:spacing w:line="480" w:lineRule="auto"/>
        <w:ind w:firstLine="720"/>
        <w:contextualSpacing/>
        <w:jc w:val="both"/>
      </w:pPr>
      <w:r w:rsidRPr="00E26D55">
        <w:rPr>
          <w:rFonts w:eastAsia="Times New Roman"/>
        </w:rPr>
        <w:t xml:space="preserve">The study of </w:t>
      </w:r>
      <w:r w:rsidR="007642A6" w:rsidRPr="00E26D55">
        <w:rPr>
          <w:rFonts w:eastAsia="Times New Roman"/>
        </w:rPr>
        <w:t>the United Kingdom</w:t>
      </w:r>
      <w:r w:rsidRPr="00E26D55">
        <w:rPr>
          <w:rFonts w:eastAsia="Times New Roman"/>
        </w:rPr>
        <w:t xml:space="preserve">’s new reporting regime is critical to </w:t>
      </w:r>
      <w:r w:rsidR="00346277" w:rsidRPr="00E26D55">
        <w:rPr>
          <w:rFonts w:eastAsia="Times New Roman"/>
        </w:rPr>
        <w:t xml:space="preserve">inform </w:t>
      </w:r>
      <w:r w:rsidR="007F186D" w:rsidRPr="00E26D55">
        <w:rPr>
          <w:rFonts w:eastAsia="Times New Roman"/>
        </w:rPr>
        <w:t xml:space="preserve">the debates occurring internationally. </w:t>
      </w:r>
      <w:r w:rsidR="00A87CAF" w:rsidRPr="00E26D55">
        <w:t xml:space="preserve">While investors have requested more disclosures from both auditors and audit committees, it is unknown ex-ante whether the new information will be useful to investors. </w:t>
      </w:r>
      <w:r w:rsidR="00A87CAF">
        <w:rPr>
          <w:color w:val="1A1718"/>
        </w:rPr>
        <w:t xml:space="preserve">The </w:t>
      </w:r>
      <w:r w:rsidR="00A87CAF" w:rsidRPr="00E26D55">
        <w:rPr>
          <w:color w:val="1A1718"/>
        </w:rPr>
        <w:t xml:space="preserve">evidence thus far has been limited to surveys, focus groups, and experiments given that reporting reforms </w:t>
      </w:r>
      <w:r w:rsidR="00690135">
        <w:rPr>
          <w:color w:val="1A1718"/>
        </w:rPr>
        <w:t>have</w:t>
      </w:r>
      <w:r w:rsidR="00A87CAF" w:rsidRPr="00E26D55">
        <w:rPr>
          <w:color w:val="1A1718"/>
        </w:rPr>
        <w:t xml:space="preserve"> not been implemented in the United States or a similar country</w:t>
      </w:r>
      <w:r w:rsidR="00142136">
        <w:rPr>
          <w:color w:val="1A1718"/>
        </w:rPr>
        <w:t xml:space="preserve"> until recently</w:t>
      </w:r>
      <w:r w:rsidR="00A87CAF" w:rsidRPr="00E26D55">
        <w:rPr>
          <w:color w:val="1A1718"/>
        </w:rPr>
        <w:t>.</w:t>
      </w:r>
      <w:r w:rsidR="00A87CAF" w:rsidRPr="00E26D55">
        <w:rPr>
          <w:rStyle w:val="FootnoteReference"/>
          <w:color w:val="1A1718"/>
        </w:rPr>
        <w:footnoteReference w:id="19"/>
      </w:r>
      <w:r w:rsidR="00A87CAF">
        <w:rPr>
          <w:rFonts w:eastAsia="Times New Roman"/>
        </w:rPr>
        <w:t xml:space="preserve"> </w:t>
      </w:r>
      <w:r w:rsidR="00EC204B">
        <w:t>This study uses the U.K.’s reporting changes as a “</w:t>
      </w:r>
      <w:r w:rsidR="003D741A">
        <w:t>quasi-</w:t>
      </w:r>
      <w:r w:rsidR="00EC204B">
        <w:t xml:space="preserve">natural experiment” </w:t>
      </w:r>
      <w:r w:rsidR="00A87CAF" w:rsidRPr="00E26D55">
        <w:t xml:space="preserve">to determine if investors did in fact </w:t>
      </w:r>
      <w:r w:rsidR="00A44D98">
        <w:t>find</w:t>
      </w:r>
      <w:r w:rsidR="00A44D98" w:rsidRPr="00E26D55">
        <w:t xml:space="preserve"> </w:t>
      </w:r>
      <w:r w:rsidR="00A87CAF" w:rsidRPr="00E26D55">
        <w:t xml:space="preserve">the new reports useful. </w:t>
      </w:r>
      <w:r w:rsidR="00A87CAF">
        <w:t xml:space="preserve">My analysis is </w:t>
      </w:r>
      <w:r w:rsidR="00A87CAF" w:rsidRPr="00E26D55">
        <w:t xml:space="preserve">particularly relevant to the reporting debate occurring in the United States as these two countries </w:t>
      </w:r>
      <w:r w:rsidR="00A87CAF" w:rsidRPr="00E26D55">
        <w:rPr>
          <w:rFonts w:eastAsia="Times New Roman"/>
        </w:rPr>
        <w:t xml:space="preserve">share similar levels of disclosure and securities regulation as well </w:t>
      </w:r>
      <w:r w:rsidR="000738D2">
        <w:rPr>
          <w:rFonts w:eastAsia="Times New Roman"/>
        </w:rPr>
        <w:t>comparable cultures and accounting traditions</w:t>
      </w:r>
      <w:r w:rsidR="00A87CAF" w:rsidRPr="00E26D55">
        <w:rPr>
          <w:rFonts w:eastAsia="Times New Roman"/>
        </w:rPr>
        <w:t xml:space="preserve"> </w:t>
      </w:r>
      <w:r w:rsidR="00A87CAF" w:rsidRPr="00E26D55">
        <w:fldChar w:fldCharType="begin">
          <w:fldData xml:space="preserve">PEVuZE5vdGU+PENpdGU+PEF1dGhvcj5IYWlsPC9BdXRob3I+PFllYXI+MjAwNjwvWWVhcj48UmVj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</w:fldData>
        </w:fldChar>
      </w:r>
      <w:r w:rsidR="00A87CAF" w:rsidRPr="00E26D55">
        <w:instrText xml:space="preserve"> ADDIN EN.CITE </w:instrText>
      </w:r>
      <w:r w:rsidR="00A87CAF" w:rsidRPr="00E26D55">
        <w:fldChar w:fldCharType="begin">
          <w:fldData xml:space="preserve">PEVuZE5vdGU+PENpdGU+PEF1dGhvcj5IYWlsPC9BdXRob3I+PFllYXI+MjAwNjwvWWVhcj48UmVj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</w:fldData>
        </w:fldChar>
      </w:r>
      <w:r w:rsidR="00A87CAF" w:rsidRPr="00E26D55">
        <w:instrText xml:space="preserve"> ADDIN EN.CITE.DATA </w:instrText>
      </w:r>
      <w:r w:rsidR="00A87CAF" w:rsidRPr="00E26D55">
        <w:fldChar w:fldCharType="end"/>
      </w:r>
      <w:r w:rsidR="00A87CAF" w:rsidRPr="00E26D55">
        <w:fldChar w:fldCharType="separate"/>
      </w:r>
      <w:r w:rsidR="00A87CAF" w:rsidRPr="00E26D55">
        <w:rPr>
          <w:noProof/>
        </w:rPr>
        <w:t>(</w:t>
      </w:r>
      <w:hyperlink w:anchor="_ENREF_44" w:tooltip="Hail, 2006 #51" w:history="1">
        <w:r w:rsidR="006A749C" w:rsidRPr="00E26D55">
          <w:rPr>
            <w:noProof/>
          </w:rPr>
          <w:t>Hail and Leuz 2006</w:t>
        </w:r>
      </w:hyperlink>
      <w:r w:rsidR="00A87CAF" w:rsidRPr="00E26D55">
        <w:rPr>
          <w:noProof/>
        </w:rPr>
        <w:t xml:space="preserve">; </w:t>
      </w:r>
      <w:hyperlink w:anchor="_ENREF_51" w:tooltip="La Porta, 1997 #199" w:history="1">
        <w:r w:rsidR="006A749C" w:rsidRPr="00E26D55">
          <w:rPr>
            <w:noProof/>
          </w:rPr>
          <w:t>La Porta et al. 1997</w:t>
        </w:r>
      </w:hyperlink>
      <w:r w:rsidR="00A87CAF" w:rsidRPr="00E26D55">
        <w:rPr>
          <w:noProof/>
        </w:rPr>
        <w:t>)</w:t>
      </w:r>
      <w:r w:rsidR="00A87CAF" w:rsidRPr="00E26D55">
        <w:fldChar w:fldCharType="end"/>
      </w:r>
      <w:r w:rsidR="00A87CAF" w:rsidRPr="00E26D55">
        <w:t xml:space="preserve">. Furthermore, as highlighted in the above discussion, the audit committee and auditor report changes being considered in the United States are similar to those recently implemented in the United Kingdom. </w:t>
      </w:r>
    </w:p>
    <w:p w14:paraId="379B898C" w14:textId="68626C2B" w:rsidR="0099015D" w:rsidRDefault="009F0F4D" w:rsidP="009F0F4D">
      <w:pPr>
        <w:pStyle w:val="Heading2"/>
      </w:pPr>
      <w:bookmarkStart w:id="5" w:name="_Toc286596263"/>
      <w:r>
        <w:t xml:space="preserve">2.4 </w:t>
      </w:r>
      <w:r w:rsidR="00413430" w:rsidRPr="00E26D55">
        <w:t>Hypothesis Development</w:t>
      </w:r>
      <w:bookmarkEnd w:id="5"/>
      <w:r w:rsidR="006559D9" w:rsidRPr="00E26D55">
        <w:t xml:space="preserve"> </w:t>
      </w:r>
    </w:p>
    <w:p w14:paraId="22DC9A92" w14:textId="77777777" w:rsidR="009F0F4D" w:rsidRPr="009F0F4D" w:rsidRDefault="009F0F4D" w:rsidP="009F0F4D"/>
    <w:p w14:paraId="64F893C7" w14:textId="082EAC96" w:rsidR="00BF13D3" w:rsidRPr="00E26D55" w:rsidRDefault="005E710C" w:rsidP="001853E3">
      <w:pPr>
        <w:widowControl w:val="0"/>
        <w:spacing w:line="480" w:lineRule="auto"/>
        <w:ind w:firstLine="720"/>
        <w:contextualSpacing/>
        <w:jc w:val="both"/>
      </w:pPr>
      <w:r w:rsidRPr="00E26D55">
        <w:t>P</w:t>
      </w:r>
      <w:r w:rsidR="00965496" w:rsidRPr="00E26D55">
        <w:t xml:space="preserve">rior literature </w:t>
      </w:r>
      <w:r w:rsidRPr="00E26D55">
        <w:t>examining overall disclosure environments generally find</w:t>
      </w:r>
      <w:r w:rsidR="00555623" w:rsidRPr="00E26D55">
        <w:t>s</w:t>
      </w:r>
      <w:r w:rsidRPr="00E26D55">
        <w:t xml:space="preserve"> that greater disclosure requirements are associated with benefits to capital markets</w:t>
      </w:r>
      <w:r w:rsidR="009E0988" w:rsidRPr="00E26D55">
        <w:t xml:space="preserve"> in the form of decreased information asymmetry</w:t>
      </w:r>
      <w:r w:rsidRPr="00E26D55">
        <w:t>.</w:t>
      </w:r>
      <w:r w:rsidR="00B6466F" w:rsidRPr="00E26D55">
        <w:t xml:space="preserve"> </w:t>
      </w:r>
      <w:hyperlink w:anchor="_ENREF_44" w:tooltip="Hail, 2006 #51" w:history="1">
        <w:r w:rsidR="006A749C" w:rsidRPr="00E26D55">
          <w:fldChar w:fldCharType="begin">
            <w:fldData xml:space="preserve">PEVuZE5vdGU+PENpdGUgQXV0aG9yWWVhcj0iMSI+PEF1dGhvcj5IYWlsPC9BdXRob3I+PFllYXI+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==
</w:fldData>
          </w:fldChar>
        </w:r>
        <w:r w:rsidR="006A749C" w:rsidRPr="00E26D55">
          <w:instrText xml:space="preserve"> ADDIN EN.CITE </w:instrText>
        </w:r>
        <w:r w:rsidR="006A749C" w:rsidRPr="00E26D55">
          <w:fldChar w:fldCharType="begin">
            <w:fldData xml:space="preserve">PEVuZE5vdGU+PENpdGUgQXV0aG9yWWVhcj0iMSI+PEF1dGhvcj5IYWlsPC9BdXRob3I+PFllYXI+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==
</w:fldData>
          </w:fldChar>
        </w:r>
        <w:r w:rsidR="006A749C" w:rsidRPr="00E26D55">
          <w:instrText xml:space="preserve"> ADDIN EN.CITE.DATA </w:instrText>
        </w:r>
        <w:r w:rsidR="006A749C" w:rsidRPr="00E26D55">
          <w:fldChar w:fldCharType="end"/>
        </w:r>
        <w:r w:rsidR="006A749C" w:rsidRPr="00E26D55">
          <w:fldChar w:fldCharType="separate"/>
        </w:r>
        <w:r w:rsidR="006A749C" w:rsidRPr="00E26D55">
          <w:rPr>
            <w:noProof/>
          </w:rPr>
          <w:t>Hail and Leuz (2006)</w:t>
        </w:r>
        <w:r w:rsidR="006A749C" w:rsidRPr="00E26D55">
          <w:fldChar w:fldCharType="end"/>
        </w:r>
      </w:hyperlink>
      <w:r w:rsidR="00654C1B" w:rsidRPr="00E26D55">
        <w:t>, for</w:t>
      </w:r>
      <w:r w:rsidR="009E38F5" w:rsidRPr="00E26D55">
        <w:t xml:space="preserve"> instance, </w:t>
      </w:r>
      <w:r w:rsidR="00AD53C5" w:rsidRPr="00E26D55">
        <w:t xml:space="preserve">find that </w:t>
      </w:r>
      <w:r w:rsidR="002612CE" w:rsidRPr="00E26D55">
        <w:t xml:space="preserve">firms </w:t>
      </w:r>
      <w:r w:rsidR="000E63C4" w:rsidRPr="00E26D55">
        <w:t>in</w:t>
      </w:r>
      <w:r w:rsidR="002612CE" w:rsidRPr="00E26D55">
        <w:t xml:space="preserve"> countries with greater </w:t>
      </w:r>
      <w:r w:rsidR="000E63C4" w:rsidRPr="00E26D55">
        <w:t xml:space="preserve">disclosure </w:t>
      </w:r>
      <w:r w:rsidR="002612CE" w:rsidRPr="00E26D55">
        <w:t xml:space="preserve">requirements </w:t>
      </w:r>
      <w:r w:rsidR="000E63C4" w:rsidRPr="00E26D55">
        <w:t xml:space="preserve">are associated with a significantly lower cost of capital. </w:t>
      </w:r>
      <w:r w:rsidR="001265CF" w:rsidRPr="00E26D55">
        <w:t xml:space="preserve">Similarly, </w:t>
      </w:r>
      <w:hyperlink w:anchor="_ENREF_54" w:tooltip="Leuz, 2000 #120" w:history="1">
        <w:r w:rsidR="006A749C" w:rsidRPr="00E26D55">
          <w:fldChar w:fldCharType="begin"/>
        </w:r>
        <w:r w:rsidR="006A749C" w:rsidRPr="00E26D55">
          <w:instrText xml:space="preserve"> ADDIN EN.CITE &lt;EndNote&gt;&lt;Cite AuthorYear="1"&gt;&lt;Author&gt;Leuz&lt;/Author&gt;&lt;Year&gt;2000&lt;/Year&gt;&lt;RecNum&gt;120&lt;/RecNum&gt;&lt;DisplayText&gt;Leuz and Verrecchia (2000)&lt;/DisplayText&gt;&lt;record&gt;&lt;rec-number&gt;120&lt;/rec-number&gt;&lt;foreign-keys&gt;&lt;key app="EN" db-id="frdsfrdx0zpts8ex5pfvfda4s9srzrvrxd9z" timestamp="1397431324"&gt;120&lt;/key&gt;&lt;/foreign-keys&gt;&lt;ref-type name="Journal Article"&gt;17&lt;/ref-type&gt;&lt;contributors&gt;&lt;authors&gt;&lt;author&gt;Leuz, Christian&lt;/author&gt;&lt;author&gt;Verrecchia, Robert E.&lt;/author&gt;&lt;/authors&gt;&lt;/contributors&gt;&lt;titles&gt;&lt;title&gt;The Economic Consequences of Increased Disclosure&lt;/title&gt;&lt;secondary-title&gt;Journal of Accounting Research&lt;/secondary-title&gt;&lt;/titles&gt;&lt;periodical&gt;&lt;full-title&gt;Journal of Accounting Research&lt;/full-title&gt;&lt;/periodical&gt;&lt;pages&gt;91-124&lt;/pages&gt;&lt;volume&gt;38&lt;/volume&gt;&lt;number&gt;3&lt;/number&gt;&lt;keywords&gt;&lt;keyword&gt;DISCLOSURE in accounting&lt;/keyword&gt;&lt;keyword&gt;ECONOMIC forecasting&lt;/keyword&gt;&lt;keyword&gt;SPREAD (Finance)&lt;/keyword&gt;&lt;keyword&gt;PROXY statements&lt;/keyword&gt;&lt;keyword&gt;INFORMATION asymmetry&lt;/keyword&gt;&lt;keyword&gt;INTERNATIONAL accounting standards&lt;/keyword&gt;&lt;keyword&gt;SUPPLY-side economics&lt;/keyword&gt;&lt;keyword&gt;CAPITAL costs&lt;/keyword&gt;&lt;keyword&gt;ACCOUNTING standards&lt;/keyword&gt;&lt;keyword&gt;STOCK exchanges&lt;/keyword&gt;&lt;keyword&gt;cost of capital&lt;/keyword&gt;&lt;keyword&gt;disclosure&lt;/keyword&gt;&lt;keyword&gt;international accounting&lt;/keyword&gt;&lt;/keywords&gt;&lt;dates&gt;&lt;year&gt;2000&lt;/year&gt;&lt;/dates&gt;&lt;publisher&gt;Wiley-Blackwell&lt;/publisher&gt;&lt;isbn&gt;00218456&lt;/isbn&gt;&lt;accession-num&gt;5191828&lt;/accession-num&gt;&lt;work-type&gt;Article&lt;/work-type&gt;&lt;urls&gt;&lt;related-urls&gt;&lt;url&gt;http://proxy.lib.utk.edu:90/login?url=http://search.ebscohost.com/login.aspx?direct=true&amp;amp;db=bth&amp;amp;AN=5191828&amp;amp;scope=site&lt;/url&gt;&lt;/related-urls&gt;&lt;/urls&gt;&lt;remote-database-name&gt;bth&lt;/remote-database-name&gt;&lt;remote-database-provider&gt;EBSCOhost&lt;/remote-database-provider&gt;&lt;/record&gt;&lt;/Cite&gt;&lt;/EndNote&gt;</w:instrText>
        </w:r>
        <w:r w:rsidR="006A749C" w:rsidRPr="00E26D55">
          <w:fldChar w:fldCharType="separate"/>
        </w:r>
        <w:r w:rsidR="006A749C" w:rsidRPr="00E26D55">
          <w:rPr>
            <w:noProof/>
          </w:rPr>
          <w:t>Leuz and Verrecchia (2000)</w:t>
        </w:r>
        <w:r w:rsidR="006A749C" w:rsidRPr="00E26D55">
          <w:fldChar w:fldCharType="end"/>
        </w:r>
      </w:hyperlink>
      <w:r w:rsidR="00B433B8" w:rsidRPr="00E26D55">
        <w:t xml:space="preserve"> </w:t>
      </w:r>
      <w:r w:rsidR="00CF3225" w:rsidRPr="00E26D55">
        <w:t xml:space="preserve">document that German firms </w:t>
      </w:r>
      <w:r w:rsidR="00024169" w:rsidRPr="00E26D55">
        <w:t>switch</w:t>
      </w:r>
      <w:r w:rsidR="00CF3225" w:rsidRPr="00E26D55">
        <w:t>ing</w:t>
      </w:r>
      <w:r w:rsidR="00024169" w:rsidRPr="00E26D55">
        <w:t xml:space="preserve"> to a higher standard of disclosure are associated with </w:t>
      </w:r>
      <w:r w:rsidR="00CF3225" w:rsidRPr="00E26D55">
        <w:t>decreased</w:t>
      </w:r>
      <w:r w:rsidR="00024169" w:rsidRPr="00E26D55">
        <w:t xml:space="preserve"> information asymmetry as proxied by lower bid-ask spreads and higher trading volume. </w:t>
      </w:r>
      <w:hyperlink w:anchor="_ENREF_53" w:tooltip="Lang, 2012 #121" w:history="1">
        <w:r w:rsidR="006A749C" w:rsidRPr="00E26D55">
          <w:fldChar w:fldCharType="begin"/>
        </w:r>
        <w:r w:rsidR="006A749C" w:rsidRPr="00E26D55">
          <w:instrText xml:space="preserve"> ADDIN EN.CITE &lt;EndNote&gt;&lt;Cite AuthorYear="1"&gt;&lt;Author&gt;Lang&lt;/Author&gt;&lt;Year&gt;2012&lt;/Year&gt;&lt;RecNum&gt;121&lt;/RecNum&gt;&lt;DisplayText&gt;Lang et al. (2012)&lt;/DisplayText&gt;&lt;record&gt;&lt;rec-number&gt;121&lt;/rec-number&gt;&lt;foreign-keys&gt;&lt;key app="EN" db-id="frdsfrdx0zpts8ex5pfvfda4s9srzrvrxd9z" timestamp="1397431510"&gt;121&lt;/key&gt;&lt;/foreign-keys&gt;&lt;ref-type name="Journal Article"&gt;17&lt;/ref-type&gt;&lt;contributors&gt;&lt;authors&gt;&lt;author&gt;Lang, Mark&lt;/author&gt;&lt;author&gt;Lins, Karl V.&lt;/author&gt;&lt;author&gt;Maffett, Mark&lt;/author&gt;&lt;/authors&gt;&lt;/contributors&gt;&lt;titles&gt;&lt;title&gt;Transparency, Liquidity, and Valuation: International Evidence on When Transparency Matters Most&lt;/title&gt;&lt;secondary-title&gt;Journal of Accounting Research&lt;/secondary-title&gt;&lt;/titles&gt;&lt;periodical&gt;&lt;full-title&gt;Journal of Accounting Research&lt;/full-title&gt;&lt;/periodical&gt;&lt;pages&gt;729-774&lt;/pages&gt;&lt;volume&gt;50&lt;/volume&gt;&lt;number&gt;3&lt;/number&gt;&lt;dates&gt;&lt;year&gt;2012&lt;/year&gt;&lt;/dates&gt;&lt;publisher&gt;Wiley-Blackwell&lt;/publisher&gt;&lt;isbn&gt;00218456&lt;/isbn&gt;&lt;accession-num&gt;74690588&lt;/accession-num&gt;&lt;work-type&gt;Article&lt;/work-type&gt;&lt;urls&gt;&lt;related-urls&gt;&lt;url&gt;http://proxy.lib.utk.edu:90/login?url=http://search.ebscohost.com/login.aspx?direct=true&amp;amp;db=bth&amp;amp;AN=74690588&amp;amp;scope=site&lt;/url&gt;&lt;/related-urls&gt;&lt;/urls&gt;&lt;electronic-resource-num&gt;10.1111/j.1475-679X.2012.00442.x&lt;/electronic-resource-num&gt;&lt;remote-database-name&gt;bth&lt;/remote-database-name&gt;&lt;remote-database-provider&gt;EBSCOhost&lt;/remote-database-provider&gt;&lt;/record&gt;&lt;/Cite&gt;&lt;/EndNote&gt;</w:instrText>
        </w:r>
        <w:r w:rsidR="006A749C" w:rsidRPr="00E26D55">
          <w:fldChar w:fldCharType="separate"/>
        </w:r>
        <w:r w:rsidR="006A749C" w:rsidRPr="00E26D55">
          <w:rPr>
            <w:noProof/>
          </w:rPr>
          <w:t>Lang et al. (2012)</w:t>
        </w:r>
        <w:r w:rsidR="006A749C" w:rsidRPr="00E26D55">
          <w:fldChar w:fldCharType="end"/>
        </w:r>
      </w:hyperlink>
      <w:r w:rsidR="00B433B8" w:rsidRPr="00E26D55">
        <w:t xml:space="preserve"> </w:t>
      </w:r>
      <w:r w:rsidR="00CF3225" w:rsidRPr="00E26D55">
        <w:t xml:space="preserve">also </w:t>
      </w:r>
      <w:r w:rsidR="0025053A" w:rsidRPr="00E26D55">
        <w:t>reveal</w:t>
      </w:r>
      <w:r w:rsidR="00C81117" w:rsidRPr="00E26D55">
        <w:t xml:space="preserve"> lower transaction costs and </w:t>
      </w:r>
      <w:r w:rsidR="00471459" w:rsidRPr="00E26D55">
        <w:t>increased</w:t>
      </w:r>
      <w:r w:rsidR="00C81117" w:rsidRPr="00E26D55">
        <w:t xml:space="preserve"> liquidity for companies with greater transparency</w:t>
      </w:r>
      <w:r w:rsidR="00673476" w:rsidRPr="00E26D55">
        <w:t xml:space="preserve">. </w:t>
      </w:r>
      <w:r w:rsidR="00FE3F7C" w:rsidRPr="00E26D55">
        <w:t xml:space="preserve">Furthermore, </w:t>
      </w:r>
      <w:hyperlink w:anchor="_ENREF_9" w:tooltip="Blankespoor, 2014 #342" w:history="1">
        <w:r w:rsidR="006A749C" w:rsidRPr="00E26D55">
          <w:fldChar w:fldCharType="begin"/>
        </w:r>
        <w:r w:rsidR="006A749C" w:rsidRPr="00E26D55">
          <w:instrText xml:space="preserve"> ADDIN EN.CITE &lt;EndNote&gt;&lt;Cite AuthorYear="1"&gt;&lt;Author&gt;Blankespoor&lt;/Author&gt;&lt;Year&gt;2014&lt;/Year&gt;&lt;RecNum&gt;342&lt;/RecNum&gt;&lt;DisplayText&gt;Blankespoor et al. (2014)&lt;/DisplayText&gt;&lt;record&gt;&lt;rec-number&gt;342&lt;/rec-number&gt;&lt;foreign-keys&gt;&lt;key app="EN" db-id="frdsfrdx0zpts8ex5pfvfda4s9srzrvrxd9z" timestamp="1412191596"&gt;342&lt;/key&gt;&lt;/foreign-keys&gt;&lt;ref-type name="Journal Article"&gt;17&lt;/ref-type&gt;&lt;contributors&gt;&lt;authors&gt;&lt;author&gt;Blankespoor, Elizabeth&lt;/author&gt;&lt;author&gt;Miller, Gregory S.&lt;/author&gt;&lt;author&gt;White, Hal D.&lt;/author&gt;&lt;/authors&gt;&lt;/contributors&gt;&lt;titles&gt;&lt;title&gt;The Role of Dissemination in Market Liquidity: Evidence from Firms&amp;apos; Use of Twitter™&lt;/title&gt;&lt;secondary-title&gt;Accounting Review&lt;/secondary-title&gt;&lt;/titles&gt;&lt;periodical&gt;&lt;full-title&gt;Accounting Review&lt;/full-title&gt;&lt;/periodical&gt;&lt;pages&gt;79-112&lt;/pages&gt;&lt;volume&gt;89&lt;/volume&gt;&lt;number&gt;1&lt;/number&gt;&lt;keywords&gt;&lt;keyword&gt;LIQUIDITY (Economics)&lt;/keyword&gt;&lt;keyword&gt;RESEARCH&lt;/keyword&gt;&lt;keyword&gt;CAPITALISTS &amp;amp; financiers&lt;/keyword&gt;&lt;keyword&gt;CAPITAL market&lt;/keyword&gt;&lt;keyword&gt;INFORMATION dissemination&lt;/keyword&gt;&lt;keyword&gt;bid-ask spread&lt;/keyword&gt;&lt;keyword&gt;disclosure&lt;/keyword&gt;&lt;keyword&gt;dissemination&lt;/keyword&gt;&lt;keyword&gt;information asymmetry&lt;/keyword&gt;&lt;keyword&gt;liquidity&lt;/keyword&gt;&lt;keyword&gt;social media&lt;/keyword&gt;&lt;keyword&gt;Twitter&lt;/keyword&gt;&lt;keyword&gt;TWITTER (Web resource) -- Research&lt;/keyword&gt;&lt;/keywords&gt;&lt;dates&gt;&lt;year&gt;2014&lt;/year&gt;&lt;/dates&gt;&lt;publisher&gt;American Accounting Association&lt;/publisher&gt;&lt;isbn&gt;00014826&lt;/isbn&gt;&lt;accession-num&gt;94250208&lt;/accession-num&gt;&lt;work-type&gt;Article&lt;/work-type&gt;&lt;urls&gt;&lt;related-urls&gt;&lt;url&gt;http://proxy.lib.utk.edu:90/login?url=http://search.ebscohost.com/login.aspx?direct=true&amp;amp;db=bth&amp;amp;AN=94250208&amp;amp;scope=site&lt;/url&gt;&lt;/related-urls&gt;&lt;/urls&gt;&lt;electronic-resource-num&gt;10.2308/accr-50576&lt;/electronic-resource-num&gt;&lt;remote-database-name&gt;bth&lt;/remote-database-name&gt;&lt;remote-database-provider&gt;EBSCOhost&lt;/remote-database-provider&gt;&lt;/record&gt;&lt;/Cite&gt;&lt;/EndNote&gt;</w:instrText>
        </w:r>
        <w:r w:rsidR="006A749C" w:rsidRPr="00E26D55">
          <w:fldChar w:fldCharType="separate"/>
        </w:r>
        <w:r w:rsidR="006A749C" w:rsidRPr="00E26D55">
          <w:rPr>
            <w:noProof/>
          </w:rPr>
          <w:t>Blankespoor et al. (2014)</w:t>
        </w:r>
        <w:r w:rsidR="006A749C" w:rsidRPr="00E26D55">
          <w:fldChar w:fldCharType="end"/>
        </w:r>
      </w:hyperlink>
      <w:r w:rsidR="00837A35" w:rsidRPr="00E26D55">
        <w:t xml:space="preserve"> </w:t>
      </w:r>
      <w:r w:rsidR="00534514" w:rsidRPr="00E26D55">
        <w:t xml:space="preserve">find that </w:t>
      </w:r>
      <w:r w:rsidR="00AF3518" w:rsidRPr="00E26D55">
        <w:t>voluntary</w:t>
      </w:r>
      <w:r w:rsidR="00534514" w:rsidRPr="00E26D55">
        <w:t xml:space="preserve"> disclosure of firm news through Twitter is associated with lower abnormal bid-ask spreads</w:t>
      </w:r>
      <w:r w:rsidR="00315774" w:rsidRPr="00E26D55">
        <w:t xml:space="preserve"> and greater liquidity. </w:t>
      </w:r>
    </w:p>
    <w:p w14:paraId="2F4A23EB" w14:textId="0E565703" w:rsidR="0004716F" w:rsidRPr="00E26D55" w:rsidRDefault="003F0D40" w:rsidP="001853E3">
      <w:pPr>
        <w:widowControl w:val="0"/>
        <w:spacing w:line="480" w:lineRule="auto"/>
        <w:ind w:firstLine="720"/>
        <w:contextualSpacing/>
        <w:jc w:val="both"/>
      </w:pPr>
      <w:r w:rsidRPr="00E26D55">
        <w:t>In addition, a</w:t>
      </w:r>
      <w:r w:rsidR="00CF3225" w:rsidRPr="00E26D55">
        <w:t xml:space="preserve">cademic studies have </w:t>
      </w:r>
      <w:r w:rsidR="000317AC" w:rsidRPr="00E26D55">
        <w:t>examine</w:t>
      </w:r>
      <w:r w:rsidR="00CF3225" w:rsidRPr="00E26D55">
        <w:t>d</w:t>
      </w:r>
      <w:r w:rsidR="00673476" w:rsidRPr="00E26D55">
        <w:t xml:space="preserve"> the information content of </w:t>
      </w:r>
      <w:r w:rsidR="007A2A4C" w:rsidRPr="00E26D55">
        <w:t xml:space="preserve">specific </w:t>
      </w:r>
      <w:r w:rsidR="007116C9" w:rsidRPr="00E26D55">
        <w:t>documents</w:t>
      </w:r>
      <w:r w:rsidR="007A2A4C" w:rsidRPr="00E26D55">
        <w:t>, including 10-K reports</w:t>
      </w:r>
      <w:r w:rsidR="00F449DB" w:rsidRPr="00E26D55">
        <w:t xml:space="preserve"> </w:t>
      </w:r>
      <w:r w:rsidR="007116C9" w:rsidRPr="00E26D55">
        <w:t>and audit opinions</w:t>
      </w:r>
      <w:r w:rsidR="000317AC" w:rsidRPr="00E26D55">
        <w:t xml:space="preserve">. </w:t>
      </w:r>
      <w:hyperlink w:anchor="_ENREF_10" w:tooltip="Botosan, 1997 #344" w:history="1">
        <w:r w:rsidR="006A749C" w:rsidRPr="00E26D55">
          <w:fldChar w:fldCharType="begin"/>
        </w:r>
        <w:r w:rsidR="006A749C" w:rsidRPr="00E26D55">
          <w:instrText xml:space="preserve"> ADDIN EN.CITE &lt;EndNote&gt;&lt;Cite AuthorYear="1"&gt;&lt;Author&gt;Botosan&lt;/Author&gt;&lt;Year&gt;1997&lt;/Year&gt;&lt;RecNum&gt;344&lt;/RecNum&gt;&lt;DisplayText&gt;Botosan (1997)&lt;/DisplayText&gt;&lt;record&gt;&lt;rec-number&gt;344&lt;/rec-number&gt;&lt;foreign-keys&gt;&lt;key app="EN" db-id="frdsfrdx0zpts8ex5pfvfda4s9srzrvrxd9z" timestamp="1412273138"&gt;344&lt;/key&gt;&lt;/foreign-keys&gt;&lt;ref-type name="Journal Article"&gt;17&lt;/ref-type&gt;&lt;contributors&gt;&lt;authors&gt;&lt;author&gt;Botosan, Christine A.&lt;/author&gt;&lt;/authors&gt;&lt;/contributors&gt;&lt;titles&gt;&lt;title&gt;Disclosure level and the cost of equity capital&lt;/title&gt;&lt;secondary-title&gt;Accounting Review&lt;/secondary-title&gt;&lt;/titles&gt;&lt;periodical&gt;&lt;full-title&gt;Accounting Review&lt;/full-title&gt;&lt;/periodical&gt;&lt;pages&gt;323&lt;/pages&gt;&lt;volume&gt;72&lt;/volume&gt;&lt;number&gt;3&lt;/number&gt;&lt;keywords&gt;&lt;keyword&gt;DISCLOSURE in accounting&lt;/keyword&gt;&lt;keyword&gt;SECURITIES&lt;/keyword&gt;&lt;keyword&gt;STOCKS (Finance)&lt;/keyword&gt;&lt;keyword&gt;FINANCIAL statements&lt;/keyword&gt;&lt;keyword&gt;INFORMATION services&lt;/keyword&gt;&lt;keyword&gt;DISCLOSURE of information&lt;/keyword&gt;&lt;keyword&gt;MANUFACTURING industries&lt;/keyword&gt;&lt;keyword&gt;BUSINESS planning&lt;/keyword&gt;&lt;keyword&gt;Corporate disclosure strategy.&lt;/keyword&gt;&lt;keyword&gt;Cost of equity capital&lt;/keyword&gt;&lt;keyword&gt;Voluntary disclosure&lt;/keyword&gt;&lt;/keywords&gt;&lt;dates&gt;&lt;year&gt;1997&lt;/year&gt;&lt;/dates&gt;&lt;publisher&gt;American Accounting Association&lt;/publisher&gt;&lt;isbn&gt;00014826&lt;/isbn&gt;&lt;accession-num&gt;9709240185&lt;/accession-num&gt;&lt;work-type&gt;Article&lt;/work-type&gt;&lt;urls&gt;&lt;related-urls&gt;&lt;url&gt;http://proxy.lib.utk.edu:90/login?url=http://search.ebscohost.com/login.aspx?direct=true&amp;amp;db=bth&amp;amp;AN=9709240185&amp;amp;scope=site&lt;/url&gt;&lt;/related-urls&gt;&lt;/urls&gt;&lt;remote-database-name&gt;bth&lt;/remote-database-name&gt;&lt;remote-database-provider&gt;EBSCOhost&lt;/remote-database-provider&gt;&lt;/record&gt;&lt;/Cite&gt;&lt;/EndNote&gt;</w:instrText>
        </w:r>
        <w:r w:rsidR="006A749C" w:rsidRPr="00E26D55">
          <w:fldChar w:fldCharType="separate"/>
        </w:r>
        <w:r w:rsidR="006A749C" w:rsidRPr="00E26D55">
          <w:rPr>
            <w:noProof/>
          </w:rPr>
          <w:t>Botosan (1997)</w:t>
        </w:r>
        <w:r w:rsidR="006A749C" w:rsidRPr="00E26D55">
          <w:fldChar w:fldCharType="end"/>
        </w:r>
      </w:hyperlink>
      <w:r w:rsidR="001339E2">
        <w:t xml:space="preserve">, for example, finds that </w:t>
      </w:r>
      <w:r w:rsidR="00A3170F" w:rsidRPr="00E26D55">
        <w:t xml:space="preserve">greater voluntary disclosure in a firm’s annual report is associated with a lower cost of equity capital for firms with low analyst coverage. </w:t>
      </w:r>
      <w:r w:rsidR="00D563B7" w:rsidRPr="00E26D55">
        <w:t xml:space="preserve">By examining stock returns around 10-K filings, </w:t>
      </w:r>
      <w:hyperlink w:anchor="_ENREF_30" w:tooltip="De Franco, 2011 #110" w:history="1">
        <w:r w:rsidR="006A749C" w:rsidRPr="00E26D55">
          <w:fldChar w:fldCharType="begin">
            <w:fldData xml:space="preserve">PEVuZE5vdGU+PENpdGUgQXV0aG9yWWVhcj0iMSI+PEF1dGhvcj5EZSBGcmFuY288L0F1dGhvcj48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</w:fldData>
          </w:fldChar>
        </w:r>
        <w:r w:rsidR="006A749C" w:rsidRPr="00E26D55">
          <w:instrText xml:space="preserve"> ADDIN EN.CITE </w:instrText>
        </w:r>
        <w:r w:rsidR="006A749C" w:rsidRPr="00E26D55">
          <w:fldChar w:fldCharType="begin">
            <w:fldData xml:space="preserve">PEVuZE5vdGU+PENpdGUgQXV0aG9yWWVhcj0iMSI+PEF1dGhvcj5EZSBGcmFuY288L0F1dGhvcj48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</w:fldData>
          </w:fldChar>
        </w:r>
        <w:r w:rsidR="006A749C" w:rsidRPr="00E26D55">
          <w:instrText xml:space="preserve"> ADDIN EN.CITE.DATA </w:instrText>
        </w:r>
        <w:r w:rsidR="006A749C" w:rsidRPr="00E26D55">
          <w:fldChar w:fldCharType="end"/>
        </w:r>
        <w:r w:rsidR="006A749C" w:rsidRPr="00E26D55">
          <w:fldChar w:fldCharType="separate"/>
        </w:r>
        <w:r w:rsidR="006A749C" w:rsidRPr="00E26D55">
          <w:rPr>
            <w:noProof/>
          </w:rPr>
          <w:t>De Franco et al. (2011)</w:t>
        </w:r>
        <w:r w:rsidR="006A749C" w:rsidRPr="00E26D55">
          <w:fldChar w:fldCharType="end"/>
        </w:r>
      </w:hyperlink>
      <w:r w:rsidR="0025053A" w:rsidRPr="00E26D55">
        <w:t xml:space="preserve"> determine</w:t>
      </w:r>
      <w:r w:rsidR="00B87C7D" w:rsidRPr="00E26D55">
        <w:t xml:space="preserve"> that detailed footnote information can enhance </w:t>
      </w:r>
      <w:r w:rsidR="00D563B7" w:rsidRPr="00E26D55">
        <w:t>the usefulness of annual reports</w:t>
      </w:r>
      <w:r w:rsidR="00B87C7D" w:rsidRPr="00E26D55">
        <w:t xml:space="preserve">. </w:t>
      </w:r>
      <w:hyperlink w:anchor="_ENREF_13" w:tooltip="Campbell, 2014 #103" w:history="1">
        <w:r w:rsidR="006A749C" w:rsidRPr="00E26D55">
          <w:fldChar w:fldCharType="begin"/>
        </w:r>
        <w:r w:rsidR="006A749C" w:rsidRPr="00E26D55">
          <w:instrText xml:space="preserve"> ADDIN EN.CITE &lt;EndNote&gt;&lt;Cite AuthorYear="1"&gt;&lt;Author&gt;Campbell&lt;/Author&gt;&lt;Year&gt;2014&lt;/Year&gt;&lt;RecNum&gt;103&lt;/RecNum&gt;&lt;DisplayText&gt;Campbell et al. (2014)&lt;/DisplayText&gt;&lt;record&gt;&lt;rec-number&gt;103&lt;/rec-number&gt;&lt;foreign-keys&gt;&lt;key app="EN" db-id="frdsfrdx0zpts8ex5pfvfda4s9srzrvrxd9z" timestamp="1395942774"&gt;103&lt;/key&gt;&lt;/foreign-keys&gt;&lt;ref-type name="Journal Article"&gt;17&lt;/ref-type&gt;&lt;contributors&gt;&lt;authors&gt;&lt;author&gt;Campbell, JohnL&lt;/author&gt;&lt;author&gt;Chen, Hsinchun&lt;/author&gt;&lt;author&gt;Dhaliwal, DanS&lt;/author&gt;&lt;author&gt;Lu, Hsin-min&lt;/author&gt;&lt;author&gt;Steele, LoganB&lt;/author&gt;&lt;/authors&gt;&lt;/contributors&gt;&lt;titles&gt;&lt;title&gt;The information content of mandatory risk factor disclosures in corporate filings&lt;/title&gt;&lt;secondary-title&gt;Review of Accounting Studies&lt;/secondary-title&gt;&lt;alt-title&gt;Rev Account Stud&lt;/alt-title&gt;&lt;/titles&gt;&lt;periodical&gt;&lt;full-title&gt;Review of Accounting Studies&lt;/full-title&gt;&lt;/periodical&gt;&lt;pages&gt;396-455&lt;/pages&gt;&lt;volume&gt;19&lt;/volume&gt;&lt;number&gt;1&lt;/number&gt;&lt;keywords&gt;&lt;keyword&gt;Textual analysis&lt;/keyword&gt;&lt;keyword&gt;Risk disclosures&lt;/keyword&gt;&lt;keyword&gt;Disclosure tone&lt;/keyword&gt;&lt;keyword&gt;Regulation&lt;/keyword&gt;&lt;keyword&gt;Information content&lt;/keyword&gt;&lt;keyword&gt;D8&lt;/keyword&gt;&lt;keyword&gt;G24&lt;/keyword&gt;&lt;keyword&gt;G12&lt;/keyword&gt;&lt;keyword&gt;M4&lt;/keyword&gt;&lt;/keywords&gt;&lt;dates&gt;&lt;year&gt;2014&lt;/year&gt;&lt;pub-dates&gt;&lt;date&gt;2014/03/01&lt;/date&gt;&lt;/pub-dates&gt;&lt;/dates&gt;&lt;publisher&gt;Springer US&lt;/publisher&gt;&lt;isbn&gt;1380-6653&lt;/isbn&gt;&lt;urls&gt;&lt;related-urls&gt;&lt;url&gt;http://dx.doi.org/10.1007/s11142-013-9258-3&lt;/url&gt;&lt;/related-urls&gt;&lt;/urls&gt;&lt;electronic-resource-num&gt;10.1007/s11142-013-9258-3&lt;/electronic-resource-num&gt;&lt;language&gt;English&lt;/language&gt;&lt;/record&gt;&lt;/Cite&gt;&lt;/EndNote&gt;</w:instrText>
        </w:r>
        <w:r w:rsidR="006A749C" w:rsidRPr="00E26D55">
          <w:fldChar w:fldCharType="separate"/>
        </w:r>
        <w:r w:rsidR="006A749C" w:rsidRPr="00E26D55">
          <w:rPr>
            <w:noProof/>
          </w:rPr>
          <w:t>Campbell et al. (2014)</w:t>
        </w:r>
        <w:r w:rsidR="006A749C" w:rsidRPr="00E26D55">
          <w:fldChar w:fldCharType="end"/>
        </w:r>
      </w:hyperlink>
      <w:r w:rsidR="00A76D6F" w:rsidRPr="00E26D55">
        <w:t xml:space="preserve"> </w:t>
      </w:r>
      <w:r w:rsidR="007116C9" w:rsidRPr="00E26D55">
        <w:t>examine the SEC mandate to include a risk factor section in 10-K filings and find that the disclosures provide valuable information to users as evidenced by the consideration of the risk factors in investor assessments</w:t>
      </w:r>
      <w:r w:rsidR="002834F3" w:rsidRPr="00E26D55">
        <w:t xml:space="preserve"> of firm value. </w:t>
      </w:r>
      <w:r w:rsidR="00640EEF" w:rsidRPr="00E26D55">
        <w:t xml:space="preserve">More specifically related to the audit environment, </w:t>
      </w:r>
      <w:hyperlink w:anchor="_ENREF_41" w:tooltip="Gassen, 2009 #160" w:history="1">
        <w:r w:rsidR="006A749C" w:rsidRPr="00E26D55">
          <w:fldChar w:fldCharType="begin"/>
        </w:r>
        <w:r w:rsidR="006A749C" w:rsidRPr="00E26D55">
          <w:instrText xml:space="preserve"> ADDIN EN.CITE &lt;EndNote&gt;&lt;Cite AuthorYear="1"&gt;&lt;Author&gt;Gassen&lt;/Author&gt;&lt;Year&gt;2009&lt;/Year&gt;&lt;RecNum&gt;160&lt;/RecNum&gt;&lt;DisplayText&gt;Gassen and Skaife (2009)&lt;/DisplayText&gt;&lt;record&gt;&lt;rec-number&gt;160&lt;/rec-number&gt;&lt;foreign-keys&gt;&lt;key app="EN" db-id="frdsfrdx0zpts8ex5pfvfda4s9srzrvrxd9z" timestamp="1397441897"&gt;160&lt;/key&gt;&lt;/foreign-keys&gt;&lt;ref-type name="Journal Article"&gt;17&lt;/ref-type&gt;&lt;contributors&gt;&lt;authors&gt;&lt;author&gt;Gassen, Joachim&lt;/author&gt;&lt;author&gt;Skaife, Hollis A.&lt;/author&gt;&lt;/authors&gt;&lt;/contributors&gt;&lt;titles&gt;&lt;title&gt;Can Audit Reforms Affect the Information Role of Audits? Evidence from the German Market&lt;/title&gt;&lt;secondary-title&gt;Contemporary Accounting Research&lt;/secondary-title&gt;&lt;/titles&gt;&lt;periodical&gt;&lt;full-title&gt;Contemporary Accounting Research&lt;/full-title&gt;&lt;/periodical&gt;&lt;pages&gt;867-898&lt;/pages&gt;&lt;volume&gt;26&lt;/volume&gt;&lt;number&gt;3&lt;/number&gt;&lt;keywords&gt;&lt;keyword&gt;AUDITING&lt;/keyword&gt;&lt;keyword&gt;REFORMS&lt;/keyword&gt;&lt;keyword&gt;FINANCIAL statements&lt;/keyword&gt;&lt;keyword&gt;ASSETS (Accounting)&lt;/keyword&gt;&lt;keyword&gt;ACTIONS &amp;amp; defenses (Law)&lt;/keyword&gt;&lt;keyword&gt;ECONOMIC policy&lt;/keyword&gt;&lt;keyword&gt;GOING concern (Accounting)&lt;/keyword&gt;&lt;keyword&gt;CAPITALISTS &amp;amp; financiers&lt;/keyword&gt;&lt;keyword&gt;AUDITING standards&lt;/keyword&gt;&lt;keyword&gt;TRADE regulation&lt;/keyword&gt;&lt;keyword&gt;TRANSPARENCY in organizations&lt;/keyword&gt;&lt;keyword&gt;1990-&lt;/keyword&gt;&lt;keyword&gt;ENFORCEMENT&lt;/keyword&gt;&lt;keyword&gt;GERMANY&lt;/keyword&gt;&lt;/keywords&gt;&lt;dates&gt;&lt;year&gt;2009&lt;/year&gt;&lt;pub-dates&gt;&lt;date&gt;Fall2009&lt;/date&gt;&lt;/pub-dates&gt;&lt;/dates&gt;&lt;publisher&gt;Canadian Academic Accounting Association&lt;/publisher&gt;&lt;isbn&gt;08239150&lt;/isbn&gt;&lt;accession-num&gt;44282684&lt;/accession-num&gt;&lt;work-type&gt;Article&lt;/work-type&gt;&lt;urls&gt;&lt;related-urls&gt;&lt;url&gt;http://proxy.lib.utk.edu:90/login?url=http://search.ebscohost.com/login.aspx?direct=true&amp;amp;db=bth&amp;amp;AN=44282684&amp;amp;scope=site&lt;/url&gt;&lt;/related-urls&gt;&lt;/urls&gt;&lt;remote-database-name&gt;bth&lt;/remote-database-name&gt;&lt;remote-database-provider&gt;EBSCOhost&lt;/remote-database-provider&gt;&lt;/record&gt;&lt;/Cite&gt;&lt;/EndNote&gt;</w:instrText>
        </w:r>
        <w:r w:rsidR="006A749C" w:rsidRPr="00E26D55">
          <w:fldChar w:fldCharType="separate"/>
        </w:r>
        <w:r w:rsidR="006A749C" w:rsidRPr="00E26D55">
          <w:rPr>
            <w:noProof/>
          </w:rPr>
          <w:t>Gassen and Skaife (2009)</w:t>
        </w:r>
        <w:r w:rsidR="006A749C" w:rsidRPr="00E26D55">
          <w:fldChar w:fldCharType="end"/>
        </w:r>
      </w:hyperlink>
      <w:r w:rsidR="00A76D6F" w:rsidRPr="00E26D55">
        <w:t xml:space="preserve"> </w:t>
      </w:r>
      <w:r w:rsidR="00AC61E3" w:rsidRPr="00E26D55">
        <w:t>find that mandating disclosure of going concern issues increased the information conte</w:t>
      </w:r>
      <w:r w:rsidR="00F2162A" w:rsidRPr="00E26D55">
        <w:t xml:space="preserve">nt of audit reports in Germany as measured by significant negative abnormal returns after the reforms compared to </w:t>
      </w:r>
      <w:r w:rsidR="00D274B1" w:rsidRPr="00E26D55">
        <w:t xml:space="preserve">no market reaction prior. </w:t>
      </w:r>
    </w:p>
    <w:p w14:paraId="4A50B40E" w14:textId="4EA6375F" w:rsidR="00174D43" w:rsidRPr="00E26D55" w:rsidRDefault="001430A4" w:rsidP="001853E3">
      <w:pPr>
        <w:widowControl w:val="0"/>
        <w:spacing w:line="480" w:lineRule="auto"/>
        <w:ind w:firstLine="720"/>
        <w:contextualSpacing/>
        <w:jc w:val="both"/>
      </w:pPr>
      <w:r w:rsidRPr="00E26D55">
        <w:t xml:space="preserve">Based on this prior </w:t>
      </w:r>
      <w:r w:rsidR="00BD0341" w:rsidRPr="00E26D55">
        <w:t xml:space="preserve">disclosure </w:t>
      </w:r>
      <w:r w:rsidRPr="00E26D55">
        <w:t xml:space="preserve">research, </w:t>
      </w:r>
      <w:r w:rsidR="00143EAA" w:rsidRPr="00E26D55">
        <w:t xml:space="preserve">it seems feasible that </w:t>
      </w:r>
      <w:r w:rsidR="00F47C91" w:rsidRPr="00E26D55">
        <w:t>enhanced audit c</w:t>
      </w:r>
      <w:r w:rsidR="00403845">
        <w:t>ommittee and auditor disclosure requirements</w:t>
      </w:r>
      <w:r w:rsidR="00F47C91" w:rsidRPr="00E26D55">
        <w:t xml:space="preserve"> could </w:t>
      </w:r>
      <w:r w:rsidR="003A0A4C" w:rsidRPr="00E26D55">
        <w:t xml:space="preserve">decrease information asymmetry by </w:t>
      </w:r>
      <w:r w:rsidR="00DD2FF5">
        <w:t xml:space="preserve">providing new and useful information </w:t>
      </w:r>
      <w:r w:rsidR="00122215" w:rsidRPr="00E26D55">
        <w:t>to investors</w:t>
      </w:r>
      <w:r w:rsidR="00C841F7" w:rsidRPr="00E26D55">
        <w:t xml:space="preserve"> in several ways. For one, t</w:t>
      </w:r>
      <w:r w:rsidR="00E27640" w:rsidRPr="00E26D55">
        <w:t>he increased disclosures could provide investors an opportu</w:t>
      </w:r>
      <w:r w:rsidR="007E4AAB" w:rsidRPr="00E26D55">
        <w:t xml:space="preserve">nity to gain a glimpse at the </w:t>
      </w:r>
      <w:r w:rsidR="00E27640" w:rsidRPr="00E26D55">
        <w:t xml:space="preserve">valuable perspective that auditors and audit committees have on companies, which would aid in investment decisions. </w:t>
      </w:r>
      <w:r w:rsidR="00E74740" w:rsidRPr="00E26D55">
        <w:t xml:space="preserve">In particular, </w:t>
      </w:r>
      <w:r w:rsidR="008F5123" w:rsidRPr="00E26D55">
        <w:t xml:space="preserve">the inclusion of critical financial statement risks in the audit committee and auditor reports </w:t>
      </w:r>
      <w:r w:rsidR="00056A30" w:rsidRPr="00E26D55">
        <w:t>could</w:t>
      </w:r>
      <w:r w:rsidR="008F5123" w:rsidRPr="00E26D55">
        <w:t xml:space="preserve"> focus the attention of investors on “issues that would be pertinent to understanding the financial statements” </w:t>
      </w:r>
      <w:r w:rsidR="0079592F" w:rsidRPr="00E26D55">
        <w:fldChar w:fldCharType="begin"/>
      </w:r>
      <w:r w:rsidR="008F5123" w:rsidRPr="00E26D55">
        <w:instrText xml:space="preserve"> ADDIN EN.CITE &lt;EndNote&gt;&lt;Cite&gt;&lt;Author&gt;Buller&lt;/Author&gt;&lt;Year&gt;2013&lt;/Year&gt;&lt;RecNum&gt;117&lt;/RecNum&gt;&lt;DisplayText&gt;(Buller 2013)&lt;/DisplayText&gt;&lt;record&gt;&lt;rec-number&gt;117&lt;/rec-number&gt;&lt;foreign-keys&gt;&lt;key app="EN" db-id="frdsfrdx0zpts8ex5pfvfda4s9srzrvrxd9z" timestamp="1397429014"&gt;117&lt;/key&gt;&lt;key app="ENWeb" db-id=""&gt;0&lt;/key&gt;&lt;/foreign-keys&gt;&lt;ref-type name="Journal Article"&gt;17&lt;/ref-type&gt;&lt;contributors&gt;&lt;authors&gt;&lt;author&gt;Buller, Steven E.&lt;/author&gt;&lt;/authors&gt;&lt;/contributors&gt;&lt;titles&gt;&lt;title&gt;BlackRock Comment Letter on PCAOB Rule Making Docket Matter No. 34: Proposed Auditing Standards on the Auditor&amp;apos;s Report and the Auditor&amp;apos;s Responsibilities Regarding Other Information and Related Amendments&lt;/title&gt;&lt;/titles&gt;&lt;dates&gt;&lt;year&gt;2013&lt;/year&gt;&lt;pub-dates&gt;&lt;date&gt;October 30, 2013&lt;/date&gt;&lt;/pub-dates&gt;&lt;/dates&gt;&lt;urls&gt;&lt;related-urls&gt;&lt;url&gt;http://pcaobus.org/Rules/Rulemaking/Docket034/008b_Blackrock.pdf&lt;/url&gt;&lt;/related-urls&gt;&lt;/urls&gt;&lt;/record&gt;&lt;/Cite&gt;&lt;/EndNote&gt;</w:instrText>
      </w:r>
      <w:r w:rsidR="0079592F" w:rsidRPr="00E26D55">
        <w:fldChar w:fldCharType="separate"/>
      </w:r>
      <w:r w:rsidR="008F5123" w:rsidRPr="00E26D55">
        <w:rPr>
          <w:noProof/>
        </w:rPr>
        <w:t>(</w:t>
      </w:r>
      <w:hyperlink w:anchor="_ENREF_11" w:tooltip="Buller, 2013 #117" w:history="1">
        <w:r w:rsidR="006A749C" w:rsidRPr="00E26D55">
          <w:rPr>
            <w:noProof/>
          </w:rPr>
          <w:t>Buller 2013</w:t>
        </w:r>
      </w:hyperlink>
      <w:r w:rsidR="008F5123" w:rsidRPr="00E26D55">
        <w:rPr>
          <w:noProof/>
        </w:rPr>
        <w:t>)</w:t>
      </w:r>
      <w:r w:rsidR="0079592F" w:rsidRPr="00E26D55">
        <w:fldChar w:fldCharType="end"/>
      </w:r>
      <w:r w:rsidR="008F5123" w:rsidRPr="00E26D55">
        <w:t>.</w:t>
      </w:r>
      <w:r w:rsidR="00C841F7" w:rsidRPr="00E26D55">
        <w:t xml:space="preserve"> </w:t>
      </w:r>
      <w:r w:rsidR="00EA4101" w:rsidRPr="00E26D55">
        <w:t xml:space="preserve">Furthermore, </w:t>
      </w:r>
      <w:r w:rsidR="006D261C" w:rsidRPr="00E26D55">
        <w:t>increased knowledge of</w:t>
      </w:r>
      <w:r w:rsidR="00E810A1" w:rsidRPr="00E26D55">
        <w:t xml:space="preserve"> the audit process and the audit committee’s oversight of t</w:t>
      </w:r>
      <w:r w:rsidR="006D261C" w:rsidRPr="00E26D55">
        <w:t xml:space="preserve">he auditor </w:t>
      </w:r>
      <w:r w:rsidR="00056A30" w:rsidRPr="00E26D55">
        <w:t xml:space="preserve">may </w:t>
      </w:r>
      <w:r w:rsidR="006D261C" w:rsidRPr="00E26D55">
        <w:t>b</w:t>
      </w:r>
      <w:r w:rsidR="00417094" w:rsidRPr="00E26D55">
        <w:t xml:space="preserve">etter equip investors in their evaluation </w:t>
      </w:r>
      <w:r w:rsidR="003E7EAF" w:rsidRPr="00E26D55">
        <w:t>of these monitors</w:t>
      </w:r>
      <w:r w:rsidR="00417094" w:rsidRPr="00E26D55">
        <w:t>,</w:t>
      </w:r>
      <w:r w:rsidR="00370C6E" w:rsidRPr="00E26D55">
        <w:t xml:space="preserve"> which c</w:t>
      </w:r>
      <w:r w:rsidR="006D261C" w:rsidRPr="00E26D55">
        <w:t>ould impact th</w:t>
      </w:r>
      <w:r w:rsidR="00CD6974" w:rsidRPr="00E26D55">
        <w:t>e informational value investors</w:t>
      </w:r>
      <w:r w:rsidR="006D261C" w:rsidRPr="00E26D55">
        <w:t xml:space="preserve"> assign to their reports</w:t>
      </w:r>
      <w:r w:rsidR="00E810A1" w:rsidRPr="00E26D55">
        <w:t xml:space="preserve">. In addition, </w:t>
      </w:r>
      <w:r w:rsidR="00EA4101" w:rsidRPr="00E26D55">
        <w:t xml:space="preserve">insight into the work performed by </w:t>
      </w:r>
      <w:r w:rsidR="00056A30" w:rsidRPr="00E26D55">
        <w:t>audit committees and auditors c</w:t>
      </w:r>
      <w:r w:rsidR="00EA4101" w:rsidRPr="00E26D55">
        <w:t>oul</w:t>
      </w:r>
      <w:r w:rsidR="000B4B0F" w:rsidRPr="00E26D55">
        <w:t xml:space="preserve">d build greater public trust and confidence in the entire financial reporting process </w:t>
      </w:r>
      <w:r w:rsidR="0079592F" w:rsidRPr="00E26D55">
        <w:fldChar w:fldCharType="begin"/>
      </w:r>
      <w:r w:rsidR="002861C8" w:rsidRPr="00E26D55">
        <w:instrText xml:space="preserve"> ADDIN EN.CITE &lt;EndNote&gt;&lt;Cite&gt;&lt;Author&gt;Touche&lt;/Author&gt;&lt;Year&gt;2014&lt;/Year&gt;&lt;RecNum&gt;179&lt;/RecNum&gt;&lt;DisplayText&gt;(Touche 2014)&lt;/DisplayText&gt;&lt;record&gt;&lt;rec-number&gt;179&lt;/rec-number&gt;&lt;foreign-keys&gt;&lt;key app="EN" db-id="frdsfrdx0zpts8ex5pfvfda4s9srzrvrxd9z" timestamp="1397503710"&gt;179&lt;/key&gt;&lt;/foreign-keys&gt;&lt;ref-type name="Report"&gt;27&lt;/ref-type&gt;&lt;contributors&gt;&lt;authors&gt;&lt;author&gt;Touche, William&lt;/author&gt;&lt;/authors&gt;&lt;/contributors&gt;&lt;titles&gt;&lt;title&gt;PCAOB Public Meeting on the Auditor&amp;apos;s Reporting Model. April 3, 2014. Available at http://pcaobus.org/Rules/Rulemaking/Docket034/04032014_Transcript.pdf&lt;/title&gt;&lt;/titles&gt;&lt;dates&gt;&lt;year&gt;2014&lt;/year&gt;&lt;/dates&gt;&lt;urls&gt;&lt;related-urls&gt;&lt;url&gt;http://pcaobus.org/Rules/Rulemaking/Docket034/04032014_Transcript.pdf&lt;/url&gt;&lt;/related-urls&gt;&lt;/urls&gt;&lt;custom2&gt;April 3&lt;/custom2&gt;&lt;/record&gt;&lt;/Cite&gt;&lt;/EndNote&gt;</w:instrText>
      </w:r>
      <w:r w:rsidR="0079592F" w:rsidRPr="00E26D55">
        <w:fldChar w:fldCharType="separate"/>
      </w:r>
      <w:r w:rsidR="006B1E8B" w:rsidRPr="00E26D55">
        <w:rPr>
          <w:noProof/>
        </w:rPr>
        <w:t>(</w:t>
      </w:r>
      <w:hyperlink w:anchor="_ENREF_66" w:tooltip="Touche, 2014 #179" w:history="1">
        <w:r w:rsidR="006A749C" w:rsidRPr="00E26D55">
          <w:rPr>
            <w:noProof/>
          </w:rPr>
          <w:t>Touche 2014</w:t>
        </w:r>
      </w:hyperlink>
      <w:r w:rsidR="006B1E8B" w:rsidRPr="00E26D55">
        <w:rPr>
          <w:noProof/>
        </w:rPr>
        <w:t>)</w:t>
      </w:r>
      <w:r w:rsidR="0079592F" w:rsidRPr="00E26D55">
        <w:fldChar w:fldCharType="end"/>
      </w:r>
      <w:r w:rsidR="00C2197A" w:rsidRPr="00E26D55">
        <w:t xml:space="preserve">. </w:t>
      </w:r>
      <w:r w:rsidR="00174D43" w:rsidRPr="00E26D55">
        <w:t>Specifically related to the audit reporting enhancements, global asset manager Hermes stated in its comment letter to the FRC that “disclosing this information will provide shareholders with fuller insights into the audit process, potentially instilling greater confidence in the quality of the audit and the value added by the process, and so also instilling greater confidence in the quality of corporate reporting”</w:t>
      </w:r>
      <w:r w:rsidR="00E55F00" w:rsidRPr="00E26D55">
        <w:t xml:space="preserve"> </w:t>
      </w:r>
      <w:r w:rsidR="0079592F" w:rsidRPr="00E26D55">
        <w:fldChar w:fldCharType="begin"/>
      </w:r>
      <w:r w:rsidR="00716620" w:rsidRPr="00E26D55">
        <w:instrText xml:space="preserve"> ADDIN EN.CITE &lt;EndNote&gt;&lt;Cite&gt;&lt;Author&gt;Melvin&lt;/Author&gt;&lt;Year&gt;2013&lt;/Year&gt;&lt;RecNum&gt;180&lt;/RecNum&gt;&lt;DisplayText&gt;(Melvin 2013)&lt;/DisplayText&gt;&lt;record&gt;&lt;rec-number&gt;180&lt;/rec-number&gt;&lt;foreign-keys&gt;&lt;key app="EN" db-id="frdsfrdx0zpts8ex5pfvfda4s9srzrvrxd9z" timestamp="1397503933"&gt;180&lt;/key&gt;&lt;key app="ENWeb" db-id=""&gt;0&lt;/key&gt;&lt;/foreign-keys&gt;&lt;ref-type name="Journal Article"&gt;17&lt;/ref-type&gt;&lt;contributors&gt;&lt;authors&gt;&lt;author&gt;Melvin, Colin&lt;/author&gt;&lt;/authors&gt;&lt;/contributors&gt;&lt;titles&gt;&lt;title&gt;Hermes Comment Letter on FRC Revision to ISA (UK and Ireland) 700: Requiring the auditor&amp;apos;s report to address risks of material misstatement, materiality and a summary of audit scope&lt;/title&gt;&lt;/titles&gt;&lt;dates&gt;&lt;year&gt;2013&lt;/year&gt;&lt;pub-dates&gt;&lt;date&gt;April 30&lt;/date&gt;&lt;/pub-dates&gt;&lt;/dates&gt;&lt;urls&gt;&lt;related-urls&gt;&lt;url&gt;https://www.frc.org.uk/Our-Work/Publications/Audit-and-Assurance-Team/Consultation-Paper-Revision-to-ISA-%28UK-and-Ireland/Responses-to-Revision-to-ISA-%28UK-and-Ireland%29-700/Hermes.aspx&lt;/url&gt;&lt;/related-urls&gt;&lt;/urls&gt;&lt;/record&gt;&lt;/Cite&gt;&lt;/EndNote&gt;</w:instrText>
      </w:r>
      <w:r w:rsidR="0079592F" w:rsidRPr="00E26D55">
        <w:fldChar w:fldCharType="separate"/>
      </w:r>
      <w:r w:rsidR="00E55F00" w:rsidRPr="00E26D55">
        <w:rPr>
          <w:noProof/>
        </w:rPr>
        <w:t>(</w:t>
      </w:r>
      <w:hyperlink w:anchor="_ENREF_55" w:tooltip="Melvin, 2013 #180" w:history="1">
        <w:r w:rsidR="006A749C" w:rsidRPr="00E26D55">
          <w:rPr>
            <w:noProof/>
          </w:rPr>
          <w:t>Melvin 2013</w:t>
        </w:r>
      </w:hyperlink>
      <w:r w:rsidR="00E55F00" w:rsidRPr="00E26D55">
        <w:rPr>
          <w:noProof/>
        </w:rPr>
        <w:t>)</w:t>
      </w:r>
      <w:r w:rsidR="0079592F" w:rsidRPr="00E26D55">
        <w:fldChar w:fldCharType="end"/>
      </w:r>
      <w:r w:rsidR="001622FD" w:rsidRPr="00E26D55">
        <w:t>.</w:t>
      </w:r>
      <w:r w:rsidR="00174D43" w:rsidRPr="00E26D55">
        <w:t xml:space="preserve"> </w:t>
      </w:r>
      <w:r w:rsidR="00CF1FAB" w:rsidRPr="00E26D55">
        <w:t xml:space="preserve">Similarly, clearer </w:t>
      </w:r>
      <w:r w:rsidR="000C09C9" w:rsidRPr="00E26D55">
        <w:t>communication</w:t>
      </w:r>
      <w:r w:rsidR="00CF1FAB" w:rsidRPr="00E26D55">
        <w:t xml:space="preserve"> of the </w:t>
      </w:r>
      <w:r w:rsidR="000C09C9" w:rsidRPr="00E26D55">
        <w:t>audit committee’s activities and responsibilities should enhance “users’ perceptions of audit quality” as it provides confirmation of the “active involvement of a high-qual</w:t>
      </w:r>
      <w:r w:rsidR="00E55F00" w:rsidRPr="00E26D55">
        <w:t xml:space="preserve">ity, transparent audit committee” </w:t>
      </w:r>
      <w:r w:rsidR="0079592F" w:rsidRPr="00E26D55">
        <w:fldChar w:fldCharType="begin"/>
      </w:r>
      <w:r w:rsidR="00FD0DAF" w:rsidRPr="00E26D55">
        <w:instrText xml:space="preserve"> ADDIN EN.CITE &lt;EndNote&gt;&lt;Cite&gt;&lt;Author&gt;IAASB&lt;/Author&gt;&lt;Year&gt;2013&lt;/Year&gt;&lt;RecNum&gt;175&lt;/RecNum&gt;&lt;DisplayText&gt;(IAASB 2013a)&lt;/DisplayText&gt;&lt;record&gt;&lt;rec-number&gt;175&lt;/rec-number&gt;&lt;foreign-keys&gt;&lt;key app="EN" db-id="frdsfrdx0zpts8ex5pfvfda4s9srzrvrxd9z" timestamp="1397500998"&gt;175&lt;/key&gt;&lt;key app="ENWeb" db-id=""&gt;0&lt;/key&gt;&lt;/foreign-keys&gt;&lt;ref-type name="Journal Article"&gt;17&lt;/ref-type&gt;&lt;contributors&gt;&lt;authors&gt;&lt;author&gt;IAASB&lt;/author&gt;&lt;/authors&gt;&lt;/contributors&gt;&lt;titles&gt;&lt;title&gt;A Framework for Audit Quality: Consultation Paper. January 2013&lt;/title&gt;&lt;/titles&gt;&lt;dates&gt;&lt;year&gt;2013&lt;/year&gt;&lt;pub-dates&gt;&lt;date&gt;January&lt;/date&gt;&lt;/pub-dates&gt;&lt;/dates&gt;&lt;urls&gt;&lt;related-urls&gt;&lt;url&gt;http://www.ifac.org/sites/default/files/publications/files/A%20Framework%20for%20Audit%20Quality.pdf&lt;/url&gt;&lt;/related-urls&gt;&lt;/urls&gt;&lt;/record&gt;&lt;/Cite&gt;&lt;/EndNote&gt;</w:instrText>
      </w:r>
      <w:r w:rsidR="0079592F" w:rsidRPr="00E26D55">
        <w:fldChar w:fldCharType="separate"/>
      </w:r>
      <w:r w:rsidR="00FD0DAF" w:rsidRPr="00E26D55">
        <w:rPr>
          <w:noProof/>
        </w:rPr>
        <w:t>(</w:t>
      </w:r>
      <w:hyperlink w:anchor="_ENREF_46" w:tooltip="IAASB, 2013 #175" w:history="1">
        <w:r w:rsidR="006A749C" w:rsidRPr="00E26D55">
          <w:rPr>
            <w:noProof/>
          </w:rPr>
          <w:t>IAASB 2013a</w:t>
        </w:r>
      </w:hyperlink>
      <w:r w:rsidR="00FD0DAF" w:rsidRPr="00E26D55">
        <w:rPr>
          <w:noProof/>
        </w:rPr>
        <w:t>)</w:t>
      </w:r>
      <w:r w:rsidR="0079592F" w:rsidRPr="00E26D55">
        <w:fldChar w:fldCharType="end"/>
      </w:r>
      <w:r w:rsidR="00E55F00" w:rsidRPr="00E26D55">
        <w:t>.</w:t>
      </w:r>
      <w:r w:rsidR="000C09C9" w:rsidRPr="00E26D55">
        <w:t xml:space="preserve"> </w:t>
      </w:r>
      <w:r w:rsidR="00F758C8" w:rsidRPr="00E26D55">
        <w:t>If the new reports do serve to increase investors’ trust in the audit committee’s oversight and the auditor’s pro</w:t>
      </w:r>
      <w:r w:rsidR="000C29B0" w:rsidRPr="00E26D55">
        <w:t>cedures, then</w:t>
      </w:r>
      <w:r w:rsidR="005E68BD" w:rsidRPr="00E26D55">
        <w:t xml:space="preserve"> investors are likely</w:t>
      </w:r>
      <w:r w:rsidR="00F758C8" w:rsidRPr="00E26D55">
        <w:t xml:space="preserve"> </w:t>
      </w:r>
      <w:r w:rsidR="000C29B0" w:rsidRPr="00E26D55">
        <w:t>to rely</w:t>
      </w:r>
      <w:r w:rsidR="000F4AF8" w:rsidRPr="00E26D55">
        <w:t xml:space="preserve"> more</w:t>
      </w:r>
      <w:r w:rsidR="00F758C8" w:rsidRPr="00E26D55">
        <w:t xml:space="preserve"> on the information in their </w:t>
      </w:r>
      <w:r w:rsidR="00E83B20" w:rsidRPr="00E26D55">
        <w:t xml:space="preserve">trading </w:t>
      </w:r>
      <w:r w:rsidR="000C29B0" w:rsidRPr="00E26D55">
        <w:t>decisions</w:t>
      </w:r>
      <w:r w:rsidR="005E68BD" w:rsidRPr="00E26D55">
        <w:t xml:space="preserve">. </w:t>
      </w:r>
    </w:p>
    <w:p w14:paraId="28508BF0" w14:textId="45551826" w:rsidR="00336E45" w:rsidRDefault="00D3069D" w:rsidP="001853E3">
      <w:pPr>
        <w:widowControl w:val="0"/>
        <w:spacing w:line="480" w:lineRule="auto"/>
        <w:contextualSpacing/>
        <w:jc w:val="both"/>
      </w:pPr>
      <w:r w:rsidRPr="00E26D55">
        <w:tab/>
      </w:r>
      <w:r w:rsidR="00DE6F24" w:rsidRPr="00E26D55">
        <w:t xml:space="preserve">It, however, is possible that the </w:t>
      </w:r>
      <w:r w:rsidR="00FD0282">
        <w:t xml:space="preserve">additional disclosures required in </w:t>
      </w:r>
      <w:r w:rsidR="00B52E82">
        <w:t>the audit committee and auditor</w:t>
      </w:r>
      <w:r w:rsidR="00FD0282">
        <w:t xml:space="preserve"> reports may not be </w:t>
      </w:r>
      <w:r w:rsidR="00E2052B">
        <w:t>useful</w:t>
      </w:r>
      <w:r w:rsidR="00FD0282">
        <w:t xml:space="preserve"> to investors for several reasons. First, </w:t>
      </w:r>
      <w:r w:rsidR="00B115DD">
        <w:t xml:space="preserve">the </w:t>
      </w:r>
      <w:r w:rsidR="00407C44">
        <w:t xml:space="preserve">information provided may </w:t>
      </w:r>
      <w:r w:rsidR="00E2052B">
        <w:t xml:space="preserve">simply </w:t>
      </w:r>
      <w:r w:rsidR="00407C44">
        <w:t xml:space="preserve">be of </w:t>
      </w:r>
      <w:r w:rsidR="002A5363">
        <w:t xml:space="preserve">little </w:t>
      </w:r>
      <w:r w:rsidR="00407C44">
        <w:t xml:space="preserve">interest to financial statement users. </w:t>
      </w:r>
      <w:r w:rsidR="0028675E">
        <w:t>For example, even though KPMG</w:t>
      </w:r>
      <w:r w:rsidR="002A5363">
        <w:t xml:space="preserve"> UK</w:t>
      </w:r>
      <w:r w:rsidR="0028675E">
        <w:t xml:space="preserve"> has been in favor of enhancing the audit report, the firm’s comment letter to the FRC stated they do not “expect shareholders would find descriptions of just the audit process of great interest – as, for example, car drivers do not normally want a long description of an electronic diagnostic process when the</w:t>
      </w:r>
      <w:r w:rsidR="00D23A7C">
        <w:t xml:space="preserve">ir car is serviced” </w:t>
      </w:r>
      <w:r w:rsidR="00D23A7C">
        <w:fldChar w:fldCharType="begin"/>
      </w:r>
      <w:r w:rsidR="00D23A7C">
        <w:instrText xml:space="preserve"> ADDIN EN.CITE &lt;EndNote&gt;&lt;Cite&gt;&lt;Author&gt;Cates&lt;/Author&gt;&lt;Year&gt;2013&lt;/Year&gt;&lt;RecNum&gt;364&lt;/RecNum&gt;&lt;DisplayText&gt;(Cates 2013)&lt;/DisplayText&gt;&lt;record&gt;&lt;rec-number&gt;364&lt;/rec-number&gt;&lt;foreign-keys&gt;&lt;key app="EN" db-id="frdsfrdx0zpts8ex5pfvfda4s9srzrvrxd9z" timestamp="1416000021"&gt;364&lt;/key&gt;&lt;/foreign-keys&gt;&lt;ref-type name="Journal Article"&gt;17&lt;/ref-type&gt;&lt;contributors&gt;&lt;authors&gt;&lt;author&gt;Cates, Tony&lt;/author&gt;&lt;/authors&gt;&lt;/contributors&gt;&lt;titles&gt;&lt;title&gt;KPMG UK Comment Letter on FRC Revision to ISA (UK and Ireland) 700: Requiring the auditor&amp;apos;s report to address risks of material misstatement, materiality and a summary of audit scope&lt;/title&gt;&lt;/titles&gt;&lt;dates&gt;&lt;year&gt;2013&lt;/year&gt;&lt;/dates&gt;&lt;urls&gt;&lt;/urls&gt;&lt;/record&gt;&lt;/Cite&gt;&lt;/EndNote&gt;</w:instrText>
      </w:r>
      <w:r w:rsidR="00D23A7C">
        <w:fldChar w:fldCharType="separate"/>
      </w:r>
      <w:r w:rsidR="00D23A7C">
        <w:rPr>
          <w:noProof/>
        </w:rPr>
        <w:t>(</w:t>
      </w:r>
      <w:hyperlink w:anchor="_ENREF_21" w:tooltip="Cates, 2013 #364" w:history="1">
        <w:r w:rsidR="006A749C">
          <w:rPr>
            <w:noProof/>
          </w:rPr>
          <w:t>Cates 2013</w:t>
        </w:r>
      </w:hyperlink>
      <w:r w:rsidR="00D23A7C">
        <w:rPr>
          <w:noProof/>
        </w:rPr>
        <w:t>)</w:t>
      </w:r>
      <w:r w:rsidR="00D23A7C">
        <w:fldChar w:fldCharType="end"/>
      </w:r>
      <w:r w:rsidR="00A34372">
        <w:t>.</w:t>
      </w:r>
      <w:r w:rsidR="0028675E">
        <w:t xml:space="preserve"> </w:t>
      </w:r>
      <w:r w:rsidR="001B77EB">
        <w:t xml:space="preserve">It is therefore possible that investors may not </w:t>
      </w:r>
      <w:r w:rsidR="004D667C">
        <w:t>view</w:t>
      </w:r>
      <w:r w:rsidR="001B77EB">
        <w:t xml:space="preserve"> information provided about the audit</w:t>
      </w:r>
      <w:r w:rsidR="00E44786">
        <w:t>or’s</w:t>
      </w:r>
      <w:r w:rsidR="001B77EB">
        <w:t xml:space="preserve"> process and</w:t>
      </w:r>
      <w:r w:rsidR="00B37BB5">
        <w:t xml:space="preserve"> </w:t>
      </w:r>
      <w:r w:rsidR="001B77EB">
        <w:t xml:space="preserve">the audit committee’s work </w:t>
      </w:r>
      <w:r w:rsidR="004D667C">
        <w:t xml:space="preserve">as </w:t>
      </w:r>
      <w:r w:rsidR="001B77EB">
        <w:t>relevant to their trading decisions.</w:t>
      </w:r>
      <w:r w:rsidR="00A34372">
        <w:t xml:space="preserve"> </w:t>
      </w:r>
      <w:r w:rsidR="004D667C">
        <w:t>Furthermore, t</w:t>
      </w:r>
      <w:r w:rsidR="00A34372">
        <w:t xml:space="preserve">he </w:t>
      </w:r>
      <w:r w:rsidR="00E2052B">
        <w:t xml:space="preserve">additional </w:t>
      </w:r>
      <w:r w:rsidR="00A34372">
        <w:t>information may</w:t>
      </w:r>
      <w:r w:rsidR="001B77EB">
        <w:t xml:space="preserve"> </w:t>
      </w:r>
      <w:r w:rsidR="001E7E55">
        <w:t>not add any real substance</w:t>
      </w:r>
      <w:r w:rsidR="00E2052B">
        <w:t xml:space="preserve"> as the disclosures do not alter the overall opinion of the auditors</w:t>
      </w:r>
      <w:r w:rsidR="00D23A7C">
        <w:t xml:space="preserve"> and audit </w:t>
      </w:r>
      <w:r w:rsidR="007C442C">
        <w:t xml:space="preserve">committees </w:t>
      </w:r>
      <w:r w:rsidR="007C442C">
        <w:fldChar w:fldCharType="begin"/>
      </w:r>
      <w:r w:rsidR="007C442C">
        <w:instrText xml:space="preserve"> ADDIN EN.CITE &lt;EndNote&gt;&lt;Cite&gt;&lt;Author&gt;Cardiff&lt;/Author&gt;&lt;Year&gt;2013&lt;/Year&gt;&lt;RecNum&gt;365&lt;/RecNum&gt;&lt;DisplayText&gt;(Cardiff 2013)&lt;/DisplayText&gt;&lt;record&gt;&lt;rec-number&gt;365&lt;/rec-number&gt;&lt;foreign-keys&gt;&lt;key app="EN" db-id="frdsfrdx0zpts8ex5pfvfda4s9srzrvrxd9z" timestamp="1416000115"&gt;365&lt;/key&gt;&lt;/foreign-keys&gt;&lt;ref-type name="Journal Article"&gt;17&lt;/ref-type&gt;&lt;contributors&gt;&lt;authors&gt;&lt;author&gt;Cardiff, Mark&lt;/author&gt;&lt;/authors&gt;&lt;/contributors&gt;&lt;titles&gt;&lt;title&gt;Grant Thornton UK Comment Letter on FRC Revision to ISA (UK and Ireland) 700: Requiring the auditor&amp;apos;s report to address risks of material misstatement, materiality and a summary of audit scope&lt;/title&gt;&lt;/titles&gt;&lt;dates&gt;&lt;year&gt;2013&lt;/year&gt;&lt;/dates&gt;&lt;urls&gt;&lt;/urls&gt;&lt;/record&gt;&lt;/Cite&gt;&lt;/EndNote&gt;</w:instrText>
      </w:r>
      <w:r w:rsidR="007C442C">
        <w:fldChar w:fldCharType="separate"/>
      </w:r>
      <w:r w:rsidR="007C442C">
        <w:rPr>
          <w:noProof/>
        </w:rPr>
        <w:t>(</w:t>
      </w:r>
      <w:hyperlink w:anchor="_ENREF_19" w:tooltip="Cardiff, 2013 #365" w:history="1">
        <w:r w:rsidR="006A749C">
          <w:rPr>
            <w:noProof/>
          </w:rPr>
          <w:t>Cardiff 2013</w:t>
        </w:r>
      </w:hyperlink>
      <w:r w:rsidR="007C442C">
        <w:rPr>
          <w:noProof/>
        </w:rPr>
        <w:t>)</w:t>
      </w:r>
      <w:r w:rsidR="007C442C">
        <w:fldChar w:fldCharType="end"/>
      </w:r>
      <w:r w:rsidR="00E2052B">
        <w:t xml:space="preserve">. In the case of the audit report, </w:t>
      </w:r>
      <w:r w:rsidR="00637D9A">
        <w:t xml:space="preserve">for instance, the main objective of the report is the pass/fail opinion, </w:t>
      </w:r>
      <w:r w:rsidR="00991125">
        <w:t>which remains unchanged by the inclusion of the additional audit process information.</w:t>
      </w:r>
      <w:r w:rsidR="00902FCB">
        <w:t xml:space="preserve"> </w:t>
      </w:r>
      <w:r w:rsidR="004D667C">
        <w:t>Second</w:t>
      </w:r>
      <w:r w:rsidR="00BE628D">
        <w:t>, there have been n</w:t>
      </w:r>
      <w:r w:rsidR="00B53131">
        <w:t>umerous regulatory and standard setting enhancements over the past decade that have “increased the investing public’s confidence in the quality of a registrants’ financial statements” (e.g., management certification of the financial statemen</w:t>
      </w:r>
      <w:r w:rsidR="00D23A7C">
        <w:t>ts</w:t>
      </w:r>
      <w:r w:rsidR="00134778">
        <w:t xml:space="preserve"> in t</w:t>
      </w:r>
      <w:r w:rsidR="00DD13CB">
        <w:t>he U.S.</w:t>
      </w:r>
      <w:r w:rsidR="00134778">
        <w:t xml:space="preserve"> and </w:t>
      </w:r>
      <w:r w:rsidR="00DD13CB">
        <w:t xml:space="preserve">the </w:t>
      </w:r>
      <w:r w:rsidR="00134778">
        <w:t>audit partner signature r</w:t>
      </w:r>
      <w:r w:rsidR="00DD13CB">
        <w:t>equirement in the U.K.</w:t>
      </w:r>
      <w:r w:rsidR="00D23A7C">
        <w:t xml:space="preserve">) </w:t>
      </w:r>
      <w:r w:rsidR="00D23A7C">
        <w:fldChar w:fldCharType="begin">
          <w:fldData xml:space="preserve">PEVuZE5vdGU+PENpdGU+PEF1dGhvcj5Hb2ZmPC9BdXRob3I+PFllYXI+MjAxMzwvWWVhcj48UmVj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</w:fldData>
        </w:fldChar>
      </w:r>
      <w:r w:rsidR="00134778">
        <w:instrText xml:space="preserve"> ADDIN EN.CITE </w:instrText>
      </w:r>
      <w:r w:rsidR="00134778">
        <w:fldChar w:fldCharType="begin">
          <w:fldData xml:space="preserve">PEVuZE5vdGU+PENpdGU+PEF1dGhvcj5Hb2ZmPC9BdXRob3I+PFllYXI+MjAxMzwvWWVhcj48UmVj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</w:fldData>
        </w:fldChar>
      </w:r>
      <w:r w:rsidR="00134778">
        <w:instrText xml:space="preserve"> ADDIN EN.CITE.DATA </w:instrText>
      </w:r>
      <w:r w:rsidR="00134778">
        <w:fldChar w:fldCharType="end"/>
      </w:r>
      <w:r w:rsidR="00D23A7C">
        <w:fldChar w:fldCharType="separate"/>
      </w:r>
      <w:r w:rsidR="00134778">
        <w:rPr>
          <w:noProof/>
        </w:rPr>
        <w:t>(</w:t>
      </w:r>
      <w:hyperlink w:anchor="_ENREF_42" w:tooltip="Goff, 2013 #363" w:history="1">
        <w:r w:rsidR="006A749C">
          <w:rPr>
            <w:noProof/>
          </w:rPr>
          <w:t>Goff 2013</w:t>
        </w:r>
      </w:hyperlink>
      <w:r w:rsidR="00134778">
        <w:rPr>
          <w:noProof/>
        </w:rPr>
        <w:t xml:space="preserve">; </w:t>
      </w:r>
      <w:hyperlink w:anchor="_ENREF_18" w:tooltip="Carcello, 2013 #158" w:history="1">
        <w:r w:rsidR="006A749C">
          <w:rPr>
            <w:noProof/>
          </w:rPr>
          <w:t>Carcello and Li 2013</w:t>
        </w:r>
      </w:hyperlink>
      <w:r w:rsidR="00134778">
        <w:rPr>
          <w:noProof/>
        </w:rPr>
        <w:t>)</w:t>
      </w:r>
      <w:r w:rsidR="00D23A7C">
        <w:fldChar w:fldCharType="end"/>
      </w:r>
      <w:r w:rsidR="00B53131">
        <w:t xml:space="preserve">. </w:t>
      </w:r>
      <w:r w:rsidR="003F74E6">
        <w:t>Additional disclosures in the audit committee and auditor reports may not provide any “meaningful benefit” given the insight investors currently have in the f</w:t>
      </w:r>
      <w:r w:rsidR="00D23A7C">
        <w:t xml:space="preserve">irms in which they invest </w:t>
      </w:r>
      <w:r w:rsidR="00D23A7C">
        <w:fldChar w:fldCharType="begin"/>
      </w:r>
      <w:r w:rsidR="00D23A7C">
        <w:instrText xml:space="preserve"> ADDIN EN.CITE &lt;EndNote&gt;&lt;Cite&gt;&lt;Author&gt;Goff&lt;/Author&gt;&lt;Year&gt;2013&lt;/Year&gt;&lt;RecNum&gt;363&lt;/RecNum&gt;&lt;DisplayText&gt;(Goff 2013)&lt;/DisplayText&gt;&lt;record&gt;&lt;rec-number&gt;363&lt;/rec-number&gt;&lt;foreign-keys&gt;&lt;key app="EN" db-id="frdsfrdx0zpts8ex5pfvfda4s9srzrvrxd9z" timestamp="1415999707"&gt;363&lt;/key&gt;&lt;/foreign-keys&gt;&lt;ref-type name="Journal Article"&gt;17&lt;/ref-type&gt;&lt;contributors&gt;&lt;authors&gt;&lt;author&gt;Goff, Phillip G.&lt;/author&gt;&lt;/authors&gt;&lt;/contributors&gt;&lt;titles&gt;&lt;title&gt;TIAA-CREF Comment Letter on PCAOB Rule Making Docket Matter No. 34: Proposed Auditing Standards on the Auditor&amp;apos;s Report and the Auditor&amp;apos;s Responsibilities Regarding Other Information and Related Amendments&lt;/title&gt;&lt;/titles&gt;&lt;dates&gt;&lt;year&gt;2013&lt;/year&gt;&lt;/dates&gt;&lt;urls&gt;&lt;/urls&gt;&lt;/record&gt;&lt;/Cite&gt;&lt;/EndNote&gt;</w:instrText>
      </w:r>
      <w:r w:rsidR="00D23A7C">
        <w:fldChar w:fldCharType="separate"/>
      </w:r>
      <w:r w:rsidR="00D23A7C">
        <w:rPr>
          <w:noProof/>
        </w:rPr>
        <w:t>(</w:t>
      </w:r>
      <w:hyperlink w:anchor="_ENREF_42" w:tooltip="Goff, 2013 #363" w:history="1">
        <w:r w:rsidR="006A749C">
          <w:rPr>
            <w:noProof/>
          </w:rPr>
          <w:t>Goff 2013</w:t>
        </w:r>
      </w:hyperlink>
      <w:r w:rsidR="00D23A7C">
        <w:rPr>
          <w:noProof/>
        </w:rPr>
        <w:t>)</w:t>
      </w:r>
      <w:r w:rsidR="00D23A7C">
        <w:fldChar w:fldCharType="end"/>
      </w:r>
      <w:r w:rsidR="003F74E6">
        <w:t xml:space="preserve">. </w:t>
      </w:r>
      <w:r w:rsidR="00E011A6">
        <w:t>Third</w:t>
      </w:r>
      <w:r w:rsidR="00A34A23">
        <w:t xml:space="preserve">, </w:t>
      </w:r>
      <w:r w:rsidR="00AD31D5">
        <w:t>it is possible that investors may suf</w:t>
      </w:r>
      <w:r w:rsidR="00FD13E7">
        <w:t xml:space="preserve">fer from “information overload – </w:t>
      </w:r>
      <w:r w:rsidR="00AD31D5" w:rsidRPr="00E26D55">
        <w:t xml:space="preserve">a phenomenon in which ever-increasing amounts of disclosure make it difficult for an investor to wade through the volume of information she receives to ferret out the information that is most relevant” </w:t>
      </w:r>
      <w:r w:rsidR="00AD31D5" w:rsidRPr="00E26D55">
        <w:fldChar w:fldCharType="begin"/>
      </w:r>
      <w:r w:rsidR="00AD31D5" w:rsidRPr="00E26D55">
        <w:instrText xml:space="preserve"> ADDIN EN.CITE &lt;EndNote&gt;&lt;Cite&gt;&lt;Author&gt;White&lt;/Author&gt;&lt;Year&gt;2013&lt;/Year&gt;&lt;RecNum&gt;181&lt;/RecNum&gt;&lt;DisplayText&gt;(White 2013)&lt;/DisplayText&gt;&lt;record&gt;&lt;rec-number&gt;181&lt;/rec-number&gt;&lt;foreign-keys&gt;&lt;key app="EN" db-id="frdsfrdx0zpts8ex5pfvfda4s9srzrvrxd9z" timestamp="1397504258"&gt;181&lt;/key&gt;&lt;key app="ENWeb" db-id=""&gt;0&lt;/key&gt;&lt;/foreign-keys&gt;&lt;ref-type name="Journal Article"&gt;17&lt;/ref-type&gt;&lt;contributors&gt;&lt;authors&gt;&lt;author&gt;White, Mary Jo&lt;/author&gt;&lt;/authors&gt;&lt;/contributors&gt;&lt;titles&gt;&lt;title&gt;The Path Forward on Disclosure. October 15, 2013. Available at http://www.sec.gov/News/Speech/Detail/Speech/1370539878806#.U0w418dw1Ns&lt;/title&gt;&lt;/titles&gt;&lt;dates&gt;&lt;year&gt;2013&lt;/year&gt;&lt;pub-dates&gt;&lt;date&gt;October 15&lt;/date&gt;&lt;/pub-dates&gt;&lt;/dates&gt;&lt;urls&gt;&lt;related-urls&gt;&lt;url&gt;http://www.sec.gov/News/Speech/Detail/Speech/1370539878806#.U0w418dw1Ns&lt;/url&gt;&lt;/related-urls&gt;&lt;/urls&gt;&lt;/record&gt;&lt;/Cite&gt;&lt;/EndNote&gt;</w:instrText>
      </w:r>
      <w:r w:rsidR="00AD31D5" w:rsidRPr="00E26D55">
        <w:fldChar w:fldCharType="separate"/>
      </w:r>
      <w:r w:rsidR="00AD31D5" w:rsidRPr="00E26D55">
        <w:rPr>
          <w:noProof/>
        </w:rPr>
        <w:t>(</w:t>
      </w:r>
      <w:hyperlink w:anchor="_ENREF_70" w:tooltip="White, 2013 #181" w:history="1">
        <w:r w:rsidR="006A749C" w:rsidRPr="00E26D55">
          <w:rPr>
            <w:noProof/>
          </w:rPr>
          <w:t>White 2013</w:t>
        </w:r>
      </w:hyperlink>
      <w:r w:rsidR="00AD31D5" w:rsidRPr="00E26D55">
        <w:rPr>
          <w:noProof/>
        </w:rPr>
        <w:t>)</w:t>
      </w:r>
      <w:r w:rsidR="00AD31D5" w:rsidRPr="00E26D55">
        <w:fldChar w:fldCharType="end"/>
      </w:r>
      <w:r w:rsidR="00AD31D5" w:rsidRPr="00E26D55">
        <w:t>.</w:t>
      </w:r>
      <w:r w:rsidR="00AD31D5" w:rsidRPr="00AD31D5">
        <w:t xml:space="preserve"> </w:t>
      </w:r>
      <w:r w:rsidR="00AD31D5">
        <w:t>Prior literature examining the complexity of annual report disclosures have found some evidence of an “information overload” effect as they report that greater complexity is associated with users</w:t>
      </w:r>
      <w:r w:rsidR="00AD31D5" w:rsidRPr="00E26D55">
        <w:t xml:space="preserve"> </w:t>
      </w:r>
      <w:r w:rsidR="00AD31D5">
        <w:t xml:space="preserve">opting </w:t>
      </w:r>
      <w:r w:rsidR="00AD31D5" w:rsidRPr="00E26D55">
        <w:t>ou</w:t>
      </w:r>
      <w:r w:rsidR="00AD31D5">
        <w:t xml:space="preserve">t of processing the disclosures </w:t>
      </w:r>
      <w:r w:rsidR="00AD31D5">
        <w:fldChar w:fldCharType="begin">
          <w:fldData xml:space="preserve">PEVuZE5vdGU+PENpdGU+PEF1dGhvcj5NaWxsZXI8L0F1dGhvcj48WWVhcj4yMDEwPC9ZZWFyPjxS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</w:fldData>
        </w:fldChar>
      </w:r>
      <w:r w:rsidR="00AD31D5">
        <w:instrText xml:space="preserve"> ADDIN EN.CITE </w:instrText>
      </w:r>
      <w:r w:rsidR="00AD31D5">
        <w:fldChar w:fldCharType="begin">
          <w:fldData xml:space="preserve">PEVuZE5vdGU+PENpdGU+PEF1dGhvcj5NaWxsZXI8L0F1dGhvcj48WWVhcj4yMDEwPC9ZZWFyPjxS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</w:fldData>
        </w:fldChar>
      </w:r>
      <w:r w:rsidR="00AD31D5">
        <w:instrText xml:space="preserve"> ADDIN EN.CITE.DATA </w:instrText>
      </w:r>
      <w:r w:rsidR="00AD31D5">
        <w:fldChar w:fldCharType="end"/>
      </w:r>
      <w:r w:rsidR="00AD31D5">
        <w:fldChar w:fldCharType="separate"/>
      </w:r>
      <w:r w:rsidR="00AD31D5">
        <w:rPr>
          <w:noProof/>
        </w:rPr>
        <w:t>(</w:t>
      </w:r>
      <w:hyperlink w:anchor="_ENREF_56" w:tooltip="Miller, 2010 #163" w:history="1">
        <w:r w:rsidR="006A749C">
          <w:rPr>
            <w:noProof/>
          </w:rPr>
          <w:t>Miller 2010</w:t>
        </w:r>
      </w:hyperlink>
      <w:r w:rsidR="00AD31D5">
        <w:rPr>
          <w:noProof/>
        </w:rPr>
        <w:t xml:space="preserve">; </w:t>
      </w:r>
      <w:hyperlink w:anchor="_ENREF_74" w:tooltip="You, 2008 #42" w:history="1">
        <w:r w:rsidR="006A749C">
          <w:rPr>
            <w:noProof/>
          </w:rPr>
          <w:t>You and Zhang 2008</w:t>
        </w:r>
      </w:hyperlink>
      <w:r w:rsidR="00AD31D5">
        <w:rPr>
          <w:noProof/>
        </w:rPr>
        <w:t>)</w:t>
      </w:r>
      <w:r w:rsidR="00AD31D5">
        <w:fldChar w:fldCharType="end"/>
      </w:r>
      <w:r w:rsidR="00AD31D5">
        <w:t xml:space="preserve">. </w:t>
      </w:r>
      <w:r w:rsidR="006508A2">
        <w:t xml:space="preserve">It is therefore possible that investors may not find the additional disclosures valuable </w:t>
      </w:r>
      <w:r w:rsidR="00046C48">
        <w:t>in their trading decisions if they view them as uninteresting, unnecessary, or too daunting to process.</w:t>
      </w:r>
    </w:p>
    <w:p w14:paraId="615E58AF" w14:textId="639B6A19" w:rsidR="00597BB4" w:rsidRPr="00E26D55" w:rsidRDefault="003F2D69" w:rsidP="001853E3">
      <w:pPr>
        <w:widowControl w:val="0"/>
        <w:spacing w:line="480" w:lineRule="auto"/>
        <w:ind w:firstLine="720"/>
        <w:contextualSpacing/>
        <w:jc w:val="both"/>
      </w:pPr>
      <w:r w:rsidRPr="00E26D55">
        <w:t xml:space="preserve">Given </w:t>
      </w:r>
      <w:r w:rsidR="005F0EC6">
        <w:t>the call from investors for increased disclosures from auditors and audit committees</w:t>
      </w:r>
      <w:r w:rsidR="00854E40">
        <w:t xml:space="preserve"> </w:t>
      </w:r>
      <w:r w:rsidR="00854E40">
        <w:fldChar w:fldCharType="begin">
          <w:fldData xml:space="preserve">PEVuZE5vdGU+PENpdGU+PEF1dGhvcj5DYXJjZWxsbzwvQXV0aG9yPjxZZWFyPjIwMTE8L1llYXI+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</w:fldData>
        </w:fldChar>
      </w:r>
      <w:r w:rsidR="00854E40">
        <w:instrText xml:space="preserve"> ADDIN EN.CITE </w:instrText>
      </w:r>
      <w:r w:rsidR="00854E40">
        <w:fldChar w:fldCharType="begin">
          <w:fldData xml:space="preserve">PEVuZE5vdGU+PENpdGU+PEF1dGhvcj5DYXJjZWxsbzwvQXV0aG9yPjxZZWFyPjIwMTE8L1llYXI+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</w:fldData>
        </w:fldChar>
      </w:r>
      <w:r w:rsidR="00854E40">
        <w:instrText xml:space="preserve"> ADDIN EN.CITE.DATA </w:instrText>
      </w:r>
      <w:r w:rsidR="00854E40">
        <w:fldChar w:fldCharType="end"/>
      </w:r>
      <w:r w:rsidR="00854E40">
        <w:fldChar w:fldCharType="separate"/>
      </w:r>
      <w:r w:rsidR="00854E40">
        <w:rPr>
          <w:noProof/>
        </w:rPr>
        <w:t>(</w:t>
      </w:r>
      <w:hyperlink w:anchor="_ENREF_15" w:tooltip="Carcello, 2011 #177" w:history="1">
        <w:r w:rsidR="006A749C">
          <w:rPr>
            <w:noProof/>
          </w:rPr>
          <w:t>Carcello et al. 2011a</w:t>
        </w:r>
      </w:hyperlink>
      <w:r w:rsidR="00854E40">
        <w:rPr>
          <w:noProof/>
        </w:rPr>
        <w:t xml:space="preserve">; </w:t>
      </w:r>
      <w:hyperlink w:anchor="_ENREF_22" w:tooltip="CFA, 2011 #198" w:history="1">
        <w:r w:rsidR="006A749C">
          <w:rPr>
            <w:noProof/>
          </w:rPr>
          <w:t>CFA 2011</w:t>
        </w:r>
      </w:hyperlink>
      <w:r w:rsidR="00854E40">
        <w:rPr>
          <w:noProof/>
        </w:rPr>
        <w:t xml:space="preserve">; </w:t>
      </w:r>
      <w:hyperlink w:anchor="_ENREF_43" w:tooltip="Gray, 2011 #125" w:history="1">
        <w:r w:rsidR="006A749C">
          <w:rPr>
            <w:noProof/>
          </w:rPr>
          <w:t>Gray et al. 2011</w:t>
        </w:r>
      </w:hyperlink>
      <w:r w:rsidR="00854E40">
        <w:rPr>
          <w:noProof/>
        </w:rPr>
        <w:t xml:space="preserve">; </w:t>
      </w:r>
      <w:hyperlink w:anchor="_ENREF_58" w:tooltip="Mock, 2013 #140" w:history="1">
        <w:r w:rsidR="006A749C">
          <w:rPr>
            <w:noProof/>
          </w:rPr>
          <w:t>Mock et al. 2013</w:t>
        </w:r>
      </w:hyperlink>
      <w:r w:rsidR="00854E40">
        <w:rPr>
          <w:noProof/>
        </w:rPr>
        <w:t xml:space="preserve">; </w:t>
      </w:r>
      <w:hyperlink w:anchor="_ENREF_63" w:tooltip="PCAOB, 2014 #317" w:history="1">
        <w:r w:rsidR="006A749C">
          <w:rPr>
            <w:noProof/>
          </w:rPr>
          <w:t>PCAOB 2014</w:t>
        </w:r>
      </w:hyperlink>
      <w:r w:rsidR="00854E40">
        <w:rPr>
          <w:noProof/>
        </w:rPr>
        <w:t>)</w:t>
      </w:r>
      <w:r w:rsidR="00854E40">
        <w:fldChar w:fldCharType="end"/>
      </w:r>
      <w:r w:rsidR="005F0EC6">
        <w:t xml:space="preserve">, </w:t>
      </w:r>
      <w:r w:rsidR="00165E9C" w:rsidRPr="00E26D55">
        <w:t>I predict that</w:t>
      </w:r>
      <w:r w:rsidR="005F0EC6">
        <w:t xml:space="preserve"> investors will </w:t>
      </w:r>
      <w:r w:rsidR="00AA4FDA">
        <w:t xml:space="preserve">find </w:t>
      </w:r>
      <w:r w:rsidR="005F0EC6">
        <w:t xml:space="preserve">the new reports </w:t>
      </w:r>
      <w:r w:rsidR="00AA4FDA">
        <w:t xml:space="preserve">more useful </w:t>
      </w:r>
      <w:r w:rsidR="005F0EC6">
        <w:t xml:space="preserve">and the greater transparency will </w:t>
      </w:r>
      <w:r w:rsidR="00FC7F72" w:rsidRPr="00E26D55">
        <w:t xml:space="preserve">serve to </w:t>
      </w:r>
      <w:r w:rsidR="00E226C0" w:rsidRPr="00E26D55">
        <w:t xml:space="preserve">reduce information </w:t>
      </w:r>
      <w:r w:rsidR="00FC7F72" w:rsidRPr="00E26D55">
        <w:t>asymmetry</w:t>
      </w:r>
      <w:r w:rsidR="00126A78" w:rsidRPr="00E26D55">
        <w:t xml:space="preserve">. I </w:t>
      </w:r>
      <w:r w:rsidR="00FC7F72" w:rsidRPr="00E26D55">
        <w:t xml:space="preserve">thus </w:t>
      </w:r>
      <w:r w:rsidR="001D29A8" w:rsidRPr="00E26D55">
        <w:t xml:space="preserve">state the following hypothesis in </w:t>
      </w:r>
      <w:r w:rsidR="00165E9C" w:rsidRPr="00E26D55">
        <w:t xml:space="preserve">alternative </w:t>
      </w:r>
      <w:r w:rsidR="001D29A8" w:rsidRPr="00E26D55">
        <w:t>form:</w:t>
      </w:r>
    </w:p>
    <w:p w14:paraId="07932E87" w14:textId="074CFDE7" w:rsidR="00A306CA" w:rsidRPr="00E26D55" w:rsidRDefault="001D29A8" w:rsidP="001853E3">
      <w:pPr>
        <w:widowControl w:val="0"/>
        <w:contextualSpacing/>
        <w:jc w:val="both"/>
        <w:rPr>
          <w:i/>
        </w:rPr>
      </w:pPr>
      <w:r w:rsidRPr="00E26D55">
        <w:rPr>
          <w:b/>
          <w:i/>
        </w:rPr>
        <w:t>H1</w:t>
      </w:r>
      <w:r w:rsidRPr="00E26D55">
        <w:rPr>
          <w:b/>
        </w:rPr>
        <w:t>:</w:t>
      </w:r>
      <w:r w:rsidRPr="00E26D55">
        <w:t xml:space="preserve"> </w:t>
      </w:r>
      <w:r w:rsidR="00177829">
        <w:rPr>
          <w:i/>
        </w:rPr>
        <w:t>Additional required</w:t>
      </w:r>
      <w:r w:rsidR="00177829" w:rsidRPr="00E26D55">
        <w:rPr>
          <w:i/>
        </w:rPr>
        <w:t xml:space="preserve"> disclosures in audit committee and auditor reports reduce</w:t>
      </w:r>
      <w:r w:rsidR="00BC5B33" w:rsidRPr="00E26D55">
        <w:rPr>
          <w:i/>
        </w:rPr>
        <w:t xml:space="preserve"> information asymmetry</w:t>
      </w:r>
      <w:r w:rsidR="00205CCC" w:rsidRPr="00E26D55">
        <w:rPr>
          <w:i/>
        </w:rPr>
        <w:t xml:space="preserve">. </w:t>
      </w:r>
    </w:p>
    <w:p w14:paraId="3FAEFD1E" w14:textId="77777777" w:rsidR="002052F9" w:rsidRPr="00E26D55" w:rsidRDefault="002052F9" w:rsidP="001853E3">
      <w:pPr>
        <w:widowControl w:val="0"/>
        <w:contextualSpacing/>
        <w:jc w:val="both"/>
        <w:rPr>
          <w:i/>
        </w:rPr>
      </w:pPr>
    </w:p>
    <w:p w14:paraId="4C99F198" w14:textId="77777777" w:rsidR="008D59E7" w:rsidRPr="00E26D55" w:rsidRDefault="008D59E7" w:rsidP="001853E3">
      <w:pPr>
        <w:widowControl w:val="0"/>
        <w:contextualSpacing/>
        <w:jc w:val="both"/>
        <w:rPr>
          <w:i/>
        </w:rPr>
      </w:pPr>
    </w:p>
    <w:p w14:paraId="34320D6A" w14:textId="77777777" w:rsidR="00E32E93" w:rsidRDefault="00E32E93">
      <w:pPr>
        <w:rPr>
          <w:rFonts w:eastAsiaTheme="majorEastAsia" w:cstheme="majorBidi"/>
          <w:b/>
          <w:bCs/>
          <w:szCs w:val="32"/>
        </w:rPr>
      </w:pPr>
      <w:r>
        <w:br w:type="page"/>
      </w:r>
    </w:p>
    <w:p w14:paraId="346CA951" w14:textId="56B68C52" w:rsidR="005B30B0" w:rsidRDefault="0040688A" w:rsidP="009F0F4D">
      <w:pPr>
        <w:pStyle w:val="Heading1"/>
      </w:pPr>
      <w:bookmarkStart w:id="6" w:name="_Toc286596264"/>
      <w:r w:rsidRPr="00E26D55">
        <w:t xml:space="preserve">III. </w:t>
      </w:r>
      <w:r w:rsidR="002052F9" w:rsidRPr="00E26D55">
        <w:t>RESEARCH METHOD</w:t>
      </w:r>
      <w:bookmarkEnd w:id="6"/>
    </w:p>
    <w:p w14:paraId="04228A91" w14:textId="77777777" w:rsidR="009F0F4D" w:rsidRPr="009F0F4D" w:rsidRDefault="009F0F4D" w:rsidP="009F0F4D"/>
    <w:p w14:paraId="1598ADFD" w14:textId="3C2A80A4" w:rsidR="006244F0" w:rsidRDefault="009F0F4D" w:rsidP="009F0F4D">
      <w:pPr>
        <w:pStyle w:val="Heading2"/>
      </w:pPr>
      <w:bookmarkStart w:id="7" w:name="_Toc286596265"/>
      <w:r>
        <w:t xml:space="preserve">3.1 </w:t>
      </w:r>
      <w:r w:rsidR="006244F0" w:rsidRPr="00E26D55">
        <w:t>Information Asymmetry Analysis</w:t>
      </w:r>
      <w:bookmarkEnd w:id="7"/>
      <w:r w:rsidR="0077431E" w:rsidRPr="00E26D55">
        <w:tab/>
      </w:r>
    </w:p>
    <w:p w14:paraId="4595F49C" w14:textId="77777777" w:rsidR="009F0F4D" w:rsidRPr="009F0F4D" w:rsidRDefault="009F0F4D" w:rsidP="009F0F4D"/>
    <w:p w14:paraId="11774F13" w14:textId="2BB75774" w:rsidR="00DB5506" w:rsidRPr="00E26D55" w:rsidRDefault="006D3A6A" w:rsidP="001853E3">
      <w:pPr>
        <w:widowControl w:val="0"/>
        <w:spacing w:line="480" w:lineRule="auto"/>
        <w:ind w:firstLine="720"/>
        <w:contextualSpacing/>
        <w:jc w:val="both"/>
      </w:pPr>
      <w:r w:rsidRPr="00E26D55">
        <w:t xml:space="preserve">To </w:t>
      </w:r>
      <w:r w:rsidR="00105ADF" w:rsidRPr="00E26D55">
        <w:t xml:space="preserve">test </w:t>
      </w:r>
      <w:r w:rsidR="00105ADF" w:rsidRPr="00E26D55">
        <w:rPr>
          <w:i/>
        </w:rPr>
        <w:t>H1</w:t>
      </w:r>
      <w:r w:rsidR="00105ADF" w:rsidRPr="00E26D55">
        <w:t>,</w:t>
      </w:r>
      <w:r w:rsidRPr="00E26D55">
        <w:t xml:space="preserve"> I </w:t>
      </w:r>
      <w:r w:rsidR="007306FA" w:rsidRPr="00E26D55">
        <w:t>util</w:t>
      </w:r>
      <w:r w:rsidR="00247882" w:rsidRPr="00E26D55">
        <w:t>ize</w:t>
      </w:r>
      <w:r w:rsidR="00D924DF" w:rsidRPr="00E26D55">
        <w:t xml:space="preserve"> </w:t>
      </w:r>
      <w:r w:rsidR="00D62F9B" w:rsidRPr="00E26D55">
        <w:t>two proxies</w:t>
      </w:r>
      <w:r w:rsidR="00680DDA" w:rsidRPr="00E26D55">
        <w:t xml:space="preserve"> for information asymmetry</w:t>
      </w:r>
      <w:r w:rsidR="00443F62" w:rsidRPr="00E26D55">
        <w:t>:</w:t>
      </w:r>
      <w:r w:rsidR="00CC0EB4" w:rsidRPr="00E26D55">
        <w:t xml:space="preserve"> </w:t>
      </w:r>
      <w:r w:rsidR="00D924DF" w:rsidRPr="00E26D55">
        <w:t xml:space="preserve">abnormal trading volume </w:t>
      </w:r>
      <w:r w:rsidR="0079592F" w:rsidRPr="00E26D55">
        <w:fldChar w:fldCharType="begin">
          <w:fldData xml:space="preserve">PEVuZE5vdGU+PENpdGU+PEF1dGhvcj5Bc3RoYW5hPC9BdXRob3I+PFllYXI+MjAwNDwvWWVhcj48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</w:fldData>
        </w:fldChar>
      </w:r>
      <w:r w:rsidR="00F27789" w:rsidRPr="00E26D55">
        <w:instrText xml:space="preserve"> ADDIN EN.CITE </w:instrText>
      </w:r>
      <w:r w:rsidR="0079592F" w:rsidRPr="00E26D55">
        <w:fldChar w:fldCharType="begin">
          <w:fldData xml:space="preserve">PEVuZE5vdGU+PENpdGU+PEF1dGhvcj5Bc3RoYW5hPC9BdXRob3I+PFllYXI+MjAwNDwvWWVhcj48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</w:fldData>
        </w:fldChar>
      </w:r>
      <w:r w:rsidR="00F27789" w:rsidRPr="00E26D55">
        <w:instrText xml:space="preserve"> ADDIN EN.CITE.DATA </w:instrText>
      </w:r>
      <w:r w:rsidR="0079592F" w:rsidRPr="00E26D55">
        <w:fldChar w:fldCharType="end"/>
      </w:r>
      <w:r w:rsidR="0079592F" w:rsidRPr="00E26D55">
        <w:fldChar w:fldCharType="separate"/>
      </w:r>
      <w:r w:rsidR="00E55F00" w:rsidRPr="00E26D55">
        <w:rPr>
          <w:noProof/>
        </w:rPr>
        <w:t>(</w:t>
      </w:r>
      <w:hyperlink w:anchor="_ENREF_3" w:tooltip="Asthana, 2004 #107" w:history="1">
        <w:r w:rsidR="006A749C" w:rsidRPr="00E26D55">
          <w:rPr>
            <w:noProof/>
          </w:rPr>
          <w:t>Asthana et al. 2004</w:t>
        </w:r>
      </w:hyperlink>
      <w:r w:rsidR="00E55F00" w:rsidRPr="00E26D55">
        <w:rPr>
          <w:noProof/>
        </w:rPr>
        <w:t xml:space="preserve">; </w:t>
      </w:r>
      <w:hyperlink w:anchor="_ENREF_31" w:tooltip="DeFond, 2007 #102" w:history="1">
        <w:r w:rsidR="006A749C" w:rsidRPr="00E26D55">
          <w:rPr>
            <w:noProof/>
          </w:rPr>
          <w:t>DeFond et al. 2007</w:t>
        </w:r>
      </w:hyperlink>
      <w:r w:rsidR="00E55F00" w:rsidRPr="00E26D55">
        <w:rPr>
          <w:noProof/>
        </w:rPr>
        <w:t xml:space="preserve">; </w:t>
      </w:r>
      <w:hyperlink w:anchor="_ENREF_52" w:tooltip="Landsman, 2012 #99" w:history="1">
        <w:r w:rsidR="006A749C" w:rsidRPr="00E26D55">
          <w:rPr>
            <w:noProof/>
          </w:rPr>
          <w:t>Landsman et al. 2012</w:t>
        </w:r>
      </w:hyperlink>
      <w:r w:rsidR="00E55F00" w:rsidRPr="00E26D55">
        <w:rPr>
          <w:noProof/>
        </w:rPr>
        <w:t>)</w:t>
      </w:r>
      <w:r w:rsidR="0079592F" w:rsidRPr="00E26D55">
        <w:fldChar w:fldCharType="end"/>
      </w:r>
      <w:r w:rsidR="00D62F9B" w:rsidRPr="00E26D55">
        <w:t xml:space="preserve"> and abnormal bid-ask spreads </w:t>
      </w:r>
      <w:r w:rsidR="00D62F9B" w:rsidRPr="00E26D55">
        <w:fldChar w:fldCharType="begin">
          <w:fldData xml:space="preserve">PEVuZE5vdGU+PENpdGU+PEF1dGhvcj5CdXNoZWU8L0F1dGhvcj48WWVhcj4yMDEwPC9ZZWFyPjxS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</w:fldData>
        </w:fldChar>
      </w:r>
      <w:r w:rsidR="00E94A6F">
        <w:instrText xml:space="preserve"> ADDIN EN.CITE </w:instrText>
      </w:r>
      <w:r w:rsidR="00E94A6F">
        <w:fldChar w:fldCharType="begin">
          <w:fldData xml:space="preserve">PEVuZE5vdGU+PENpdGU+PEF1dGhvcj5CdXNoZWU8L0F1dGhvcj48WWVhcj4yMDEwPC9ZZWFyPjxS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</w:fldData>
        </w:fldChar>
      </w:r>
      <w:r w:rsidR="00E94A6F">
        <w:instrText xml:space="preserve"> ADDIN EN.CITE.DATA </w:instrText>
      </w:r>
      <w:r w:rsidR="00E94A6F">
        <w:fldChar w:fldCharType="end"/>
      </w:r>
      <w:r w:rsidR="00D62F9B" w:rsidRPr="00E26D55">
        <w:fldChar w:fldCharType="separate"/>
      </w:r>
      <w:r w:rsidR="00E94A6F">
        <w:rPr>
          <w:noProof/>
        </w:rPr>
        <w:t>(</w:t>
      </w:r>
      <w:hyperlink w:anchor="_ENREF_12" w:tooltip="Bushee, 2010 #343" w:history="1">
        <w:r w:rsidR="006A749C">
          <w:rPr>
            <w:noProof/>
          </w:rPr>
          <w:t>Bushee et al. 2010</w:t>
        </w:r>
      </w:hyperlink>
      <w:r w:rsidR="00E94A6F">
        <w:rPr>
          <w:noProof/>
        </w:rPr>
        <w:t xml:space="preserve">; </w:t>
      </w:r>
      <w:hyperlink w:anchor="_ENREF_9" w:tooltip="Blankespoor, 2014 #342" w:history="1">
        <w:r w:rsidR="006A749C">
          <w:rPr>
            <w:noProof/>
          </w:rPr>
          <w:t>Blankespoor et al. 2014</w:t>
        </w:r>
      </w:hyperlink>
      <w:r w:rsidR="00E94A6F">
        <w:rPr>
          <w:noProof/>
        </w:rPr>
        <w:t>)</w:t>
      </w:r>
      <w:r w:rsidR="00D62F9B" w:rsidRPr="00E26D55">
        <w:fldChar w:fldCharType="end"/>
      </w:r>
      <w:r w:rsidR="00D62F9B" w:rsidRPr="00E26D55">
        <w:t xml:space="preserve">. </w:t>
      </w:r>
      <w:r w:rsidR="000443D0" w:rsidRPr="00E26D55">
        <w:t xml:space="preserve">A reduction in information asymmetry, as predicted in </w:t>
      </w:r>
      <w:r w:rsidR="000443D0" w:rsidRPr="00E26D55">
        <w:rPr>
          <w:i/>
        </w:rPr>
        <w:t>H1</w:t>
      </w:r>
      <w:r w:rsidR="000443D0" w:rsidRPr="00E26D55">
        <w:t xml:space="preserve">, would be indicated by an increase in abnormal trading volume and a decrease in abnormal bid-ask spreads. </w:t>
      </w:r>
      <w:r w:rsidR="003D7C14" w:rsidRPr="00E26D55">
        <w:t>I</w:t>
      </w:r>
      <w:r w:rsidR="00A35940" w:rsidRPr="00E26D55">
        <w:t xml:space="preserve"> focus on these</w:t>
      </w:r>
      <w:r w:rsidR="00F941FF" w:rsidRPr="00E26D55">
        <w:t xml:space="preserve"> measure</w:t>
      </w:r>
      <w:r w:rsidR="00A35940" w:rsidRPr="00E26D55">
        <w:t>s</w:t>
      </w:r>
      <w:r w:rsidR="00F941FF" w:rsidRPr="00E26D55">
        <w:t xml:space="preserve"> as p</w:t>
      </w:r>
      <w:r w:rsidR="00DB4190" w:rsidRPr="00E26D55">
        <w:t xml:space="preserve">rior literature contends that </w:t>
      </w:r>
      <w:r w:rsidR="00F941FF" w:rsidRPr="00E26D55">
        <w:t>volume is the “most visible indicator of investors’ response to public disclosures</w:t>
      </w:r>
      <w:r w:rsidR="00736FA8" w:rsidRPr="00E26D55">
        <w:t>”</w:t>
      </w:r>
      <w:r w:rsidR="00355099" w:rsidRPr="00E26D55">
        <w:t xml:space="preserve"> </w:t>
      </w:r>
      <w:r w:rsidR="0079592F" w:rsidRPr="00E26D55">
        <w:fldChar w:fldCharType="begin"/>
      </w:r>
      <w:r w:rsidR="002861C8" w:rsidRPr="00E26D55">
        <w:instrText xml:space="preserve"> ADDIN EN.CITE &lt;EndNote&gt;&lt;Cite&gt;&lt;Author&gt;Miller&lt;/Author&gt;&lt;Year&gt;2010&lt;/Year&gt;&lt;RecNum&gt;163&lt;/RecNum&gt;&lt;DisplayText&gt;(Miller 2010)&lt;/DisplayText&gt;&lt;record&gt;&lt;rec-number&gt;163&lt;/rec-number&gt;&lt;foreign-keys&gt;&lt;key app="EN" db-id="frdsfrdx0zpts8ex5pfvfda4s9srzrvrxd9z" timestamp="1397442317"&gt;163&lt;/key&gt;&lt;/foreign-keys&gt;&lt;ref-type name="Journal Article"&gt;17&lt;/ref-type&gt;&lt;contributors&gt;&lt;authors&gt;&lt;author&gt;Miller, Brian P.&lt;/author&gt;&lt;/authors&gt;&lt;/contributors&gt;&lt;titles&gt;&lt;title&gt;The Effects of Reporting Complexity on Small and Large Investor Trading&lt;/title&gt;&lt;secondary-title&gt;The Accounting Review&lt;/secondary-title&gt;&lt;/titles&gt;&lt;periodical&gt;&lt;full-title&gt;The Accounting Review&lt;/full-title&gt;&lt;/periodical&gt;&lt;pages&gt;2107-2143&lt;/pages&gt;&lt;volume&gt;85&lt;/volume&gt;&lt;number&gt;6&lt;/number&gt;&lt;keywords&gt;&lt;keyword&gt;FINANCIAL statements&lt;/keyword&gt;&lt;keyword&gt;CORPORATION reports&lt;/keyword&gt;&lt;keyword&gt;INDIVIDUAL investors&lt;/keyword&gt;&lt;keyword&gt;STOCKHOLDERS&lt;/keyword&gt;&lt;keyword&gt;SECURITIES trading&lt;/keyword&gt;&lt;keyword&gt;FINANCIAL disclosure&lt;/keyword&gt;&lt;keyword&gt;DISCLOSURE of information&lt;/keyword&gt;&lt;keyword&gt;SECURITIES trading volume&lt;/keyword&gt;&lt;keyword&gt;FINANCIAL market reaction&lt;/keyword&gt;&lt;keyword&gt;STOCKS (Finance)&lt;/keyword&gt;&lt;keyword&gt;UNITED States&lt;/keyword&gt;&lt;keyword&gt;disclosure&lt;/keyword&gt;&lt;keyword&gt;plain English&lt;/keyword&gt;&lt;keyword&gt;readability&lt;/keyword&gt;&lt;keyword&gt;small and large investors&lt;/keyword&gt;&lt;keyword&gt;trading volume&lt;/keyword&gt;&lt;keyword&gt;UNITED States. Securities &amp;amp; Exchange Commission&lt;/keyword&gt;&lt;/keywords&gt;&lt;dates&gt;&lt;year&gt;2010&lt;/year&gt;&lt;/dates&gt;&lt;publisher&gt;American Accounting Association&lt;/publisher&gt;&lt;isbn&gt;00014826&lt;/isbn&gt;&lt;accession-num&gt;55114731&lt;/accession-num&gt;&lt;work-type&gt;Article&lt;/work-type&gt;&lt;urls&gt;&lt;related-urls&gt;&lt;url&gt;http://proxy.lib.utk.edu:90/login?url=http://search.ebscohost.com/login.aspx?direct=true&amp;amp;db=bth&amp;amp;AN=55114731&amp;amp;scope=site&lt;/url&gt;&lt;/related-urls&gt;&lt;/urls&gt;&lt;electronic-resource-num&gt;10.2308/accr.00000001&lt;/electronic-resource-num&gt;&lt;remote-database-name&gt;bth&lt;/remote-database-name&gt;&lt;remote-database-provider&gt;EBSCOhost&lt;/remote-database-provider&gt;&lt;/record&gt;&lt;/Cite&gt;&lt;/EndNote&gt;</w:instrText>
      </w:r>
      <w:r w:rsidR="0079592F" w:rsidRPr="00E26D55">
        <w:fldChar w:fldCharType="separate"/>
      </w:r>
      <w:r w:rsidR="00104AD7" w:rsidRPr="00E26D55">
        <w:rPr>
          <w:noProof/>
        </w:rPr>
        <w:t>(</w:t>
      </w:r>
      <w:hyperlink w:anchor="_ENREF_56" w:tooltip="Miller, 2010 #163" w:history="1">
        <w:r w:rsidR="006A749C" w:rsidRPr="00E26D55">
          <w:rPr>
            <w:noProof/>
          </w:rPr>
          <w:t>Miller 2010</w:t>
        </w:r>
      </w:hyperlink>
      <w:r w:rsidR="00104AD7" w:rsidRPr="00E26D55">
        <w:rPr>
          <w:noProof/>
        </w:rPr>
        <w:t>)</w:t>
      </w:r>
      <w:r w:rsidR="0079592F" w:rsidRPr="00E26D55">
        <w:fldChar w:fldCharType="end"/>
      </w:r>
      <w:r w:rsidR="00355099" w:rsidRPr="00E26D55">
        <w:t xml:space="preserve"> and the bid-ask spread is “commonly thought to measure information asymmetry explicitly” </w:t>
      </w:r>
      <w:r w:rsidR="00355099" w:rsidRPr="00E26D55">
        <w:fldChar w:fldCharType="begin"/>
      </w:r>
      <w:r w:rsidR="00355099" w:rsidRPr="00E26D55">
        <w:instrText xml:space="preserve"> ADDIN EN.CITE &lt;EndNote&gt;&lt;Cite&gt;&lt;Author&gt;Leuz&lt;/Author&gt;&lt;Year&gt;2000&lt;/Year&gt;&lt;RecNum&gt;120&lt;/RecNum&gt;&lt;DisplayText&gt;(Leuz and Verrecchia 2000)&lt;/DisplayText&gt;&lt;record&gt;&lt;rec-number&gt;120&lt;/rec-number&gt;&lt;foreign-keys&gt;&lt;key app="EN" db-id="frdsfrdx0zpts8ex5pfvfda4s9srzrvrxd9z" timestamp="1397431324"&gt;120&lt;/key&gt;&lt;/foreign-keys&gt;&lt;ref-type name="Journal Article"&gt;17&lt;/ref-type&gt;&lt;contributors&gt;&lt;authors&gt;&lt;author&gt;Leuz, Christian&lt;/author&gt;&lt;author&gt;Verrecchia, Robert E.&lt;/author&gt;&lt;/authors&gt;&lt;/contributors&gt;&lt;titles&gt;&lt;title&gt;The Economic Consequences of Increased Disclosure&lt;/title&gt;&lt;secondary-title&gt;Journal of Accounting Research&lt;/secondary-title&gt;&lt;/titles&gt;&lt;periodical&gt;&lt;full-title&gt;Journal of Accounting Research&lt;/full-title&gt;&lt;/periodical&gt;&lt;pages&gt;91-124&lt;/pages&gt;&lt;volume&gt;38&lt;/volume&gt;&lt;number&gt;3&lt;/number&gt;&lt;keywords&gt;&lt;keyword&gt;DISCLOSURE in accounting&lt;/keyword&gt;&lt;keyword&gt;ECONOMIC forecasting&lt;/keyword&gt;&lt;keyword&gt;SPREAD (Finance)&lt;/keyword&gt;&lt;keyword&gt;PROXY statements&lt;/keyword&gt;&lt;keyword&gt;INFORMATION asymmetry&lt;/keyword&gt;&lt;keyword&gt;INTERNATIONAL accounting standards&lt;/keyword&gt;&lt;keyword&gt;SUPPLY-side economics&lt;/keyword&gt;&lt;keyword&gt;CAPITAL costs&lt;/keyword&gt;&lt;keyword&gt;ACCOUNTING standards&lt;/keyword&gt;&lt;keyword&gt;STOCK exchanges&lt;/keyword&gt;&lt;keyword&gt;cost of capital&lt;/keyword&gt;&lt;keyword&gt;disclosure&lt;/keyword&gt;&lt;keyword&gt;international accounting&lt;/keyword&gt;&lt;/keywords&gt;&lt;dates&gt;&lt;year&gt;2000&lt;/year&gt;&lt;/dates&gt;&lt;publisher&gt;Wiley-Blackwell&lt;/publisher&gt;&lt;isbn&gt;00218456&lt;/isbn&gt;&lt;accession-num&gt;5191828&lt;/accession-num&gt;&lt;work-type&gt;Article&lt;/work-type&gt;&lt;urls&gt;&lt;related-urls&gt;&lt;url&gt;http://proxy.lib.utk.edu:90/login?url=http://search.ebscohost.com/login.aspx?direct=true&amp;amp;db=bth&amp;amp;AN=5191828&amp;amp;scope=site&lt;/url&gt;&lt;/related-urls&gt;&lt;/urls&gt;&lt;remote-database-name&gt;bth&lt;/remote-database-name&gt;&lt;remote-database-provider&gt;EBSCOhost&lt;/remote-database-provider&gt;&lt;/record&gt;&lt;/Cite&gt;&lt;/EndNote&gt;</w:instrText>
      </w:r>
      <w:r w:rsidR="00355099" w:rsidRPr="00E26D55">
        <w:fldChar w:fldCharType="separate"/>
      </w:r>
      <w:r w:rsidR="00355099" w:rsidRPr="00E26D55">
        <w:rPr>
          <w:noProof/>
        </w:rPr>
        <w:t>(</w:t>
      </w:r>
      <w:hyperlink w:anchor="_ENREF_54" w:tooltip="Leuz, 2000 #120" w:history="1">
        <w:r w:rsidR="006A749C" w:rsidRPr="00E26D55">
          <w:rPr>
            <w:noProof/>
          </w:rPr>
          <w:t>Leuz and Verrecchia 2000</w:t>
        </w:r>
      </w:hyperlink>
      <w:r w:rsidR="00355099" w:rsidRPr="00E26D55">
        <w:rPr>
          <w:noProof/>
        </w:rPr>
        <w:t>)</w:t>
      </w:r>
      <w:r w:rsidR="00355099" w:rsidRPr="00E26D55">
        <w:fldChar w:fldCharType="end"/>
      </w:r>
      <w:r w:rsidR="00F941FF" w:rsidRPr="00E26D55">
        <w:t xml:space="preserve">. </w:t>
      </w:r>
      <w:r w:rsidR="00DB5506" w:rsidRPr="00E26D55">
        <w:t>M</w:t>
      </w:r>
      <w:r w:rsidR="00D77F0F" w:rsidRPr="00E26D55">
        <w:t>ore specifically, trading volume captures liquidity and the willingness of inve</w:t>
      </w:r>
      <w:r w:rsidR="009D7AAB" w:rsidRPr="00E26D55">
        <w:t>stors to sell and others to buy. The</w:t>
      </w:r>
      <w:r w:rsidR="00F5329A" w:rsidRPr="00E26D55">
        <w:t>refore, the</w:t>
      </w:r>
      <w:r w:rsidR="009D7AAB" w:rsidRPr="00E26D55">
        <w:t xml:space="preserve"> </w:t>
      </w:r>
      <w:r w:rsidR="00AD3633" w:rsidRPr="00E26D55">
        <w:t xml:space="preserve">greater the </w:t>
      </w:r>
      <w:r w:rsidR="009D7AAB" w:rsidRPr="00E26D55">
        <w:t>willingness of market participants to transact in firm shares, the less information asymmetry present</w:t>
      </w:r>
      <w:r w:rsidR="00F5329A" w:rsidRPr="00E26D55">
        <w:t xml:space="preserve"> </w:t>
      </w:r>
      <w:r w:rsidR="00F5329A" w:rsidRPr="00E26D55">
        <w:fldChar w:fldCharType="begin"/>
      </w:r>
      <w:r w:rsidR="00F5329A" w:rsidRPr="00E26D55">
        <w:instrText xml:space="preserve"> ADDIN EN.CITE &lt;EndNote&gt;&lt;Cite&gt;&lt;Author&gt;Leuz&lt;/Author&gt;&lt;Year&gt;2000&lt;/Year&gt;&lt;RecNum&gt;120&lt;/RecNum&gt;&lt;DisplayText&gt;(Leuz and Verrecchia 2000)&lt;/DisplayText&gt;&lt;record&gt;&lt;rec-number&gt;120&lt;/rec-number&gt;&lt;foreign-keys&gt;&lt;key app="EN" db-id="frdsfrdx0zpts8ex5pfvfda4s9srzrvrxd9z" timestamp="1397431324"&gt;120&lt;/key&gt;&lt;/foreign-keys&gt;&lt;ref-type name="Journal Article"&gt;17&lt;/ref-type&gt;&lt;contributors&gt;&lt;authors&gt;&lt;author&gt;Leuz, Christian&lt;/author&gt;&lt;author&gt;Verrecchia, Robert E.&lt;/author&gt;&lt;/authors&gt;&lt;/contributors&gt;&lt;titles&gt;&lt;title&gt;The Economic Consequences of Increased Disclosure&lt;/title&gt;&lt;secondary-title&gt;Journal of Accounting Research&lt;/secondary-title&gt;&lt;/titles&gt;&lt;periodical&gt;&lt;full-title&gt;Journal of Accounting Research&lt;/full-title&gt;&lt;/periodical&gt;&lt;pages&gt;91-124&lt;/pages&gt;&lt;volume&gt;38&lt;/volume&gt;&lt;number&gt;3&lt;/number&gt;&lt;keywords&gt;&lt;keyword&gt;DISCLOSURE in accounting&lt;/keyword&gt;&lt;keyword&gt;ECONOMIC forecasting&lt;/keyword&gt;&lt;keyword&gt;SPREAD (Finance)&lt;/keyword&gt;&lt;keyword&gt;PROXY statements&lt;/keyword&gt;&lt;keyword&gt;INFORMATION asymmetry&lt;/keyword&gt;&lt;keyword&gt;INTERNATIONAL accounting standards&lt;/keyword&gt;&lt;keyword&gt;SUPPLY-side economics&lt;/keyword&gt;&lt;keyword&gt;CAPITAL costs&lt;/keyword&gt;&lt;keyword&gt;ACCOUNTING standards&lt;/keyword&gt;&lt;keyword&gt;STOCK exchanges&lt;/keyword&gt;&lt;keyword&gt;cost of capital&lt;/keyword&gt;&lt;keyword&gt;disclosure&lt;/keyword&gt;&lt;keyword&gt;international accounting&lt;/keyword&gt;&lt;/keywords&gt;&lt;dates&gt;&lt;year&gt;2000&lt;/year&gt;&lt;/dates&gt;&lt;publisher&gt;Wiley-Blackwell&lt;/publisher&gt;&lt;isbn&gt;00218456&lt;/isbn&gt;&lt;accession-num&gt;5191828&lt;/accession-num&gt;&lt;work-type&gt;Article&lt;/work-type&gt;&lt;urls&gt;&lt;related-urls&gt;&lt;url&gt;http://proxy.lib.utk.edu:90/login?url=http://search.ebscohost.com/login.aspx?direct=true&amp;amp;db=bth&amp;amp;AN=5191828&amp;amp;scope=site&lt;/url&gt;&lt;/related-urls&gt;&lt;/urls&gt;&lt;remote-database-name&gt;bth&lt;/remote-database-name&gt;&lt;remote-database-provider&gt;EBSCOhost&lt;/remote-database-provider&gt;&lt;/record&gt;&lt;/Cite&gt;&lt;/EndNote&gt;</w:instrText>
      </w:r>
      <w:r w:rsidR="00F5329A" w:rsidRPr="00E26D55">
        <w:fldChar w:fldCharType="separate"/>
      </w:r>
      <w:r w:rsidR="00F5329A" w:rsidRPr="00E26D55">
        <w:rPr>
          <w:noProof/>
        </w:rPr>
        <w:t>(</w:t>
      </w:r>
      <w:hyperlink w:anchor="_ENREF_54" w:tooltip="Leuz, 2000 #120" w:history="1">
        <w:r w:rsidR="006A749C" w:rsidRPr="00E26D55">
          <w:rPr>
            <w:noProof/>
          </w:rPr>
          <w:t>Leuz and Verrecchia 2000</w:t>
        </w:r>
      </w:hyperlink>
      <w:r w:rsidR="00F5329A" w:rsidRPr="00E26D55">
        <w:rPr>
          <w:noProof/>
        </w:rPr>
        <w:t>)</w:t>
      </w:r>
      <w:r w:rsidR="00F5329A" w:rsidRPr="00E26D55">
        <w:fldChar w:fldCharType="end"/>
      </w:r>
      <w:r w:rsidR="009D7AAB" w:rsidRPr="00E26D55">
        <w:t xml:space="preserve">. </w:t>
      </w:r>
      <w:r w:rsidR="00D91030" w:rsidRPr="00E26D55">
        <w:t xml:space="preserve">Similarly, bid-ask spreads represent the </w:t>
      </w:r>
      <w:r w:rsidR="00E34065" w:rsidRPr="00E26D55">
        <w:t>cost arising from the presence of asymmetrically informed investors in the market</w:t>
      </w:r>
      <w:r w:rsidR="0061418F" w:rsidRPr="00E26D55">
        <w:t xml:space="preserve"> and the more narrow the spread, the fewer information asymmetries </w:t>
      </w:r>
      <w:r w:rsidR="00E34065" w:rsidRPr="00E26D55">
        <w:fldChar w:fldCharType="begin"/>
      </w:r>
      <w:r w:rsidR="00E34065" w:rsidRPr="00E26D55">
        <w:instrText xml:space="preserve"> ADDIN EN.CITE &lt;EndNote&gt;&lt;Cite&gt;&lt;Author&gt;Leuz&lt;/Author&gt;&lt;Year&gt;2000&lt;/Year&gt;&lt;RecNum&gt;120&lt;/RecNum&gt;&lt;DisplayText&gt;(Leuz and Verrecchia 2000)&lt;/DisplayText&gt;&lt;record&gt;&lt;rec-number&gt;120&lt;/rec-number&gt;&lt;foreign-keys&gt;&lt;key app="EN" db-id="frdsfrdx0zpts8ex5pfvfda4s9srzrvrxd9z" timestamp="1397431324"&gt;120&lt;/key&gt;&lt;/foreign-keys&gt;&lt;ref-type name="Journal Article"&gt;17&lt;/ref-type&gt;&lt;contributors&gt;&lt;authors&gt;&lt;author&gt;Leuz, Christian&lt;/author&gt;&lt;author&gt;Verrecchia, Robert E.&lt;/author&gt;&lt;/authors&gt;&lt;/contributors&gt;&lt;titles&gt;&lt;title&gt;The Economic Consequences of Increased Disclosure&lt;/title&gt;&lt;secondary-title&gt;Journal of Accounting Research&lt;/secondary-title&gt;&lt;/titles&gt;&lt;periodical&gt;&lt;full-title&gt;Journal of Accounting Research&lt;/full-title&gt;&lt;/periodical&gt;&lt;pages&gt;91-124&lt;/pages&gt;&lt;volume&gt;38&lt;/volume&gt;&lt;number&gt;3&lt;/number&gt;&lt;keywords&gt;&lt;keyword&gt;DISCLOSURE in accounting&lt;/keyword&gt;&lt;keyword&gt;ECONOMIC forecasting&lt;/keyword&gt;&lt;keyword&gt;SPREAD (Finance)&lt;/keyword&gt;&lt;keyword&gt;PROXY statements&lt;/keyword&gt;&lt;keyword&gt;INFORMATION asymmetry&lt;/keyword&gt;&lt;keyword&gt;INTERNATIONAL accounting standards&lt;/keyword&gt;&lt;keyword&gt;SUPPLY-side economics&lt;/keyword&gt;&lt;keyword&gt;CAPITAL costs&lt;/keyword&gt;&lt;keyword&gt;ACCOUNTING standards&lt;/keyword&gt;&lt;keyword&gt;STOCK exchanges&lt;/keyword&gt;&lt;keyword&gt;cost of capital&lt;/keyword&gt;&lt;keyword&gt;disclosure&lt;/keyword&gt;&lt;keyword&gt;international accounting&lt;/keyword&gt;&lt;/keywords&gt;&lt;dates&gt;&lt;year&gt;2000&lt;/year&gt;&lt;/dates&gt;&lt;publisher&gt;Wiley-Blackwell&lt;/publisher&gt;&lt;isbn&gt;00218456&lt;/isbn&gt;&lt;accession-num&gt;5191828&lt;/accession-num&gt;&lt;work-type&gt;Article&lt;/work-type&gt;&lt;urls&gt;&lt;related-urls&gt;&lt;url&gt;http://proxy.lib.utk.edu:90/login?url=http://search.ebscohost.com/login.aspx?direct=true&amp;amp;db=bth&amp;amp;AN=5191828&amp;amp;scope=site&lt;/url&gt;&lt;/related-urls&gt;&lt;/urls&gt;&lt;remote-database-name&gt;bth&lt;/remote-database-name&gt;&lt;remote-database-provider&gt;EBSCOhost&lt;/remote-database-provider&gt;&lt;/record&gt;&lt;/Cite&gt;&lt;/EndNote&gt;</w:instrText>
      </w:r>
      <w:r w:rsidR="00E34065" w:rsidRPr="00E26D55">
        <w:fldChar w:fldCharType="separate"/>
      </w:r>
      <w:r w:rsidR="00E34065" w:rsidRPr="00E26D55">
        <w:rPr>
          <w:noProof/>
        </w:rPr>
        <w:t>(</w:t>
      </w:r>
      <w:hyperlink w:anchor="_ENREF_54" w:tooltip="Leuz, 2000 #120" w:history="1">
        <w:r w:rsidR="006A749C" w:rsidRPr="00E26D55">
          <w:rPr>
            <w:noProof/>
          </w:rPr>
          <w:t>Leuz and Verrecchia 2000</w:t>
        </w:r>
      </w:hyperlink>
      <w:r w:rsidR="00E34065" w:rsidRPr="00E26D55">
        <w:rPr>
          <w:noProof/>
        </w:rPr>
        <w:t>)</w:t>
      </w:r>
      <w:r w:rsidR="00E34065" w:rsidRPr="00E26D55">
        <w:fldChar w:fldCharType="end"/>
      </w:r>
      <w:r w:rsidR="00E34065" w:rsidRPr="00E26D55">
        <w:t xml:space="preserve">. </w:t>
      </w:r>
    </w:p>
    <w:p w14:paraId="47A84BB6" w14:textId="11760879" w:rsidR="00BB51AD" w:rsidRPr="00E26D55" w:rsidRDefault="00355099" w:rsidP="001853E3">
      <w:pPr>
        <w:widowControl w:val="0"/>
        <w:spacing w:line="480" w:lineRule="auto"/>
        <w:ind w:firstLine="720"/>
        <w:contextualSpacing/>
        <w:jc w:val="both"/>
      </w:pPr>
      <w:r w:rsidRPr="00E26D55">
        <w:t>These proxies also have</w:t>
      </w:r>
      <w:r w:rsidR="00EA47AF" w:rsidRPr="00E26D55">
        <w:t xml:space="preserve"> the benefit of being calculated over a short time horizon, which allows me to take advantage of the unique relation between earnings announcements and annual report filings in the United Kingdom. Specifically, </w:t>
      </w:r>
      <w:r w:rsidR="00466AD7" w:rsidRPr="00E26D55">
        <w:t>earnings announcements are released several weeks before the annual report, but conta</w:t>
      </w:r>
      <w:r w:rsidR="00347DAF" w:rsidRPr="00E26D55">
        <w:t>in largely the same information</w:t>
      </w:r>
      <w:r w:rsidR="00A1040E" w:rsidRPr="00E26D55">
        <w:t xml:space="preserve"> as the annual report</w:t>
      </w:r>
      <w:r w:rsidR="00347DAF" w:rsidRPr="00E26D55">
        <w:t>.</w:t>
      </w:r>
      <w:r w:rsidR="002A54FD" w:rsidRPr="00F972A9">
        <w:rPr>
          <w:rStyle w:val="FootnoteReference"/>
        </w:rPr>
        <w:footnoteReference w:id="20"/>
      </w:r>
      <w:r w:rsidR="00F972A9" w:rsidRPr="00F972A9">
        <w:rPr>
          <w:vertAlign w:val="superscript"/>
        </w:rPr>
        <w:t>,</w:t>
      </w:r>
      <w:r w:rsidR="0030423C">
        <w:rPr>
          <w:rStyle w:val="FootnoteReference"/>
        </w:rPr>
        <w:footnoteReference w:id="21"/>
      </w:r>
      <w:r w:rsidR="00347DAF" w:rsidRPr="00E26D55">
        <w:t xml:space="preserve"> The primary difference between the two filings </w:t>
      </w:r>
      <w:r w:rsidR="00F859BC" w:rsidRPr="00E26D55">
        <w:t>in the United Kingdom is the inclusion of the audit report and the audit committee report</w:t>
      </w:r>
      <w:r w:rsidR="00FC49A9" w:rsidRPr="00E26D55">
        <w:t>.</w:t>
      </w:r>
      <w:r w:rsidR="00F859BC" w:rsidRPr="00E26D55">
        <w:rPr>
          <w:rStyle w:val="FootnoteReference"/>
        </w:rPr>
        <w:footnoteReference w:id="22"/>
      </w:r>
      <w:r w:rsidR="00834BFD" w:rsidRPr="00E26D55">
        <w:t xml:space="preserve"> </w:t>
      </w:r>
      <w:r w:rsidR="00F1786D">
        <w:t>There</w:t>
      </w:r>
      <w:r w:rsidR="000953C5">
        <w:t>f</w:t>
      </w:r>
      <w:r w:rsidR="00226A84" w:rsidRPr="00E26D55">
        <w:t xml:space="preserve">ore, by examining differences in abnormal trading volume and abnormal bid-ask spreads around the annual reports </w:t>
      </w:r>
      <w:r w:rsidR="00662965" w:rsidRPr="00E26D55">
        <w:t xml:space="preserve">before and after the reporting revisions, I am able to </w:t>
      </w:r>
      <w:r w:rsidR="001B716E" w:rsidRPr="00E26D55">
        <w:t>isolate</w:t>
      </w:r>
      <w:r w:rsidR="00662965" w:rsidRPr="00E26D55">
        <w:t xml:space="preserve"> the change in information asymmetry attributable to the additional audit committee and auditor disclosures. </w:t>
      </w:r>
      <w:r w:rsidR="00A026C6" w:rsidRPr="00E26D55">
        <w:t>I employ the following regression model</w:t>
      </w:r>
      <w:r w:rsidR="00834BFD" w:rsidRPr="00E26D55">
        <w:t>s</w:t>
      </w:r>
      <w:r w:rsidR="00A026C6" w:rsidRPr="00E26D55">
        <w:t xml:space="preserve"> to do so</w:t>
      </w:r>
      <w:r w:rsidR="006960F5" w:rsidRPr="00E26D55">
        <w:t>:</w:t>
      </w:r>
    </w:p>
    <w:p w14:paraId="24E7EB9E" w14:textId="75A4E2F0" w:rsidR="00D62F9B" w:rsidRPr="00E26D55" w:rsidRDefault="00A026C6" w:rsidP="001853E3">
      <w:pPr>
        <w:widowControl w:val="0"/>
        <w:spacing w:line="480" w:lineRule="auto"/>
        <w:ind w:firstLine="720"/>
        <w:contextualSpacing/>
      </w:pPr>
      <w:r w:rsidRPr="00E26D55">
        <w:rPr>
          <w:i/>
        </w:rPr>
        <w:t>AVOL</w:t>
      </w:r>
      <w:r w:rsidR="00D62F9B" w:rsidRPr="00E26D55">
        <w:rPr>
          <w:i/>
          <w:vertAlign w:val="subscript"/>
        </w:rPr>
        <w:t>it</w:t>
      </w:r>
      <w:r w:rsidR="00033340" w:rsidRPr="00E26D55">
        <w:rPr>
          <w:i/>
        </w:rPr>
        <w:t xml:space="preserve"> </w:t>
      </w:r>
      <w:r w:rsidRPr="00E26D55">
        <w:rPr>
          <w:i/>
        </w:rPr>
        <w:t>= β</w:t>
      </w:r>
      <w:r w:rsidRPr="00E26D55">
        <w:rPr>
          <w:i/>
          <w:vertAlign w:val="subscript"/>
        </w:rPr>
        <w:t>0</w:t>
      </w:r>
      <w:r w:rsidRPr="00E26D55">
        <w:rPr>
          <w:i/>
        </w:rPr>
        <w:t xml:space="preserve"> + β</w:t>
      </w:r>
      <w:r w:rsidRPr="00E26D55">
        <w:rPr>
          <w:i/>
          <w:vertAlign w:val="subscript"/>
        </w:rPr>
        <w:t>1</w:t>
      </w:r>
      <w:r w:rsidRPr="00E26D55">
        <w:rPr>
          <w:i/>
        </w:rPr>
        <w:t>POST</w:t>
      </w:r>
      <w:r w:rsidR="00D62F9B" w:rsidRPr="00E26D55">
        <w:rPr>
          <w:i/>
          <w:vertAlign w:val="subscript"/>
        </w:rPr>
        <w:t>it</w:t>
      </w:r>
      <w:r w:rsidR="008D5252" w:rsidRPr="00E26D55">
        <w:rPr>
          <w:i/>
        </w:rPr>
        <w:t xml:space="preserve"> </w:t>
      </w:r>
      <w:r w:rsidRPr="00E26D55">
        <w:rPr>
          <w:i/>
        </w:rPr>
        <w:t>+ β</w:t>
      </w:r>
      <w:r w:rsidR="008D5252" w:rsidRPr="00E26D55">
        <w:rPr>
          <w:i/>
          <w:vertAlign w:val="subscript"/>
        </w:rPr>
        <w:t>2</w:t>
      </w:r>
      <w:r w:rsidRPr="00E26D55">
        <w:rPr>
          <w:i/>
        </w:rPr>
        <w:t>LN_MVE</w:t>
      </w:r>
      <w:r w:rsidR="00D62F9B" w:rsidRPr="00E26D55">
        <w:rPr>
          <w:i/>
          <w:vertAlign w:val="subscript"/>
        </w:rPr>
        <w:t>it</w:t>
      </w:r>
      <w:r w:rsidRPr="00E26D55">
        <w:rPr>
          <w:i/>
        </w:rPr>
        <w:t xml:space="preserve"> + β</w:t>
      </w:r>
      <w:r w:rsidR="008D5252" w:rsidRPr="00E26D55">
        <w:rPr>
          <w:i/>
          <w:vertAlign w:val="subscript"/>
        </w:rPr>
        <w:t>3</w:t>
      </w:r>
      <w:r w:rsidRPr="00E26D55">
        <w:rPr>
          <w:i/>
        </w:rPr>
        <w:t>NUM_ANALYST</w:t>
      </w:r>
      <w:r w:rsidR="00D62F9B" w:rsidRPr="00E26D55">
        <w:rPr>
          <w:i/>
          <w:vertAlign w:val="subscript"/>
        </w:rPr>
        <w:t>it</w:t>
      </w:r>
      <w:r w:rsidRPr="00E26D55">
        <w:rPr>
          <w:i/>
        </w:rPr>
        <w:t xml:space="preserve"> + β</w:t>
      </w:r>
      <w:r w:rsidR="008D5252" w:rsidRPr="00E26D55">
        <w:rPr>
          <w:i/>
          <w:vertAlign w:val="subscript"/>
        </w:rPr>
        <w:t>4</w:t>
      </w:r>
      <w:r w:rsidR="000D3358">
        <w:rPr>
          <w:i/>
        </w:rPr>
        <w:t>SD_CFO</w:t>
      </w:r>
      <w:r w:rsidR="00D62F9B" w:rsidRPr="00E26D55">
        <w:rPr>
          <w:i/>
          <w:vertAlign w:val="subscript"/>
        </w:rPr>
        <w:t>it</w:t>
      </w:r>
      <w:r w:rsidRPr="00E26D55">
        <w:rPr>
          <w:i/>
        </w:rPr>
        <w:t xml:space="preserve"> +</w:t>
      </w:r>
      <w:r w:rsidRPr="00E26D55">
        <w:t xml:space="preserve"> </w:t>
      </w:r>
      <w:r w:rsidR="00123676" w:rsidRPr="00E26D55">
        <w:tab/>
        <w:t xml:space="preserve">       (1)</w:t>
      </w:r>
    </w:p>
    <w:p w14:paraId="168DF9E6" w14:textId="22F49F6D" w:rsidR="00BB51AD" w:rsidRPr="00E26D55" w:rsidRDefault="00123676" w:rsidP="001853E3">
      <w:pPr>
        <w:widowControl w:val="0"/>
        <w:spacing w:line="480" w:lineRule="auto"/>
        <w:ind w:left="1440"/>
        <w:contextualSpacing/>
        <w:rPr>
          <w:i/>
          <w:vertAlign w:val="subscript"/>
        </w:rPr>
      </w:pPr>
      <w:r w:rsidRPr="00E26D55">
        <w:rPr>
          <w:i/>
        </w:rPr>
        <w:t xml:space="preserve">   </w:t>
      </w:r>
      <w:r w:rsidR="00A026C6" w:rsidRPr="00E26D55">
        <w:rPr>
          <w:i/>
        </w:rPr>
        <w:t>β</w:t>
      </w:r>
      <w:r w:rsidR="008D5252" w:rsidRPr="00E26D55">
        <w:rPr>
          <w:i/>
          <w:vertAlign w:val="subscript"/>
        </w:rPr>
        <w:t>5</w:t>
      </w:r>
      <w:r w:rsidR="00A026C6" w:rsidRPr="00E26D55">
        <w:rPr>
          <w:i/>
        </w:rPr>
        <w:t>DISP</w:t>
      </w:r>
      <w:r w:rsidR="00D62F9B" w:rsidRPr="00E26D55">
        <w:rPr>
          <w:i/>
          <w:vertAlign w:val="subscript"/>
        </w:rPr>
        <w:t>it</w:t>
      </w:r>
      <w:r w:rsidR="00A026C6" w:rsidRPr="00E26D55">
        <w:rPr>
          <w:i/>
        </w:rPr>
        <w:t xml:space="preserve"> </w:t>
      </w:r>
      <w:r w:rsidR="00D62F9B" w:rsidRPr="00E26D55">
        <w:rPr>
          <w:i/>
        </w:rPr>
        <w:t>+</w:t>
      </w:r>
      <w:r w:rsidR="00A026C6" w:rsidRPr="00E26D55">
        <w:rPr>
          <w:i/>
        </w:rPr>
        <w:t>β</w:t>
      </w:r>
      <w:r w:rsidR="008D5252" w:rsidRPr="00E26D55">
        <w:rPr>
          <w:i/>
          <w:vertAlign w:val="subscript"/>
        </w:rPr>
        <w:t>6</w:t>
      </w:r>
      <w:r w:rsidR="00A026C6" w:rsidRPr="00E26D55">
        <w:rPr>
          <w:i/>
        </w:rPr>
        <w:t>LOSS</w:t>
      </w:r>
      <w:r w:rsidR="00D62F9B" w:rsidRPr="00E26D55">
        <w:rPr>
          <w:i/>
          <w:vertAlign w:val="subscript"/>
        </w:rPr>
        <w:t>it</w:t>
      </w:r>
      <w:r w:rsidR="00A026C6" w:rsidRPr="00E26D55">
        <w:rPr>
          <w:i/>
        </w:rPr>
        <w:t xml:space="preserve"> + β</w:t>
      </w:r>
      <w:r w:rsidR="008D5252" w:rsidRPr="00E26D55">
        <w:rPr>
          <w:i/>
          <w:vertAlign w:val="subscript"/>
        </w:rPr>
        <w:t>7</w:t>
      </w:r>
      <w:r w:rsidR="00A026C6" w:rsidRPr="00E26D55">
        <w:rPr>
          <w:i/>
        </w:rPr>
        <w:t>UE</w:t>
      </w:r>
      <w:r w:rsidR="00D62F9B" w:rsidRPr="00E26D55">
        <w:rPr>
          <w:i/>
          <w:vertAlign w:val="subscript"/>
        </w:rPr>
        <w:t>it</w:t>
      </w:r>
      <w:r w:rsidR="00A026C6" w:rsidRPr="00E26D55">
        <w:rPr>
          <w:i/>
        </w:rPr>
        <w:t xml:space="preserve"> +</w:t>
      </w:r>
      <w:r w:rsidR="00C871C6" w:rsidRPr="00E26D55">
        <w:rPr>
          <w:i/>
        </w:rPr>
        <w:t xml:space="preserve"> β</w:t>
      </w:r>
      <w:r w:rsidR="00C871C6" w:rsidRPr="00E26D55">
        <w:rPr>
          <w:i/>
          <w:vertAlign w:val="subscript"/>
        </w:rPr>
        <w:t>8</w:t>
      </w:r>
      <w:r w:rsidR="000D3358">
        <w:rPr>
          <w:i/>
        </w:rPr>
        <w:t>LAG</w:t>
      </w:r>
      <w:r w:rsidR="00C871C6" w:rsidRPr="00E26D55">
        <w:rPr>
          <w:i/>
          <w:vertAlign w:val="subscript"/>
        </w:rPr>
        <w:t>it</w:t>
      </w:r>
      <w:r w:rsidR="00C871C6" w:rsidRPr="00E26D55">
        <w:rPr>
          <w:i/>
        </w:rPr>
        <w:t xml:space="preserve"> +</w:t>
      </w:r>
      <w:r w:rsidR="00A026C6" w:rsidRPr="00E26D55">
        <w:rPr>
          <w:i/>
        </w:rPr>
        <w:t xml:space="preserve"> IND_FE + ε</w:t>
      </w:r>
      <w:r w:rsidR="00D62F9B" w:rsidRPr="00E26D55">
        <w:rPr>
          <w:i/>
          <w:vertAlign w:val="subscript"/>
        </w:rPr>
        <w:t>it</w:t>
      </w:r>
    </w:p>
    <w:p w14:paraId="6A4A507F" w14:textId="59EC0AA0" w:rsidR="00033340" w:rsidRPr="00E26D55" w:rsidRDefault="000D3358" w:rsidP="000D3358">
      <w:pPr>
        <w:widowControl w:val="0"/>
        <w:spacing w:line="480" w:lineRule="auto"/>
        <w:contextualSpacing/>
      </w:pPr>
      <w:r>
        <w:rPr>
          <w:i/>
        </w:rPr>
        <w:t xml:space="preserve">         </w:t>
      </w:r>
      <w:r w:rsidR="00033340" w:rsidRPr="00E26D55">
        <w:rPr>
          <w:i/>
        </w:rPr>
        <w:t>ASPREAD</w:t>
      </w:r>
      <w:r w:rsidR="00033340" w:rsidRPr="00E26D55">
        <w:rPr>
          <w:i/>
          <w:vertAlign w:val="subscript"/>
        </w:rPr>
        <w:t>it</w:t>
      </w:r>
      <w:r w:rsidR="00EE262E" w:rsidRPr="00E26D55">
        <w:rPr>
          <w:i/>
          <w:vertAlign w:val="subscript"/>
        </w:rPr>
        <w:t xml:space="preserve"> </w:t>
      </w:r>
      <w:r w:rsidR="00033340" w:rsidRPr="00E26D55">
        <w:rPr>
          <w:i/>
        </w:rPr>
        <w:t>= β</w:t>
      </w:r>
      <w:r w:rsidR="00033340" w:rsidRPr="00E26D55">
        <w:rPr>
          <w:i/>
          <w:vertAlign w:val="subscript"/>
        </w:rPr>
        <w:t>0</w:t>
      </w:r>
      <w:r w:rsidR="00033340" w:rsidRPr="00E26D55">
        <w:rPr>
          <w:i/>
        </w:rPr>
        <w:t xml:space="preserve"> + β</w:t>
      </w:r>
      <w:r w:rsidR="00033340" w:rsidRPr="00E26D55">
        <w:rPr>
          <w:i/>
          <w:vertAlign w:val="subscript"/>
        </w:rPr>
        <w:t>1</w:t>
      </w:r>
      <w:r w:rsidR="00033340" w:rsidRPr="00E26D55">
        <w:rPr>
          <w:i/>
        </w:rPr>
        <w:t>POST</w:t>
      </w:r>
      <w:r w:rsidR="00033340" w:rsidRPr="00E26D55">
        <w:rPr>
          <w:i/>
          <w:vertAlign w:val="subscript"/>
        </w:rPr>
        <w:t>it</w:t>
      </w:r>
      <w:r w:rsidR="00033340" w:rsidRPr="00E26D55">
        <w:rPr>
          <w:i/>
        </w:rPr>
        <w:t xml:space="preserve"> + β</w:t>
      </w:r>
      <w:r w:rsidR="00033340" w:rsidRPr="00E26D55">
        <w:rPr>
          <w:i/>
          <w:vertAlign w:val="subscript"/>
        </w:rPr>
        <w:t>2</w:t>
      </w:r>
      <w:r w:rsidR="00033340" w:rsidRPr="00E26D55">
        <w:rPr>
          <w:i/>
        </w:rPr>
        <w:t>LN_MVE</w:t>
      </w:r>
      <w:r w:rsidR="00033340" w:rsidRPr="00E26D55">
        <w:rPr>
          <w:i/>
          <w:vertAlign w:val="subscript"/>
        </w:rPr>
        <w:t>it</w:t>
      </w:r>
      <w:r w:rsidR="00033340" w:rsidRPr="00E26D55">
        <w:rPr>
          <w:i/>
        </w:rPr>
        <w:t xml:space="preserve"> + β</w:t>
      </w:r>
      <w:r w:rsidR="00033340" w:rsidRPr="00E26D55">
        <w:rPr>
          <w:i/>
          <w:vertAlign w:val="subscript"/>
        </w:rPr>
        <w:t>3</w:t>
      </w:r>
      <w:r w:rsidR="00033340" w:rsidRPr="00E26D55">
        <w:rPr>
          <w:i/>
        </w:rPr>
        <w:t>NUM_ANALYST</w:t>
      </w:r>
      <w:r w:rsidR="00033340" w:rsidRPr="00E26D55">
        <w:rPr>
          <w:i/>
          <w:vertAlign w:val="subscript"/>
        </w:rPr>
        <w:t>it</w:t>
      </w:r>
      <w:r w:rsidR="00033340" w:rsidRPr="00E26D55">
        <w:rPr>
          <w:i/>
        </w:rPr>
        <w:t xml:space="preserve"> + β</w:t>
      </w:r>
      <w:r w:rsidR="00033340" w:rsidRPr="00E26D55">
        <w:rPr>
          <w:i/>
          <w:vertAlign w:val="subscript"/>
        </w:rPr>
        <w:t>4</w:t>
      </w:r>
      <w:r>
        <w:rPr>
          <w:i/>
        </w:rPr>
        <w:t>SD_CFO</w:t>
      </w:r>
      <w:r w:rsidR="00033340" w:rsidRPr="00E26D55">
        <w:rPr>
          <w:i/>
          <w:vertAlign w:val="subscript"/>
        </w:rPr>
        <w:t>it</w:t>
      </w:r>
      <w:r w:rsidR="00033340" w:rsidRPr="00E26D55">
        <w:rPr>
          <w:i/>
        </w:rPr>
        <w:t xml:space="preserve"> </w:t>
      </w:r>
      <w:r>
        <w:rPr>
          <w:i/>
        </w:rPr>
        <w:t>+</w:t>
      </w:r>
      <w:r w:rsidR="00033340" w:rsidRPr="00E26D55">
        <w:t xml:space="preserve">     </w:t>
      </w:r>
      <w:r>
        <w:t xml:space="preserve">  </w:t>
      </w:r>
      <w:r w:rsidR="00033340" w:rsidRPr="00E26D55">
        <w:t>(2)</w:t>
      </w:r>
    </w:p>
    <w:p w14:paraId="43D555D3" w14:textId="33A10B30" w:rsidR="00033340" w:rsidRPr="00E26D55" w:rsidRDefault="00033340" w:rsidP="001853E3">
      <w:pPr>
        <w:widowControl w:val="0"/>
        <w:spacing w:line="480" w:lineRule="auto"/>
        <w:ind w:left="1440"/>
        <w:contextualSpacing/>
        <w:rPr>
          <w:i/>
          <w:vertAlign w:val="subscript"/>
        </w:rPr>
      </w:pPr>
      <w:r w:rsidRPr="00E26D55">
        <w:rPr>
          <w:i/>
        </w:rPr>
        <w:t xml:space="preserve">   β</w:t>
      </w:r>
      <w:r w:rsidRPr="00E26D55">
        <w:rPr>
          <w:i/>
          <w:vertAlign w:val="subscript"/>
        </w:rPr>
        <w:t>5</w:t>
      </w:r>
      <w:r w:rsidRPr="00E26D55">
        <w:rPr>
          <w:i/>
        </w:rPr>
        <w:t>DISP</w:t>
      </w:r>
      <w:r w:rsidRPr="00E26D55">
        <w:rPr>
          <w:i/>
          <w:vertAlign w:val="subscript"/>
        </w:rPr>
        <w:t>it</w:t>
      </w:r>
      <w:r w:rsidRPr="00E26D55">
        <w:rPr>
          <w:i/>
        </w:rPr>
        <w:t xml:space="preserve"> +β</w:t>
      </w:r>
      <w:r w:rsidRPr="00E26D55">
        <w:rPr>
          <w:i/>
          <w:vertAlign w:val="subscript"/>
        </w:rPr>
        <w:t>6</w:t>
      </w:r>
      <w:r w:rsidRPr="00E26D55">
        <w:rPr>
          <w:i/>
        </w:rPr>
        <w:t>LOSS</w:t>
      </w:r>
      <w:r w:rsidRPr="00E26D55">
        <w:rPr>
          <w:i/>
          <w:vertAlign w:val="subscript"/>
        </w:rPr>
        <w:t>it</w:t>
      </w:r>
      <w:r w:rsidRPr="00E26D55">
        <w:rPr>
          <w:i/>
        </w:rPr>
        <w:t xml:space="preserve"> + β</w:t>
      </w:r>
      <w:r w:rsidRPr="00E26D55">
        <w:rPr>
          <w:i/>
          <w:vertAlign w:val="subscript"/>
        </w:rPr>
        <w:t>7</w:t>
      </w:r>
      <w:r w:rsidRPr="00E26D55">
        <w:rPr>
          <w:i/>
        </w:rPr>
        <w:t>UE</w:t>
      </w:r>
      <w:r w:rsidRPr="00E26D55">
        <w:rPr>
          <w:i/>
          <w:vertAlign w:val="subscript"/>
        </w:rPr>
        <w:t>it</w:t>
      </w:r>
      <w:r w:rsidR="00C871C6" w:rsidRPr="00E26D55">
        <w:rPr>
          <w:i/>
        </w:rPr>
        <w:t xml:space="preserve"> + β</w:t>
      </w:r>
      <w:r w:rsidR="00C871C6" w:rsidRPr="00E26D55">
        <w:rPr>
          <w:i/>
          <w:vertAlign w:val="subscript"/>
        </w:rPr>
        <w:t>8</w:t>
      </w:r>
      <w:r w:rsidR="000D3358">
        <w:rPr>
          <w:i/>
        </w:rPr>
        <w:t>LAG</w:t>
      </w:r>
      <w:r w:rsidR="00C871C6" w:rsidRPr="00E26D55">
        <w:rPr>
          <w:i/>
          <w:vertAlign w:val="subscript"/>
        </w:rPr>
        <w:t>it</w:t>
      </w:r>
      <w:r w:rsidR="00C871C6" w:rsidRPr="00E26D55">
        <w:rPr>
          <w:i/>
        </w:rPr>
        <w:t xml:space="preserve"> + </w:t>
      </w:r>
      <w:r w:rsidRPr="00E26D55">
        <w:rPr>
          <w:i/>
        </w:rPr>
        <w:t>IND_FE + ε</w:t>
      </w:r>
      <w:r w:rsidRPr="00E26D55">
        <w:rPr>
          <w:i/>
          <w:vertAlign w:val="subscript"/>
        </w:rPr>
        <w:t>it</w:t>
      </w:r>
    </w:p>
    <w:p w14:paraId="5FB8AA25" w14:textId="736B7B6D" w:rsidR="009333BC" w:rsidRPr="00E26D55" w:rsidRDefault="00033340" w:rsidP="001853E3">
      <w:pPr>
        <w:widowControl w:val="0"/>
        <w:spacing w:line="480" w:lineRule="auto"/>
        <w:ind w:firstLine="720"/>
        <w:contextualSpacing/>
        <w:jc w:val="both"/>
      </w:pPr>
      <w:r w:rsidRPr="00E26D55">
        <w:t>A</w:t>
      </w:r>
      <w:r w:rsidR="003F2B3C" w:rsidRPr="00E26D55">
        <w:t>bnormal trading volume (</w:t>
      </w:r>
      <w:r w:rsidR="003F2B3C" w:rsidRPr="00E26D55">
        <w:rPr>
          <w:i/>
        </w:rPr>
        <w:t>AVOL</w:t>
      </w:r>
      <w:r w:rsidR="001B0A06" w:rsidRPr="00E26D55">
        <w:t>) equals the natural log</w:t>
      </w:r>
      <w:r w:rsidR="00171213" w:rsidRPr="00E26D55">
        <w:t>arithm</w:t>
      </w:r>
      <w:r w:rsidR="001B0A06" w:rsidRPr="00E26D55">
        <w:t xml:space="preserve"> of </w:t>
      </w:r>
      <w:r w:rsidR="00E26277" w:rsidRPr="00E26D55">
        <w:t xml:space="preserve">the ratio of </w:t>
      </w:r>
      <w:r w:rsidR="001B0A06" w:rsidRPr="00E26D55">
        <w:t xml:space="preserve">a firm’s </w:t>
      </w:r>
      <w:r w:rsidR="003F2B3C" w:rsidRPr="00E26D55">
        <w:t xml:space="preserve">mean event-period volume </w:t>
      </w:r>
      <w:r w:rsidR="00E26277" w:rsidRPr="00E26D55">
        <w:t>to</w:t>
      </w:r>
      <w:r w:rsidR="003F2B3C" w:rsidRPr="00E26D55">
        <w:t xml:space="preserve"> the </w:t>
      </w:r>
      <w:r w:rsidR="001B0A06" w:rsidRPr="00E26D55">
        <w:t xml:space="preserve">firm’s </w:t>
      </w:r>
      <w:r w:rsidR="003F2B3C" w:rsidRPr="00E26D55">
        <w:t>average estimation-period volume</w:t>
      </w:r>
      <w:r w:rsidR="00622684" w:rsidRPr="00E26D55">
        <w:t xml:space="preserve"> </w:t>
      </w:r>
      <w:r w:rsidR="00622684" w:rsidRPr="00E26D55">
        <w:fldChar w:fldCharType="begin">
          <w:fldData xml:space="preserve">PEVuZE5vdGU+PENpdGU+PEF1dGhvcj5EZUZvbmQ8L0F1dGhvcj48WWVhcj4yMDA3PC9ZZWFyPjxS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</w:fldData>
        </w:fldChar>
      </w:r>
      <w:r w:rsidR="00622684" w:rsidRPr="00E26D55">
        <w:instrText xml:space="preserve"> ADDIN EN.CITE </w:instrText>
      </w:r>
      <w:r w:rsidR="00622684" w:rsidRPr="00E26D55">
        <w:fldChar w:fldCharType="begin">
          <w:fldData xml:space="preserve">PEVuZE5vdGU+PENpdGU+PEF1dGhvcj5EZUZvbmQ8L0F1dGhvcj48WWVhcj4yMDA3PC9ZZWFyPjxS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</w:fldData>
        </w:fldChar>
      </w:r>
      <w:r w:rsidR="00622684" w:rsidRPr="00E26D55">
        <w:instrText xml:space="preserve"> ADDIN EN.CITE.DATA </w:instrText>
      </w:r>
      <w:r w:rsidR="00622684" w:rsidRPr="00E26D55">
        <w:fldChar w:fldCharType="end"/>
      </w:r>
      <w:r w:rsidR="00622684" w:rsidRPr="00E26D55">
        <w:fldChar w:fldCharType="separate"/>
      </w:r>
      <w:r w:rsidR="00622684" w:rsidRPr="00E26D55">
        <w:rPr>
          <w:noProof/>
        </w:rPr>
        <w:t>(</w:t>
      </w:r>
      <w:hyperlink w:anchor="_ENREF_31" w:tooltip="DeFond, 2007 #102" w:history="1">
        <w:r w:rsidR="006A749C" w:rsidRPr="00E26D55">
          <w:rPr>
            <w:noProof/>
          </w:rPr>
          <w:t>DeFond et al. 2007</w:t>
        </w:r>
      </w:hyperlink>
      <w:r w:rsidR="00622684" w:rsidRPr="00E26D55">
        <w:rPr>
          <w:noProof/>
        </w:rPr>
        <w:t xml:space="preserve">; </w:t>
      </w:r>
      <w:hyperlink w:anchor="_ENREF_52" w:tooltip="Landsman, 2012 #99" w:history="1">
        <w:r w:rsidR="006A749C" w:rsidRPr="00E26D55">
          <w:rPr>
            <w:noProof/>
          </w:rPr>
          <w:t>Landsman et al. 2012</w:t>
        </w:r>
      </w:hyperlink>
      <w:r w:rsidR="00622684" w:rsidRPr="00E26D55">
        <w:rPr>
          <w:noProof/>
        </w:rPr>
        <w:t>)</w:t>
      </w:r>
      <w:r w:rsidR="00622684" w:rsidRPr="00E26D55">
        <w:fldChar w:fldCharType="end"/>
      </w:r>
      <w:r w:rsidR="00D56306" w:rsidRPr="00E26D55">
        <w:t>.</w:t>
      </w:r>
      <w:r w:rsidR="00471E6F" w:rsidRPr="00E26D55">
        <w:rPr>
          <w:rStyle w:val="FootnoteReference"/>
        </w:rPr>
        <w:footnoteReference w:id="23"/>
      </w:r>
      <w:r w:rsidR="00FD5463" w:rsidRPr="00E26D55">
        <w:t xml:space="preserve"> The event-period v</w:t>
      </w:r>
      <w:r w:rsidR="00AE67FA" w:rsidRPr="00E26D55">
        <w:t xml:space="preserve">olume is the daily volume </w:t>
      </w:r>
      <w:r w:rsidR="00E474E5" w:rsidRPr="00E26D55">
        <w:t>for</w:t>
      </w:r>
      <w:r w:rsidR="001B0A06" w:rsidRPr="00E26D55">
        <w:t xml:space="preserve"> a </w:t>
      </w:r>
      <w:r w:rsidR="00E474E5" w:rsidRPr="00E26D55">
        <w:t xml:space="preserve">firm </w:t>
      </w:r>
      <w:r w:rsidR="00AE67FA" w:rsidRPr="00E26D55">
        <w:t xml:space="preserve">on </w:t>
      </w:r>
      <w:r w:rsidR="00E474E5" w:rsidRPr="00E26D55">
        <w:t xml:space="preserve">the </w:t>
      </w:r>
      <w:r w:rsidR="00FC3466" w:rsidRPr="00E26D55">
        <w:t>two-day window beginning</w:t>
      </w:r>
      <w:r w:rsidR="00AE67FA" w:rsidRPr="00E26D55">
        <w:t xml:space="preserve"> on the </w:t>
      </w:r>
      <w:r w:rsidR="00E474E5" w:rsidRPr="00E26D55">
        <w:t xml:space="preserve">firm’s </w:t>
      </w:r>
      <w:r w:rsidR="00AE67FA" w:rsidRPr="00E26D55">
        <w:t>event date scaled</w:t>
      </w:r>
      <w:r w:rsidR="00FD5463" w:rsidRPr="00E26D55">
        <w:t xml:space="preserve"> by </w:t>
      </w:r>
      <w:r w:rsidR="001B0A06" w:rsidRPr="00E26D55">
        <w:t>its</w:t>
      </w:r>
      <w:r w:rsidR="002069CB" w:rsidRPr="00E26D55">
        <w:t xml:space="preserve"> shares outstanding</w:t>
      </w:r>
      <w:r w:rsidR="001B0A06" w:rsidRPr="00E26D55">
        <w:t xml:space="preserve"> during the event period</w:t>
      </w:r>
      <w:r w:rsidR="00037EBC" w:rsidRPr="00E26D55">
        <w:t xml:space="preserve"> </w:t>
      </w:r>
      <w:r w:rsidR="00622684" w:rsidRPr="00E26D55">
        <w:fldChar w:fldCharType="begin"/>
      </w:r>
      <w:r w:rsidR="00622684" w:rsidRPr="00E26D55">
        <w:instrText xml:space="preserve"> ADDIN EN.CITE &lt;EndNote&gt;&lt;Cite&gt;&lt;Author&gt;DeFond&lt;/Author&gt;&lt;Year&gt;2007&lt;/Year&gt;&lt;RecNum&gt;102&lt;/RecNum&gt;&lt;DisplayText&gt;(DeFond et al. 2007)&lt;/DisplayText&gt;&lt;record&gt;&lt;rec-number&gt;102&lt;/rec-number&gt;&lt;foreign-keys&gt;&lt;key app="EN" db-id="frdsfrdx0zpts8ex5pfvfda4s9srzrvrxd9z" timestamp="1395942682"&gt;102&lt;/key&gt;&lt;/foreign-keys&gt;&lt;ref-type name="Journal Article"&gt;17&lt;/ref-type&gt;&lt;contributors&gt;&lt;authors&gt;&lt;author&gt;DeFond, Mark&lt;/author&gt;&lt;author&gt;Hung, Mingyi&lt;/author&gt;&lt;author&gt;Trezevant, Robert&lt;/author&gt;&lt;/authors&gt;&lt;/contributors&gt;&lt;titles&gt;&lt;title&gt;Investor protection and the information content of annual earnings announcements: International evidence&lt;/title&gt;&lt;secondary-title&gt;Journal of Accounting and Economics&lt;/secondary-title&gt;&lt;/titles&gt;&lt;periodical&gt;&lt;full-title&gt;Journal of Accounting and Economics&lt;/full-title&gt;&lt;/periodical&gt;&lt;pages&gt;37-67&lt;/pages&gt;&lt;volume&gt;43&lt;/volume&gt;&lt;number&gt;1&lt;/number&gt;&lt;keywords&gt;&lt;keyword&gt;Cross-country event study&lt;/keyword&gt;&lt;keyword&gt;Earnings announcement&lt;/keyword&gt;&lt;keyword&gt;Price reaction&lt;/keyword&gt;&lt;/keywords&gt;&lt;dates&gt;&lt;year&gt;2007&lt;/year&gt;&lt;pub-dates&gt;&lt;date&gt;3//&lt;/date&gt;&lt;/pub-dates&gt;&lt;/dates&gt;&lt;isbn&gt;0165-4101&lt;/isbn&gt;&lt;urls&gt;&lt;related-urls&gt;&lt;url&gt;http://www.sciencedirect.com/science/article/pii/S0165410106000826&lt;/url&gt;&lt;/related-urls&gt;&lt;/urls&gt;&lt;electronic-resource-num&gt;http://dx.doi.org/10.1016/j.jacceco.2006.09.001&lt;/electronic-resource-num&gt;&lt;/record&gt;&lt;/Cite&gt;&lt;/EndNote&gt;</w:instrText>
      </w:r>
      <w:r w:rsidR="00622684" w:rsidRPr="00E26D55">
        <w:fldChar w:fldCharType="separate"/>
      </w:r>
      <w:r w:rsidR="00622684" w:rsidRPr="00E26D55">
        <w:rPr>
          <w:noProof/>
        </w:rPr>
        <w:t>(</w:t>
      </w:r>
      <w:hyperlink w:anchor="_ENREF_31" w:tooltip="DeFond, 2007 #102" w:history="1">
        <w:r w:rsidR="006A749C" w:rsidRPr="00E26D55">
          <w:rPr>
            <w:noProof/>
          </w:rPr>
          <w:t>DeFond et al. 2007</w:t>
        </w:r>
      </w:hyperlink>
      <w:r w:rsidR="00622684" w:rsidRPr="00E26D55">
        <w:rPr>
          <w:noProof/>
        </w:rPr>
        <w:t>)</w:t>
      </w:r>
      <w:r w:rsidR="00622684" w:rsidRPr="00E26D55">
        <w:fldChar w:fldCharType="end"/>
      </w:r>
      <w:r w:rsidR="00622684" w:rsidRPr="00E26D55">
        <w:t xml:space="preserve">. </w:t>
      </w:r>
      <w:r w:rsidR="002069CB" w:rsidRPr="00E26D55">
        <w:t xml:space="preserve">The estimation-period volume </w:t>
      </w:r>
      <w:r w:rsidR="001B0A06" w:rsidRPr="00E26D55">
        <w:t xml:space="preserve">is measured </w:t>
      </w:r>
      <w:r w:rsidR="00673B00" w:rsidRPr="00E26D55">
        <w:t xml:space="preserve">over the trading period beginning </w:t>
      </w:r>
      <w:r w:rsidR="0026590D" w:rsidRPr="00E26D55">
        <w:t>61</w:t>
      </w:r>
      <w:r w:rsidR="00673B00" w:rsidRPr="00E26D55">
        <w:t xml:space="preserve"> days before the </w:t>
      </w:r>
      <w:r w:rsidR="002947E5" w:rsidRPr="00E26D55">
        <w:t>earnings announcement date</w:t>
      </w:r>
      <w:r w:rsidR="00673B00" w:rsidRPr="00E26D55">
        <w:t xml:space="preserve"> and ending</w:t>
      </w:r>
      <w:r w:rsidR="004C50DB" w:rsidRPr="00E26D55">
        <w:t xml:space="preserve"> </w:t>
      </w:r>
      <w:r w:rsidR="0026590D" w:rsidRPr="00E26D55">
        <w:t xml:space="preserve">40 </w:t>
      </w:r>
      <w:r w:rsidR="004C50DB" w:rsidRPr="00E26D55">
        <w:t xml:space="preserve">days </w:t>
      </w:r>
      <w:r w:rsidR="003E49A7" w:rsidRPr="00E26D55">
        <w:t>later (i.e.</w:t>
      </w:r>
      <w:r w:rsidR="00C72297" w:rsidRPr="00E26D55">
        <w:t>,</w:t>
      </w:r>
      <w:r w:rsidR="003E49A7" w:rsidRPr="00E26D55">
        <w:t xml:space="preserve"> 21 days </w:t>
      </w:r>
      <w:r w:rsidR="004C50DB" w:rsidRPr="00E26D55">
        <w:t xml:space="preserve">before the </w:t>
      </w:r>
      <w:r w:rsidR="002947E5" w:rsidRPr="00E26D55">
        <w:t>earnings release</w:t>
      </w:r>
      <w:r w:rsidR="003E49A7" w:rsidRPr="00E26D55">
        <w:t>)</w:t>
      </w:r>
      <w:r w:rsidR="00037EBC" w:rsidRPr="00E26D55">
        <w:t xml:space="preserve"> </w:t>
      </w:r>
      <w:r w:rsidR="0079592F" w:rsidRPr="00E26D55">
        <w:fldChar w:fldCharType="begin">
          <w:fldData xml:space="preserve">PEVuZE5vdGU+PENpdGU+PEF1dGhvcj5EZUZvbmQ8L0F1dGhvcj48WWVhcj4yMDA3PC9ZZWFyPjxS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</w:fldData>
        </w:fldChar>
      </w:r>
      <w:r w:rsidR="00D56306" w:rsidRPr="00E26D55">
        <w:instrText xml:space="preserve"> ADDIN EN.CITE </w:instrText>
      </w:r>
      <w:r w:rsidR="00D56306" w:rsidRPr="00E26D55">
        <w:fldChar w:fldCharType="begin">
          <w:fldData xml:space="preserve">PEVuZE5vdGU+PENpdGU+PEF1dGhvcj5EZUZvbmQ8L0F1dGhvcj48WWVhcj4yMDA3PC9ZZWFyPjxS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</w:fldData>
        </w:fldChar>
      </w:r>
      <w:r w:rsidR="00D56306" w:rsidRPr="00E26D55">
        <w:instrText xml:space="preserve"> ADDIN EN.CITE.DATA </w:instrText>
      </w:r>
      <w:r w:rsidR="00D56306" w:rsidRPr="00E26D55">
        <w:fldChar w:fldCharType="end"/>
      </w:r>
      <w:r w:rsidR="0079592F" w:rsidRPr="00E26D55">
        <w:fldChar w:fldCharType="separate"/>
      </w:r>
      <w:r w:rsidR="00D56306" w:rsidRPr="00E26D55">
        <w:rPr>
          <w:noProof/>
        </w:rPr>
        <w:t>(</w:t>
      </w:r>
      <w:hyperlink w:anchor="_ENREF_31" w:tooltip="DeFond, 2007 #102" w:history="1">
        <w:r w:rsidR="006A749C" w:rsidRPr="00E26D55">
          <w:rPr>
            <w:noProof/>
          </w:rPr>
          <w:t>DeFond et al. 2007</w:t>
        </w:r>
      </w:hyperlink>
      <w:r w:rsidR="00D56306" w:rsidRPr="00E26D55">
        <w:rPr>
          <w:noProof/>
        </w:rPr>
        <w:t xml:space="preserve">; </w:t>
      </w:r>
      <w:hyperlink w:anchor="_ENREF_56" w:tooltip="Miller, 2010 #163" w:history="1">
        <w:r w:rsidR="006A749C" w:rsidRPr="00E26D55">
          <w:rPr>
            <w:noProof/>
          </w:rPr>
          <w:t>Miller 2010</w:t>
        </w:r>
      </w:hyperlink>
      <w:r w:rsidR="00D56306" w:rsidRPr="00E26D55">
        <w:rPr>
          <w:noProof/>
        </w:rPr>
        <w:t>)</w:t>
      </w:r>
      <w:r w:rsidR="0079592F" w:rsidRPr="00E26D55">
        <w:fldChar w:fldCharType="end"/>
      </w:r>
      <w:r w:rsidR="004C50DB" w:rsidRPr="00E26D55">
        <w:t>.</w:t>
      </w:r>
      <w:r w:rsidR="00BA6199" w:rsidRPr="00E26D55">
        <w:rPr>
          <w:rStyle w:val="FootnoteReference"/>
        </w:rPr>
        <w:footnoteReference w:id="24"/>
      </w:r>
      <w:r w:rsidR="00A026C6" w:rsidRPr="00E26D55">
        <w:t xml:space="preserve"> </w:t>
      </w:r>
      <w:r w:rsidR="00C13A22" w:rsidRPr="00E26D55">
        <w:t>The abnormal bid-ask spread (</w:t>
      </w:r>
      <w:r w:rsidR="00C13A22" w:rsidRPr="00E26D55">
        <w:rPr>
          <w:i/>
        </w:rPr>
        <w:t>ASPREAD</w:t>
      </w:r>
      <w:r w:rsidR="00C13A22" w:rsidRPr="00E26D55">
        <w:t xml:space="preserve">) </w:t>
      </w:r>
      <w:r w:rsidR="00B1136F" w:rsidRPr="00E26D55">
        <w:t>is calculated as</w:t>
      </w:r>
      <w:r w:rsidR="00B425F7" w:rsidRPr="00E26D55">
        <w:t xml:space="preserve"> a firm’s average event-period </w:t>
      </w:r>
      <w:r w:rsidR="008768F6" w:rsidRPr="00E26D55">
        <w:t xml:space="preserve">daily percent spread less the firm’s mean estimation-period daily percent spread </w:t>
      </w:r>
      <w:r w:rsidR="008768F6" w:rsidRPr="00E26D55">
        <w:fldChar w:fldCharType="begin">
          <w:fldData xml:space="preserve">PEVuZE5vdGU+PENpdGU+PEF1dGhvcj5CbGFua2VzcG9vcjwvQXV0aG9yPjxZZWFyPjIwMTQ8L1ll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</w:fldData>
        </w:fldChar>
      </w:r>
      <w:r w:rsidR="008768F6" w:rsidRPr="00E26D55">
        <w:instrText xml:space="preserve"> ADDIN EN.CITE </w:instrText>
      </w:r>
      <w:r w:rsidR="008768F6" w:rsidRPr="00E26D55">
        <w:fldChar w:fldCharType="begin">
          <w:fldData xml:space="preserve">PEVuZE5vdGU+PENpdGU+PEF1dGhvcj5CbGFua2VzcG9vcjwvQXV0aG9yPjxZZWFyPjIwMTQ8L1ll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</w:fldData>
        </w:fldChar>
      </w:r>
      <w:r w:rsidR="008768F6" w:rsidRPr="00E26D55">
        <w:instrText xml:space="preserve"> ADDIN EN.CITE.DATA </w:instrText>
      </w:r>
      <w:r w:rsidR="008768F6" w:rsidRPr="00E26D55">
        <w:fldChar w:fldCharType="end"/>
      </w:r>
      <w:r w:rsidR="008768F6" w:rsidRPr="00E26D55">
        <w:fldChar w:fldCharType="separate"/>
      </w:r>
      <w:r w:rsidR="008768F6" w:rsidRPr="00E26D55">
        <w:rPr>
          <w:noProof/>
        </w:rPr>
        <w:t>(</w:t>
      </w:r>
      <w:hyperlink w:anchor="_ENREF_9" w:tooltip="Blankespoor, 2014 #342" w:history="1">
        <w:r w:rsidR="006A749C" w:rsidRPr="00E26D55">
          <w:rPr>
            <w:noProof/>
          </w:rPr>
          <w:t>Blankespoor et al. 2014</w:t>
        </w:r>
      </w:hyperlink>
      <w:r w:rsidR="008768F6" w:rsidRPr="00E26D55">
        <w:rPr>
          <w:noProof/>
        </w:rPr>
        <w:t xml:space="preserve">; </w:t>
      </w:r>
      <w:hyperlink w:anchor="_ENREF_12" w:tooltip="Bushee, 2010 #343" w:history="1">
        <w:r w:rsidR="006A749C" w:rsidRPr="00E26D55">
          <w:rPr>
            <w:noProof/>
          </w:rPr>
          <w:t>Bushee et al. 2010</w:t>
        </w:r>
      </w:hyperlink>
      <w:r w:rsidR="008768F6" w:rsidRPr="00E26D55">
        <w:rPr>
          <w:noProof/>
        </w:rPr>
        <w:t>)</w:t>
      </w:r>
      <w:r w:rsidR="008768F6" w:rsidRPr="00E26D55">
        <w:fldChar w:fldCharType="end"/>
      </w:r>
      <w:r w:rsidR="008768F6" w:rsidRPr="00E26D55">
        <w:t xml:space="preserve">. </w:t>
      </w:r>
      <w:r w:rsidR="00B1136F" w:rsidRPr="00E26D55">
        <w:t xml:space="preserve">The daily percent spread equals </w:t>
      </w:r>
      <w:r w:rsidR="00BD4030" w:rsidRPr="00E26D55">
        <w:t xml:space="preserve">the </w:t>
      </w:r>
      <w:r w:rsidR="008F3A97" w:rsidRPr="00E26D55">
        <w:t>bid-ask spread</w:t>
      </w:r>
      <w:r w:rsidR="00BD4030" w:rsidRPr="00E26D55">
        <w:t xml:space="preserve"> divided by the midpoint of the bid and ask price, all multiplied by 100.</w:t>
      </w:r>
      <w:r w:rsidR="00AA08E3" w:rsidRPr="00E26D55">
        <w:rPr>
          <w:rStyle w:val="FootnoteReference"/>
        </w:rPr>
        <w:footnoteReference w:id="25"/>
      </w:r>
      <w:r w:rsidR="00BD4030" w:rsidRPr="00E26D55">
        <w:t xml:space="preserve"> To ensure consistency, the same event-period and estimation-period are used to compute </w:t>
      </w:r>
      <w:r w:rsidR="00BD4030" w:rsidRPr="00E26D55">
        <w:rPr>
          <w:i/>
        </w:rPr>
        <w:t>ASPREAD</w:t>
      </w:r>
      <w:r w:rsidR="00BD4030" w:rsidRPr="00E26D55">
        <w:t xml:space="preserve"> and </w:t>
      </w:r>
      <w:r w:rsidR="00BD4030" w:rsidRPr="00E26D55">
        <w:rPr>
          <w:i/>
        </w:rPr>
        <w:t>AVOL</w:t>
      </w:r>
      <w:r w:rsidR="00BD4030" w:rsidRPr="00E26D55">
        <w:t xml:space="preserve">. </w:t>
      </w:r>
      <w:r w:rsidR="004D5D9F" w:rsidRPr="00E26D55">
        <w:t xml:space="preserve">The variable of interest, </w:t>
      </w:r>
      <w:r w:rsidR="00916B0C" w:rsidRPr="00E26D55">
        <w:rPr>
          <w:i/>
        </w:rPr>
        <w:t>POST</w:t>
      </w:r>
      <w:r w:rsidR="004D5D9F" w:rsidRPr="00E26D55">
        <w:t>,</w:t>
      </w:r>
      <w:r w:rsidR="00A37B53" w:rsidRPr="00E26D55">
        <w:t xml:space="preserve"> equals one if the fiscal year is the first year of the new reporting regime and zero otherwise. </w:t>
      </w:r>
      <w:r w:rsidR="005A3360" w:rsidRPr="00E26D55">
        <w:t>In line with</w:t>
      </w:r>
      <w:r w:rsidR="004628CB" w:rsidRPr="00E26D55">
        <w:t xml:space="preserve"> </w:t>
      </w:r>
      <w:r w:rsidR="004628CB" w:rsidRPr="00E26D55">
        <w:rPr>
          <w:i/>
        </w:rPr>
        <w:t>H1</w:t>
      </w:r>
      <w:r w:rsidR="004628CB" w:rsidRPr="00E26D55">
        <w:t xml:space="preserve">, I </w:t>
      </w:r>
      <w:r w:rsidR="005A3360" w:rsidRPr="00E26D55">
        <w:t>expect the</w:t>
      </w:r>
      <w:r w:rsidR="00E2085E" w:rsidRPr="00E26D55">
        <w:t xml:space="preserve"> coefficient on </w:t>
      </w:r>
      <w:r w:rsidR="005A3360" w:rsidRPr="00E26D55">
        <w:rPr>
          <w:i/>
        </w:rPr>
        <w:t>POST</w:t>
      </w:r>
      <w:r w:rsidR="005A3360" w:rsidRPr="00E26D55">
        <w:t xml:space="preserve"> </w:t>
      </w:r>
      <w:r w:rsidR="004B0ABE" w:rsidRPr="00E26D55">
        <w:t>(</w:t>
      </w:r>
      <w:r w:rsidR="004B0ABE" w:rsidRPr="00E26D55">
        <w:rPr>
          <w:i/>
        </w:rPr>
        <w:t>β</w:t>
      </w:r>
      <w:r w:rsidR="004B0ABE" w:rsidRPr="00E26D55">
        <w:rPr>
          <w:i/>
          <w:vertAlign w:val="subscript"/>
        </w:rPr>
        <w:t>1</w:t>
      </w:r>
      <w:r w:rsidR="004B0ABE" w:rsidRPr="00E26D55">
        <w:t xml:space="preserve">) </w:t>
      </w:r>
      <w:r w:rsidR="005A3360" w:rsidRPr="00E26D55">
        <w:t>to be positive and significant</w:t>
      </w:r>
      <w:r w:rsidR="004B0ABE" w:rsidRPr="00E26D55">
        <w:t xml:space="preserve"> in model (1) and negative and significant in model (2)</w:t>
      </w:r>
      <w:r w:rsidR="00E2085E" w:rsidRPr="00E26D55">
        <w:t xml:space="preserve"> </w:t>
      </w:r>
      <w:r w:rsidR="00BD4030" w:rsidRPr="00E26D55">
        <w:t>as I predict that</w:t>
      </w:r>
      <w:r w:rsidR="00E2085E" w:rsidRPr="00E26D55">
        <w:t xml:space="preserve"> </w:t>
      </w:r>
      <w:r w:rsidR="00D27677" w:rsidRPr="00E26D55">
        <w:t xml:space="preserve">the new audit committee and auditor reports will be more useful to investors compared to </w:t>
      </w:r>
      <w:r w:rsidR="004B0ABE" w:rsidRPr="00E26D55">
        <w:t>the previously required reports and serve to reduce information asymmetry.</w:t>
      </w:r>
    </w:p>
    <w:p w14:paraId="4A64331E" w14:textId="5580BD8D" w:rsidR="00144919" w:rsidRPr="00E26D55" w:rsidRDefault="00B91BAF" w:rsidP="001853E3">
      <w:pPr>
        <w:widowControl w:val="0"/>
        <w:spacing w:line="480" w:lineRule="auto"/>
        <w:ind w:firstLine="720"/>
        <w:contextualSpacing/>
        <w:jc w:val="both"/>
      </w:pPr>
      <w:r w:rsidRPr="00E26D55">
        <w:t>Following prior literature</w:t>
      </w:r>
      <w:r w:rsidR="00126525" w:rsidRPr="00E26D55">
        <w:t xml:space="preserve"> </w:t>
      </w:r>
      <w:r w:rsidR="0079592F" w:rsidRPr="00E26D55">
        <w:fldChar w:fldCharType="begin">
          <w:fldData xml:space="preserve">PEVuZE5vdGU+PENpdGU+PEF1dGhvcj5EZUZvbmQ8L0F1dGhvcj48WWVhcj4yMDA3PC9ZZWFyPjxS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</w:fldData>
        </w:fldChar>
      </w:r>
      <w:r w:rsidR="00BC5B33" w:rsidRPr="00E26D55">
        <w:instrText xml:space="preserve"> ADDIN EN.CITE </w:instrText>
      </w:r>
      <w:r w:rsidR="00BC5B33" w:rsidRPr="00E26D55">
        <w:fldChar w:fldCharType="begin">
          <w:fldData xml:space="preserve">PEVuZE5vdGU+PENpdGU+PEF1dGhvcj5EZUZvbmQ8L0F1dGhvcj48WWVhcj4yMDA3PC9ZZWFyPjxS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</w:fldData>
        </w:fldChar>
      </w:r>
      <w:r w:rsidR="00BC5B33" w:rsidRPr="00E26D55">
        <w:instrText xml:space="preserve"> ADDIN EN.CITE.DATA </w:instrText>
      </w:r>
      <w:r w:rsidR="00BC5B33" w:rsidRPr="00E26D55">
        <w:fldChar w:fldCharType="end"/>
      </w:r>
      <w:r w:rsidR="0079592F" w:rsidRPr="00E26D55">
        <w:fldChar w:fldCharType="separate"/>
      </w:r>
      <w:r w:rsidR="00BC5B33" w:rsidRPr="00E26D55">
        <w:rPr>
          <w:noProof/>
        </w:rPr>
        <w:t>(</w:t>
      </w:r>
      <w:hyperlink w:anchor="_ENREF_31" w:tooltip="DeFond, 2007 #102" w:history="1">
        <w:r w:rsidR="006A749C" w:rsidRPr="00E26D55">
          <w:rPr>
            <w:noProof/>
          </w:rPr>
          <w:t>DeFond et al. 2007</w:t>
        </w:r>
      </w:hyperlink>
      <w:r w:rsidR="00BC5B33" w:rsidRPr="00E26D55">
        <w:rPr>
          <w:noProof/>
        </w:rPr>
        <w:t xml:space="preserve">; </w:t>
      </w:r>
      <w:hyperlink w:anchor="_ENREF_52" w:tooltip="Landsman, 2012 #99" w:history="1">
        <w:r w:rsidR="006A749C" w:rsidRPr="00E26D55">
          <w:rPr>
            <w:noProof/>
          </w:rPr>
          <w:t>Landsman et al. 2012</w:t>
        </w:r>
      </w:hyperlink>
      <w:r w:rsidR="00BC5B33" w:rsidRPr="00E26D55">
        <w:rPr>
          <w:noProof/>
        </w:rPr>
        <w:t xml:space="preserve">; </w:t>
      </w:r>
      <w:hyperlink w:anchor="_ENREF_9" w:tooltip="Blankespoor, 2014 #342" w:history="1">
        <w:r w:rsidR="006A749C" w:rsidRPr="00E26D55">
          <w:rPr>
            <w:noProof/>
          </w:rPr>
          <w:t>Blankespoor et al. 2014</w:t>
        </w:r>
      </w:hyperlink>
      <w:r w:rsidR="00BC5B33" w:rsidRPr="00E26D55">
        <w:rPr>
          <w:noProof/>
        </w:rPr>
        <w:t>)</w:t>
      </w:r>
      <w:r w:rsidR="0079592F" w:rsidRPr="00E26D55">
        <w:fldChar w:fldCharType="end"/>
      </w:r>
      <w:r w:rsidR="00037EBC" w:rsidRPr="00E26D55">
        <w:t xml:space="preserve">, </w:t>
      </w:r>
      <w:r w:rsidRPr="00E26D55">
        <w:t xml:space="preserve">I </w:t>
      </w:r>
      <w:r w:rsidR="00274706" w:rsidRPr="00E26D55">
        <w:t xml:space="preserve">include several controls </w:t>
      </w:r>
      <w:r w:rsidR="001D2CE3" w:rsidRPr="00E26D55">
        <w:t xml:space="preserve">in the model </w:t>
      </w:r>
      <w:r w:rsidR="00274706" w:rsidRPr="00E26D55">
        <w:t xml:space="preserve">that </w:t>
      </w:r>
      <w:r w:rsidR="00BC5B33" w:rsidRPr="00E26D55">
        <w:t xml:space="preserve">may impact a firm’s </w:t>
      </w:r>
      <w:r w:rsidR="00F55E4D" w:rsidRPr="00E26D55">
        <w:t xml:space="preserve">abnormal </w:t>
      </w:r>
      <w:r w:rsidR="00BC5B33" w:rsidRPr="00E26D55">
        <w:t>trading volume and bid-ask spread</w:t>
      </w:r>
      <w:r w:rsidR="00274706" w:rsidRPr="00E26D55">
        <w:t>.</w:t>
      </w:r>
      <w:r w:rsidR="00A85F77" w:rsidRPr="00E26D55">
        <w:rPr>
          <w:rStyle w:val="FootnoteReference"/>
        </w:rPr>
        <w:footnoteReference w:id="26"/>
      </w:r>
      <w:r w:rsidR="001144EF" w:rsidRPr="00E26D55">
        <w:rPr>
          <w:vertAlign w:val="superscript"/>
        </w:rPr>
        <w:t>,</w:t>
      </w:r>
      <w:r w:rsidR="006D3A8A" w:rsidRPr="00E26D55">
        <w:rPr>
          <w:rStyle w:val="FootnoteReference"/>
        </w:rPr>
        <w:footnoteReference w:id="27"/>
      </w:r>
      <w:r w:rsidR="001144EF" w:rsidRPr="00E26D55">
        <w:t xml:space="preserve"> </w:t>
      </w:r>
      <w:r w:rsidR="00274706" w:rsidRPr="00E26D55">
        <w:t>F</w:t>
      </w:r>
      <w:r w:rsidRPr="00E26D55">
        <w:t>irm size</w:t>
      </w:r>
      <w:r w:rsidR="00604CAD" w:rsidRPr="00E26D55">
        <w:t xml:space="preserve"> (</w:t>
      </w:r>
      <w:r w:rsidR="00604CAD" w:rsidRPr="00E26D55">
        <w:rPr>
          <w:i/>
        </w:rPr>
        <w:t>LN_MVE</w:t>
      </w:r>
      <w:r w:rsidR="00604CAD" w:rsidRPr="00E26D55">
        <w:t>)</w:t>
      </w:r>
      <w:r w:rsidRPr="00E26D55">
        <w:t xml:space="preserve"> </w:t>
      </w:r>
      <w:r w:rsidR="00274706" w:rsidRPr="00E26D55">
        <w:t xml:space="preserve">is </w:t>
      </w:r>
      <w:r w:rsidRPr="00E26D55">
        <w:t>measured as the natural log</w:t>
      </w:r>
      <w:r w:rsidR="00604CAD" w:rsidRPr="00E26D55">
        <w:t>arithm</w:t>
      </w:r>
      <w:r w:rsidRPr="00E26D55">
        <w:t xml:space="preserve"> of the market value of equity at the </w:t>
      </w:r>
      <w:r w:rsidR="00274706" w:rsidRPr="00E26D55">
        <w:t xml:space="preserve">firm’s </w:t>
      </w:r>
      <w:r w:rsidRPr="00E26D55">
        <w:t>fiscal year-end</w:t>
      </w:r>
      <w:r w:rsidR="00604CAD" w:rsidRPr="00E26D55">
        <w:t xml:space="preserve">. </w:t>
      </w:r>
      <w:r w:rsidR="006E6614" w:rsidRPr="00E26D55">
        <w:t>Since p</w:t>
      </w:r>
      <w:r w:rsidR="00C01716" w:rsidRPr="00E26D55">
        <w:t xml:space="preserve">rior research reports mixed results for the association between </w:t>
      </w:r>
      <w:r w:rsidR="006E6614" w:rsidRPr="00E26D55">
        <w:t xml:space="preserve">firm size and </w:t>
      </w:r>
      <w:r w:rsidR="00612AE4" w:rsidRPr="00E26D55">
        <w:t xml:space="preserve">abnormal trading activity (i.e., volume and bid-ask spreads), </w:t>
      </w:r>
      <w:r w:rsidR="006E6614" w:rsidRPr="00E26D55">
        <w:t>I</w:t>
      </w:r>
      <w:r w:rsidR="005923FE" w:rsidRPr="00E26D55">
        <w:t xml:space="preserve"> do not make a prediction for this coefficient</w:t>
      </w:r>
      <w:r w:rsidR="00612AE4" w:rsidRPr="00E26D55">
        <w:t xml:space="preserve"> </w:t>
      </w:r>
      <w:r w:rsidR="00612AE4" w:rsidRPr="00E26D55">
        <w:fldChar w:fldCharType="begin"/>
      </w:r>
      <w:r w:rsidR="00612AE4" w:rsidRPr="00E26D55">
        <w:instrText xml:space="preserve"> ADDIN EN.CITE &lt;EndNote&gt;&lt;Cite&gt;&lt;Author&gt;Bamber&lt;/Author&gt;&lt;Year&gt;2011&lt;/Year&gt;&lt;RecNum&gt;108&lt;/RecNum&gt;&lt;DisplayText&gt;(Bamber et al. 2011)&lt;/DisplayText&gt;&lt;record&gt;&lt;rec-number&gt;108&lt;/rec-number&gt;&lt;foreign-keys&gt;&lt;key app="EN" db-id="frdsfrdx0zpts8ex5pfvfda4s9srzrvrxd9z" timestamp="1396287466"&gt;108&lt;/key&gt;&lt;/foreign-keys&gt;&lt;ref-type name="Journal Article"&gt;17&lt;/ref-type&gt;&lt;contributors&gt;&lt;authors&gt;&lt;author&gt;Bamber, Linda Smith&lt;/author&gt;&lt;author&gt;Barron, Orie E.&lt;/author&gt;&lt;author&gt;Stevens, Douglas E.&lt;/author&gt;&lt;/authors&gt;&lt;/contributors&gt;&lt;titles&gt;&lt;title&gt;Trading Volume Around Earnings Announcements and Other Financial Reports: Theory, Research Design, Empirical Evidence, and Directions for Future Research&lt;/title&gt;&lt;secondary-title&gt;Contemporary Accounting Research&lt;/secondary-title&gt;&lt;/titles&gt;&lt;periodical&gt;&lt;full-title&gt;Contemporary Accounting Research&lt;/full-title&gt;&lt;/periodical&gt;&lt;pages&gt;431-471&lt;/pages&gt;&lt;volume&gt;28&lt;/volume&gt;&lt;number&gt;2&lt;/number&gt;&lt;dates&gt;&lt;year&gt;2011&lt;/year&gt;&lt;/dates&gt;&lt;publisher&gt;Blackwell Publishing Ltd&lt;/publisher&gt;&lt;isbn&gt;1911-3846&lt;/isbn&gt;&lt;urls&gt;&lt;related-urls&gt;&lt;url&gt;http://dx.doi.org/10.1111/j.1911-3846.2010.01061.x&lt;/url&gt;&lt;/related-urls&gt;&lt;/urls&gt;&lt;electronic-resource-num&gt;10.1111/j.1911-3846.2010.01061.x&lt;/electronic-resource-num&gt;&lt;/record&gt;&lt;/Cite&gt;&lt;/EndNote&gt;</w:instrText>
      </w:r>
      <w:r w:rsidR="00612AE4" w:rsidRPr="00E26D55">
        <w:fldChar w:fldCharType="separate"/>
      </w:r>
      <w:r w:rsidR="00612AE4" w:rsidRPr="00E26D55">
        <w:rPr>
          <w:noProof/>
        </w:rPr>
        <w:t>(</w:t>
      </w:r>
      <w:hyperlink w:anchor="_ENREF_4" w:tooltip="Bamber, 2011 #108" w:history="1">
        <w:r w:rsidR="006A749C" w:rsidRPr="00E26D55">
          <w:rPr>
            <w:noProof/>
          </w:rPr>
          <w:t>Bamber et al. 2011</w:t>
        </w:r>
      </w:hyperlink>
      <w:r w:rsidR="00612AE4" w:rsidRPr="00E26D55">
        <w:rPr>
          <w:noProof/>
        </w:rPr>
        <w:t>)</w:t>
      </w:r>
      <w:r w:rsidR="00612AE4" w:rsidRPr="00E26D55">
        <w:fldChar w:fldCharType="end"/>
      </w:r>
      <w:r w:rsidR="005923FE" w:rsidRPr="00E26D55">
        <w:t xml:space="preserve">. </w:t>
      </w:r>
      <w:r w:rsidR="006D2B80" w:rsidRPr="00E26D55">
        <w:t xml:space="preserve">I also control for </w:t>
      </w:r>
      <w:r w:rsidR="00B02538" w:rsidRPr="00E26D55">
        <w:t xml:space="preserve">other aspects of a </w:t>
      </w:r>
      <w:r w:rsidR="00454A4B" w:rsidRPr="00E26D55">
        <w:t>firm</w:t>
      </w:r>
      <w:r w:rsidR="00B02538" w:rsidRPr="00E26D55">
        <w:t>’s</w:t>
      </w:r>
      <w:r w:rsidR="00454A4B" w:rsidRPr="00E26D55">
        <w:t xml:space="preserve"> information environment, including </w:t>
      </w:r>
      <w:r w:rsidR="00C477AA" w:rsidRPr="00E26D55">
        <w:t>the number of analysts following the firm (</w:t>
      </w:r>
      <w:r w:rsidR="00C477AA" w:rsidRPr="00E26D55">
        <w:rPr>
          <w:i/>
        </w:rPr>
        <w:t>NUM_ANALYST</w:t>
      </w:r>
      <w:r w:rsidR="00D0300E" w:rsidRPr="00E26D55">
        <w:t>),</w:t>
      </w:r>
      <w:r w:rsidR="00E05395" w:rsidRPr="00E26D55">
        <w:t xml:space="preserve"> the reporting lag</w:t>
      </w:r>
      <w:r w:rsidR="008D3E2D">
        <w:t xml:space="preserve"> between </w:t>
      </w:r>
      <w:r w:rsidR="00C477AA" w:rsidRPr="00E26D55">
        <w:t xml:space="preserve">the earnings announcement </w:t>
      </w:r>
      <w:r w:rsidR="008D3E2D">
        <w:t xml:space="preserve">and the issuance of the annual report </w:t>
      </w:r>
      <w:r w:rsidR="00C477AA" w:rsidRPr="00E26D55">
        <w:t>(</w:t>
      </w:r>
      <w:r w:rsidR="00C477AA" w:rsidRPr="00E26D55">
        <w:rPr>
          <w:i/>
        </w:rPr>
        <w:t>LAG</w:t>
      </w:r>
      <w:r w:rsidR="00E05395" w:rsidRPr="00E26D55">
        <w:t>)</w:t>
      </w:r>
      <w:r w:rsidR="00D0300E" w:rsidRPr="00E26D55">
        <w:t xml:space="preserve">, </w:t>
      </w:r>
      <w:r w:rsidR="00BE0B18" w:rsidRPr="00E26D55">
        <w:t>the firm’s cash flow volatility (</w:t>
      </w:r>
      <w:r w:rsidR="00BE0B18" w:rsidRPr="00E26D55">
        <w:rPr>
          <w:i/>
        </w:rPr>
        <w:t>SD_CFO</w:t>
      </w:r>
      <w:r w:rsidR="00BE0B18" w:rsidRPr="00E26D55">
        <w:t>)</w:t>
      </w:r>
      <w:r w:rsidR="00183AFF" w:rsidRPr="00E26D55">
        <w:t>,</w:t>
      </w:r>
      <w:r w:rsidR="00BE0B18" w:rsidRPr="00E26D55">
        <w:t xml:space="preserve"> </w:t>
      </w:r>
      <w:r w:rsidR="00D0300E" w:rsidRPr="00E26D55">
        <w:t>and the standard deviation of analysts’ earnings forecasts scaled by stock price (</w:t>
      </w:r>
      <w:r w:rsidR="00D0300E" w:rsidRPr="00E26D55">
        <w:rPr>
          <w:i/>
        </w:rPr>
        <w:t>DISP</w:t>
      </w:r>
      <w:r w:rsidR="00D0300E" w:rsidRPr="00E26D55">
        <w:t>).</w:t>
      </w:r>
      <w:r w:rsidR="009A2160" w:rsidRPr="00E26D55">
        <w:rPr>
          <w:rStyle w:val="FootnoteReference"/>
        </w:rPr>
        <w:footnoteReference w:id="28"/>
      </w:r>
      <w:r w:rsidR="00D0300E" w:rsidRPr="00E26D55">
        <w:t xml:space="preserve"> </w:t>
      </w:r>
      <w:r w:rsidR="00E41EAA" w:rsidRPr="00E26D55">
        <w:t xml:space="preserve">Following prior literature, I expect analyst coverage to be related to a decrease in information asymmetry while reporting </w:t>
      </w:r>
      <w:r w:rsidR="003F264D" w:rsidRPr="00E26D55">
        <w:t>lag is predicted to be associated with an increase in information asymmetry</w:t>
      </w:r>
      <w:r w:rsidR="002F4D0E" w:rsidRPr="00E26D55">
        <w:t xml:space="preserve"> </w:t>
      </w:r>
      <w:r w:rsidR="002F4D0E" w:rsidRPr="00E26D55">
        <w:fldChar w:fldCharType="begin">
          <w:fldData xml:space="preserve">PEVuZE5vdGU+PENpdGU+PEF1dGhvcj5EZUZvbmQ8L0F1dGhvcj48WWVhcj4yMDA3PC9ZZWFyPjxS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</w:fldData>
        </w:fldChar>
      </w:r>
      <w:r w:rsidR="002F4D0E" w:rsidRPr="00E26D55">
        <w:instrText xml:space="preserve"> ADDIN EN.CITE </w:instrText>
      </w:r>
      <w:r w:rsidR="002F4D0E" w:rsidRPr="00E26D55">
        <w:fldChar w:fldCharType="begin">
          <w:fldData xml:space="preserve">PEVuZE5vdGU+PENpdGU+PEF1dGhvcj5EZUZvbmQ8L0F1dGhvcj48WWVhcj4yMDA3PC9ZZWFyPjxS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</w:fldData>
        </w:fldChar>
      </w:r>
      <w:r w:rsidR="002F4D0E" w:rsidRPr="00E26D55">
        <w:instrText xml:space="preserve"> ADDIN EN.CITE.DATA </w:instrText>
      </w:r>
      <w:r w:rsidR="002F4D0E" w:rsidRPr="00E26D55">
        <w:fldChar w:fldCharType="end"/>
      </w:r>
      <w:r w:rsidR="002F4D0E" w:rsidRPr="00E26D55">
        <w:fldChar w:fldCharType="separate"/>
      </w:r>
      <w:r w:rsidR="002F4D0E" w:rsidRPr="00E26D55">
        <w:rPr>
          <w:noProof/>
        </w:rPr>
        <w:t>(</w:t>
      </w:r>
      <w:hyperlink w:anchor="_ENREF_31" w:tooltip="DeFond, 2007 #102" w:history="1">
        <w:r w:rsidR="006A749C" w:rsidRPr="00E26D55">
          <w:rPr>
            <w:noProof/>
          </w:rPr>
          <w:t>DeFond et al. 2007</w:t>
        </w:r>
      </w:hyperlink>
      <w:r w:rsidR="002F4D0E" w:rsidRPr="00E26D55">
        <w:rPr>
          <w:noProof/>
        </w:rPr>
        <w:t xml:space="preserve">; </w:t>
      </w:r>
      <w:hyperlink w:anchor="_ENREF_52" w:tooltip="Landsman, 2012 #99" w:history="1">
        <w:r w:rsidR="006A749C" w:rsidRPr="00E26D55">
          <w:rPr>
            <w:noProof/>
          </w:rPr>
          <w:t>Landsman et al. 2012</w:t>
        </w:r>
      </w:hyperlink>
      <w:r w:rsidR="002F4D0E" w:rsidRPr="00E26D55">
        <w:rPr>
          <w:noProof/>
        </w:rPr>
        <w:t>)</w:t>
      </w:r>
      <w:r w:rsidR="002F4D0E" w:rsidRPr="00E26D55">
        <w:fldChar w:fldCharType="end"/>
      </w:r>
      <w:r w:rsidR="003F264D" w:rsidRPr="00E26D55">
        <w:t xml:space="preserve">. </w:t>
      </w:r>
      <w:r w:rsidR="00724694" w:rsidRPr="00E26D55">
        <w:t xml:space="preserve">Furthermore, abnormal trading activity during this time period could be attributed to </w:t>
      </w:r>
      <w:r w:rsidR="004B1BAA" w:rsidRPr="00E26D55">
        <w:t xml:space="preserve">the earnings reported by the firm. I therefore include an indicator </w:t>
      </w:r>
      <w:r w:rsidR="007C158B" w:rsidRPr="00E26D55">
        <w:t>for</w:t>
      </w:r>
      <w:r w:rsidR="004B1BAA" w:rsidRPr="00E26D55">
        <w:t xml:space="preserve"> negative earnings (</w:t>
      </w:r>
      <w:r w:rsidR="004B1BAA" w:rsidRPr="00E26D55">
        <w:rPr>
          <w:i/>
        </w:rPr>
        <w:t>LOSS</w:t>
      </w:r>
      <w:r w:rsidR="004B1BAA" w:rsidRPr="00E26D55">
        <w:t xml:space="preserve">) and </w:t>
      </w:r>
      <w:r w:rsidR="00D0300E" w:rsidRPr="00E26D55">
        <w:t xml:space="preserve">the absolute value of </w:t>
      </w:r>
      <w:r w:rsidR="00186832" w:rsidRPr="00E26D55">
        <w:t>unexpected earnings (</w:t>
      </w:r>
      <w:r w:rsidR="00186832" w:rsidRPr="00E26D55">
        <w:rPr>
          <w:i/>
        </w:rPr>
        <w:t>UE</w:t>
      </w:r>
      <w:r w:rsidR="00186832" w:rsidRPr="00E26D55">
        <w:t xml:space="preserve">). </w:t>
      </w:r>
      <w:r w:rsidR="00E334CE" w:rsidRPr="00E26D55">
        <w:t xml:space="preserve">As in </w:t>
      </w:r>
      <w:hyperlink w:anchor="_ENREF_31" w:tooltip="DeFond, 2007 #102" w:history="1">
        <w:r w:rsidR="006A749C" w:rsidRPr="00E26D55">
          <w:fldChar w:fldCharType="begin"/>
        </w:r>
        <w:r w:rsidR="006A749C" w:rsidRPr="00E26D55">
          <w:instrText xml:space="preserve"> ADDIN EN.CITE &lt;EndNote&gt;&lt;Cite AuthorYear="1"&gt;&lt;Author&gt;DeFond&lt;/Author&gt;&lt;Year&gt;2007&lt;/Year&gt;&lt;RecNum&gt;102&lt;/RecNum&gt;&lt;DisplayText&gt;DeFond et al. (2007)&lt;/DisplayText&gt;&lt;record&gt;&lt;rec-number&gt;102&lt;/rec-number&gt;&lt;foreign-keys&gt;&lt;key app="EN" db-id="frdsfrdx0zpts8ex5pfvfda4s9srzrvrxd9z" timestamp="1395942682"&gt;102&lt;/key&gt;&lt;/foreign-keys&gt;&lt;ref-type name="Journal Article"&gt;17&lt;/ref-type&gt;&lt;contributors&gt;&lt;authors&gt;&lt;author&gt;DeFond, Mark&lt;/author&gt;&lt;author&gt;Hung, Mingyi&lt;/author&gt;&lt;author&gt;Trezevant, Robert&lt;/author&gt;&lt;/authors&gt;&lt;/contributors&gt;&lt;titles&gt;&lt;title&gt;Investor protection and the information content of annual earnings announcements: International evidence&lt;/title&gt;&lt;secondary-title&gt;Journal of Accounting and Economics&lt;/secondary-title&gt;&lt;/titles&gt;&lt;periodical&gt;&lt;full-title&gt;Journal of Accounting and Economics&lt;/full-title&gt;&lt;/periodical&gt;&lt;pages&gt;37-67&lt;/pages&gt;&lt;volume&gt;43&lt;/volume&gt;&lt;number&gt;1&lt;/number&gt;&lt;keywords&gt;&lt;keyword&gt;Cross-country event study&lt;/keyword&gt;&lt;keyword&gt;Earnings announcement&lt;/keyword&gt;&lt;keyword&gt;Price reaction&lt;/keyword&gt;&lt;/keywords&gt;&lt;dates&gt;&lt;year&gt;2007&lt;/year&gt;&lt;pub-dates&gt;&lt;date&gt;3//&lt;/date&gt;&lt;/pub-dates&gt;&lt;/dates&gt;&lt;isbn&gt;0165-4101&lt;/isbn&gt;&lt;urls&gt;&lt;related-urls&gt;&lt;url&gt;http://www.sciencedirect.com/science/article/pii/S0165410106000826&lt;/url&gt;&lt;/related-urls&gt;&lt;/urls&gt;&lt;electronic-resource-num&gt;http://dx.doi.org/10.1016/j.jacceco.2006.09.001&lt;/electronic-resource-num&gt;&lt;/record&gt;&lt;/Cite&gt;&lt;/EndNote&gt;</w:instrText>
        </w:r>
        <w:r w:rsidR="006A749C" w:rsidRPr="00E26D55">
          <w:fldChar w:fldCharType="separate"/>
        </w:r>
        <w:r w:rsidR="006A749C" w:rsidRPr="00E26D55">
          <w:rPr>
            <w:noProof/>
          </w:rPr>
          <w:t>DeFond et al. (2007)</w:t>
        </w:r>
        <w:r w:rsidR="006A749C" w:rsidRPr="00E26D55">
          <w:fldChar w:fldCharType="end"/>
        </w:r>
      </w:hyperlink>
      <w:r w:rsidR="002F4D0E" w:rsidRPr="00E26D55">
        <w:t xml:space="preserve"> and </w:t>
      </w:r>
      <w:hyperlink w:anchor="_ENREF_52" w:tooltip="Landsman, 2012 #99" w:history="1">
        <w:r w:rsidR="006A749C" w:rsidRPr="00E26D55">
          <w:fldChar w:fldCharType="begin"/>
        </w:r>
        <w:r w:rsidR="006A749C" w:rsidRPr="00E26D55">
          <w:instrText xml:space="preserve"> ADDIN EN.CITE &lt;EndNote&gt;&lt;Cite AuthorYear="1"&gt;&lt;Author&gt;Landsman&lt;/Author&gt;&lt;Year&gt;2012&lt;/Year&gt;&lt;RecNum&gt;99&lt;/RecNum&gt;&lt;DisplayText&gt;Landsman et al. (2012)&lt;/DisplayText&gt;&lt;record&gt;&lt;rec-number&gt;99&lt;/rec-number&gt;&lt;foreign-keys&gt;&lt;key app="EN" db-id="frdsfrdx0zpts8ex5pfvfda4s9srzrvrxd9z" timestamp="1395862878"&gt;99&lt;/key&gt;&lt;/foreign-keys&gt;&lt;ref-type name="Journal Article"&gt;17&lt;/ref-type&gt;&lt;contributors&gt;&lt;authors&gt;&lt;author&gt;Landsman, Wayne R.&lt;/author&gt;&lt;author&gt;Maydew, Edward L.&lt;/author&gt;&lt;author&gt;Thornock, Jacob R.&lt;/author&gt;&lt;/authors&gt;&lt;/contributors&gt;&lt;titles&gt;&lt;title&gt;The information content of annual earnings announcements and mandatory adoption of IFRS&lt;/title&gt;&lt;secondary-title&gt;Journal of Accounting and Economics&lt;/secondary-title&gt;&lt;/titles&gt;&lt;periodical&gt;&lt;full-title&gt;Journal of Accounting and Economics&lt;/full-title&gt;&lt;/periodical&gt;&lt;pages&gt;34-54&lt;/pages&gt;&lt;volume&gt;53&lt;/volume&gt;&lt;number&gt;1–2&lt;/number&gt;&lt;keywords&gt;&lt;keyword&gt;IFRS&lt;/keyword&gt;&lt;keyword&gt;Earnings announcements&lt;/keyword&gt;&lt;keyword&gt;Information content&lt;/keyword&gt;&lt;/keywords&gt;&lt;dates&gt;&lt;year&gt;2012&lt;/year&gt;&lt;pub-dates&gt;&lt;date&gt;2//&lt;/date&gt;&lt;/pub-dates&gt;&lt;/dates&gt;&lt;isbn&gt;0165-4101&lt;/isbn&gt;&lt;urls&gt;&lt;related-urls&gt;&lt;url&gt;http://www.sciencedirect.com/science/article/pii/S0165410111000383&lt;/url&gt;&lt;/related-urls&gt;&lt;/urls&gt;&lt;electronic-resource-num&gt;http://dx.doi.org/10.1016/j.jacceco.2011.04.002&lt;/electronic-resource-num&gt;&lt;access-date&gt;2012/4//&lt;/access-date&gt;&lt;/record&gt;&lt;/Cite&gt;&lt;/EndNote&gt;</w:instrText>
        </w:r>
        <w:r w:rsidR="006A749C" w:rsidRPr="00E26D55">
          <w:fldChar w:fldCharType="separate"/>
        </w:r>
        <w:r w:rsidR="006A749C" w:rsidRPr="00E26D55">
          <w:rPr>
            <w:noProof/>
          </w:rPr>
          <w:t>Landsman et al. (2012)</w:t>
        </w:r>
        <w:r w:rsidR="006A749C" w:rsidRPr="00E26D55">
          <w:fldChar w:fldCharType="end"/>
        </w:r>
      </w:hyperlink>
      <w:r w:rsidR="002F4D0E" w:rsidRPr="00E26D55">
        <w:t xml:space="preserve">, I predict that </w:t>
      </w:r>
      <w:r w:rsidR="002F4D0E" w:rsidRPr="00E26D55">
        <w:rPr>
          <w:i/>
        </w:rPr>
        <w:t>LOSS</w:t>
      </w:r>
      <w:r w:rsidR="002F4D0E" w:rsidRPr="00E26D55">
        <w:t xml:space="preserve"> will be associated with an increase in information asymmetry. </w:t>
      </w:r>
      <w:r w:rsidR="008048FB" w:rsidRPr="00E26D55">
        <w:t xml:space="preserve">In addition, </w:t>
      </w:r>
      <w:r w:rsidR="0027489E" w:rsidRPr="00E26D55">
        <w:t xml:space="preserve">I </w:t>
      </w:r>
      <w:r w:rsidR="008048FB" w:rsidRPr="00E26D55">
        <w:t>employ</w:t>
      </w:r>
      <w:r w:rsidR="0027489E" w:rsidRPr="00E26D55">
        <w:t xml:space="preserve"> industry fixed effects (</w:t>
      </w:r>
      <w:r w:rsidR="0027489E" w:rsidRPr="00E26D55">
        <w:rPr>
          <w:i/>
        </w:rPr>
        <w:t>IND_FE</w:t>
      </w:r>
      <w:r w:rsidR="0027489E" w:rsidRPr="00E26D55">
        <w:t xml:space="preserve">) </w:t>
      </w:r>
      <w:r w:rsidR="008048FB" w:rsidRPr="00E26D55">
        <w:t>to take into account</w:t>
      </w:r>
      <w:r w:rsidR="004104C5" w:rsidRPr="00E26D55">
        <w:t xml:space="preserve"> the likely differences in trading volume</w:t>
      </w:r>
      <w:r w:rsidR="001A4594" w:rsidRPr="00E26D55">
        <w:t xml:space="preserve"> and bid-ask spreads</w:t>
      </w:r>
      <w:r w:rsidR="004104C5" w:rsidRPr="00E26D55">
        <w:t xml:space="preserve"> across industries</w:t>
      </w:r>
      <w:r w:rsidR="00E806C1" w:rsidRPr="00E26D55">
        <w:t xml:space="preserve">. </w:t>
      </w:r>
      <w:r w:rsidR="00E94ED3" w:rsidRPr="00E26D55">
        <w:t xml:space="preserve">Refer to Appendix </w:t>
      </w:r>
      <w:r w:rsidR="00B01688">
        <w:t>B</w:t>
      </w:r>
      <w:r w:rsidR="000839B9" w:rsidRPr="00E26D55">
        <w:t xml:space="preserve"> for </w:t>
      </w:r>
      <w:r w:rsidR="00E94ED3" w:rsidRPr="00E26D55">
        <w:t xml:space="preserve">complete </w:t>
      </w:r>
      <w:r w:rsidR="0003538A" w:rsidRPr="00E26D55">
        <w:t>variable definitions.</w:t>
      </w:r>
    </w:p>
    <w:p w14:paraId="46811B05" w14:textId="24D5E721" w:rsidR="00850581" w:rsidRPr="00E26D55" w:rsidRDefault="009F0F4D" w:rsidP="009F0F4D">
      <w:pPr>
        <w:pStyle w:val="Heading2"/>
      </w:pPr>
      <w:bookmarkStart w:id="8" w:name="_Toc286596266"/>
      <w:r>
        <w:t xml:space="preserve">3.2 </w:t>
      </w:r>
      <w:r w:rsidR="006244F0" w:rsidRPr="00E26D55">
        <w:t>Sample</w:t>
      </w:r>
      <w:bookmarkEnd w:id="8"/>
    </w:p>
    <w:p w14:paraId="7091F018" w14:textId="77777777" w:rsidR="006244F0" w:rsidRPr="00E26D55" w:rsidRDefault="006244F0" w:rsidP="001853E3">
      <w:pPr>
        <w:widowControl w:val="0"/>
        <w:contextualSpacing/>
        <w:jc w:val="center"/>
        <w:rPr>
          <w:b/>
        </w:rPr>
      </w:pPr>
    </w:p>
    <w:p w14:paraId="5570D8C9" w14:textId="41879A6A" w:rsidR="00C35803" w:rsidRPr="00E26D55" w:rsidRDefault="00070A6C" w:rsidP="001853E3">
      <w:pPr>
        <w:widowControl w:val="0"/>
        <w:spacing w:line="480" w:lineRule="auto"/>
        <w:ind w:firstLine="720"/>
        <w:contextualSpacing/>
        <w:jc w:val="both"/>
      </w:pPr>
      <w:r w:rsidRPr="00E26D55">
        <w:t xml:space="preserve">The regulatory changes in the </w:t>
      </w:r>
      <w:r w:rsidR="0085491C" w:rsidRPr="00E26D55">
        <w:t>United Kingdom</w:t>
      </w:r>
      <w:r w:rsidRPr="00E26D55">
        <w:t xml:space="preserve"> apply to firms </w:t>
      </w:r>
      <w:r w:rsidR="00A930BA" w:rsidRPr="00E26D55">
        <w:t xml:space="preserve">that are required to comply with the </w:t>
      </w:r>
      <w:r w:rsidR="00C671D6" w:rsidRPr="00E26D55">
        <w:t>U.K.</w:t>
      </w:r>
      <w:r w:rsidR="00E21EF4" w:rsidRPr="00E26D55">
        <w:t xml:space="preserve"> Corporate Governance Code. </w:t>
      </w:r>
      <w:r w:rsidR="0031121B" w:rsidRPr="00E26D55">
        <w:t>Only entities with</w:t>
      </w:r>
      <w:r w:rsidR="00A930BA" w:rsidRPr="00E26D55">
        <w:t xml:space="preserve"> a Premium listing of equity shares on the Lon</w:t>
      </w:r>
      <w:r w:rsidR="00D1190D" w:rsidRPr="00E26D55">
        <w:t>don Stock Exchange</w:t>
      </w:r>
      <w:r w:rsidR="0031121B" w:rsidRPr="00E26D55">
        <w:t xml:space="preserve"> are subject to the Governance Code</w:t>
      </w:r>
      <w:r w:rsidR="00D1190D" w:rsidRPr="00E26D55">
        <w:t xml:space="preserve"> </w:t>
      </w:r>
      <w:r w:rsidR="0079592F" w:rsidRPr="00E26D55">
        <w:fldChar w:fldCharType="begin"/>
      </w:r>
      <w:r w:rsidR="00920904" w:rsidRPr="00E26D55">
        <w:instrText xml:space="preserve"> ADDIN EN.CITE &lt;EndNote&gt;&lt;Cite&gt;&lt;Author&gt;FRC&lt;/Author&gt;&lt;Year&gt;2012&lt;/Year&gt;&lt;RecNum&gt;128&lt;/RecNum&gt;&lt;DisplayText&gt;(FRC 2012b, 2013)&lt;/DisplayText&gt;&lt;record&gt;&lt;rec-number&gt;128&lt;/rec-number&gt;&lt;foreign-keys&gt;&lt;key app="EN" db-id="frdsfrdx0zpts8ex5pfvfda4s9srzrvrxd9z" timestamp="1397433865"&gt;128&lt;/key&gt;&lt;key app="ENWeb" db-id=""&gt;0&lt;/key&gt;&lt;/foreign-keys&gt;&lt;ref-type name="Journal Article"&gt;17&lt;/ref-type&gt;&lt;contributors&gt;&lt;authors&gt;&lt;author&gt;FRC&lt;/author&gt;&lt;/authors&gt;&lt;/contributors&gt;&lt;titles&gt;&lt;title&gt;The UK Corporate Governance Code&lt;/title&gt;&lt;/titles&gt;&lt;volume&gt;Revised September 2012&lt;/volume&gt;&lt;dates&gt;&lt;year&gt;2012&lt;/year&gt;&lt;pub-dates&gt;&lt;date&gt;September 2012&lt;/date&gt;&lt;/pub-dates&gt;&lt;/dates&gt;&lt;urls&gt;&lt;related-urls&gt;&lt;url&gt;https://www.frc.org.uk/Our-Work/Publications/Corporate-Governance/UK-Corporate-Governance-Code-September-2012.aspx&lt;/url&gt;&lt;/related-urls&gt;&lt;/urls&gt;&lt;/record&gt;&lt;/Cite&gt;&lt;Cite&gt;&lt;Author&gt;FRC&lt;/Author&gt;&lt;Year&gt;2013&lt;/Year&gt;&lt;RecNum&gt;126&lt;/RecNum&gt;&lt;record&gt;&lt;rec-number&gt;126&lt;/rec-number&gt;&lt;foreign-keys&gt;&lt;key app="EN" db-id="frdsfrdx0zpts8ex5pfvfda4s9srzrvrxd9z" timestamp="1397433359"&gt;126&lt;/key&gt;&lt;key app="ENWeb" db-id=""&gt;0&lt;/key&gt;&lt;/foreign-keys&gt;&lt;ref-type name="Journal Article"&gt;17&lt;/ref-type&gt;&lt;contributors&gt;&lt;authors&gt;&lt;author&gt;FRC&lt;/author&gt;&lt;/authors&gt;&lt;/contributors&gt;&lt;titles&gt;&lt;title&gt;International Standard on Auditing (UK and Ireland) 700: The independent auditor&amp;apos;s report on financial statements&lt;/title&gt;&lt;/titles&gt;&lt;volume&gt;Revised June 2013&lt;/volume&gt;&lt;dates&gt;&lt;year&gt;2013&lt;/year&gt;&lt;pub-dates&gt;&lt;date&gt;June 2013&lt;/date&gt;&lt;/pub-dates&gt;&lt;/dates&gt;&lt;urls&gt;&lt;related-urls&gt;&lt;url&gt;http://www.frc.org.uk/Our-Work/Publications/Audit-and-Assurance-Team/ISA-700-%28UK-and-Ireland%29-700-%28Revised%29-File.pdf&lt;/url&gt;&lt;/related-urls&gt;&lt;/urls&gt;&lt;/record&gt;&lt;/Cite&gt;&lt;/EndNote&gt;</w:instrText>
      </w:r>
      <w:r w:rsidR="0079592F" w:rsidRPr="00E26D55">
        <w:fldChar w:fldCharType="separate"/>
      </w:r>
      <w:r w:rsidR="00920904" w:rsidRPr="00E26D55">
        <w:rPr>
          <w:noProof/>
        </w:rPr>
        <w:t>(</w:t>
      </w:r>
      <w:hyperlink w:anchor="_ENREF_39" w:tooltip="FRC, 2012 #128" w:history="1">
        <w:r w:rsidR="006A749C" w:rsidRPr="00E26D55">
          <w:rPr>
            <w:noProof/>
          </w:rPr>
          <w:t>FRC 2012b</w:t>
        </w:r>
      </w:hyperlink>
      <w:r w:rsidR="00920904" w:rsidRPr="00E26D55">
        <w:rPr>
          <w:noProof/>
        </w:rPr>
        <w:t xml:space="preserve">, </w:t>
      </w:r>
      <w:hyperlink w:anchor="_ENREF_40" w:tooltip="FRC, 2013 #126" w:history="1">
        <w:r w:rsidR="006A749C" w:rsidRPr="00E26D55">
          <w:rPr>
            <w:noProof/>
          </w:rPr>
          <w:t>2013</w:t>
        </w:r>
      </w:hyperlink>
      <w:r w:rsidR="00920904" w:rsidRPr="00E26D55">
        <w:rPr>
          <w:noProof/>
        </w:rPr>
        <w:t>)</w:t>
      </w:r>
      <w:r w:rsidR="0079592F" w:rsidRPr="00E26D55">
        <w:fldChar w:fldCharType="end"/>
      </w:r>
      <w:r w:rsidR="00E21EF4" w:rsidRPr="00E26D55">
        <w:t xml:space="preserve">. </w:t>
      </w:r>
      <w:r w:rsidR="00A930BA" w:rsidRPr="00E26D55">
        <w:t xml:space="preserve">I </w:t>
      </w:r>
      <w:r w:rsidR="005E16B5" w:rsidRPr="00E26D55">
        <w:t xml:space="preserve">therefore </w:t>
      </w:r>
      <w:r w:rsidR="00A930BA" w:rsidRPr="00E26D55">
        <w:t xml:space="preserve">obtain a </w:t>
      </w:r>
      <w:r w:rsidR="00106AC2" w:rsidRPr="00E26D55">
        <w:t>record</w:t>
      </w:r>
      <w:r w:rsidR="00A930BA" w:rsidRPr="00E26D55">
        <w:t xml:space="preserve"> of all companies </w:t>
      </w:r>
      <w:r w:rsidR="0031121B" w:rsidRPr="00E26D55">
        <w:t>with a Premium listing</w:t>
      </w:r>
      <w:r w:rsidR="00A930BA" w:rsidRPr="00E26D55">
        <w:t xml:space="preserve"> on t</w:t>
      </w:r>
      <w:r w:rsidR="00D37F84" w:rsidRPr="00E26D55">
        <w:t xml:space="preserve">he London Stock Exchange </w:t>
      </w:r>
      <w:r w:rsidR="003037D4" w:rsidRPr="00E26D55">
        <w:t>from the exchange’s website</w:t>
      </w:r>
      <w:r w:rsidR="00106AC2" w:rsidRPr="00E26D55">
        <w:t xml:space="preserve"> </w:t>
      </w:r>
      <w:r w:rsidR="00420BF8">
        <w:t>(N</w:t>
      </w:r>
      <w:r w:rsidR="0031121B" w:rsidRPr="00E26D55">
        <w:t>=937</w:t>
      </w:r>
      <w:r w:rsidR="00106AC2" w:rsidRPr="00E26D55">
        <w:t>).</w:t>
      </w:r>
      <w:r w:rsidR="00E21EF4" w:rsidRPr="00E26D55">
        <w:t xml:space="preserve"> </w:t>
      </w:r>
      <w:r w:rsidR="005456FC" w:rsidRPr="00E26D55">
        <w:t xml:space="preserve">Of these Premium listings, </w:t>
      </w:r>
      <w:r w:rsidR="00C35803" w:rsidRPr="00E26D55">
        <w:t xml:space="preserve">428 </w:t>
      </w:r>
      <w:r w:rsidR="00234ADD" w:rsidRPr="00E26D55">
        <w:t xml:space="preserve">observations </w:t>
      </w:r>
      <w:r w:rsidR="00C35803" w:rsidRPr="00E26D55">
        <w:t xml:space="preserve">relate to investment funds. </w:t>
      </w:r>
      <w:r w:rsidR="00A150F4" w:rsidRPr="00E26D55">
        <w:t xml:space="preserve">Given the unique characteristics of investments funds, </w:t>
      </w:r>
      <w:r w:rsidR="00C35803" w:rsidRPr="00E26D55">
        <w:t xml:space="preserve">I exclude these listings </w:t>
      </w:r>
      <w:r w:rsidR="00A150F4" w:rsidRPr="00E26D55">
        <w:t>and</w:t>
      </w:r>
      <w:r w:rsidR="00C35803" w:rsidRPr="00E26D55">
        <w:t xml:space="preserve"> focus </w:t>
      </w:r>
      <w:r w:rsidR="00A150F4" w:rsidRPr="00E26D55">
        <w:t xml:space="preserve">the analysis </w:t>
      </w:r>
      <w:r w:rsidR="00C35803" w:rsidRPr="00E26D55">
        <w:t>on commercial equity com</w:t>
      </w:r>
      <w:r w:rsidR="00420BF8">
        <w:t>panies (N</w:t>
      </w:r>
      <w:r w:rsidR="00C35803" w:rsidRPr="00E26D55">
        <w:t xml:space="preserve">=509). </w:t>
      </w:r>
    </w:p>
    <w:p w14:paraId="1776CC4F" w14:textId="401C5776" w:rsidR="006E28AC" w:rsidRPr="00E26D55" w:rsidRDefault="003037D4" w:rsidP="001853E3">
      <w:pPr>
        <w:widowControl w:val="0"/>
        <w:spacing w:line="480" w:lineRule="auto"/>
        <w:ind w:firstLine="720"/>
        <w:contextualSpacing/>
        <w:jc w:val="both"/>
      </w:pPr>
      <w:r w:rsidRPr="00E26D55">
        <w:t xml:space="preserve">As the regulatory changes became effective for financial years beginning on or after October 1, 2012, I </w:t>
      </w:r>
      <w:r w:rsidR="002729D8" w:rsidRPr="00E26D55">
        <w:t xml:space="preserve">obtain </w:t>
      </w:r>
      <w:r w:rsidR="004C74AE" w:rsidRPr="00E26D55">
        <w:t xml:space="preserve">data related to </w:t>
      </w:r>
      <w:r w:rsidR="002729D8" w:rsidRPr="00E26D55">
        <w:t>the first annual repo</w:t>
      </w:r>
      <w:r w:rsidR="008164F8" w:rsidRPr="00E26D55">
        <w:t xml:space="preserve">rt issued under the new regime </w:t>
      </w:r>
      <w:r w:rsidR="00EF524F">
        <w:t>(</w:t>
      </w:r>
      <w:r w:rsidR="00C35803" w:rsidRPr="00E26D55">
        <w:rPr>
          <w:i/>
        </w:rPr>
        <w:t>t</w:t>
      </w:r>
      <w:r w:rsidR="00C35803" w:rsidRPr="00E26D55">
        <w:t xml:space="preserve">) </w:t>
      </w:r>
      <w:r w:rsidR="002729D8" w:rsidRPr="00E26D55">
        <w:t>as well as the last annual report filed under the p</w:t>
      </w:r>
      <w:r w:rsidR="008164F8" w:rsidRPr="00E26D55">
        <w:t>revious standards</w:t>
      </w:r>
      <w:r w:rsidR="00EF524F">
        <w:t xml:space="preserve"> (</w:t>
      </w:r>
      <w:r w:rsidR="00C35803" w:rsidRPr="00E26D55">
        <w:rPr>
          <w:i/>
        </w:rPr>
        <w:t>t-1</w:t>
      </w:r>
      <w:r w:rsidR="00C35803" w:rsidRPr="00E26D55">
        <w:t>)</w:t>
      </w:r>
      <w:r w:rsidR="008164F8" w:rsidRPr="00E26D55">
        <w:t>.</w:t>
      </w:r>
      <w:r w:rsidR="00441EEC" w:rsidRPr="00E26D55">
        <w:rPr>
          <w:rStyle w:val="FootnoteReference"/>
        </w:rPr>
        <w:footnoteReference w:id="29"/>
      </w:r>
      <w:r w:rsidR="00441EEC" w:rsidRPr="00E26D55">
        <w:t xml:space="preserve"> </w:t>
      </w:r>
      <w:r w:rsidR="000673D3" w:rsidRPr="00E26D55">
        <w:t>I employ a balanced panel by requiring</w:t>
      </w:r>
      <w:r w:rsidR="006A4817" w:rsidRPr="00E26D55">
        <w:t xml:space="preserve"> </w:t>
      </w:r>
      <w:r w:rsidR="00F072A5" w:rsidRPr="00E26D55">
        <w:t xml:space="preserve">the necessary </w:t>
      </w:r>
      <w:r w:rsidR="006A4817" w:rsidRPr="00E26D55">
        <w:t>data for</w:t>
      </w:r>
      <w:r w:rsidR="000673D3" w:rsidRPr="00E26D55">
        <w:t xml:space="preserve"> each firm in both time periods. This approach allows the comparison of firms in the pre-period to the same firms in the post-period, which reduces the threat of firm-level correlated omitted variables </w:t>
      </w:r>
      <w:r w:rsidR="000673D3" w:rsidRPr="00E26D55">
        <w:fldChar w:fldCharType="begin"/>
      </w:r>
      <w:r w:rsidR="00466A64">
        <w:instrText xml:space="preserve"> ADDIN EN.CITE &lt;EndNote&gt;&lt;Cite&gt;&lt;Author&gt;Doyle&lt;/Author&gt;&lt;Year&gt;2013&lt;/Year&gt;&lt;RecNum&gt;57&lt;/RecNum&gt;&lt;DisplayText&gt;(Doyle and Magilke 2013)&lt;/DisplayText&gt;&lt;record&gt;&lt;rec-number&gt;57&lt;/rec-number&gt;&lt;foreign-keys&gt;&lt;key app="EN" db-id="frdsfrdx0zpts8ex5pfvfda4s9srzrvrxd9z" timestamp="1391635819"&gt;57&lt;/key&gt;&lt;/foreign-keys&gt;&lt;ref-type name="Journal Article"&gt;17&lt;/ref-type&gt;&lt;contributors&gt;&lt;authors&gt;&lt;author&gt;Doyle, Jeffrey T.&lt;/author&gt;&lt;author&gt;Magilke, Matthew J.&lt;/author&gt;&lt;/authors&gt;&lt;/contributors&gt;&lt;titles&gt;&lt;title&gt;Decision Usefulness and Accelerated Filing Deadlines&lt;/title&gt;&lt;secondary-title&gt;Journal of Accounting Research&lt;/secondary-title&gt;&lt;/titles&gt;&lt;periodical&gt;&lt;full-title&gt;Journal of Accounting Research&lt;/full-title&gt;&lt;/periodical&gt;&lt;pages&gt;549-581&lt;/pages&gt;&lt;volume&gt;51&lt;/volume&gt;&lt;number&gt;3&lt;/number&gt;&lt;dates&gt;&lt;year&gt;2013&lt;/year&gt;&lt;/dates&gt;&lt;publisher&gt;Blackwell Publishing Inc&lt;/publisher&gt;&lt;isbn&gt;1475-679X&lt;/isbn&gt;&lt;urls&gt;&lt;related-urls&gt;&lt;url&gt;http://dx.doi.org/10.1111/1475-679X.12004&lt;/url&gt;&lt;/related-urls&gt;&lt;/urls&gt;&lt;electronic-resource-num&gt;10.1111/1475-679X.12004&lt;/electronic-resource-num&gt;&lt;/record&gt;&lt;/Cite&gt;&lt;/EndNote&gt;</w:instrText>
      </w:r>
      <w:r w:rsidR="000673D3" w:rsidRPr="00E26D55">
        <w:fldChar w:fldCharType="separate"/>
      </w:r>
      <w:r w:rsidR="00466A64">
        <w:rPr>
          <w:noProof/>
        </w:rPr>
        <w:t>(</w:t>
      </w:r>
      <w:hyperlink w:anchor="_ENREF_33" w:tooltip="Doyle, 2013 #57" w:history="1">
        <w:r w:rsidR="006A749C">
          <w:rPr>
            <w:noProof/>
          </w:rPr>
          <w:t>Doyle and Magilke 2013</w:t>
        </w:r>
      </w:hyperlink>
      <w:r w:rsidR="00466A64">
        <w:rPr>
          <w:noProof/>
        </w:rPr>
        <w:t>)</w:t>
      </w:r>
      <w:r w:rsidR="000673D3" w:rsidRPr="00E26D55">
        <w:fldChar w:fldCharType="end"/>
      </w:r>
      <w:r w:rsidR="000673D3" w:rsidRPr="00E26D55">
        <w:t xml:space="preserve">. </w:t>
      </w:r>
      <w:r w:rsidR="004C74AE" w:rsidRPr="00E26D55">
        <w:t>I hand collect the annu</w:t>
      </w:r>
      <w:r w:rsidR="00C35803" w:rsidRPr="00E26D55">
        <w:t>al report dates from Bloom</w:t>
      </w:r>
      <w:r w:rsidR="001F7FFA" w:rsidRPr="00E26D55">
        <w:t xml:space="preserve">berg for </w:t>
      </w:r>
      <w:r w:rsidR="001F7FFA" w:rsidRPr="00E26D55">
        <w:rPr>
          <w:i/>
        </w:rPr>
        <w:t xml:space="preserve">t </w:t>
      </w:r>
      <w:r w:rsidR="001F7FFA" w:rsidRPr="00E26D55">
        <w:t xml:space="preserve">and </w:t>
      </w:r>
      <w:r w:rsidR="001F7FFA" w:rsidRPr="00E26D55">
        <w:rPr>
          <w:i/>
        </w:rPr>
        <w:t>t-1</w:t>
      </w:r>
      <w:r w:rsidR="008E11C1" w:rsidRPr="00E26D55">
        <w:t xml:space="preserve">, which results in the loss of </w:t>
      </w:r>
      <w:r w:rsidR="000673D3" w:rsidRPr="00E26D55">
        <w:t>101</w:t>
      </w:r>
      <w:r w:rsidR="008E11C1" w:rsidRPr="00E26D55">
        <w:t xml:space="preserve"> firms missing an annual report date for one or both periods</w:t>
      </w:r>
      <w:r w:rsidR="001F7FFA" w:rsidRPr="00E26D55">
        <w:t xml:space="preserve">. </w:t>
      </w:r>
      <w:r w:rsidR="002729D8" w:rsidRPr="00E26D55">
        <w:t>I</w:t>
      </w:r>
      <w:r w:rsidR="000F6BCC" w:rsidRPr="00E26D55">
        <w:t xml:space="preserve"> gather daily volume, </w:t>
      </w:r>
      <w:r w:rsidR="004006DF" w:rsidRPr="00E26D55">
        <w:t xml:space="preserve">daily bid </w:t>
      </w:r>
      <w:r w:rsidR="000F6BCC" w:rsidRPr="00E26D55">
        <w:t>and ask prices, and relevant financial statement data for control variables from Datastream. In addition, I obtain analyst forecast data including earnings announcement dates from I/B/E/S on Datastream.</w:t>
      </w:r>
      <w:r w:rsidR="00AE0BCB" w:rsidRPr="00E26D55">
        <w:t xml:space="preserve"> After gathering all requisite data, the final sample is comprised of 291 firms (or 5</w:t>
      </w:r>
      <w:r w:rsidR="00C91042" w:rsidRPr="00E26D55">
        <w:t>82 firm-year observations</w:t>
      </w:r>
      <w:r w:rsidR="00AE0BCB" w:rsidRPr="00E26D55">
        <w:t>).</w:t>
      </w:r>
      <w:r w:rsidR="00D41562">
        <w:t xml:space="preserve"> Refer to</w:t>
      </w:r>
      <w:r w:rsidR="009669A8" w:rsidRPr="00E26D55">
        <w:t xml:space="preserve"> Table 1 for more detail related to sample construction.</w:t>
      </w:r>
    </w:p>
    <w:p w14:paraId="3C96D569" w14:textId="6693524C" w:rsidR="009669A8" w:rsidRPr="00E26D55" w:rsidRDefault="009669A8" w:rsidP="001853E3">
      <w:pPr>
        <w:pStyle w:val="NoSpacing"/>
        <w:widowControl w:val="0"/>
        <w:contextualSpacing/>
        <w:jc w:val="center"/>
        <w:rPr>
          <w:rFonts w:ascii="Times New Roman" w:hAnsi="Times New Roman"/>
          <w:sz w:val="24"/>
          <w:szCs w:val="24"/>
        </w:rPr>
      </w:pPr>
      <w:r w:rsidRPr="00E26D55">
        <w:rPr>
          <w:rFonts w:ascii="Times New Roman" w:hAnsi="Times New Roman"/>
          <w:sz w:val="24"/>
          <w:szCs w:val="24"/>
        </w:rPr>
        <w:t>&lt;Insert Table 1 Here&gt;</w:t>
      </w:r>
    </w:p>
    <w:p w14:paraId="655E88DC" w14:textId="77777777" w:rsidR="008C5C36" w:rsidRPr="00C47FA9" w:rsidRDefault="008C5C36" w:rsidP="00C47FA9">
      <w:pPr>
        <w:widowControl w:val="0"/>
        <w:spacing w:line="480" w:lineRule="auto"/>
        <w:contextualSpacing/>
        <w:rPr>
          <w:b/>
        </w:rPr>
      </w:pPr>
    </w:p>
    <w:p w14:paraId="64247526" w14:textId="77777777" w:rsidR="00647DE3" w:rsidRPr="00C47FA9" w:rsidRDefault="00647DE3" w:rsidP="00C47FA9">
      <w:pPr>
        <w:widowControl w:val="0"/>
        <w:contextualSpacing/>
        <w:rPr>
          <w:b/>
        </w:rPr>
      </w:pPr>
    </w:p>
    <w:p w14:paraId="5B8B3B2A" w14:textId="77777777" w:rsidR="00E32E93" w:rsidRDefault="00E32E93">
      <w:pPr>
        <w:rPr>
          <w:rFonts w:eastAsiaTheme="majorEastAsia" w:cstheme="majorBidi"/>
          <w:b/>
          <w:bCs/>
          <w:szCs w:val="32"/>
        </w:rPr>
      </w:pPr>
      <w:r>
        <w:br w:type="page"/>
      </w:r>
    </w:p>
    <w:p w14:paraId="0E191404" w14:textId="7F397D5C" w:rsidR="00200BDF" w:rsidRDefault="008C725E" w:rsidP="009F0F4D">
      <w:pPr>
        <w:pStyle w:val="Heading1"/>
      </w:pPr>
      <w:bookmarkStart w:id="9" w:name="_Toc286596267"/>
      <w:r w:rsidRPr="00E26D55">
        <w:t>I</w:t>
      </w:r>
      <w:r w:rsidR="005135F3" w:rsidRPr="00E26D55">
        <w:t>V. RESULTS</w:t>
      </w:r>
      <w:bookmarkEnd w:id="9"/>
    </w:p>
    <w:p w14:paraId="3D10AA64" w14:textId="77777777" w:rsidR="009F0F4D" w:rsidRPr="009F0F4D" w:rsidRDefault="009F0F4D" w:rsidP="009F0F4D"/>
    <w:p w14:paraId="27D9E87C" w14:textId="43658A28" w:rsidR="003825CF" w:rsidRDefault="009F0F4D" w:rsidP="009F0F4D">
      <w:pPr>
        <w:pStyle w:val="Heading2"/>
      </w:pPr>
      <w:bookmarkStart w:id="10" w:name="_Toc286596268"/>
      <w:r>
        <w:t xml:space="preserve">4.1 </w:t>
      </w:r>
      <w:r w:rsidR="003825CF" w:rsidRPr="00E01C0B">
        <w:t>Univariate Results</w:t>
      </w:r>
      <w:bookmarkEnd w:id="10"/>
      <w:r w:rsidR="002052F9" w:rsidRPr="00E01C0B">
        <w:tab/>
      </w:r>
    </w:p>
    <w:p w14:paraId="2971F37B" w14:textId="77777777" w:rsidR="009F0F4D" w:rsidRPr="009F0F4D" w:rsidRDefault="009F0F4D" w:rsidP="009F0F4D"/>
    <w:p w14:paraId="6556B0BC" w14:textId="0F1FF54C" w:rsidR="00AF6445" w:rsidRDefault="00FD0227" w:rsidP="001853E3">
      <w:pPr>
        <w:widowControl w:val="0"/>
        <w:spacing w:line="480" w:lineRule="auto"/>
        <w:ind w:firstLine="720"/>
        <w:contextualSpacing/>
        <w:jc w:val="both"/>
      </w:pPr>
      <w:r w:rsidRPr="00E01C0B">
        <w:t>Table 2</w:t>
      </w:r>
      <w:r w:rsidR="003825CF" w:rsidRPr="00E01C0B">
        <w:t xml:space="preserve"> presents the comparison of the means </w:t>
      </w:r>
      <w:r w:rsidR="00387AFD" w:rsidRPr="00E01C0B">
        <w:t>of</w:t>
      </w:r>
      <w:r w:rsidR="003825CF" w:rsidRPr="00E01C0B">
        <w:t xml:space="preserve"> each dependent variable (</w:t>
      </w:r>
      <w:r w:rsidR="003825CF" w:rsidRPr="00E01C0B">
        <w:rPr>
          <w:i/>
        </w:rPr>
        <w:t>AVOL</w:t>
      </w:r>
      <w:r w:rsidR="003825CF" w:rsidRPr="00E01C0B">
        <w:t xml:space="preserve"> and </w:t>
      </w:r>
      <w:r w:rsidR="003825CF" w:rsidRPr="00E01C0B">
        <w:rPr>
          <w:i/>
        </w:rPr>
        <w:t>ASPREAD</w:t>
      </w:r>
      <w:r w:rsidR="003825CF" w:rsidRPr="00E01C0B">
        <w:t xml:space="preserve">) as well as each control variable for the pre-period </w:t>
      </w:r>
      <w:r w:rsidR="00387AFD" w:rsidRPr="00E01C0B">
        <w:t>(</w:t>
      </w:r>
      <w:r w:rsidR="00387AFD" w:rsidRPr="00E01C0B">
        <w:rPr>
          <w:i/>
        </w:rPr>
        <w:t>POST</w:t>
      </w:r>
      <w:r w:rsidR="00387AFD" w:rsidRPr="00E01C0B">
        <w:t>=0) and the post-period (</w:t>
      </w:r>
      <w:r w:rsidR="00387AFD" w:rsidRPr="00E01C0B">
        <w:rPr>
          <w:i/>
        </w:rPr>
        <w:t>POST</w:t>
      </w:r>
      <w:r w:rsidR="00387AFD" w:rsidRPr="00E01C0B">
        <w:t xml:space="preserve">=1). </w:t>
      </w:r>
      <w:r w:rsidR="00944AA1" w:rsidRPr="00E01C0B">
        <w:t xml:space="preserve">Abnormal trading volume </w:t>
      </w:r>
      <w:r w:rsidR="00094FF1">
        <w:t>(</w:t>
      </w:r>
      <w:r w:rsidR="00094FF1" w:rsidRPr="00094FF1">
        <w:rPr>
          <w:i/>
        </w:rPr>
        <w:t>AVOL</w:t>
      </w:r>
      <w:r w:rsidR="00094FF1">
        <w:t xml:space="preserve">) </w:t>
      </w:r>
      <w:r w:rsidR="00944AA1" w:rsidRPr="00E01C0B">
        <w:t>around the annual report release date significantly increased from -0.038 prior to the new reporting requirements to 0.096 during the first year</w:t>
      </w:r>
      <w:r w:rsidR="00F937CF" w:rsidRPr="00E01C0B">
        <w:t xml:space="preserve"> of implementation of the new auditor and audit committee reports</w:t>
      </w:r>
      <w:r w:rsidR="00FD664C" w:rsidRPr="00E01C0B">
        <w:t xml:space="preserve"> (p&lt;0.05)</w:t>
      </w:r>
      <w:r w:rsidR="00F937CF" w:rsidRPr="00E01C0B">
        <w:t>.</w:t>
      </w:r>
      <w:r w:rsidR="00EC5ABB">
        <w:rPr>
          <w:rStyle w:val="FootnoteReference"/>
        </w:rPr>
        <w:footnoteReference w:id="30"/>
      </w:r>
      <w:r w:rsidR="00F937CF" w:rsidRPr="00E01C0B">
        <w:t xml:space="preserve"> </w:t>
      </w:r>
      <w:r w:rsidR="00051EBF" w:rsidRPr="00E01C0B">
        <w:t xml:space="preserve">Furthermore, abnormal bid-ask spreads </w:t>
      </w:r>
      <w:r w:rsidR="00094FF1">
        <w:t>(</w:t>
      </w:r>
      <w:r w:rsidR="00094FF1" w:rsidRPr="00094FF1">
        <w:rPr>
          <w:i/>
        </w:rPr>
        <w:t>ASPREAD</w:t>
      </w:r>
      <w:r w:rsidR="00094FF1">
        <w:t xml:space="preserve">) </w:t>
      </w:r>
      <w:r w:rsidR="00051EBF" w:rsidRPr="00E01C0B">
        <w:t xml:space="preserve">significantly decreased from 0.138 in the pre-period to </w:t>
      </w:r>
      <w:r w:rsidR="005336EB" w:rsidRPr="00E01C0B">
        <w:t>0</w:t>
      </w:r>
      <w:r w:rsidR="00051EBF" w:rsidRPr="00E01C0B">
        <w:t>.002 in the post-period</w:t>
      </w:r>
      <w:r w:rsidR="00FD664C" w:rsidRPr="00E01C0B">
        <w:t xml:space="preserve"> (p&lt;0.01)</w:t>
      </w:r>
      <w:r w:rsidR="00051EBF" w:rsidRPr="00E01C0B">
        <w:t>.</w:t>
      </w:r>
      <w:r w:rsidR="00AA616D">
        <w:rPr>
          <w:rStyle w:val="FootnoteReference"/>
        </w:rPr>
        <w:footnoteReference w:id="31"/>
      </w:r>
      <w:r w:rsidR="00051EBF" w:rsidRPr="00E01C0B">
        <w:t xml:space="preserve"> These</w:t>
      </w:r>
      <w:r w:rsidR="005C2E9E" w:rsidRPr="00E01C0B">
        <w:t xml:space="preserve"> </w:t>
      </w:r>
      <w:r w:rsidR="00D568D7" w:rsidRPr="00E01C0B">
        <w:t>univariate result</w:t>
      </w:r>
      <w:r w:rsidR="008C7206" w:rsidRPr="00E01C0B">
        <w:t>s</w:t>
      </w:r>
      <w:r w:rsidR="00D568D7" w:rsidRPr="00E01C0B">
        <w:t xml:space="preserve"> </w:t>
      </w:r>
      <w:r w:rsidR="008C7206" w:rsidRPr="00E01C0B">
        <w:t>provide</w:t>
      </w:r>
      <w:r w:rsidR="00D568D7" w:rsidRPr="00E01C0B">
        <w:t xml:space="preserve"> initial evidence </w:t>
      </w:r>
      <w:r w:rsidR="00A33116" w:rsidRPr="00E01C0B">
        <w:t xml:space="preserve">in support of </w:t>
      </w:r>
      <w:r w:rsidR="00A33116" w:rsidRPr="00E01C0B">
        <w:rPr>
          <w:i/>
        </w:rPr>
        <w:t>H1</w:t>
      </w:r>
      <w:r w:rsidR="00A33116" w:rsidRPr="00E01C0B">
        <w:t xml:space="preserve">. Specifically, the preliminary findings indicate </w:t>
      </w:r>
      <w:r w:rsidR="00051EBF" w:rsidRPr="00E01C0B">
        <w:t xml:space="preserve">that the </w:t>
      </w:r>
      <w:r w:rsidR="00191FA0" w:rsidRPr="00E01C0B">
        <w:t xml:space="preserve">enhanced audit committee and auditor reports </w:t>
      </w:r>
      <w:r w:rsidR="004C08CF" w:rsidRPr="00E01C0B">
        <w:t xml:space="preserve">are associated with reductions in information asymmetry as measured by higher abnormal trading volume and lower abnormal bid-ask spreads. </w:t>
      </w:r>
    </w:p>
    <w:p w14:paraId="132F1F71" w14:textId="0E741BB5" w:rsidR="00A72C4F" w:rsidRPr="00E01C0B" w:rsidRDefault="00C72DE6" w:rsidP="008158C9">
      <w:pPr>
        <w:widowControl w:val="0"/>
        <w:spacing w:line="480" w:lineRule="auto"/>
        <w:ind w:firstLine="720"/>
        <w:contextualSpacing/>
        <w:jc w:val="both"/>
      </w:pPr>
      <w:r w:rsidRPr="00E01C0B">
        <w:t xml:space="preserve">It is important to note that </w:t>
      </w:r>
      <w:r w:rsidR="00B56B4C" w:rsidRPr="00E01C0B">
        <w:t xml:space="preserve">there are no statistically significant differences </w:t>
      </w:r>
      <w:r w:rsidR="00757B2C" w:rsidRPr="00E01C0B">
        <w:t xml:space="preserve">in the control variables </w:t>
      </w:r>
      <w:r w:rsidR="00B56B4C" w:rsidRPr="00E01C0B">
        <w:t xml:space="preserve">between </w:t>
      </w:r>
      <w:r w:rsidR="00786E62" w:rsidRPr="00E01C0B">
        <w:t xml:space="preserve">the </w:t>
      </w:r>
      <w:r w:rsidR="00757B2C" w:rsidRPr="00E01C0B">
        <w:t xml:space="preserve">pre-period and the post-period, which suggests that </w:t>
      </w:r>
      <w:r w:rsidR="007232C5" w:rsidRPr="00E01C0B">
        <w:t xml:space="preserve">the sample firms did not meaningfully change in the two time periods examined. </w:t>
      </w:r>
      <w:r w:rsidR="00253156">
        <w:t xml:space="preserve">Table 2 also reveals that the companies included in this study are large firms </w:t>
      </w:r>
      <w:r w:rsidR="00253156" w:rsidRPr="00E26D55">
        <w:t xml:space="preserve">(mean </w:t>
      </w:r>
      <w:r w:rsidR="00253156" w:rsidRPr="00E26D55">
        <w:rPr>
          <w:i/>
        </w:rPr>
        <w:t>LN_MVE</w:t>
      </w:r>
      <w:r w:rsidR="00253156" w:rsidRPr="00E26D55">
        <w:t xml:space="preserve"> of 14.367 in the post period and 14.175 in the pre period) that are covered by 11 to 12 analysts on average (</w:t>
      </w:r>
      <w:r w:rsidR="00253156" w:rsidRPr="00E26D55">
        <w:rPr>
          <w:i/>
        </w:rPr>
        <w:t>NUM_ANALYST</w:t>
      </w:r>
      <w:r w:rsidR="00253156" w:rsidRPr="00E26D55">
        <w:t>).</w:t>
      </w:r>
      <w:r w:rsidR="00253156">
        <w:t xml:space="preserve"> The average lag between the earnings announcement and the issuance of the annual report  (</w:t>
      </w:r>
      <w:r w:rsidR="00253156" w:rsidRPr="00253156">
        <w:rPr>
          <w:i/>
        </w:rPr>
        <w:t>LAG</w:t>
      </w:r>
      <w:r w:rsidR="00253156">
        <w:t xml:space="preserve">) is around 27 days in both periods. </w:t>
      </w:r>
      <w:r w:rsidR="00253156" w:rsidRPr="00E26D55">
        <w:t>The analyst forecast dispersion (</w:t>
      </w:r>
      <w:r w:rsidR="00253156" w:rsidRPr="00E26D55">
        <w:rPr>
          <w:i/>
        </w:rPr>
        <w:t>DISP</w:t>
      </w:r>
      <w:r w:rsidR="00253156" w:rsidRPr="00E26D55">
        <w:t xml:space="preserve">) of the sample firms is low with a mean dispersion of 0.009 in both the pre and post periods. Furthermore, only 14 – 15 percent of the firms record a loss </w:t>
      </w:r>
      <w:r w:rsidR="00253156">
        <w:t>(</w:t>
      </w:r>
      <w:r w:rsidR="00253156" w:rsidRPr="00253156">
        <w:rPr>
          <w:i/>
        </w:rPr>
        <w:t>LOSS</w:t>
      </w:r>
      <w:r w:rsidR="00253156">
        <w:t xml:space="preserve">) </w:t>
      </w:r>
      <w:r w:rsidR="00253156" w:rsidRPr="00E26D55">
        <w:t xml:space="preserve">in the pre and post periods, suggesting that the sample is comprised of profitable firms on average. Additionally, the </w:t>
      </w:r>
      <w:r w:rsidR="00253156">
        <w:t>mean</w:t>
      </w:r>
      <w:r w:rsidR="00253156" w:rsidRPr="00E26D55">
        <w:t xml:space="preserve"> unexpected earnings </w:t>
      </w:r>
      <w:r w:rsidR="00094FF1">
        <w:t>(</w:t>
      </w:r>
      <w:r w:rsidR="00094FF1" w:rsidRPr="00094FF1">
        <w:rPr>
          <w:i/>
        </w:rPr>
        <w:t>UE</w:t>
      </w:r>
      <w:r w:rsidR="00094FF1">
        <w:t xml:space="preserve">) </w:t>
      </w:r>
      <w:r w:rsidR="00253156" w:rsidRPr="00E26D55">
        <w:t xml:space="preserve">and cash flow volatility </w:t>
      </w:r>
      <w:r w:rsidR="00094FF1">
        <w:t>(</w:t>
      </w:r>
      <w:r w:rsidR="00094FF1" w:rsidRPr="00094FF1">
        <w:rPr>
          <w:i/>
        </w:rPr>
        <w:t>SD_CFO</w:t>
      </w:r>
      <w:r w:rsidR="00094FF1">
        <w:t xml:space="preserve">) </w:t>
      </w:r>
      <w:r w:rsidR="00253156" w:rsidRPr="00E26D55">
        <w:t xml:space="preserve">of the sample firms </w:t>
      </w:r>
      <w:r w:rsidR="00253156">
        <w:t xml:space="preserve">in the post-period </w:t>
      </w:r>
      <w:r w:rsidR="00253156" w:rsidRPr="00E26D55">
        <w:t>are 0.</w:t>
      </w:r>
      <w:r w:rsidR="00253156">
        <w:t>015 and 0.041,</w:t>
      </w:r>
      <w:r w:rsidR="00253156" w:rsidRPr="00E26D55">
        <w:t xml:space="preserve"> respectively. </w:t>
      </w:r>
    </w:p>
    <w:p w14:paraId="55A728C6" w14:textId="551DBF34" w:rsidR="00E42B38" w:rsidRPr="00E26D55" w:rsidRDefault="00E01C0B" w:rsidP="001853E3">
      <w:pPr>
        <w:pStyle w:val="NoSpacing"/>
        <w:widowControl w:val="0"/>
        <w:spacing w:line="480" w:lineRule="auto"/>
        <w:contextualSpacing/>
        <w:jc w:val="center"/>
        <w:rPr>
          <w:rFonts w:ascii="Times New Roman" w:hAnsi="Times New Roman"/>
          <w:sz w:val="24"/>
          <w:szCs w:val="24"/>
        </w:rPr>
      </w:pPr>
      <w:r>
        <w:rPr>
          <w:rFonts w:ascii="Times New Roman" w:hAnsi="Times New Roman"/>
          <w:sz w:val="24"/>
          <w:szCs w:val="24"/>
        </w:rPr>
        <w:t>&lt;Insert Table 2</w:t>
      </w:r>
      <w:r w:rsidR="00E42B38" w:rsidRPr="00E01C0B">
        <w:rPr>
          <w:rFonts w:ascii="Times New Roman" w:hAnsi="Times New Roman"/>
          <w:sz w:val="24"/>
          <w:szCs w:val="24"/>
        </w:rPr>
        <w:t xml:space="preserve"> Here&gt;</w:t>
      </w:r>
    </w:p>
    <w:p w14:paraId="39919664" w14:textId="13966C16" w:rsidR="00CD64F1" w:rsidRDefault="009F0F4D" w:rsidP="009F0F4D">
      <w:pPr>
        <w:pStyle w:val="Heading2"/>
      </w:pPr>
      <w:bookmarkStart w:id="11" w:name="_Toc286596269"/>
      <w:r>
        <w:t xml:space="preserve">4.2 </w:t>
      </w:r>
      <w:r w:rsidR="00DE1865" w:rsidRPr="00E26D55">
        <w:t>Multivariate Results</w:t>
      </w:r>
      <w:bookmarkEnd w:id="11"/>
    </w:p>
    <w:p w14:paraId="0CBD3687" w14:textId="77777777" w:rsidR="009F0F4D" w:rsidRPr="009F0F4D" w:rsidRDefault="009F0F4D" w:rsidP="009F0F4D"/>
    <w:p w14:paraId="09E99CFD" w14:textId="291D2E04" w:rsidR="00DE1865" w:rsidRPr="00E26D55" w:rsidRDefault="00670B0A" w:rsidP="001853E3">
      <w:pPr>
        <w:widowControl w:val="0"/>
        <w:spacing w:line="480" w:lineRule="auto"/>
        <w:contextualSpacing/>
        <w:jc w:val="both"/>
      </w:pPr>
      <w:r w:rsidRPr="00E26D55">
        <w:tab/>
      </w:r>
      <w:r w:rsidR="00E01C0B">
        <w:t>Table 3</w:t>
      </w:r>
      <w:r w:rsidR="00CC3D5D" w:rsidRPr="00E26D55">
        <w:t xml:space="preserve"> pres</w:t>
      </w:r>
      <w:r w:rsidR="003E3383" w:rsidRPr="00E26D55">
        <w:t xml:space="preserve">ents the findings from the estimation of equations (1) and (2). Column 1 reveals that </w:t>
      </w:r>
      <w:r w:rsidR="003E3383" w:rsidRPr="00E26D55">
        <w:rPr>
          <w:i/>
        </w:rPr>
        <w:t>POST</w:t>
      </w:r>
      <w:r w:rsidR="003E3383" w:rsidRPr="00E26D55">
        <w:t xml:space="preserve"> is positively associated with </w:t>
      </w:r>
      <w:r w:rsidR="003E3383" w:rsidRPr="00E26D55">
        <w:rPr>
          <w:i/>
        </w:rPr>
        <w:t>AVOL</w:t>
      </w:r>
      <w:r w:rsidR="00EE0D7C" w:rsidRPr="00E26D55">
        <w:rPr>
          <w:i/>
        </w:rPr>
        <w:t xml:space="preserve"> </w:t>
      </w:r>
      <w:r w:rsidR="00EE0D7C" w:rsidRPr="00E26D55">
        <w:t>(p&lt;0.05)</w:t>
      </w:r>
      <w:r w:rsidR="00AE7F49" w:rsidRPr="00E26D55">
        <w:t xml:space="preserve">, which suggests that </w:t>
      </w:r>
      <w:r w:rsidR="00600F75" w:rsidRPr="00E26D55">
        <w:t xml:space="preserve">abnormal trading volume </w:t>
      </w:r>
      <w:r w:rsidR="00A423B6" w:rsidRPr="00E26D55">
        <w:t xml:space="preserve">significantly </w:t>
      </w:r>
      <w:r w:rsidR="00600F75" w:rsidRPr="00E26D55">
        <w:t xml:space="preserve">increased around the annual reports issued under the new reporting regime compared to the prior period. </w:t>
      </w:r>
      <w:r w:rsidR="00E93C1C">
        <w:t xml:space="preserve">This result is also economically significant as I document a 13.7 percent increase in the ratio </w:t>
      </w:r>
      <w:r w:rsidR="00EB4D89">
        <w:t xml:space="preserve">of </w:t>
      </w:r>
      <w:r w:rsidR="00E93C1C" w:rsidRPr="00945C6A">
        <w:t>annual report trading volume to estimation period trading volume</w:t>
      </w:r>
      <w:r w:rsidR="00E93C1C" w:rsidRPr="00B51604">
        <w:t xml:space="preserve"> from the pre-period to the post-period</w:t>
      </w:r>
      <w:r w:rsidR="00E93C1C">
        <w:t>.</w:t>
      </w:r>
      <w:r w:rsidR="00E93C1C">
        <w:rPr>
          <w:rStyle w:val="FootnoteReference"/>
        </w:rPr>
        <w:footnoteReference w:id="32"/>
      </w:r>
      <w:r w:rsidR="00E93C1C">
        <w:t xml:space="preserve"> </w:t>
      </w:r>
      <w:r w:rsidR="00FC3706">
        <w:t>Similarly, column 2 of Table 3</w:t>
      </w:r>
      <w:r w:rsidR="00412D0A" w:rsidRPr="00E26D55">
        <w:t xml:space="preserve"> </w:t>
      </w:r>
      <w:r w:rsidR="00602F74" w:rsidRPr="00E26D55">
        <w:t xml:space="preserve">indicates </w:t>
      </w:r>
      <w:r w:rsidR="009865E1" w:rsidRPr="00E26D55">
        <w:t xml:space="preserve">that </w:t>
      </w:r>
      <w:r w:rsidR="00A50547" w:rsidRPr="00E26D55">
        <w:rPr>
          <w:i/>
        </w:rPr>
        <w:t xml:space="preserve">POST </w:t>
      </w:r>
      <w:r w:rsidR="00A50547" w:rsidRPr="00E26D55">
        <w:t xml:space="preserve">is negatively associated with </w:t>
      </w:r>
      <w:r w:rsidR="00A50547" w:rsidRPr="00E26D55">
        <w:rPr>
          <w:i/>
        </w:rPr>
        <w:t>ASPREAD</w:t>
      </w:r>
      <w:r w:rsidR="00EE0D7C" w:rsidRPr="00E26D55">
        <w:rPr>
          <w:i/>
        </w:rPr>
        <w:t xml:space="preserve"> </w:t>
      </w:r>
      <w:r w:rsidR="00EE0D7C" w:rsidRPr="00E26D55">
        <w:t>(p&lt;0.05)</w:t>
      </w:r>
      <w:r w:rsidR="00A50547" w:rsidRPr="00E26D55">
        <w:t xml:space="preserve">, suggesting that </w:t>
      </w:r>
      <w:r w:rsidR="00A423B6" w:rsidRPr="00E26D55">
        <w:t xml:space="preserve">abnormal bid-ask spreads significantly decreased surrounding the release of the annual reports in the first year of implementation relative to the previous year. </w:t>
      </w:r>
      <w:r w:rsidR="00D20046">
        <w:t xml:space="preserve">Economically, </w:t>
      </w:r>
      <w:r w:rsidR="00E93C1C" w:rsidRPr="00945C6A">
        <w:t>abnormal bid-ask spreads are, on average, 0.126 lower in the post-period relative to the pre-period</w:t>
      </w:r>
      <w:r w:rsidR="0015338B">
        <w:t xml:space="preserve">. This </w:t>
      </w:r>
      <w:r w:rsidR="00E93C1C">
        <w:t>is economically significant as the mean abnormal bid-ask spread of the sample</w:t>
      </w:r>
      <w:r w:rsidR="00353B48">
        <w:t xml:space="preserve"> in the pre-period is 0.138</w:t>
      </w:r>
      <w:r w:rsidR="00E93C1C">
        <w:t xml:space="preserve">. </w:t>
      </w:r>
      <w:r w:rsidR="00E92663" w:rsidRPr="00E26D55">
        <w:t xml:space="preserve">Taken together, these results provide </w:t>
      </w:r>
      <w:r w:rsidR="00F90BC9">
        <w:t xml:space="preserve">statistically and economically significant </w:t>
      </w:r>
      <w:r w:rsidR="00E92663" w:rsidRPr="00E26D55">
        <w:t xml:space="preserve">evidence that </w:t>
      </w:r>
      <w:r w:rsidR="00B51750" w:rsidRPr="00E26D55">
        <w:t>t</w:t>
      </w:r>
      <w:r w:rsidR="00A50547" w:rsidRPr="00E26D55">
        <w:t xml:space="preserve">he enhanced auditor and audit committee reports </w:t>
      </w:r>
      <w:r w:rsidR="00572382">
        <w:t>are</w:t>
      </w:r>
      <w:r w:rsidR="00A50547" w:rsidRPr="00E26D55">
        <w:t xml:space="preserve"> more useful to investors than the previously required reports</w:t>
      </w:r>
      <w:r w:rsidR="003B0BD5" w:rsidRPr="00E26D55">
        <w:t>. T</w:t>
      </w:r>
      <w:r w:rsidR="00A50547" w:rsidRPr="00E26D55">
        <w:t>hus,</w:t>
      </w:r>
      <w:r w:rsidR="003B0BD5" w:rsidRPr="00E26D55">
        <w:t xml:space="preserve"> in support of </w:t>
      </w:r>
      <w:r w:rsidR="003B0BD5" w:rsidRPr="00E26D55">
        <w:rPr>
          <w:i/>
        </w:rPr>
        <w:t>H1</w:t>
      </w:r>
      <w:r w:rsidR="003B0BD5" w:rsidRPr="00E26D55">
        <w:t>, I find that the new reporting regime</w:t>
      </w:r>
      <w:r w:rsidR="00A50547" w:rsidRPr="00E26D55">
        <w:t xml:space="preserve"> </w:t>
      </w:r>
      <w:r w:rsidR="00C539D1" w:rsidRPr="00E26D55">
        <w:t xml:space="preserve">significantly decreased the degree of information </w:t>
      </w:r>
      <w:r w:rsidR="00E92663" w:rsidRPr="00E26D55">
        <w:t>asymmetry</w:t>
      </w:r>
      <w:r w:rsidR="00C539D1" w:rsidRPr="00E26D55">
        <w:t xml:space="preserve"> present.</w:t>
      </w:r>
    </w:p>
    <w:p w14:paraId="2FE40B35" w14:textId="729F26E5" w:rsidR="003E23A3" w:rsidRPr="00E26D55" w:rsidRDefault="00FC3706" w:rsidP="001853E3">
      <w:pPr>
        <w:pStyle w:val="NoSpacing"/>
        <w:widowControl w:val="0"/>
        <w:spacing w:line="480" w:lineRule="auto"/>
        <w:contextualSpacing/>
        <w:jc w:val="center"/>
        <w:rPr>
          <w:rFonts w:ascii="Times New Roman" w:hAnsi="Times New Roman"/>
          <w:sz w:val="24"/>
          <w:szCs w:val="24"/>
        </w:rPr>
      </w:pPr>
      <w:r>
        <w:rPr>
          <w:rFonts w:ascii="Times New Roman" w:hAnsi="Times New Roman"/>
          <w:sz w:val="24"/>
          <w:szCs w:val="24"/>
        </w:rPr>
        <w:t xml:space="preserve">&lt;Insert Table 3 </w:t>
      </w:r>
      <w:r w:rsidR="003E23A3" w:rsidRPr="00E26D55">
        <w:rPr>
          <w:rFonts w:ascii="Times New Roman" w:hAnsi="Times New Roman"/>
          <w:sz w:val="24"/>
          <w:szCs w:val="24"/>
        </w:rPr>
        <w:t>Here&gt;</w:t>
      </w:r>
    </w:p>
    <w:p w14:paraId="4B02E55E" w14:textId="6B34B7E7" w:rsidR="00E42B38" w:rsidRPr="00E26D55" w:rsidRDefault="00AC2006" w:rsidP="001853E3">
      <w:pPr>
        <w:widowControl w:val="0"/>
        <w:spacing w:line="480" w:lineRule="auto"/>
        <w:contextualSpacing/>
        <w:jc w:val="both"/>
      </w:pPr>
      <w:r w:rsidRPr="00E26D55">
        <w:tab/>
        <w:t xml:space="preserve">In regard to the control variables, </w:t>
      </w:r>
      <w:r w:rsidR="006628FD" w:rsidRPr="00E26D55">
        <w:t xml:space="preserve">the results </w:t>
      </w:r>
      <w:r w:rsidR="00FC5F70" w:rsidRPr="00E26D55">
        <w:t xml:space="preserve">tend to follow prior literature. </w:t>
      </w:r>
      <w:r w:rsidR="003637DB" w:rsidRPr="00E26D55">
        <w:t>As found</w:t>
      </w:r>
      <w:r w:rsidR="000C79B8" w:rsidRPr="00E26D55">
        <w:t xml:space="preserve"> in </w:t>
      </w:r>
      <w:hyperlink w:anchor="_ENREF_31" w:tooltip="DeFond, 2007 #102" w:history="1">
        <w:r w:rsidR="006A749C" w:rsidRPr="00E26D55">
          <w:fldChar w:fldCharType="begin"/>
        </w:r>
        <w:r w:rsidR="006A749C" w:rsidRPr="00E26D55">
          <w:instrText xml:space="preserve"> ADDIN EN.CITE &lt;EndNote&gt;&lt;Cite AuthorYear="1"&gt;&lt;Author&gt;DeFond&lt;/Author&gt;&lt;Year&gt;2007&lt;/Year&gt;&lt;RecNum&gt;102&lt;/RecNum&gt;&lt;DisplayText&gt;DeFond et al. (2007)&lt;/DisplayText&gt;&lt;record&gt;&lt;rec-number&gt;102&lt;/rec-number&gt;&lt;foreign-keys&gt;&lt;key app="EN" db-id="frdsfrdx0zpts8ex5pfvfda4s9srzrvrxd9z" timestamp="1395942682"&gt;102&lt;/key&gt;&lt;/foreign-keys&gt;&lt;ref-type name="Journal Article"&gt;17&lt;/ref-type&gt;&lt;contributors&gt;&lt;authors&gt;&lt;author&gt;DeFond, Mark&lt;/author&gt;&lt;author&gt;Hung, Mingyi&lt;/author&gt;&lt;author&gt;Trezevant, Robert&lt;/author&gt;&lt;/authors&gt;&lt;/contributors&gt;&lt;titles&gt;&lt;title&gt;Investor protection and the information content of annual earnings announcements: International evidence&lt;/title&gt;&lt;secondary-title&gt;Journal of Accounting and Economics&lt;/secondary-title&gt;&lt;/titles&gt;&lt;periodical&gt;&lt;full-title&gt;Journal of Accounting and Economics&lt;/full-title&gt;&lt;/periodical&gt;&lt;pages&gt;37-67&lt;/pages&gt;&lt;volume&gt;43&lt;/volume&gt;&lt;number&gt;1&lt;/number&gt;&lt;keywords&gt;&lt;keyword&gt;Cross-country event study&lt;/keyword&gt;&lt;keyword&gt;Earnings announcement&lt;/keyword&gt;&lt;keyword&gt;Price reaction&lt;/keyword&gt;&lt;/keywords&gt;&lt;dates&gt;&lt;year&gt;2007&lt;/year&gt;&lt;pub-dates&gt;&lt;date&gt;3//&lt;/date&gt;&lt;/pub-dates&gt;&lt;/dates&gt;&lt;isbn&gt;0165-4101&lt;/isbn&gt;&lt;urls&gt;&lt;related-urls&gt;&lt;url&gt;http://www.sciencedirect.com/science/article/pii/S0165410106000826&lt;/url&gt;&lt;/related-urls&gt;&lt;/urls&gt;&lt;electronic-resource-num&gt;http://dx.doi.org/10.1016/j.jacceco.2006.09.001&lt;/electronic-resource-num&gt;&lt;/record&gt;&lt;/Cite&gt;&lt;/EndNote&gt;</w:instrText>
        </w:r>
        <w:r w:rsidR="006A749C" w:rsidRPr="00E26D55">
          <w:fldChar w:fldCharType="separate"/>
        </w:r>
        <w:r w:rsidR="006A749C" w:rsidRPr="00E26D55">
          <w:rPr>
            <w:noProof/>
          </w:rPr>
          <w:t>DeFond et al. (2007)</w:t>
        </w:r>
        <w:r w:rsidR="006A749C" w:rsidRPr="00E26D55">
          <w:fldChar w:fldCharType="end"/>
        </w:r>
      </w:hyperlink>
      <w:r w:rsidR="0088028F" w:rsidRPr="00E26D55">
        <w:t xml:space="preserve"> and </w:t>
      </w:r>
      <w:hyperlink w:anchor="_ENREF_52" w:tooltip="Landsman, 2012 #99" w:history="1">
        <w:r w:rsidR="006A749C" w:rsidRPr="00E26D55">
          <w:fldChar w:fldCharType="begin"/>
        </w:r>
        <w:r w:rsidR="006A749C" w:rsidRPr="00E26D55">
          <w:instrText xml:space="preserve"> ADDIN EN.CITE &lt;EndNote&gt;&lt;Cite AuthorYear="1"&gt;&lt;Author&gt;Landsman&lt;/Author&gt;&lt;Year&gt;2012&lt;/Year&gt;&lt;RecNum&gt;99&lt;/RecNum&gt;&lt;DisplayText&gt;Landsman et al. (2012)&lt;/DisplayText&gt;&lt;record&gt;&lt;rec-number&gt;99&lt;/rec-number&gt;&lt;foreign-keys&gt;&lt;key app="EN" db-id="frdsfrdx0zpts8ex5pfvfda4s9srzrvrxd9z" timestamp="1395862878"&gt;99&lt;/key&gt;&lt;/foreign-keys&gt;&lt;ref-type name="Journal Article"&gt;17&lt;/ref-type&gt;&lt;contributors&gt;&lt;authors&gt;&lt;author&gt;Landsman, Wayne R.&lt;/author&gt;&lt;author&gt;Maydew, Edward L.&lt;/author&gt;&lt;author&gt;Thornock, Jacob R.&lt;/author&gt;&lt;/authors&gt;&lt;/contributors&gt;&lt;titles&gt;&lt;title&gt;The information content of annual earnings announcements and mandatory adoption of IFRS&lt;/title&gt;&lt;secondary-title&gt;Journal of Accounting and Economics&lt;/secondary-title&gt;&lt;/titles&gt;&lt;periodical&gt;&lt;full-title&gt;Journal of Accounting and Economics&lt;/full-title&gt;&lt;/periodical&gt;&lt;pages&gt;34-54&lt;/pages&gt;&lt;volume&gt;53&lt;/volume&gt;&lt;number&gt;1–2&lt;/number&gt;&lt;keywords&gt;&lt;keyword&gt;IFRS&lt;/keyword&gt;&lt;keyword&gt;Earnings announcements&lt;/keyword&gt;&lt;keyword&gt;Information content&lt;/keyword&gt;&lt;/keywords&gt;&lt;dates&gt;&lt;year&gt;2012&lt;/year&gt;&lt;pub-dates&gt;&lt;date&gt;2//&lt;/date&gt;&lt;/pub-dates&gt;&lt;/dates&gt;&lt;isbn&gt;0165-4101&lt;/isbn&gt;&lt;urls&gt;&lt;related-urls&gt;&lt;url&gt;http://www.sciencedirect.com/science/article/pii/S0165410111000383&lt;/url&gt;&lt;/related-urls&gt;&lt;/urls&gt;&lt;electronic-resource-num&gt;http://dx.doi.org/10.1016/j.jacceco.2011.04.002&lt;/electronic-resource-num&gt;&lt;access-date&gt;2012/4//&lt;/access-date&gt;&lt;/record&gt;&lt;/Cite&gt;&lt;/EndNote&gt;</w:instrText>
        </w:r>
        <w:r w:rsidR="006A749C" w:rsidRPr="00E26D55">
          <w:fldChar w:fldCharType="separate"/>
        </w:r>
        <w:r w:rsidR="006A749C" w:rsidRPr="00E26D55">
          <w:rPr>
            <w:noProof/>
          </w:rPr>
          <w:t>Landsman et al. (2012)</w:t>
        </w:r>
        <w:r w:rsidR="006A749C" w:rsidRPr="00E26D55">
          <w:fldChar w:fldCharType="end"/>
        </w:r>
      </w:hyperlink>
      <w:r w:rsidR="0088028F" w:rsidRPr="00E26D55">
        <w:t xml:space="preserve">, </w:t>
      </w:r>
      <w:r w:rsidR="00C809B9" w:rsidRPr="00E26D55">
        <w:t xml:space="preserve">the number of analysts </w:t>
      </w:r>
      <w:r w:rsidR="00763031" w:rsidRPr="00E26D55">
        <w:t>(</w:t>
      </w:r>
      <w:r w:rsidR="00763031" w:rsidRPr="00E26D55">
        <w:rPr>
          <w:i/>
        </w:rPr>
        <w:t>NUM</w:t>
      </w:r>
      <w:r w:rsidR="00763031" w:rsidRPr="00E26D55">
        <w:t>_</w:t>
      </w:r>
      <w:r w:rsidR="00763031" w:rsidRPr="00E26D55">
        <w:rPr>
          <w:i/>
        </w:rPr>
        <w:t>ANALYST</w:t>
      </w:r>
      <w:r w:rsidR="00763031" w:rsidRPr="00E26D55">
        <w:t xml:space="preserve">) </w:t>
      </w:r>
      <w:r w:rsidR="00C809B9" w:rsidRPr="00E26D55">
        <w:t>is positive</w:t>
      </w:r>
      <w:r w:rsidR="00335F4D" w:rsidRPr="00E26D55">
        <w:t>ly associated with abnormal trading volume</w:t>
      </w:r>
      <w:r w:rsidR="00953A4F" w:rsidRPr="00E26D55">
        <w:t xml:space="preserve"> whereas the reporting lag </w:t>
      </w:r>
      <w:r w:rsidR="00763031" w:rsidRPr="00E26D55">
        <w:t>(</w:t>
      </w:r>
      <w:r w:rsidR="00763031" w:rsidRPr="00E26D55">
        <w:rPr>
          <w:i/>
        </w:rPr>
        <w:t>LAG</w:t>
      </w:r>
      <w:r w:rsidR="00763031" w:rsidRPr="00E26D55">
        <w:t xml:space="preserve">) </w:t>
      </w:r>
      <w:r w:rsidR="00953A4F" w:rsidRPr="00E26D55">
        <w:t xml:space="preserve">is related to lower abnormal trading volume. </w:t>
      </w:r>
      <w:r w:rsidR="00D57339" w:rsidRPr="00E26D55">
        <w:t>These results indicate that the market</w:t>
      </w:r>
      <w:r w:rsidR="00CF3ECE" w:rsidRPr="00E26D55">
        <w:t xml:space="preserve"> on average</w:t>
      </w:r>
      <w:r w:rsidR="00D57339" w:rsidRPr="00E26D55">
        <w:t xml:space="preserve"> views the annual reports of firms with greater analyst coverage and lower reporting lags as more </w:t>
      </w:r>
      <w:r w:rsidR="00D729DE" w:rsidRPr="00E26D55">
        <w:t>useful and informative.</w:t>
      </w:r>
      <w:r w:rsidR="00D57339" w:rsidRPr="00E26D55">
        <w:t xml:space="preserve"> </w:t>
      </w:r>
      <w:r w:rsidR="00DE2A1E" w:rsidRPr="00E26D55">
        <w:t>I also find that t</w:t>
      </w:r>
      <w:r w:rsidR="00763031" w:rsidRPr="00E26D55">
        <w:t>he size of the company (</w:t>
      </w:r>
      <w:r w:rsidR="00763031" w:rsidRPr="00E26D55">
        <w:rPr>
          <w:i/>
        </w:rPr>
        <w:t>LN_MVE</w:t>
      </w:r>
      <w:r w:rsidR="00763031" w:rsidRPr="00E26D55">
        <w:t xml:space="preserve">) is </w:t>
      </w:r>
      <w:r w:rsidR="00765348" w:rsidRPr="00E26D55">
        <w:t>associated with lower bid-ask spreads</w:t>
      </w:r>
      <w:r w:rsidR="004544D1" w:rsidRPr="00E26D55">
        <w:t xml:space="preserve">, suggesting that larger firms on average experience less information asymmetry. </w:t>
      </w:r>
    </w:p>
    <w:p w14:paraId="228DB581" w14:textId="77777777" w:rsidR="000C4BFE" w:rsidRPr="00E26D55" w:rsidRDefault="000C4BFE" w:rsidP="001853E3">
      <w:pPr>
        <w:widowControl w:val="0"/>
        <w:spacing w:line="480" w:lineRule="auto"/>
        <w:contextualSpacing/>
        <w:jc w:val="both"/>
      </w:pPr>
    </w:p>
    <w:p w14:paraId="7B3D73E7" w14:textId="77777777" w:rsidR="00E32E93" w:rsidRDefault="00E32E93">
      <w:pPr>
        <w:rPr>
          <w:rFonts w:eastAsiaTheme="majorEastAsia" w:cstheme="majorBidi"/>
          <w:b/>
          <w:bCs/>
          <w:szCs w:val="32"/>
        </w:rPr>
      </w:pPr>
      <w:r>
        <w:br w:type="page"/>
      </w:r>
    </w:p>
    <w:p w14:paraId="4388ABDF" w14:textId="0769A722" w:rsidR="00823BF8" w:rsidRDefault="00823BF8" w:rsidP="009F0F4D">
      <w:pPr>
        <w:pStyle w:val="Heading1"/>
      </w:pPr>
      <w:bookmarkStart w:id="12" w:name="_Toc286596270"/>
      <w:r w:rsidRPr="00E26D55">
        <w:t>V. ADDITIONAL ANALYSES</w:t>
      </w:r>
      <w:bookmarkEnd w:id="12"/>
    </w:p>
    <w:p w14:paraId="51E184CD" w14:textId="77777777" w:rsidR="009F0F4D" w:rsidRPr="009F0F4D" w:rsidRDefault="009F0F4D" w:rsidP="009F0F4D"/>
    <w:p w14:paraId="37FF0FF1" w14:textId="53B0894F" w:rsidR="00B322BF" w:rsidRDefault="009F0F4D" w:rsidP="009F0F4D">
      <w:pPr>
        <w:pStyle w:val="Heading2"/>
      </w:pPr>
      <w:bookmarkStart w:id="13" w:name="_Toc286596271"/>
      <w:r>
        <w:t xml:space="preserve">5.1 </w:t>
      </w:r>
      <w:r w:rsidR="00B322BF">
        <w:t>Cross-Sectional Tests</w:t>
      </w:r>
      <w:bookmarkEnd w:id="13"/>
    </w:p>
    <w:p w14:paraId="36907790" w14:textId="77777777" w:rsidR="009F0F4D" w:rsidRPr="009F0F4D" w:rsidRDefault="009F0F4D" w:rsidP="009F0F4D"/>
    <w:p w14:paraId="1A70326A" w14:textId="2F911AB7" w:rsidR="00CC3B09" w:rsidRPr="00CC3B09" w:rsidRDefault="00CC3B09" w:rsidP="00770C13">
      <w:pPr>
        <w:widowControl w:val="0"/>
        <w:spacing w:line="480" w:lineRule="auto"/>
        <w:contextualSpacing/>
        <w:jc w:val="both"/>
      </w:pPr>
      <w:r>
        <w:rPr>
          <w:b/>
        </w:rPr>
        <w:tab/>
      </w:r>
      <w:r w:rsidR="004D1697" w:rsidRPr="00E26D55">
        <w:t xml:space="preserve">In the main analysis, I find that revised audit committee and auditor report requirements are associated with a decrease in information asymmetry. The reporting changes, however, are unlikely to affect all firms equally. </w:t>
      </w:r>
      <w:r w:rsidR="00FC79FA">
        <w:t xml:space="preserve">In this section, I identify sources of </w:t>
      </w:r>
      <w:r w:rsidR="0075234A">
        <w:t xml:space="preserve">potential </w:t>
      </w:r>
      <w:r w:rsidR="00B52747">
        <w:t>variation in the usefulness</w:t>
      </w:r>
      <w:r w:rsidR="00FC79FA">
        <w:t xml:space="preserve"> of </w:t>
      </w:r>
      <w:r w:rsidR="004D57C8">
        <w:t xml:space="preserve">the </w:t>
      </w:r>
      <w:r w:rsidR="00AE0F28">
        <w:t xml:space="preserve">additional disclosures and </w:t>
      </w:r>
      <w:r w:rsidR="0017398F">
        <w:t xml:space="preserve">perform </w:t>
      </w:r>
      <w:r w:rsidR="00364705">
        <w:t xml:space="preserve">cross-sectional analyses to exploit </w:t>
      </w:r>
      <w:r w:rsidR="00AE0F28">
        <w:t xml:space="preserve">this heterogeneity. </w:t>
      </w:r>
    </w:p>
    <w:p w14:paraId="0989CB41" w14:textId="478C6393" w:rsidR="00564594" w:rsidRPr="006A749C" w:rsidRDefault="006A749C" w:rsidP="006A749C">
      <w:pPr>
        <w:pStyle w:val="Heading3"/>
      </w:pPr>
      <w:bookmarkStart w:id="14" w:name="_Toc286596272"/>
      <w:r>
        <w:t>5.1.1</w:t>
      </w:r>
      <w:r w:rsidR="009F0F4D" w:rsidRPr="006A749C">
        <w:t xml:space="preserve"> </w:t>
      </w:r>
      <w:r w:rsidR="009748FC" w:rsidRPr="006A749C">
        <w:t>Analyst Coverage</w:t>
      </w:r>
      <w:r w:rsidR="00670952" w:rsidRPr="006A749C">
        <w:t xml:space="preserve"> Analysis</w:t>
      </w:r>
      <w:bookmarkEnd w:id="14"/>
    </w:p>
    <w:p w14:paraId="48F21BB5" w14:textId="6E8291C6" w:rsidR="004C0C89" w:rsidRPr="00E26D55" w:rsidRDefault="00097CDE" w:rsidP="001853E3">
      <w:pPr>
        <w:widowControl w:val="0"/>
        <w:spacing w:line="480" w:lineRule="auto"/>
        <w:contextualSpacing/>
        <w:jc w:val="both"/>
      </w:pPr>
      <w:r w:rsidRPr="00E26D55">
        <w:tab/>
      </w:r>
      <w:r w:rsidR="009748FC">
        <w:t>I expect the enhanced auditor and audit committee</w:t>
      </w:r>
      <w:r w:rsidR="00212D32">
        <w:t xml:space="preserve"> disclosures to have a greater impact on firms with weaker information environments. </w:t>
      </w:r>
      <w:r w:rsidR="00D4386B">
        <w:t>I</w:t>
      </w:r>
      <w:r w:rsidR="002649ED">
        <w:t xml:space="preserve"> use analyst coverage as </w:t>
      </w:r>
      <w:r w:rsidR="00DB1FAB" w:rsidRPr="00E26D55">
        <w:t>a proxy for the amount of information disclosed and available to investors about the firm</w:t>
      </w:r>
      <w:r w:rsidR="00505BF7" w:rsidRPr="00E26D55">
        <w:t xml:space="preserve"> </w:t>
      </w:r>
      <w:r w:rsidR="00505BF7" w:rsidRPr="00E26D55">
        <w:fldChar w:fldCharType="begin">
          <w:fldData xml:space="preserve">PEVuZE5vdGU+PENpdGU+PEF1dGhvcj5Cb3Rvc2FuPC9BdXRob3I+PFllYXI+MTk5NzwvWWVhcj48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=
</w:fldData>
        </w:fldChar>
      </w:r>
      <w:r w:rsidR="00D30EE4" w:rsidRPr="00E26D55">
        <w:instrText xml:space="preserve"> ADDIN EN.CITE </w:instrText>
      </w:r>
      <w:r w:rsidR="00D30EE4" w:rsidRPr="00E26D55">
        <w:fldChar w:fldCharType="begin">
          <w:fldData xml:space="preserve">PEVuZE5vdGU+PENpdGU+PEF1dGhvcj5Cb3Rvc2FuPC9BdXRob3I+PFllYXI+MTk5NzwvWWVhcj48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=
</w:fldData>
        </w:fldChar>
      </w:r>
      <w:r w:rsidR="00D30EE4" w:rsidRPr="00E26D55">
        <w:instrText xml:space="preserve"> ADDIN EN.CITE.DATA </w:instrText>
      </w:r>
      <w:r w:rsidR="00D30EE4" w:rsidRPr="00E26D55">
        <w:fldChar w:fldCharType="end"/>
      </w:r>
      <w:r w:rsidR="00505BF7" w:rsidRPr="00E26D55">
        <w:fldChar w:fldCharType="separate"/>
      </w:r>
      <w:r w:rsidR="00D30EE4" w:rsidRPr="00E26D55">
        <w:rPr>
          <w:noProof/>
        </w:rPr>
        <w:t>(</w:t>
      </w:r>
      <w:hyperlink w:anchor="_ENREF_10" w:tooltip="Botosan, 1997 #344" w:history="1">
        <w:r w:rsidR="006A749C" w:rsidRPr="00E26D55">
          <w:rPr>
            <w:noProof/>
          </w:rPr>
          <w:t>Botosan 1997</w:t>
        </w:r>
      </w:hyperlink>
      <w:r w:rsidR="00D30EE4" w:rsidRPr="00E26D55">
        <w:rPr>
          <w:noProof/>
        </w:rPr>
        <w:t xml:space="preserve">; </w:t>
      </w:r>
      <w:hyperlink w:anchor="_ENREF_56" w:tooltip="Miller, 2010 #163" w:history="1">
        <w:r w:rsidR="006A749C" w:rsidRPr="00E26D55">
          <w:rPr>
            <w:noProof/>
          </w:rPr>
          <w:t>Miller 2010</w:t>
        </w:r>
      </w:hyperlink>
      <w:r w:rsidR="00D30EE4" w:rsidRPr="00E26D55">
        <w:rPr>
          <w:noProof/>
        </w:rPr>
        <w:t xml:space="preserve">; </w:t>
      </w:r>
      <w:hyperlink w:anchor="_ENREF_9" w:tooltip="Blankespoor, 2014 #342" w:history="1">
        <w:r w:rsidR="006A749C" w:rsidRPr="00E26D55">
          <w:rPr>
            <w:noProof/>
          </w:rPr>
          <w:t>Blankespoor et al. 2014</w:t>
        </w:r>
      </w:hyperlink>
      <w:r w:rsidR="00D30EE4" w:rsidRPr="00E26D55">
        <w:rPr>
          <w:noProof/>
        </w:rPr>
        <w:t>)</w:t>
      </w:r>
      <w:r w:rsidR="00505BF7" w:rsidRPr="00E26D55">
        <w:fldChar w:fldCharType="end"/>
      </w:r>
      <w:r w:rsidR="00DB1FAB" w:rsidRPr="00E26D55">
        <w:t>. The more communication p</w:t>
      </w:r>
      <w:r w:rsidR="002B00CE" w:rsidRPr="00E26D55">
        <w:t xml:space="preserve">rovided to investors from the firm or through analysts, the less disclosures from other parties, including auditors and audit committees, will likely impact investor’s trading decisions. </w:t>
      </w:r>
      <w:r w:rsidR="00A043BA" w:rsidRPr="00E26D55">
        <w:t xml:space="preserve">I therefore expect that </w:t>
      </w:r>
      <w:r w:rsidR="000E7913" w:rsidRPr="00E26D55">
        <w:t xml:space="preserve">additional disclosures in auditor </w:t>
      </w:r>
      <w:r w:rsidR="00A043BA" w:rsidRPr="00E26D55">
        <w:t xml:space="preserve">and audit committee reports to have a greater effect on investors in firms with lower analyst following. </w:t>
      </w:r>
      <w:r w:rsidR="00505BF7" w:rsidRPr="00E26D55">
        <w:t>To test this prediction, I</w:t>
      </w:r>
      <w:r w:rsidR="00545AD6" w:rsidRPr="00E26D55">
        <w:t xml:space="preserve"> </w:t>
      </w:r>
      <w:r w:rsidR="00981842" w:rsidRPr="00E26D55">
        <w:t>estimate</w:t>
      </w:r>
      <w:r w:rsidR="00A47699" w:rsidRPr="00E26D55">
        <w:t xml:space="preserve"> equations (1) and (2) on subsamples divided at the median analyst c</w:t>
      </w:r>
      <w:r w:rsidR="00545AD6" w:rsidRPr="00E26D55">
        <w:t>overage (median</w:t>
      </w:r>
      <w:r w:rsidR="001E277B" w:rsidRPr="00E26D55">
        <w:t xml:space="preserve"> </w:t>
      </w:r>
      <w:r w:rsidR="001E277B" w:rsidRPr="00E26D55">
        <w:rPr>
          <w:i/>
        </w:rPr>
        <w:t>NUM_ANALYST</w:t>
      </w:r>
      <w:r w:rsidR="001E277B" w:rsidRPr="00E26D55">
        <w:t>=10</w:t>
      </w:r>
      <w:r w:rsidR="00545AD6" w:rsidRPr="00E26D55">
        <w:t>)</w:t>
      </w:r>
      <w:r w:rsidR="0048195D" w:rsidRPr="00E26D55">
        <w:t xml:space="preserve">. </w:t>
      </w:r>
      <w:r w:rsidR="00B958F6" w:rsidRPr="00E26D55">
        <w:t xml:space="preserve">I also estimate the models on the full sample and </w:t>
      </w:r>
      <w:r w:rsidR="00FE0754" w:rsidRPr="00E26D55">
        <w:t xml:space="preserve">include an interaction </w:t>
      </w:r>
      <w:r w:rsidR="004C0C89" w:rsidRPr="00E26D55">
        <w:t xml:space="preserve">of </w:t>
      </w:r>
      <w:r w:rsidR="004C0C89" w:rsidRPr="00E26D55">
        <w:rPr>
          <w:i/>
        </w:rPr>
        <w:t>POST</w:t>
      </w:r>
      <w:r w:rsidR="004C0C89" w:rsidRPr="00E26D55">
        <w:t xml:space="preserve"> and </w:t>
      </w:r>
      <w:r w:rsidR="004C0C89" w:rsidRPr="00E26D55">
        <w:rPr>
          <w:i/>
        </w:rPr>
        <w:t>NUM_ANALYST</w:t>
      </w:r>
      <w:r w:rsidR="00B958F6" w:rsidRPr="00E26D55">
        <w:t xml:space="preserve">. </w:t>
      </w:r>
    </w:p>
    <w:p w14:paraId="33FF57C2" w14:textId="0E0999BA" w:rsidR="00C059D8" w:rsidRDefault="00FC3706" w:rsidP="003A0D81">
      <w:pPr>
        <w:widowControl w:val="0"/>
        <w:spacing w:line="480" w:lineRule="auto"/>
        <w:ind w:firstLine="720"/>
        <w:contextualSpacing/>
        <w:jc w:val="both"/>
        <w:rPr>
          <w:b/>
        </w:rPr>
      </w:pPr>
      <w:r>
        <w:t>Panels A and B of Table 4</w:t>
      </w:r>
      <w:r w:rsidR="00545AD6" w:rsidRPr="00E26D55">
        <w:t xml:space="preserve"> </w:t>
      </w:r>
      <w:r w:rsidR="00D30EE4" w:rsidRPr="00E26D55">
        <w:t xml:space="preserve">present the results of this analysis for </w:t>
      </w:r>
      <w:r w:rsidR="00D30EE4" w:rsidRPr="00E26D55">
        <w:rPr>
          <w:i/>
        </w:rPr>
        <w:t>AVOL</w:t>
      </w:r>
      <w:r w:rsidR="00D30EE4" w:rsidRPr="00E26D55">
        <w:t xml:space="preserve"> and </w:t>
      </w:r>
      <w:r w:rsidR="00D30EE4" w:rsidRPr="00E26D55">
        <w:rPr>
          <w:i/>
        </w:rPr>
        <w:t>ASPREAD</w:t>
      </w:r>
      <w:r w:rsidR="00D30EE4" w:rsidRPr="00E26D55">
        <w:t xml:space="preserve">, respectively.  </w:t>
      </w:r>
      <w:r w:rsidR="00F86548" w:rsidRPr="00E26D55">
        <w:t>Column 1</w:t>
      </w:r>
      <w:r w:rsidR="001213D5" w:rsidRPr="00E26D55">
        <w:t xml:space="preserve"> of Panel A </w:t>
      </w:r>
      <w:r w:rsidR="0035097C" w:rsidRPr="00E26D55">
        <w:t xml:space="preserve">(B) </w:t>
      </w:r>
      <w:r w:rsidR="001213D5" w:rsidRPr="00E26D55">
        <w:t xml:space="preserve">reveals that </w:t>
      </w:r>
      <w:r w:rsidR="00545AD6" w:rsidRPr="00E26D55">
        <w:t xml:space="preserve">firms with a high </w:t>
      </w:r>
      <w:r w:rsidR="00527DE5" w:rsidRPr="00E26D55">
        <w:t xml:space="preserve">analyst following do not experience a significant increase </w:t>
      </w:r>
      <w:r w:rsidR="0035097C" w:rsidRPr="00E26D55">
        <w:t xml:space="preserve">(decrease) </w:t>
      </w:r>
      <w:r w:rsidR="00527DE5" w:rsidRPr="00E26D55">
        <w:t>in abnormal trading volume</w:t>
      </w:r>
      <w:r w:rsidR="0035097C" w:rsidRPr="00E26D55">
        <w:t xml:space="preserve"> (abnormal bid-ask spreads)</w:t>
      </w:r>
      <w:r w:rsidR="00527DE5" w:rsidRPr="00E26D55">
        <w:t xml:space="preserve"> around the implementation of the auditor and audit committee report revisions. </w:t>
      </w:r>
      <w:r w:rsidR="0093631E" w:rsidRPr="00E26D55">
        <w:t>I</w:t>
      </w:r>
      <w:r w:rsidR="009F3E83" w:rsidRPr="00E26D55">
        <w:t>n column 2 of Panels A and B</w:t>
      </w:r>
      <w:r w:rsidR="0093631E" w:rsidRPr="00E26D55">
        <w:t xml:space="preserve">, however, </w:t>
      </w:r>
      <w:r w:rsidR="009F3E83" w:rsidRPr="00E26D55">
        <w:t xml:space="preserve">I </w:t>
      </w:r>
      <w:r w:rsidR="0093631E" w:rsidRPr="00E26D55">
        <w:t>find that</w:t>
      </w:r>
      <w:r w:rsidR="00597A75">
        <w:t xml:space="preserve"> firms with low analyst coverage are</w:t>
      </w:r>
      <w:r w:rsidR="0093631E" w:rsidRPr="00E26D55">
        <w:t xml:space="preserve"> associated with a significant increase in abnormal trading volume and a significant decrease in abnormal bid-ask spreads</w:t>
      </w:r>
      <w:r w:rsidR="004E362F" w:rsidRPr="00E26D55">
        <w:t xml:space="preserve"> </w:t>
      </w:r>
      <w:r w:rsidR="008D622A" w:rsidRPr="00E26D55">
        <w:t xml:space="preserve">from the pre-period to the post-period </w:t>
      </w:r>
      <w:r w:rsidR="004E362F" w:rsidRPr="00E26D55">
        <w:t>(both p&lt;0.05)</w:t>
      </w:r>
      <w:r w:rsidR="0093631E" w:rsidRPr="00E26D55">
        <w:t xml:space="preserve">. </w:t>
      </w:r>
      <w:r w:rsidR="004C0C89" w:rsidRPr="00E26D55">
        <w:t xml:space="preserve">In the third column of each </w:t>
      </w:r>
      <w:r w:rsidR="00DC14B7" w:rsidRPr="00E26D55">
        <w:t xml:space="preserve">panel, I </w:t>
      </w:r>
      <w:r w:rsidR="00FE0754" w:rsidRPr="00E26D55">
        <w:t>include the interaction</w:t>
      </w:r>
      <w:r w:rsidR="009F3E83" w:rsidRPr="00E26D55">
        <w:t xml:space="preserve"> of </w:t>
      </w:r>
      <w:r w:rsidR="009F3E83" w:rsidRPr="00E26D55">
        <w:rPr>
          <w:i/>
        </w:rPr>
        <w:t>POST</w:t>
      </w:r>
      <w:r w:rsidR="009F3E83" w:rsidRPr="00E26D55">
        <w:t xml:space="preserve"> and </w:t>
      </w:r>
      <w:r w:rsidR="009F3E83" w:rsidRPr="00E26D55">
        <w:rPr>
          <w:i/>
        </w:rPr>
        <w:t xml:space="preserve">NUM_ANALYST </w:t>
      </w:r>
      <w:r w:rsidR="009F3E83" w:rsidRPr="00E26D55">
        <w:t xml:space="preserve">and re-run the analysis </w:t>
      </w:r>
      <w:r w:rsidR="002D094D" w:rsidRPr="00E26D55">
        <w:t xml:space="preserve">on the full sample of firms. </w:t>
      </w:r>
      <w:r w:rsidR="00191185" w:rsidRPr="00E26D55">
        <w:t xml:space="preserve">The negative (positive) coefficient on the interaction term in </w:t>
      </w:r>
      <w:r w:rsidR="00385E5B">
        <w:t>Panel A (B</w:t>
      </w:r>
      <w:r w:rsidR="00191185" w:rsidRPr="00E26D55">
        <w:t xml:space="preserve">) suggests that as analyst coverage increases, the </w:t>
      </w:r>
      <w:r w:rsidR="000003D6" w:rsidRPr="00E26D55">
        <w:t>less information asymmetry is reduced from the year prior to the regulatory changes to the first year of implementation</w:t>
      </w:r>
      <w:r w:rsidR="007D3AF1" w:rsidRPr="00E26D55">
        <w:t xml:space="preserve"> </w:t>
      </w:r>
      <w:r w:rsidR="00D22074" w:rsidRPr="00E26D55">
        <w:t>(p&lt;0.05 and p&lt;0.10, respectively)</w:t>
      </w:r>
      <w:r w:rsidR="008B4351" w:rsidRPr="00E26D55">
        <w:t xml:space="preserve">. </w:t>
      </w:r>
      <w:r w:rsidR="007D3AF1" w:rsidRPr="00E26D55">
        <w:t xml:space="preserve">In other words, </w:t>
      </w:r>
      <w:r w:rsidR="00CA2715">
        <w:t>as the</w:t>
      </w:r>
      <w:r w:rsidR="007053BC">
        <w:t xml:space="preserve"> </w:t>
      </w:r>
      <w:r w:rsidR="00CA2715">
        <w:t xml:space="preserve">information environment weakens (i.e., </w:t>
      </w:r>
      <w:r w:rsidR="007053BC">
        <w:t>analyst following decreases</w:t>
      </w:r>
      <w:r w:rsidR="00CA2715">
        <w:t>)</w:t>
      </w:r>
      <w:r w:rsidR="007053BC">
        <w:t xml:space="preserve">, the greater the reduction in information asymmetry </w:t>
      </w:r>
      <w:r w:rsidR="007D3AF1" w:rsidRPr="00E26D55">
        <w:t xml:space="preserve">as a result of the additional auditor and </w:t>
      </w:r>
      <w:r w:rsidR="003C12E3" w:rsidRPr="00E26D55">
        <w:t>audit committee disclosu</w:t>
      </w:r>
      <w:r w:rsidR="0097076B" w:rsidRPr="00E26D55">
        <w:t>res.</w:t>
      </w:r>
      <w:r w:rsidR="00A55C65">
        <w:t xml:space="preserve"> </w:t>
      </w:r>
    </w:p>
    <w:p w14:paraId="6756B389" w14:textId="20CF2D36" w:rsidR="00C059D8" w:rsidRPr="00C059D8" w:rsidRDefault="00C059D8" w:rsidP="00C059D8">
      <w:pPr>
        <w:pStyle w:val="NoSpacing"/>
        <w:widowControl w:val="0"/>
        <w:spacing w:line="480" w:lineRule="auto"/>
        <w:contextualSpacing/>
        <w:jc w:val="center"/>
        <w:rPr>
          <w:rFonts w:ascii="Times New Roman" w:hAnsi="Times New Roman"/>
          <w:sz w:val="24"/>
          <w:szCs w:val="24"/>
        </w:rPr>
      </w:pPr>
      <w:r>
        <w:rPr>
          <w:rFonts w:ascii="Times New Roman" w:hAnsi="Times New Roman"/>
          <w:sz w:val="24"/>
          <w:szCs w:val="24"/>
        </w:rPr>
        <w:t>&lt;Insert Table 4</w:t>
      </w:r>
      <w:r w:rsidRPr="00E26D55">
        <w:rPr>
          <w:rFonts w:ascii="Times New Roman" w:hAnsi="Times New Roman"/>
          <w:sz w:val="24"/>
          <w:szCs w:val="24"/>
        </w:rPr>
        <w:t xml:space="preserve"> Here&gt;</w:t>
      </w:r>
    </w:p>
    <w:p w14:paraId="6A9C2185" w14:textId="26C6A737" w:rsidR="00C059D8" w:rsidRPr="00AC07A3" w:rsidRDefault="006A749C" w:rsidP="006A749C">
      <w:pPr>
        <w:pStyle w:val="Heading3"/>
      </w:pPr>
      <w:bookmarkStart w:id="15" w:name="_Toc286596273"/>
      <w:r>
        <w:t xml:space="preserve">5.1.2 </w:t>
      </w:r>
      <w:r w:rsidR="00C059D8" w:rsidRPr="00AC07A3">
        <w:t>Auditor Analysis</w:t>
      </w:r>
      <w:bookmarkEnd w:id="15"/>
    </w:p>
    <w:p w14:paraId="5AAE450E" w14:textId="40645620" w:rsidR="00C059D8" w:rsidRPr="00E26D55" w:rsidRDefault="00C059D8" w:rsidP="00C059D8">
      <w:pPr>
        <w:widowControl w:val="0"/>
        <w:spacing w:line="480" w:lineRule="auto"/>
        <w:contextualSpacing/>
        <w:jc w:val="both"/>
      </w:pPr>
      <w:r w:rsidRPr="00E26D55">
        <w:tab/>
        <w:t>Audit firms likely implemented the revised report requirements in their own fashions, and therefore, it is probable that the degr</w:t>
      </w:r>
      <w:r w:rsidR="00B37A9C">
        <w:t xml:space="preserve">ee to which investors found a firm’s </w:t>
      </w:r>
      <w:r w:rsidR="00734619">
        <w:t xml:space="preserve">new audit </w:t>
      </w:r>
      <w:r w:rsidR="00B37A9C">
        <w:t>report</w:t>
      </w:r>
      <w:r w:rsidRPr="00E26D55">
        <w:t xml:space="preserve"> useful varies by auditor.</w:t>
      </w:r>
      <w:r w:rsidRPr="00E26D55">
        <w:rPr>
          <w:rStyle w:val="FootnoteReference"/>
        </w:rPr>
        <w:footnoteReference w:id="33"/>
      </w:r>
      <w:r w:rsidRPr="00E26D55">
        <w:rPr>
          <w:vertAlign w:val="superscript"/>
        </w:rPr>
        <w:t>,</w:t>
      </w:r>
      <w:r w:rsidRPr="00E26D55">
        <w:rPr>
          <w:rStyle w:val="FootnoteReference"/>
        </w:rPr>
        <w:footnoteReference w:id="34"/>
      </w:r>
      <w:r w:rsidRPr="00E26D55">
        <w:t xml:space="preserve"> In fact, a recent study published by Citigroup reveals meaningful differences among the </w:t>
      </w:r>
      <w:r w:rsidR="00D3402E">
        <w:t xml:space="preserve">new U.K. </w:t>
      </w:r>
      <w:r w:rsidRPr="00E26D55">
        <w:t xml:space="preserve">audit reports issued by the Big 4 firms </w:t>
      </w:r>
      <w:r w:rsidRPr="00E26D55">
        <w:fldChar w:fldCharType="begin"/>
      </w:r>
      <w:r w:rsidRPr="00E26D55">
        <w:instrText xml:space="preserve"> ADDIN EN.CITE &lt;EndNote&gt;&lt;Cite&gt;&lt;Author&gt;Fisher&lt;/Author&gt;&lt;Year&gt;2014&lt;/Year&gt;&lt;RecNum&gt;345&lt;/RecNum&gt;&lt;DisplayText&gt;(Fisher and Deans 2014)&lt;/DisplayText&gt;&lt;record&gt;&lt;rec-number&gt;345&lt;/rec-number&gt;&lt;foreign-keys&gt;&lt;key app="EN" db-id="frdsfrdx0zpts8ex5pfvfda4s9srzrvrxd9z" timestamp="1412810680"&gt;345&lt;/key&gt;&lt;/foreign-keys&gt;&lt;ref-type name="Journal Article"&gt;17&lt;/ref-type&gt;&lt;contributors&gt;&lt;authors&gt;&lt;author&gt;Fisher, Terence&lt;/author&gt;&lt;author&gt;Deans, Sarah&lt;/author&gt;&lt;/authors&gt;&lt;/contributors&gt;&lt;titles&gt;&lt;title&gt;New UK Auditor&amp;apos;s Reports Update&lt;/title&gt;&lt;secondary-title&gt;Citigroup Research&lt;/secondary-title&gt;&lt;/titles&gt;&lt;periodical&gt;&lt;full-title&gt;Citigroup Research&lt;/full-title&gt;&lt;/periodical&gt;&lt;volume&gt;September 3, 2014&lt;/volume&gt;&lt;dates&gt;&lt;year&gt;2014&lt;/year&gt;&lt;/dates&gt;&lt;urls&gt;&lt;/urls&gt;&lt;/record&gt;&lt;/Cite&gt;&lt;/EndNote&gt;</w:instrText>
      </w:r>
      <w:r w:rsidRPr="00E26D55">
        <w:fldChar w:fldCharType="separate"/>
      </w:r>
      <w:r w:rsidRPr="00E26D55">
        <w:rPr>
          <w:noProof/>
        </w:rPr>
        <w:t>(</w:t>
      </w:r>
      <w:hyperlink w:anchor="_ENREF_37" w:tooltip="Fisher, 2014 #345" w:history="1">
        <w:r w:rsidR="006A749C" w:rsidRPr="00E26D55">
          <w:rPr>
            <w:noProof/>
          </w:rPr>
          <w:t>Fisher and Deans 2014</w:t>
        </w:r>
      </w:hyperlink>
      <w:r w:rsidRPr="00E26D55">
        <w:rPr>
          <w:noProof/>
        </w:rPr>
        <w:t>)</w:t>
      </w:r>
      <w:r w:rsidRPr="00E26D55">
        <w:fldChar w:fldCharType="end"/>
      </w:r>
      <w:r w:rsidRPr="00E26D55">
        <w:t xml:space="preserve">. The researchers conclude that “KPMG </w:t>
      </w:r>
      <w:r w:rsidR="003E3109">
        <w:t>[includes]</w:t>
      </w:r>
      <w:r w:rsidRPr="00E26D55">
        <w:t xml:space="preserve"> the most useful analysis of risk, while the lack of detail provided means EY typically lags behind the other Big 4 in its discussion of risk” </w:t>
      </w:r>
      <w:r w:rsidRPr="00E26D55">
        <w:fldChar w:fldCharType="begin"/>
      </w:r>
      <w:r w:rsidRPr="00E26D55">
        <w:instrText xml:space="preserve"> ADDIN EN.CITE &lt;EndNote&gt;&lt;Cite&gt;&lt;Author&gt;Fisher&lt;/Author&gt;&lt;Year&gt;2014&lt;/Year&gt;&lt;RecNum&gt;345&lt;/RecNum&gt;&lt;DisplayText&gt;(Fisher and Deans 2014)&lt;/DisplayText&gt;&lt;record&gt;&lt;rec-number&gt;345&lt;/rec-number&gt;&lt;foreign-keys&gt;&lt;key app="EN" db-id="frdsfrdx0zpts8ex5pfvfda4s9srzrvrxd9z" timestamp="1412810680"&gt;345&lt;/key&gt;&lt;/foreign-keys&gt;&lt;ref-type name="Journal Article"&gt;17&lt;/ref-type&gt;&lt;contributors&gt;&lt;authors&gt;&lt;author&gt;Fisher, Terence&lt;/author&gt;&lt;author&gt;Deans, Sarah&lt;/author&gt;&lt;/authors&gt;&lt;/contributors&gt;&lt;titles&gt;&lt;title&gt;New UK Auditor&amp;apos;s Reports Update&lt;/title&gt;&lt;secondary-title&gt;Citigroup Research&lt;/secondary-title&gt;&lt;/titles&gt;&lt;periodical&gt;&lt;full-title&gt;Citigroup Research&lt;/full-title&gt;&lt;/periodical&gt;&lt;volume&gt;September 3, 2014&lt;/volume&gt;&lt;dates&gt;&lt;year&gt;2014&lt;/year&gt;&lt;/dates&gt;&lt;urls&gt;&lt;/urls&gt;&lt;/record&gt;&lt;/Cite&gt;&lt;/EndNote&gt;</w:instrText>
      </w:r>
      <w:r w:rsidRPr="00E26D55">
        <w:fldChar w:fldCharType="separate"/>
      </w:r>
      <w:r w:rsidRPr="00E26D55">
        <w:rPr>
          <w:noProof/>
        </w:rPr>
        <w:t>(</w:t>
      </w:r>
      <w:hyperlink w:anchor="_ENREF_37" w:tooltip="Fisher, 2014 #345" w:history="1">
        <w:r w:rsidR="006A749C" w:rsidRPr="00E26D55">
          <w:rPr>
            <w:noProof/>
          </w:rPr>
          <w:t>Fisher and Deans 2014</w:t>
        </w:r>
      </w:hyperlink>
      <w:r w:rsidRPr="00E26D55">
        <w:rPr>
          <w:noProof/>
        </w:rPr>
        <w:t>)</w:t>
      </w:r>
      <w:r w:rsidRPr="00E26D55">
        <w:fldChar w:fldCharType="end"/>
      </w:r>
      <w:r w:rsidRPr="00E26D55">
        <w:t>.</w:t>
      </w:r>
      <w:r w:rsidR="00201BFA">
        <w:rPr>
          <w:rStyle w:val="FootnoteReference"/>
        </w:rPr>
        <w:footnoteReference w:id="35"/>
      </w:r>
      <w:r w:rsidRPr="00E26D55">
        <w:t xml:space="preserve"> I explore whether investors responded to these differences in </w:t>
      </w:r>
      <w:r w:rsidR="00842B5B">
        <w:t xml:space="preserve">new </w:t>
      </w:r>
      <w:r w:rsidRPr="00E26D55">
        <w:t xml:space="preserve">reports issued by KPMG and EY. </w:t>
      </w:r>
      <w:r w:rsidR="00CE566C">
        <w:t xml:space="preserve">Based on Citigroup’s observation, I expect </w:t>
      </w:r>
      <w:r w:rsidR="00340B47">
        <w:t>t</w:t>
      </w:r>
      <w:r w:rsidR="0060027D">
        <w:t xml:space="preserve">o find that </w:t>
      </w:r>
      <w:r w:rsidR="00C66E59">
        <w:t xml:space="preserve">information </w:t>
      </w:r>
      <w:r w:rsidR="006D32F7">
        <w:t xml:space="preserve">asymmetry </w:t>
      </w:r>
      <w:r w:rsidR="00C66E59">
        <w:t xml:space="preserve">decreased more (less) for firms audited by </w:t>
      </w:r>
      <w:r w:rsidR="0060027D">
        <w:t xml:space="preserve">KPMG (EY) </w:t>
      </w:r>
      <w:r w:rsidR="00C66E59">
        <w:t>compared to</w:t>
      </w:r>
      <w:r w:rsidR="0060027D">
        <w:t xml:space="preserve"> the remaining Big 4 firm</w:t>
      </w:r>
      <w:r w:rsidR="003F5DCB">
        <w:t>s</w:t>
      </w:r>
      <w:r w:rsidR="0060027D">
        <w:t xml:space="preserve">. </w:t>
      </w:r>
      <w:r w:rsidR="003F5DCB">
        <w:t>To test this expectation,</w:t>
      </w:r>
      <w:r w:rsidRPr="00E26D55">
        <w:t xml:space="preserve"> I create an indicator variable for firms audited by KPMG in the current year (</w:t>
      </w:r>
      <w:r w:rsidRPr="00E26D55">
        <w:rPr>
          <w:i/>
        </w:rPr>
        <w:t>KPMG</w:t>
      </w:r>
      <w:r w:rsidRPr="00E26D55">
        <w:t>) and another variable for firms audited by Ernst &amp; Young in the current year (</w:t>
      </w:r>
      <w:r w:rsidRPr="00E26D55">
        <w:rPr>
          <w:i/>
        </w:rPr>
        <w:t>EY</w:t>
      </w:r>
      <w:r w:rsidRPr="00E26D55">
        <w:t xml:space="preserve">). I limit the sample to companies audited by a Big 4 firm in order to compare each of these audit firms to the remaining three. </w:t>
      </w:r>
      <w:r w:rsidR="00992217">
        <w:t xml:space="preserve">After eliminating six </w:t>
      </w:r>
      <w:r w:rsidR="0089669B">
        <w:t xml:space="preserve">firms that switched </w:t>
      </w:r>
      <w:r w:rsidR="00992217">
        <w:t>auditor</w:t>
      </w:r>
      <w:r w:rsidR="0089669B">
        <w:t>s</w:t>
      </w:r>
      <w:r w:rsidR="00992217">
        <w:t xml:space="preserve"> from the pre-period to the post-period, I</w:t>
      </w:r>
      <w:r w:rsidRPr="00E26D55">
        <w:t xml:space="preserve"> estimate models (1) and (2) including one of the audit firm indicators (</w:t>
      </w:r>
      <w:r w:rsidRPr="00E26D55">
        <w:rPr>
          <w:i/>
        </w:rPr>
        <w:t>EY</w:t>
      </w:r>
      <w:r w:rsidRPr="00E26D55">
        <w:t xml:space="preserve"> or </w:t>
      </w:r>
      <w:r w:rsidRPr="00E26D55">
        <w:rPr>
          <w:i/>
        </w:rPr>
        <w:t>KPMG</w:t>
      </w:r>
      <w:r w:rsidRPr="00E26D55">
        <w:t xml:space="preserve">) and the interaction of the auditor indicator and </w:t>
      </w:r>
      <w:r w:rsidRPr="00E26D55">
        <w:rPr>
          <w:i/>
        </w:rPr>
        <w:t>POST</w:t>
      </w:r>
      <w:r w:rsidRPr="00E26D55">
        <w:t>. In untabulated tests, I find that abnormal trading volume increased more (less) for firms audited by KPMG (EY) compared to the remaining three audit firms from the pre-period to the post-period (p&lt;0.10</w:t>
      </w:r>
      <w:r w:rsidR="00C21AC8">
        <w:t xml:space="preserve"> and p&lt;0.05</w:t>
      </w:r>
      <w:r w:rsidR="003E339A">
        <w:t>,</w:t>
      </w:r>
      <w:r w:rsidR="00C21AC8">
        <w:t xml:space="preserve"> respectively</w:t>
      </w:r>
      <w:r w:rsidRPr="00E26D55">
        <w:t xml:space="preserve">). The abnormal bid-ask spread tests do not reveal significant differences between KPMG (EY) and the remaining Big 4 firms surrounding the implementation of the new report requirements, but the coefficient on </w:t>
      </w:r>
      <w:r w:rsidRPr="00E26D55">
        <w:rPr>
          <w:i/>
        </w:rPr>
        <w:t>POST x KPMG</w:t>
      </w:r>
      <w:r w:rsidRPr="00E26D55">
        <w:t xml:space="preserve"> is negative (p=0.1</w:t>
      </w:r>
      <w:r w:rsidR="00C21AC8">
        <w:t>5</w:t>
      </w:r>
      <w:r w:rsidRPr="00E26D55">
        <w:t xml:space="preserve">) and the coefficient on </w:t>
      </w:r>
      <w:r w:rsidRPr="00E26D55">
        <w:rPr>
          <w:i/>
        </w:rPr>
        <w:t>POST x EY</w:t>
      </w:r>
      <w:r w:rsidRPr="00E26D55">
        <w:t xml:space="preserve"> is positive (p=0.19) as expected. These tests provide some evidence in support of Citigroup’s observation that the</w:t>
      </w:r>
      <w:r w:rsidR="004F6290">
        <w:t xml:space="preserve"> </w:t>
      </w:r>
      <w:r w:rsidRPr="00E26D55">
        <w:t>information contained in the reports issued by KPMG (EY) are more (less) useful than the reports issued by the other major audit firms</w:t>
      </w:r>
      <w:r w:rsidR="00DF26AA">
        <w:t xml:space="preserve"> under the new reporting regime.</w:t>
      </w:r>
    </w:p>
    <w:p w14:paraId="0647296D" w14:textId="6FD4CB6D" w:rsidR="00564594" w:rsidRDefault="006A749C" w:rsidP="006A749C">
      <w:pPr>
        <w:pStyle w:val="Heading2"/>
      </w:pPr>
      <w:bookmarkStart w:id="16" w:name="_Toc286596274"/>
      <w:r>
        <w:t xml:space="preserve">5.2 </w:t>
      </w:r>
      <w:r w:rsidR="00035C98" w:rsidRPr="00E26D55">
        <w:t>Control Group</w:t>
      </w:r>
      <w:r w:rsidR="00F624EF" w:rsidRPr="00E26D55">
        <w:t xml:space="preserve"> Analysis</w:t>
      </w:r>
      <w:bookmarkEnd w:id="16"/>
    </w:p>
    <w:p w14:paraId="2AD16054" w14:textId="77777777" w:rsidR="006A749C" w:rsidRPr="006A749C" w:rsidRDefault="006A749C" w:rsidP="006A749C"/>
    <w:p w14:paraId="13574D9C" w14:textId="17490343" w:rsidR="006A749C" w:rsidRPr="006A749C" w:rsidRDefault="006A749C" w:rsidP="006A749C">
      <w:pPr>
        <w:pStyle w:val="Heading3"/>
      </w:pPr>
      <w:bookmarkStart w:id="17" w:name="_Toc286596275"/>
      <w:r>
        <w:t xml:space="preserve">5.2.1 </w:t>
      </w:r>
      <w:r w:rsidR="00343E23" w:rsidRPr="00E26D55">
        <w:t>US Control Group</w:t>
      </w:r>
      <w:bookmarkEnd w:id="17"/>
      <w:r w:rsidR="00D17760" w:rsidRPr="00E26D55">
        <w:tab/>
      </w:r>
    </w:p>
    <w:p w14:paraId="5E9C5763" w14:textId="0F4B76C9" w:rsidR="00D17760" w:rsidRPr="00E26D55" w:rsidRDefault="00D17760" w:rsidP="001853E3">
      <w:pPr>
        <w:widowControl w:val="0"/>
        <w:spacing w:line="480" w:lineRule="auto"/>
        <w:ind w:firstLine="720"/>
        <w:contextualSpacing/>
        <w:jc w:val="both"/>
      </w:pPr>
      <w:r w:rsidRPr="00E26D55">
        <w:t xml:space="preserve">While the use of a balanced </w:t>
      </w:r>
      <w:r w:rsidR="000B5396" w:rsidRPr="00E26D55">
        <w:t>sample</w:t>
      </w:r>
      <w:r w:rsidRPr="00E26D55">
        <w:t xml:space="preserve"> </w:t>
      </w:r>
      <w:r w:rsidR="00C22EB1">
        <w:t xml:space="preserve">reduces the threat of </w:t>
      </w:r>
      <w:r w:rsidRPr="00E26D55">
        <w:t xml:space="preserve">time-invariant firm-specific characteristics that may confound the analysis, it is possible that </w:t>
      </w:r>
      <w:r w:rsidR="000B5396" w:rsidRPr="00E26D55">
        <w:t xml:space="preserve">global changes and events occurring </w:t>
      </w:r>
      <w:r w:rsidRPr="00E26D55">
        <w:t>during the same timeframe as the revisions to the audit committee and auditor reporting standards</w:t>
      </w:r>
      <w:r w:rsidR="000B5396" w:rsidRPr="00E26D55">
        <w:t xml:space="preserve"> could</w:t>
      </w:r>
      <w:r w:rsidR="00C051C2" w:rsidRPr="00E26D55">
        <w:t xml:space="preserve"> </w:t>
      </w:r>
      <w:r w:rsidR="007827A3" w:rsidRPr="00E26D55">
        <w:t xml:space="preserve">influence the degree of information asymmetry present in the market. </w:t>
      </w:r>
      <w:r w:rsidRPr="00E26D55">
        <w:t xml:space="preserve">I therefore re-perform </w:t>
      </w:r>
      <w:r w:rsidR="00455EB9" w:rsidRPr="00E26D55">
        <w:t>the</w:t>
      </w:r>
      <w:r w:rsidRPr="00E26D55">
        <w:t xml:space="preserve"> analysis using </w:t>
      </w:r>
      <w:r w:rsidR="00C06170" w:rsidRPr="00E26D55">
        <w:t xml:space="preserve">a </w:t>
      </w:r>
      <w:r w:rsidR="000E4A52" w:rsidRPr="00E26D55">
        <w:t>control group of U.S. companies since</w:t>
      </w:r>
      <w:r w:rsidR="00C06170" w:rsidRPr="00E26D55">
        <w:t xml:space="preserve"> </w:t>
      </w:r>
      <w:r w:rsidR="000E4A52" w:rsidRPr="00E26D55">
        <w:t>these firms</w:t>
      </w:r>
      <w:r w:rsidR="00C06170" w:rsidRPr="00E26D55">
        <w:t xml:space="preserve"> are impacted by global events that also affect U.K. companies, but they are not subject to the new U.K. reporting regime. </w:t>
      </w:r>
      <w:r w:rsidR="006B14E5" w:rsidRPr="00E26D55">
        <w:t xml:space="preserve">The use of this control group therefore </w:t>
      </w:r>
      <w:r w:rsidR="00F33D45" w:rsidRPr="00E26D55">
        <w:t>mitigates</w:t>
      </w:r>
      <w:r w:rsidR="006B14E5" w:rsidRPr="00E26D55">
        <w:t xml:space="preserve"> the concern that global changes might be correlated omitted variables</w:t>
      </w:r>
      <w:r w:rsidR="00106581">
        <w:t xml:space="preserve"> </w:t>
      </w:r>
      <w:r w:rsidR="00C23D74">
        <w:fldChar w:fldCharType="begin"/>
      </w:r>
      <w:r w:rsidR="00C23D74">
        <w:instrText xml:space="preserve"> ADDIN EN.CITE &lt;EndNote&gt;&lt;Cite&gt;&lt;Author&gt;Carcello&lt;/Author&gt;&lt;Year&gt;2013&lt;/Year&gt;&lt;RecNum&gt;158&lt;/RecNum&gt;&lt;DisplayText&gt;(Carcello and Li 2013)&lt;/DisplayText&gt;&lt;record&gt;&lt;rec-number&gt;158&lt;/rec-number&gt;&lt;foreign-keys&gt;&lt;key app="EN" db-id="frdsfrdx0zpts8ex5pfvfda4s9srzrvrxd9z" timestamp="1397441541"&gt;158&lt;/key&gt;&lt;/foreign-keys&gt;&lt;ref-type name="Journal Article"&gt;17&lt;/ref-type&gt;&lt;contributors&gt;&lt;authors&gt;&lt;author&gt;Carcello, Joseph V. &lt;/author&gt;&lt;author&gt;Li, Chan&lt;/author&gt;&lt;/authors&gt;&lt;/contributors&gt;&lt;titles&gt;&lt;title&gt;Costs and Benefits of Requiring an Engagement Partner Signature: Recent Experience in the United Kingdom&lt;/title&gt;&lt;secondary-title&gt;The Accounting Review&lt;/secondary-title&gt;&lt;/titles&gt;&lt;periodical&gt;&lt;full-title&gt;The Accounting Review&lt;/full-title&gt;&lt;/periodical&gt;&lt;pages&gt;1511-1546&lt;/pages&gt;&lt;volume&gt;88&lt;/volume&gt;&lt;number&gt;5&lt;/number&gt;&lt;keywords&gt;&lt;keyword&gt;AUDIT engagements&lt;/keyword&gt;&lt;keyword&gt;AUDITING -- Quality control&lt;/keyword&gt;&lt;keyword&gt;AUDITORS&amp;apos; reports&lt;/keyword&gt;&lt;keyword&gt;AUDITORS -- Fees&lt;/keyword&gt;&lt;keyword&gt;COST effectiveness&lt;/keyword&gt;&lt;keyword&gt;ACCRUAL basis accounting&lt;/keyword&gt;&lt;keyword&gt;FINANCIAL statements&lt;/keyword&gt;&lt;keyword&gt;ACCOUNTING&lt;/keyword&gt;&lt;keyword&gt;SIGNATURE (Law)&lt;/keyword&gt;&lt;keyword&gt;GREAT Britain&lt;/keyword&gt;&lt;keyword&gt;LAW &amp;amp; legislation&lt;/keyword&gt;&lt;keyword&gt;audit fees&lt;/keyword&gt;&lt;keyword&gt;audit quality&lt;/keyword&gt;&lt;keyword&gt;costs and benefits&lt;/keyword&gt;&lt;keyword&gt;engagement partner signature&lt;/keyword&gt;&lt;keyword&gt;United Kingdom&lt;/keyword&gt;&lt;keyword&gt;PUBLIC Company Accounting Oversight Board&lt;/keyword&gt;&lt;/keywords&gt;&lt;dates&gt;&lt;year&gt;2013&lt;/year&gt;&lt;/dates&gt;&lt;publisher&gt;American Accounting Association&lt;/publisher&gt;&lt;isbn&gt;00014826&lt;/isbn&gt;&lt;accession-num&gt;90307762&lt;/accession-num&gt;&lt;work-type&gt;Article&lt;/work-type&gt;&lt;urls&gt;&lt;related-urls&gt;&lt;url&gt;http://proxy.lib.utk.edu:90/login?url=http://search.ebscohost.com/login.aspx?direct=true&amp;amp;db=bth&amp;amp;AN=90307762&amp;amp;scope=site&lt;/url&gt;&lt;/related-urls&gt;&lt;/urls&gt;&lt;electronic-resource-num&gt;10.2308accr-50450&lt;/electronic-resource-num&gt;&lt;remote-database-name&gt;bth&lt;/remote-database-name&gt;&lt;remote-database-provider&gt;EBSCOhost&lt;/remote-database-provider&gt;&lt;/record&gt;&lt;/Cite&gt;&lt;/EndNote&gt;</w:instrText>
      </w:r>
      <w:r w:rsidR="00C23D74">
        <w:fldChar w:fldCharType="separate"/>
      </w:r>
      <w:r w:rsidR="00C23D74">
        <w:rPr>
          <w:noProof/>
        </w:rPr>
        <w:t>(</w:t>
      </w:r>
      <w:hyperlink w:anchor="_ENREF_18" w:tooltip="Carcello, 2013 #158" w:history="1">
        <w:r w:rsidR="006A749C">
          <w:rPr>
            <w:noProof/>
          </w:rPr>
          <w:t>Carcello and Li 2013</w:t>
        </w:r>
      </w:hyperlink>
      <w:r w:rsidR="00C23D74">
        <w:rPr>
          <w:noProof/>
        </w:rPr>
        <w:t>)</w:t>
      </w:r>
      <w:r w:rsidR="00C23D74">
        <w:fldChar w:fldCharType="end"/>
      </w:r>
      <w:r w:rsidR="00C23D74">
        <w:t>.</w:t>
      </w:r>
    </w:p>
    <w:p w14:paraId="1B99BC27" w14:textId="78E84600" w:rsidR="00226A85" w:rsidRPr="00E26D55" w:rsidRDefault="00E14701" w:rsidP="001853E3">
      <w:pPr>
        <w:widowControl w:val="0"/>
        <w:spacing w:line="480" w:lineRule="auto"/>
        <w:contextualSpacing/>
        <w:jc w:val="both"/>
      </w:pPr>
      <w:r w:rsidRPr="00E26D55">
        <w:tab/>
        <w:t xml:space="preserve">I gather data for all firms listed on the New York Stock Exchange (NYSE) </w:t>
      </w:r>
      <w:r w:rsidR="001149DC">
        <w:t xml:space="preserve">that </w:t>
      </w:r>
      <w:r w:rsidR="0024571C">
        <w:t>are</w:t>
      </w:r>
      <w:r w:rsidR="001149DC">
        <w:t xml:space="preserve"> included in</w:t>
      </w:r>
      <w:r w:rsidR="001853E3">
        <w:t xml:space="preserve"> </w:t>
      </w:r>
      <w:r w:rsidRPr="00E26D55">
        <w:t xml:space="preserve">Compustat, </w:t>
      </w:r>
      <w:r w:rsidR="003D2195">
        <w:t xml:space="preserve">I/B/E/S, </w:t>
      </w:r>
      <w:r w:rsidRPr="00E26D55">
        <w:t>Audit Analytics, and Datastream.</w:t>
      </w:r>
      <w:r w:rsidRPr="00E26D55">
        <w:rPr>
          <w:rStyle w:val="FootnoteReference"/>
        </w:rPr>
        <w:footnoteReference w:id="36"/>
      </w:r>
      <w:r w:rsidR="00CD4F5C" w:rsidRPr="00E26D55">
        <w:t xml:space="preserve"> </w:t>
      </w:r>
      <w:r w:rsidR="001149DC">
        <w:t>The</w:t>
      </w:r>
      <w:r w:rsidR="00CD4F5C" w:rsidRPr="00E26D55">
        <w:t xml:space="preserve"> final sample consists of 1,760 U.S. firm-year observations and 582 U.K. firm-year observations.</w:t>
      </w:r>
      <w:r w:rsidR="00CD4F5C" w:rsidRPr="00E26D55">
        <w:rPr>
          <w:rStyle w:val="FootnoteReference"/>
        </w:rPr>
        <w:t xml:space="preserve"> </w:t>
      </w:r>
      <w:r w:rsidR="00CD4F5C" w:rsidRPr="00E26D55">
        <w:rPr>
          <w:rStyle w:val="FootnoteReference"/>
        </w:rPr>
        <w:footnoteReference w:id="37"/>
      </w:r>
      <w:r w:rsidR="00CD4F5C" w:rsidRPr="00E26D55">
        <w:t xml:space="preserve"> Using this sample, I estimate models (1) and (2) </w:t>
      </w:r>
      <w:r w:rsidR="00D17760" w:rsidRPr="00E26D55">
        <w:t>adding an indicator variable for the U.K. premium companies (</w:t>
      </w:r>
      <w:r w:rsidR="00CD4F5C" w:rsidRPr="00E26D55">
        <w:rPr>
          <w:i/>
        </w:rPr>
        <w:t>UK</w:t>
      </w:r>
      <w:r w:rsidR="008617F9" w:rsidRPr="00E26D55">
        <w:t xml:space="preserve">) as well as an interaction of </w:t>
      </w:r>
      <w:r w:rsidR="008617F9" w:rsidRPr="00E26D55">
        <w:rPr>
          <w:i/>
        </w:rPr>
        <w:t>POST</w:t>
      </w:r>
      <w:r w:rsidR="008617F9" w:rsidRPr="00E26D55">
        <w:t xml:space="preserve"> and </w:t>
      </w:r>
      <w:r w:rsidR="008617F9" w:rsidRPr="00E26D55">
        <w:rPr>
          <w:i/>
        </w:rPr>
        <w:t>UK</w:t>
      </w:r>
      <w:r w:rsidR="008617F9" w:rsidRPr="00E26D55">
        <w:t xml:space="preserve">. </w:t>
      </w:r>
      <w:r w:rsidR="00226A85" w:rsidRPr="00E26D55">
        <w:t xml:space="preserve">Since U.S. firms are not subject to the enhanced auditor and audit committee reporting requirements, I expect abnormal trading volume (abnormal bid-ask spreads) to increase (decrease) more for U.K. firms compared to U.S. firms from the pre-period to the post-period. </w:t>
      </w:r>
      <w:r w:rsidR="00C2267C" w:rsidRPr="00E26D55">
        <w:t xml:space="preserve">As such, I predict that the coefficient on </w:t>
      </w:r>
      <w:r w:rsidR="00C2267C" w:rsidRPr="00E26D55">
        <w:rPr>
          <w:i/>
        </w:rPr>
        <w:t>POST x UK</w:t>
      </w:r>
      <w:r w:rsidR="00C2267C" w:rsidRPr="00E26D55">
        <w:t xml:space="preserve"> </w:t>
      </w:r>
      <w:r w:rsidR="00311C20" w:rsidRPr="00E26D55">
        <w:t>will</w:t>
      </w:r>
      <w:r w:rsidR="0004659F" w:rsidRPr="00E26D55">
        <w:t xml:space="preserve"> be positive in the estimation of model (1) and negative in the estimation of model (2). </w:t>
      </w:r>
      <w:r w:rsidR="00305A64" w:rsidRPr="00E26D55">
        <w:t xml:space="preserve">In line with these </w:t>
      </w:r>
      <w:r w:rsidR="004C2D41" w:rsidRPr="00E26D55">
        <w:t>expectations</w:t>
      </w:r>
      <w:r w:rsidR="00305A64" w:rsidRPr="00E26D55">
        <w:t xml:space="preserve">, I </w:t>
      </w:r>
      <w:r w:rsidR="004C2D41" w:rsidRPr="00E26D55">
        <w:t xml:space="preserve">find that </w:t>
      </w:r>
      <w:r w:rsidR="0041659F" w:rsidRPr="00E26D55">
        <w:rPr>
          <w:i/>
        </w:rPr>
        <w:t>POST x UK</w:t>
      </w:r>
      <w:r w:rsidR="0041659F" w:rsidRPr="00E26D55">
        <w:t xml:space="preserve"> is significantly</w:t>
      </w:r>
      <w:r w:rsidR="00FC3706">
        <w:t xml:space="preserve"> positive in column 1 of Table 5</w:t>
      </w:r>
      <w:r w:rsidR="0041659F" w:rsidRPr="00E26D55">
        <w:t xml:space="preserve"> (p&lt;0.10) and significantly negative in column 2 (p&lt;0.01). </w:t>
      </w:r>
    </w:p>
    <w:p w14:paraId="6762DF43" w14:textId="29C0FD55" w:rsidR="00362ABA" w:rsidRPr="00E26D55" w:rsidRDefault="00F47930" w:rsidP="001853E3">
      <w:pPr>
        <w:widowControl w:val="0"/>
        <w:spacing w:line="480" w:lineRule="auto"/>
        <w:ind w:firstLine="720"/>
        <w:contextualSpacing/>
        <w:jc w:val="both"/>
      </w:pPr>
      <w:r w:rsidRPr="00E26D55">
        <w:t xml:space="preserve">Furthermore, to ensure these results </w:t>
      </w:r>
      <w:r w:rsidR="00D17760" w:rsidRPr="00E26D55">
        <w:t xml:space="preserve">are not due to fundamental </w:t>
      </w:r>
      <w:r w:rsidR="009A4F32">
        <w:t xml:space="preserve">observable </w:t>
      </w:r>
      <w:r w:rsidR="00D17760" w:rsidRPr="00E26D55">
        <w:t xml:space="preserve">differences in </w:t>
      </w:r>
      <w:r w:rsidR="00F26051" w:rsidRPr="00E26D55">
        <w:t>U.K. and U.S. firms, I create a propensity score matched sample</w:t>
      </w:r>
      <w:r w:rsidR="00E94DEE" w:rsidRPr="00E26D55">
        <w:t xml:space="preserve"> and re-perform the analysis. The propensity score matching model employs </w:t>
      </w:r>
      <w:r w:rsidR="00E94DEE" w:rsidRPr="00E26D55">
        <w:rPr>
          <w:i/>
        </w:rPr>
        <w:t>UK</w:t>
      </w:r>
      <w:r w:rsidR="00E94DEE" w:rsidRPr="00E26D55">
        <w:t xml:space="preserve"> as the dependent variable and uses all control variables from equations (1) and (2). Using the propensity scores generated from this model, I m</w:t>
      </w:r>
      <w:r w:rsidR="00105899" w:rsidRPr="00E26D55">
        <w:t xml:space="preserve">atch </w:t>
      </w:r>
      <w:r w:rsidR="00E94DEE" w:rsidRPr="00E26D55">
        <w:t xml:space="preserve">U.K. </w:t>
      </w:r>
      <w:r w:rsidR="00105899" w:rsidRPr="00E26D55">
        <w:t xml:space="preserve">firms </w:t>
      </w:r>
      <w:r w:rsidR="00E94DEE" w:rsidRPr="00E26D55">
        <w:t xml:space="preserve">to U.S. firms </w:t>
      </w:r>
      <w:r w:rsidR="00105899" w:rsidRPr="00E26D55">
        <w:t>with the closest</w:t>
      </w:r>
      <w:r w:rsidRPr="00E26D55">
        <w:t xml:space="preserve"> score</w:t>
      </w:r>
      <w:r w:rsidR="00E94DEE" w:rsidRPr="00E26D55">
        <w:t>.</w:t>
      </w:r>
      <w:r w:rsidR="00F30DAE" w:rsidRPr="00E26D55">
        <w:rPr>
          <w:rStyle w:val="FootnoteReference"/>
        </w:rPr>
        <w:footnoteReference w:id="38"/>
      </w:r>
      <w:r w:rsidR="00FC3706">
        <w:t xml:space="preserve"> Columns 3 and 4 of Table 5</w:t>
      </w:r>
      <w:r w:rsidR="00104A94" w:rsidRPr="00E26D55">
        <w:t xml:space="preserve"> indicate that the results hold using this matched sample. Specifically, </w:t>
      </w:r>
      <w:r w:rsidR="008D60E3" w:rsidRPr="00E26D55">
        <w:t xml:space="preserve">the coefficient on </w:t>
      </w:r>
      <w:r w:rsidR="008D60E3" w:rsidRPr="00E26D55">
        <w:rPr>
          <w:i/>
        </w:rPr>
        <w:t>POST x UK</w:t>
      </w:r>
      <w:r w:rsidR="008D60E3" w:rsidRPr="00E26D55">
        <w:t xml:space="preserve"> is significantly positive in the estimation of model (1) and significantly negative in the estimation of model (2) (both p&lt;0.05)</w:t>
      </w:r>
      <w:r w:rsidR="00026DB7" w:rsidRPr="00E26D55">
        <w:t xml:space="preserve">. Taken together, </w:t>
      </w:r>
      <w:r w:rsidR="00C80E8B" w:rsidRPr="00E26D55">
        <w:t xml:space="preserve">these results </w:t>
      </w:r>
      <w:r w:rsidR="006C6EDF" w:rsidRPr="00E26D55">
        <w:t xml:space="preserve">continue to </w:t>
      </w:r>
      <w:r w:rsidR="00C80E8B" w:rsidRPr="00E26D55">
        <w:t xml:space="preserve">demonstrate the significant impact enhanced auditor and audit committee disclosures have on the degree of information asymmetry present </w:t>
      </w:r>
      <w:r w:rsidR="00B83BA4" w:rsidRPr="00E26D55">
        <w:t>in the firms required to compl</w:t>
      </w:r>
      <w:r w:rsidR="006C6EDF" w:rsidRPr="00E26D55">
        <w:t xml:space="preserve">y with the regulatory changes. </w:t>
      </w:r>
    </w:p>
    <w:p w14:paraId="0CC66107" w14:textId="7ACBEDAC" w:rsidR="000222A0" w:rsidRPr="00E26D55" w:rsidRDefault="00FC3706" w:rsidP="001853E3">
      <w:pPr>
        <w:pStyle w:val="NoSpacing"/>
        <w:widowControl w:val="0"/>
        <w:spacing w:line="480" w:lineRule="auto"/>
        <w:contextualSpacing/>
        <w:jc w:val="center"/>
        <w:rPr>
          <w:rFonts w:ascii="Times New Roman" w:hAnsi="Times New Roman"/>
          <w:sz w:val="24"/>
          <w:szCs w:val="24"/>
        </w:rPr>
      </w:pPr>
      <w:r>
        <w:rPr>
          <w:rFonts w:ascii="Times New Roman" w:hAnsi="Times New Roman"/>
          <w:sz w:val="24"/>
          <w:szCs w:val="24"/>
        </w:rPr>
        <w:t>&lt;Insert Table 5</w:t>
      </w:r>
      <w:r w:rsidR="00952C69" w:rsidRPr="00E26D55">
        <w:rPr>
          <w:rFonts w:ascii="Times New Roman" w:hAnsi="Times New Roman"/>
          <w:sz w:val="24"/>
          <w:szCs w:val="24"/>
        </w:rPr>
        <w:t xml:space="preserve"> Here&gt;</w:t>
      </w:r>
    </w:p>
    <w:p w14:paraId="0E7650DA" w14:textId="670ECD8C" w:rsidR="00F624EF" w:rsidRPr="00E26D55" w:rsidRDefault="006A749C" w:rsidP="006A749C">
      <w:pPr>
        <w:pStyle w:val="Heading3"/>
      </w:pPr>
      <w:bookmarkStart w:id="18" w:name="_Toc286596276"/>
      <w:r>
        <w:t xml:space="preserve">5.2.2 </w:t>
      </w:r>
      <w:r w:rsidR="00F624EF" w:rsidRPr="00E26D55">
        <w:t>AIM Control Group</w:t>
      </w:r>
      <w:bookmarkEnd w:id="18"/>
    </w:p>
    <w:p w14:paraId="24BB3EE0" w14:textId="77777777" w:rsidR="00ED74A2" w:rsidRPr="00E26D55" w:rsidRDefault="006C6EDF" w:rsidP="001853E3">
      <w:pPr>
        <w:pStyle w:val="NoSpacing"/>
        <w:widowControl w:val="0"/>
        <w:spacing w:line="480" w:lineRule="auto"/>
        <w:contextualSpacing/>
        <w:jc w:val="both"/>
        <w:rPr>
          <w:rFonts w:ascii="Times New Roman" w:hAnsi="Times New Roman"/>
          <w:sz w:val="24"/>
          <w:szCs w:val="24"/>
        </w:rPr>
      </w:pPr>
      <w:r w:rsidRPr="00E26D55">
        <w:rPr>
          <w:rFonts w:ascii="Times New Roman" w:hAnsi="Times New Roman"/>
          <w:sz w:val="24"/>
          <w:szCs w:val="24"/>
        </w:rPr>
        <w:tab/>
        <w:t>In un</w:t>
      </w:r>
      <w:r w:rsidR="003E5C5E" w:rsidRPr="00E26D55">
        <w:rPr>
          <w:rFonts w:ascii="Times New Roman" w:hAnsi="Times New Roman"/>
          <w:sz w:val="24"/>
          <w:szCs w:val="24"/>
        </w:rPr>
        <w:t xml:space="preserve">tabulated tests, I use firms listed on the London Stock Exchange that are not subject to the revised auditor and audit committee report requirements </w:t>
      </w:r>
      <w:r w:rsidR="003463AB" w:rsidRPr="00E26D55">
        <w:rPr>
          <w:rFonts w:ascii="Times New Roman" w:hAnsi="Times New Roman"/>
          <w:sz w:val="24"/>
          <w:szCs w:val="24"/>
        </w:rPr>
        <w:t xml:space="preserve">as an alternate control group </w:t>
      </w:r>
      <w:r w:rsidR="003E5C5E" w:rsidRPr="00E26D55">
        <w:rPr>
          <w:rFonts w:ascii="Times New Roman" w:hAnsi="Times New Roman"/>
          <w:sz w:val="24"/>
          <w:szCs w:val="24"/>
        </w:rPr>
        <w:t xml:space="preserve">(i.e., non-Premium equity companies). These firms are listed on the Alternative Investment Market (AIM), which is a sub-market of the London Stock Exchange. </w:t>
      </w:r>
      <w:r w:rsidR="00FE445D" w:rsidRPr="00E26D55">
        <w:rPr>
          <w:rFonts w:ascii="Times New Roman" w:hAnsi="Times New Roman"/>
          <w:sz w:val="24"/>
          <w:szCs w:val="24"/>
        </w:rPr>
        <w:t xml:space="preserve">I </w:t>
      </w:r>
      <w:r w:rsidR="00363BBF" w:rsidRPr="00E26D55">
        <w:rPr>
          <w:rFonts w:ascii="Times New Roman" w:hAnsi="Times New Roman"/>
          <w:sz w:val="24"/>
          <w:szCs w:val="24"/>
        </w:rPr>
        <w:t xml:space="preserve">gather data from Datastream </w:t>
      </w:r>
      <w:r w:rsidR="00FE445D" w:rsidRPr="00E26D55">
        <w:rPr>
          <w:rFonts w:ascii="Times New Roman" w:hAnsi="Times New Roman"/>
          <w:sz w:val="24"/>
          <w:szCs w:val="24"/>
        </w:rPr>
        <w:t xml:space="preserve">and hand collect annual report dates from Bloomberg, which results in a </w:t>
      </w:r>
      <w:r w:rsidR="00A45247" w:rsidRPr="00E26D55">
        <w:rPr>
          <w:rFonts w:ascii="Times New Roman" w:hAnsi="Times New Roman"/>
          <w:sz w:val="24"/>
          <w:szCs w:val="24"/>
        </w:rPr>
        <w:t xml:space="preserve">balanced </w:t>
      </w:r>
      <w:r w:rsidR="00FE445D" w:rsidRPr="00E26D55">
        <w:rPr>
          <w:rFonts w:ascii="Times New Roman" w:hAnsi="Times New Roman"/>
          <w:sz w:val="24"/>
          <w:szCs w:val="24"/>
        </w:rPr>
        <w:t>sample of 100 AIM companies.</w:t>
      </w:r>
      <w:r w:rsidR="003F65B0" w:rsidRPr="00E26D55">
        <w:rPr>
          <w:rStyle w:val="FootnoteReference"/>
          <w:rFonts w:ascii="Times New Roman" w:hAnsi="Times New Roman"/>
          <w:sz w:val="24"/>
          <w:szCs w:val="24"/>
        </w:rPr>
        <w:footnoteReference w:id="39"/>
      </w:r>
      <w:r w:rsidR="00FE445D" w:rsidRPr="00E26D55">
        <w:rPr>
          <w:rFonts w:ascii="Times New Roman" w:hAnsi="Times New Roman"/>
          <w:sz w:val="24"/>
          <w:szCs w:val="24"/>
        </w:rPr>
        <w:t xml:space="preserve"> </w:t>
      </w:r>
      <w:r w:rsidR="00F47AD3" w:rsidRPr="00E26D55">
        <w:rPr>
          <w:rFonts w:ascii="Times New Roman" w:hAnsi="Times New Roman"/>
          <w:sz w:val="24"/>
          <w:szCs w:val="24"/>
        </w:rPr>
        <w:t>The AIM is designed for smaller, growing companies and thus consists of firms that are significantly different than the more established Premium equity companies.</w:t>
      </w:r>
      <w:r w:rsidR="002502FB" w:rsidRPr="00E26D55">
        <w:rPr>
          <w:rStyle w:val="FootnoteReference"/>
          <w:rFonts w:ascii="Times New Roman" w:hAnsi="Times New Roman"/>
          <w:sz w:val="24"/>
          <w:szCs w:val="24"/>
        </w:rPr>
        <w:footnoteReference w:id="40"/>
      </w:r>
    </w:p>
    <w:p w14:paraId="6200AC54" w14:textId="53ACABBC" w:rsidR="006C6EDF" w:rsidRPr="00E26D55" w:rsidRDefault="00AD3895" w:rsidP="001853E3">
      <w:pPr>
        <w:pStyle w:val="NoSpacing"/>
        <w:widowControl w:val="0"/>
        <w:spacing w:line="480" w:lineRule="auto"/>
        <w:ind w:firstLine="720"/>
        <w:contextualSpacing/>
        <w:jc w:val="both"/>
        <w:rPr>
          <w:rFonts w:ascii="Times New Roman" w:hAnsi="Times New Roman"/>
          <w:sz w:val="24"/>
          <w:szCs w:val="24"/>
        </w:rPr>
      </w:pPr>
      <w:r w:rsidRPr="00E26D55">
        <w:rPr>
          <w:rFonts w:ascii="Times New Roman" w:hAnsi="Times New Roman"/>
          <w:sz w:val="24"/>
          <w:szCs w:val="24"/>
        </w:rPr>
        <w:t>Given these significant differences, I generate a p</w:t>
      </w:r>
      <w:r w:rsidR="00447DB8" w:rsidRPr="00E26D55">
        <w:rPr>
          <w:rFonts w:ascii="Times New Roman" w:hAnsi="Times New Roman"/>
          <w:sz w:val="24"/>
          <w:szCs w:val="24"/>
        </w:rPr>
        <w:t xml:space="preserve">ropensity score matched sample of Premium and AIM firms. </w:t>
      </w:r>
      <w:r w:rsidR="00551C3A">
        <w:rPr>
          <w:rFonts w:ascii="Times New Roman" w:hAnsi="Times New Roman"/>
          <w:sz w:val="24"/>
          <w:szCs w:val="24"/>
        </w:rPr>
        <w:t xml:space="preserve">The propensity score matched sample consists of 168 </w:t>
      </w:r>
      <w:r w:rsidR="00331A1F">
        <w:rPr>
          <w:rFonts w:ascii="Times New Roman" w:hAnsi="Times New Roman"/>
          <w:sz w:val="24"/>
          <w:szCs w:val="24"/>
        </w:rPr>
        <w:t xml:space="preserve">firm-year </w:t>
      </w:r>
      <w:r w:rsidR="00551C3A">
        <w:rPr>
          <w:rFonts w:ascii="Times New Roman" w:hAnsi="Times New Roman"/>
          <w:sz w:val="24"/>
          <w:szCs w:val="24"/>
        </w:rPr>
        <w:t>observations (</w:t>
      </w:r>
      <w:r w:rsidR="00331A1F">
        <w:rPr>
          <w:rFonts w:ascii="Times New Roman" w:hAnsi="Times New Roman"/>
          <w:sz w:val="24"/>
          <w:szCs w:val="24"/>
        </w:rPr>
        <w:t>42</w:t>
      </w:r>
      <w:r w:rsidR="00551C3A">
        <w:rPr>
          <w:rFonts w:ascii="Times New Roman" w:hAnsi="Times New Roman"/>
          <w:sz w:val="24"/>
          <w:szCs w:val="24"/>
        </w:rPr>
        <w:t xml:space="preserve"> Premium a</w:t>
      </w:r>
      <w:r w:rsidR="00331A1F">
        <w:rPr>
          <w:rFonts w:ascii="Times New Roman" w:hAnsi="Times New Roman"/>
          <w:sz w:val="24"/>
          <w:szCs w:val="24"/>
        </w:rPr>
        <w:t>nd 42</w:t>
      </w:r>
      <w:r w:rsidR="00551C3A">
        <w:rPr>
          <w:rFonts w:ascii="Times New Roman" w:hAnsi="Times New Roman"/>
          <w:sz w:val="24"/>
          <w:szCs w:val="24"/>
        </w:rPr>
        <w:t xml:space="preserve"> AIM firms). Using this </w:t>
      </w:r>
      <w:r w:rsidR="00FD73C5">
        <w:rPr>
          <w:rFonts w:ascii="Times New Roman" w:hAnsi="Times New Roman"/>
          <w:sz w:val="24"/>
          <w:szCs w:val="24"/>
        </w:rPr>
        <w:t xml:space="preserve">significantly </w:t>
      </w:r>
      <w:r w:rsidR="00551C3A">
        <w:rPr>
          <w:rFonts w:ascii="Times New Roman" w:hAnsi="Times New Roman"/>
          <w:sz w:val="24"/>
          <w:szCs w:val="24"/>
        </w:rPr>
        <w:t xml:space="preserve">reduced sample, </w:t>
      </w:r>
      <w:r w:rsidR="00447DB8" w:rsidRPr="00E26D55">
        <w:rPr>
          <w:rFonts w:ascii="Times New Roman" w:hAnsi="Times New Roman"/>
          <w:sz w:val="24"/>
          <w:szCs w:val="24"/>
        </w:rPr>
        <w:t xml:space="preserve">I </w:t>
      </w:r>
      <w:r w:rsidR="00AD039E" w:rsidRPr="00E26D55">
        <w:rPr>
          <w:rFonts w:ascii="Times New Roman" w:hAnsi="Times New Roman"/>
          <w:sz w:val="24"/>
          <w:szCs w:val="24"/>
        </w:rPr>
        <w:t>estimate equations (1) and (2) adding a</w:t>
      </w:r>
      <w:r w:rsidR="00447DB8" w:rsidRPr="00E26D55">
        <w:rPr>
          <w:rFonts w:ascii="Times New Roman" w:hAnsi="Times New Roman"/>
          <w:sz w:val="24"/>
          <w:szCs w:val="24"/>
        </w:rPr>
        <w:t>n indicator variable to denote Premium listing companies (</w:t>
      </w:r>
      <w:r w:rsidR="00447DB8" w:rsidRPr="00E26D55">
        <w:rPr>
          <w:rFonts w:ascii="Times New Roman" w:hAnsi="Times New Roman"/>
          <w:i/>
          <w:sz w:val="24"/>
          <w:szCs w:val="24"/>
        </w:rPr>
        <w:t>PREMIUM</w:t>
      </w:r>
      <w:r w:rsidR="00447DB8" w:rsidRPr="00E26D55">
        <w:rPr>
          <w:rFonts w:ascii="Times New Roman" w:hAnsi="Times New Roman"/>
          <w:sz w:val="24"/>
          <w:szCs w:val="24"/>
        </w:rPr>
        <w:t xml:space="preserve">) as well as interaction of </w:t>
      </w:r>
      <w:r w:rsidR="00447DB8" w:rsidRPr="00E26D55">
        <w:rPr>
          <w:rFonts w:ascii="Times New Roman" w:hAnsi="Times New Roman"/>
          <w:i/>
          <w:sz w:val="24"/>
          <w:szCs w:val="24"/>
        </w:rPr>
        <w:t>PREMIUM</w:t>
      </w:r>
      <w:r w:rsidR="00447DB8" w:rsidRPr="00E26D55">
        <w:rPr>
          <w:rFonts w:ascii="Times New Roman" w:hAnsi="Times New Roman"/>
          <w:sz w:val="24"/>
          <w:szCs w:val="24"/>
        </w:rPr>
        <w:t xml:space="preserve"> and </w:t>
      </w:r>
      <w:r w:rsidR="00447DB8" w:rsidRPr="00E26D55">
        <w:rPr>
          <w:rFonts w:ascii="Times New Roman" w:hAnsi="Times New Roman"/>
          <w:i/>
          <w:sz w:val="24"/>
          <w:szCs w:val="24"/>
        </w:rPr>
        <w:t>POST</w:t>
      </w:r>
      <w:r w:rsidR="00447DB8" w:rsidRPr="00E26D55">
        <w:rPr>
          <w:rFonts w:ascii="Times New Roman" w:hAnsi="Times New Roman"/>
          <w:sz w:val="24"/>
          <w:szCs w:val="24"/>
        </w:rPr>
        <w:t xml:space="preserve">. </w:t>
      </w:r>
      <w:r w:rsidR="00191FC1" w:rsidRPr="00E26D55">
        <w:rPr>
          <w:rFonts w:ascii="Times New Roman" w:hAnsi="Times New Roman"/>
          <w:sz w:val="24"/>
          <w:szCs w:val="24"/>
        </w:rPr>
        <w:t xml:space="preserve">In untabulated tests, I find that the coefficient on </w:t>
      </w:r>
      <w:r w:rsidR="00191FC1" w:rsidRPr="00E26D55">
        <w:rPr>
          <w:rFonts w:ascii="Times New Roman" w:hAnsi="Times New Roman"/>
          <w:i/>
          <w:sz w:val="24"/>
          <w:szCs w:val="24"/>
        </w:rPr>
        <w:t>POST x PREMIUM</w:t>
      </w:r>
      <w:r w:rsidR="00191FC1" w:rsidRPr="00E26D55">
        <w:rPr>
          <w:rFonts w:ascii="Times New Roman" w:hAnsi="Times New Roman"/>
          <w:sz w:val="24"/>
          <w:szCs w:val="24"/>
        </w:rPr>
        <w:t xml:space="preserve"> is positive and significant (p=</w:t>
      </w:r>
      <w:r w:rsidR="00A632D5" w:rsidRPr="00E26D55">
        <w:rPr>
          <w:rFonts w:ascii="Times New Roman" w:hAnsi="Times New Roman"/>
          <w:sz w:val="24"/>
          <w:szCs w:val="24"/>
        </w:rPr>
        <w:t>0</w:t>
      </w:r>
      <w:r w:rsidR="00191FC1" w:rsidRPr="00E26D55">
        <w:rPr>
          <w:rFonts w:ascii="Times New Roman" w:hAnsi="Times New Roman"/>
          <w:sz w:val="24"/>
          <w:szCs w:val="24"/>
        </w:rPr>
        <w:t>.08) in equation (1) and negative and approaching significance (p=</w:t>
      </w:r>
      <w:r w:rsidR="008F1E35" w:rsidRPr="00E26D55">
        <w:rPr>
          <w:rFonts w:ascii="Times New Roman" w:hAnsi="Times New Roman"/>
          <w:sz w:val="24"/>
          <w:szCs w:val="24"/>
        </w:rPr>
        <w:t>0</w:t>
      </w:r>
      <w:r w:rsidR="00191FC1" w:rsidRPr="00E26D55">
        <w:rPr>
          <w:rFonts w:ascii="Times New Roman" w:hAnsi="Times New Roman"/>
          <w:sz w:val="24"/>
          <w:szCs w:val="24"/>
        </w:rPr>
        <w:t xml:space="preserve">.11) in equation (2). </w:t>
      </w:r>
      <w:r w:rsidR="00624CDB" w:rsidRPr="00E26D55">
        <w:rPr>
          <w:rFonts w:ascii="Times New Roman" w:hAnsi="Times New Roman"/>
          <w:sz w:val="24"/>
          <w:szCs w:val="24"/>
        </w:rPr>
        <w:t>This</w:t>
      </w:r>
      <w:r w:rsidR="00354A3F" w:rsidRPr="00E26D55">
        <w:rPr>
          <w:rFonts w:ascii="Times New Roman" w:hAnsi="Times New Roman"/>
          <w:sz w:val="24"/>
          <w:szCs w:val="24"/>
        </w:rPr>
        <w:t xml:space="preserve"> analysis provides some </w:t>
      </w:r>
      <w:r w:rsidR="00E90524" w:rsidRPr="00E26D55">
        <w:rPr>
          <w:rFonts w:ascii="Times New Roman" w:hAnsi="Times New Roman"/>
          <w:sz w:val="24"/>
          <w:szCs w:val="24"/>
        </w:rPr>
        <w:t xml:space="preserve">additional </w:t>
      </w:r>
      <w:r w:rsidR="00E95CAD" w:rsidRPr="00E26D55">
        <w:rPr>
          <w:rFonts w:ascii="Times New Roman" w:hAnsi="Times New Roman"/>
          <w:sz w:val="24"/>
          <w:szCs w:val="24"/>
        </w:rPr>
        <w:t>co</w:t>
      </w:r>
      <w:r w:rsidR="00B07351" w:rsidRPr="00E26D55">
        <w:rPr>
          <w:rFonts w:ascii="Times New Roman" w:hAnsi="Times New Roman"/>
          <w:sz w:val="24"/>
          <w:szCs w:val="24"/>
        </w:rPr>
        <w:t>m</w:t>
      </w:r>
      <w:r w:rsidR="006335B6" w:rsidRPr="00E26D55">
        <w:rPr>
          <w:rFonts w:ascii="Times New Roman" w:hAnsi="Times New Roman"/>
          <w:sz w:val="24"/>
          <w:szCs w:val="24"/>
        </w:rPr>
        <w:t xml:space="preserve">fort that U.K. specific events </w:t>
      </w:r>
      <w:r w:rsidR="00E95CAD" w:rsidRPr="00E26D55">
        <w:rPr>
          <w:rFonts w:ascii="Times New Roman" w:hAnsi="Times New Roman"/>
          <w:sz w:val="24"/>
          <w:szCs w:val="24"/>
        </w:rPr>
        <w:t xml:space="preserve">(other than the new audit committee and auditor disclosures) are not confounding the results of the study. </w:t>
      </w:r>
      <w:r w:rsidR="00354A3F" w:rsidRPr="00E26D55">
        <w:rPr>
          <w:rFonts w:ascii="Times New Roman" w:hAnsi="Times New Roman"/>
          <w:sz w:val="24"/>
          <w:szCs w:val="24"/>
        </w:rPr>
        <w:t xml:space="preserve"> </w:t>
      </w:r>
    </w:p>
    <w:p w14:paraId="3586A4EF" w14:textId="3DF05425" w:rsidR="00CE1E23" w:rsidRDefault="006A749C" w:rsidP="006A749C">
      <w:pPr>
        <w:pStyle w:val="Heading2"/>
      </w:pPr>
      <w:bookmarkStart w:id="19" w:name="_Toc286596277"/>
      <w:r>
        <w:t xml:space="preserve">5.3 </w:t>
      </w:r>
      <w:r w:rsidR="003C34CD" w:rsidRPr="00E26D55">
        <w:t>Change</w:t>
      </w:r>
      <w:r w:rsidR="00DB43C2" w:rsidRPr="00E26D55">
        <w:t xml:space="preserve"> Analysis</w:t>
      </w:r>
      <w:bookmarkEnd w:id="19"/>
    </w:p>
    <w:p w14:paraId="47D8D294" w14:textId="77777777" w:rsidR="006A749C" w:rsidRPr="006A749C" w:rsidRDefault="006A749C" w:rsidP="006A749C"/>
    <w:p w14:paraId="097243C3" w14:textId="35A46FB5" w:rsidR="007E7894" w:rsidRPr="00E26D55" w:rsidRDefault="00877CB8" w:rsidP="001853E3">
      <w:pPr>
        <w:widowControl w:val="0"/>
        <w:spacing w:line="480" w:lineRule="auto"/>
        <w:contextualSpacing/>
        <w:jc w:val="both"/>
      </w:pPr>
      <w:r w:rsidRPr="00E26D55">
        <w:tab/>
      </w:r>
      <w:r w:rsidR="00FF65BD" w:rsidRPr="00E26D55">
        <w:t xml:space="preserve">To account for </w:t>
      </w:r>
      <w:r w:rsidR="00131DF5" w:rsidRPr="00E26D55">
        <w:t xml:space="preserve">temporal changes within </w:t>
      </w:r>
      <w:r w:rsidR="00EE2E8D" w:rsidRPr="00E26D55">
        <w:t>firms</w:t>
      </w:r>
      <w:r w:rsidR="007E01D1" w:rsidRPr="00E26D55">
        <w:t xml:space="preserve"> that are not associated with the </w:t>
      </w:r>
      <w:r w:rsidR="00925CE7" w:rsidRPr="00E26D55">
        <w:t>revised reporting standards</w:t>
      </w:r>
      <w:r w:rsidR="00EE2E8D" w:rsidRPr="00E26D55">
        <w:t xml:space="preserve">, I </w:t>
      </w:r>
      <w:r w:rsidR="000712C3" w:rsidRPr="00E26D55">
        <w:t>re-run</w:t>
      </w:r>
      <w:r w:rsidR="0090757B" w:rsidRPr="00E26D55">
        <w:t xml:space="preserve"> the above tests using a </w:t>
      </w:r>
      <w:r w:rsidR="00106581">
        <w:t xml:space="preserve">strict </w:t>
      </w:r>
      <w:r w:rsidR="0090757B" w:rsidRPr="00E26D55">
        <w:t>change</w:t>
      </w:r>
      <w:r w:rsidR="00A77F0E" w:rsidRPr="00E26D55">
        <w:t xml:space="preserve"> analysis. Specifically, I </w:t>
      </w:r>
      <w:r w:rsidR="006C7050" w:rsidRPr="00E26D55">
        <w:t xml:space="preserve">compare changes in </w:t>
      </w:r>
      <w:r w:rsidR="00424E89" w:rsidRPr="00E26D55">
        <w:t>the dependent variables</w:t>
      </w:r>
      <w:r w:rsidR="006C7050" w:rsidRPr="00E26D55">
        <w:t xml:space="preserve"> from </w:t>
      </w:r>
      <w:r w:rsidR="006C7050" w:rsidRPr="00E26D55">
        <w:rPr>
          <w:i/>
        </w:rPr>
        <w:t>t-2</w:t>
      </w:r>
      <w:r w:rsidR="006C7050" w:rsidRPr="00E26D55">
        <w:t xml:space="preserve"> to </w:t>
      </w:r>
      <w:r w:rsidR="006C7050" w:rsidRPr="00E26D55">
        <w:rPr>
          <w:i/>
        </w:rPr>
        <w:t>t-1</w:t>
      </w:r>
      <w:r w:rsidR="006C7050" w:rsidRPr="00E26D55">
        <w:t xml:space="preserve"> </w:t>
      </w:r>
      <w:r w:rsidR="00424E89" w:rsidRPr="00E26D55">
        <w:t xml:space="preserve">with changes in these variables </w:t>
      </w:r>
      <w:r w:rsidR="00F61359" w:rsidRPr="00E26D55">
        <w:t xml:space="preserve">from </w:t>
      </w:r>
      <w:r w:rsidR="00F61359" w:rsidRPr="00E26D55">
        <w:rPr>
          <w:i/>
        </w:rPr>
        <w:t>t-1</w:t>
      </w:r>
      <w:r w:rsidR="00F61359" w:rsidRPr="00E26D55">
        <w:t xml:space="preserve"> to </w:t>
      </w:r>
      <w:r w:rsidR="00F61359" w:rsidRPr="00E26D55">
        <w:rPr>
          <w:i/>
        </w:rPr>
        <w:t>t</w:t>
      </w:r>
      <w:r w:rsidR="00F61359" w:rsidRPr="00E26D55">
        <w:t xml:space="preserve"> (as in the above analyses, </w:t>
      </w:r>
      <w:r w:rsidR="00F61359" w:rsidRPr="00E26D55">
        <w:rPr>
          <w:i/>
        </w:rPr>
        <w:t>t</w:t>
      </w:r>
      <w:r w:rsidR="00F61359" w:rsidRPr="00E26D55">
        <w:t xml:space="preserve"> represents the year the new reporting regime is implemented). </w:t>
      </w:r>
      <w:r w:rsidR="00925CE7" w:rsidRPr="00E26D55">
        <w:t xml:space="preserve">I replace </w:t>
      </w:r>
      <w:r w:rsidR="00536924" w:rsidRPr="00E26D55">
        <w:rPr>
          <w:i/>
        </w:rPr>
        <w:t>POST</w:t>
      </w:r>
      <w:r w:rsidR="00925CE7" w:rsidRPr="00E26D55">
        <w:t xml:space="preserve"> with </w:t>
      </w:r>
      <w:r w:rsidR="00047FC5" w:rsidRPr="00E26D55">
        <w:rPr>
          <w:i/>
        </w:rPr>
        <w:t>CHG</w:t>
      </w:r>
      <w:r w:rsidR="00925CE7" w:rsidRPr="00E26D55">
        <w:rPr>
          <w:i/>
        </w:rPr>
        <w:t>_</w:t>
      </w:r>
      <w:r w:rsidR="00536924" w:rsidRPr="00E26D55">
        <w:rPr>
          <w:i/>
        </w:rPr>
        <w:t>POST</w:t>
      </w:r>
      <w:r w:rsidR="00C00410" w:rsidRPr="00E26D55">
        <w:t xml:space="preserve">, which equals one for observations associated with changes from year </w:t>
      </w:r>
      <w:r w:rsidR="00C00410" w:rsidRPr="00E26D55">
        <w:rPr>
          <w:i/>
        </w:rPr>
        <w:t>t-1</w:t>
      </w:r>
      <w:r w:rsidR="00C00410" w:rsidRPr="00E26D55">
        <w:t xml:space="preserve"> to year </w:t>
      </w:r>
      <w:r w:rsidR="00C00410" w:rsidRPr="00E26D55">
        <w:rPr>
          <w:i/>
        </w:rPr>
        <w:t>t</w:t>
      </w:r>
      <w:r w:rsidR="00C00410" w:rsidRPr="00E26D55">
        <w:t>. All other variables in the models, including the respective dependent variables, are also transformed to change variables.</w:t>
      </w:r>
      <w:r w:rsidR="00AF0270" w:rsidRPr="00E26D55">
        <w:t xml:space="preserve"> </w:t>
      </w:r>
      <w:r w:rsidR="00952C69" w:rsidRPr="00E26D55">
        <w:t xml:space="preserve">Table </w:t>
      </w:r>
      <w:r w:rsidR="00FC3706">
        <w:t>6</w:t>
      </w:r>
      <w:r w:rsidR="00AF0270" w:rsidRPr="00E26D55">
        <w:t xml:space="preserve"> presents</w:t>
      </w:r>
      <w:r w:rsidR="00C00410" w:rsidRPr="00E26D55">
        <w:t xml:space="preserve"> </w:t>
      </w:r>
      <w:r w:rsidR="00AF0270" w:rsidRPr="00E26D55">
        <w:t>the results of this analysis.</w:t>
      </w:r>
      <w:r w:rsidR="00AF0270" w:rsidRPr="00E26D55">
        <w:rPr>
          <w:rStyle w:val="FootnoteReference"/>
        </w:rPr>
        <w:footnoteReference w:id="41"/>
      </w:r>
      <w:r w:rsidR="00BD4394" w:rsidRPr="00E26D55">
        <w:t xml:space="preserve"> </w:t>
      </w:r>
      <w:r w:rsidR="00AF0270" w:rsidRPr="00E26D55">
        <w:t>Column</w:t>
      </w:r>
      <w:r w:rsidR="00295908" w:rsidRPr="00E26D55">
        <w:t>s</w:t>
      </w:r>
      <w:r w:rsidR="00AF0270" w:rsidRPr="00E26D55">
        <w:t xml:space="preserve"> 1 </w:t>
      </w:r>
      <w:r w:rsidR="00295908" w:rsidRPr="00E26D55">
        <w:t>and 2 reveal</w:t>
      </w:r>
      <w:r w:rsidR="00AF0270" w:rsidRPr="00E26D55">
        <w:t xml:space="preserve"> that </w:t>
      </w:r>
      <w:r w:rsidR="00AF0270" w:rsidRPr="00E26D55">
        <w:rPr>
          <w:i/>
        </w:rPr>
        <w:t>CHG_POST</w:t>
      </w:r>
      <w:r w:rsidR="00AF0270" w:rsidRPr="00E26D55">
        <w:t xml:space="preserve"> is </w:t>
      </w:r>
      <w:r w:rsidR="004964FF" w:rsidRPr="00E26D55">
        <w:t xml:space="preserve">associated with a highly significant increase in abnormal trading volume (p&lt;0.01) </w:t>
      </w:r>
      <w:r w:rsidR="00295908" w:rsidRPr="00E26D55">
        <w:t>and a significant decrease in ab</w:t>
      </w:r>
      <w:r w:rsidR="00BD4394" w:rsidRPr="00E26D55">
        <w:t>normal bid-ask spre</w:t>
      </w:r>
      <w:r w:rsidR="00AD0CF1" w:rsidRPr="00E26D55">
        <w:t xml:space="preserve">ads (p&lt;0.05), respectively. </w:t>
      </w:r>
      <w:r w:rsidR="00D70404" w:rsidRPr="00E26D55">
        <w:t>These results further support</w:t>
      </w:r>
      <w:r w:rsidR="00AD0CF1" w:rsidRPr="00E26D55">
        <w:t xml:space="preserve"> a reduction in information asymmetry</w:t>
      </w:r>
      <w:r w:rsidR="00D70404" w:rsidRPr="00E26D55">
        <w:t xml:space="preserve"> after the revision of the auditor and audit committee report requirements.</w:t>
      </w:r>
      <w:r w:rsidR="00AD0CF1" w:rsidRPr="00E26D55">
        <w:t xml:space="preserve"> </w:t>
      </w:r>
      <w:r w:rsidR="00D70404" w:rsidRPr="00E26D55">
        <w:t>In addition, the</w:t>
      </w:r>
      <w:r w:rsidR="0091258E" w:rsidRPr="00E26D55">
        <w:t xml:space="preserve"> examination </w:t>
      </w:r>
      <w:r w:rsidR="004904D2" w:rsidRPr="00E26D55">
        <w:t>provide</w:t>
      </w:r>
      <w:r w:rsidR="0091258E" w:rsidRPr="00E26D55">
        <w:t>s</w:t>
      </w:r>
      <w:r w:rsidR="004904D2" w:rsidRPr="00E26D55">
        <w:t xml:space="preserve"> comfort that</w:t>
      </w:r>
      <w:r w:rsidR="00895C10" w:rsidRPr="00E26D55">
        <w:t xml:space="preserve"> </w:t>
      </w:r>
      <w:r w:rsidR="002813A5" w:rsidRPr="00E26D55">
        <w:t xml:space="preserve">the documented findings are not driven by </w:t>
      </w:r>
      <w:r w:rsidR="00CD1902" w:rsidRPr="00E26D55">
        <w:t>other factors that change</w:t>
      </w:r>
      <w:r w:rsidR="00417CF4" w:rsidRPr="00E26D55">
        <w:t xml:space="preserve"> year to </w:t>
      </w:r>
      <w:r w:rsidR="001C0C46" w:rsidRPr="00E26D55">
        <w:t>year for firms.</w:t>
      </w:r>
      <w:r w:rsidR="00CD1902" w:rsidRPr="00E26D55">
        <w:t xml:space="preserve"> </w:t>
      </w:r>
    </w:p>
    <w:p w14:paraId="6F5CBE27" w14:textId="079DE226" w:rsidR="00BD4394" w:rsidRPr="00E26D55" w:rsidRDefault="00FC3706" w:rsidP="001853E3">
      <w:pPr>
        <w:pStyle w:val="NoSpacing"/>
        <w:widowControl w:val="0"/>
        <w:spacing w:line="480" w:lineRule="auto"/>
        <w:contextualSpacing/>
        <w:jc w:val="center"/>
        <w:rPr>
          <w:rFonts w:ascii="Times New Roman" w:hAnsi="Times New Roman"/>
          <w:sz w:val="24"/>
          <w:szCs w:val="24"/>
        </w:rPr>
      </w:pPr>
      <w:r>
        <w:rPr>
          <w:rFonts w:ascii="Times New Roman" w:hAnsi="Times New Roman"/>
          <w:sz w:val="24"/>
          <w:szCs w:val="24"/>
        </w:rPr>
        <w:t xml:space="preserve">&lt;Insert Table 6 </w:t>
      </w:r>
      <w:r w:rsidR="00BD4394" w:rsidRPr="00E26D55">
        <w:rPr>
          <w:rFonts w:ascii="Times New Roman" w:hAnsi="Times New Roman"/>
          <w:sz w:val="24"/>
          <w:szCs w:val="24"/>
        </w:rPr>
        <w:t>Here&gt;</w:t>
      </w:r>
    </w:p>
    <w:p w14:paraId="4968CF45" w14:textId="64134803" w:rsidR="000E52D5" w:rsidRDefault="006A749C" w:rsidP="006A749C">
      <w:pPr>
        <w:pStyle w:val="Heading2"/>
      </w:pPr>
      <w:bookmarkStart w:id="20" w:name="_Toc286596278"/>
      <w:r>
        <w:t xml:space="preserve">5.4 </w:t>
      </w:r>
      <w:r w:rsidR="000E52D5">
        <w:t>Management Disclosure Analysis</w:t>
      </w:r>
      <w:bookmarkEnd w:id="20"/>
    </w:p>
    <w:p w14:paraId="52BE8989" w14:textId="77777777" w:rsidR="006A749C" w:rsidRPr="006A749C" w:rsidRDefault="006A749C" w:rsidP="006A749C"/>
    <w:p w14:paraId="592169B8" w14:textId="6F6A0C28" w:rsidR="000E52D5" w:rsidRDefault="000E52D5" w:rsidP="006939C1">
      <w:pPr>
        <w:widowControl w:val="0"/>
        <w:spacing w:line="480" w:lineRule="auto"/>
        <w:contextualSpacing/>
        <w:jc w:val="both"/>
      </w:pPr>
      <w:r>
        <w:tab/>
      </w:r>
      <w:r w:rsidR="00106581">
        <w:t>Finally, t</w:t>
      </w:r>
      <w:r>
        <w:t xml:space="preserve">o alleviate concerns that the results are driven by </w:t>
      </w:r>
      <w:r w:rsidR="006A3A63">
        <w:t>changes in management disclosure practices, I perform two additi</w:t>
      </w:r>
      <w:r w:rsidR="0010528E">
        <w:t>onal analyses described below.</w:t>
      </w:r>
    </w:p>
    <w:p w14:paraId="4E038A46" w14:textId="72AF1C91" w:rsidR="0010528E" w:rsidRDefault="006A749C" w:rsidP="006A749C">
      <w:pPr>
        <w:pStyle w:val="Heading3"/>
      </w:pPr>
      <w:bookmarkStart w:id="21" w:name="_Toc286596279"/>
      <w:r>
        <w:t xml:space="preserve">5.4.1 </w:t>
      </w:r>
      <w:r w:rsidR="0010528E">
        <w:t>Strategic Reports</w:t>
      </w:r>
      <w:r w:rsidR="00695E49">
        <w:t xml:space="preserve"> </w:t>
      </w:r>
      <w:r w:rsidR="005B6F13">
        <w:t>Review</w:t>
      </w:r>
      <w:bookmarkEnd w:id="21"/>
    </w:p>
    <w:p w14:paraId="42E7D1AC" w14:textId="77777777" w:rsidR="006A749C" w:rsidRPr="006A749C" w:rsidRDefault="006A749C" w:rsidP="006A749C"/>
    <w:p w14:paraId="09005A46" w14:textId="681A8722" w:rsidR="0010528E" w:rsidRPr="0010528E" w:rsidRDefault="00C41904" w:rsidP="001E7C7B">
      <w:pPr>
        <w:widowControl w:val="0"/>
        <w:spacing w:line="480" w:lineRule="auto"/>
        <w:contextualSpacing/>
        <w:jc w:val="both"/>
      </w:pPr>
      <w:r>
        <w:tab/>
      </w:r>
      <w:r w:rsidR="001E7C7B">
        <w:t xml:space="preserve">While several measures are employed to </w:t>
      </w:r>
      <w:r w:rsidR="00AF524B">
        <w:t>mitigate</w:t>
      </w:r>
      <w:r w:rsidR="001E7C7B">
        <w:t xml:space="preserve"> the concern of confounding events (i.e. balanced panel design, control groups, and change analysis), it still may be possible that other changes occurring over the same timeframe that only apply to </w:t>
      </w:r>
      <w:r w:rsidR="00EE71B5">
        <w:t>U.K.</w:t>
      </w:r>
      <w:r w:rsidR="00695E49">
        <w:t xml:space="preserve"> </w:t>
      </w:r>
      <w:r w:rsidR="001E7C7B">
        <w:t xml:space="preserve">Premium listed companies could impact the results. The only such change that I am aware of is the requirement to replace the business review section of the annual report with a strategic report that includes information on the company’s strategy, business model, human rights, and gender diversity of its employees and directors </w:t>
      </w:r>
      <w:r w:rsidR="001E7C7B">
        <w:fldChar w:fldCharType="begin"/>
      </w:r>
      <w:r w:rsidR="001E7C7B">
        <w:instrText xml:space="preserve"> ADDIN EN.CITE &lt;EndNote&gt;&lt;Cite&gt;&lt;Author&gt;Deloitte&lt;/Author&gt;&lt;Year&gt;2013&lt;/Year&gt;&lt;RecNum&gt;189&lt;/RecNum&gt;&lt;DisplayText&gt;(Deloitte 2013)&lt;/DisplayText&gt;&lt;record&gt;&lt;rec-number&gt;189&lt;/rec-number&gt;&lt;foreign-keys&gt;&lt;key app="EN" db-id="frdsfrdx0zpts8ex5pfvfda4s9srzrvrxd9z" timestamp="1397509106"&gt;189&lt;/key&gt;&lt;/foreign-keys&gt;&lt;ref-type name="Report"&gt;27&lt;/ref-type&gt;&lt;contributors&gt;&lt;authors&gt;&lt;author&gt;Deloitte&lt;/author&gt;&lt;/authors&gt;&lt;/contributors&gt;&lt;titles&gt;&lt;title&gt;A new beginning: Annual report insights 2013. Available at http://www.deloitte.com/assets/Dcom-UnitedKingdom/Local%20Assets/Documents/Services/Audit/uk-audit-a-new-beginning-printer-friendly-13.pdf&lt;/title&gt;&lt;/titles&gt;&lt;dates&gt;&lt;year&gt;2013&lt;/year&gt;&lt;pub-dates&gt;&lt;date&gt;October&lt;/date&gt;&lt;/pub-dates&gt;&lt;/dates&gt;&lt;urls&gt;&lt;related-urls&gt;&lt;url&gt;http://www.deloitte.com/assets/Dcom-UnitedKingdom/Local%20Assets/Documents/Services/Audit/uk-audit-a-new-beginning-printer-friendly-13.pdf&lt;/url&gt;&lt;/related-urls&gt;&lt;/urls&gt;&lt;/record&gt;&lt;/Cite&gt;&lt;/EndNote&gt;</w:instrText>
      </w:r>
      <w:r w:rsidR="001E7C7B">
        <w:fldChar w:fldCharType="separate"/>
      </w:r>
      <w:r w:rsidR="001E7C7B">
        <w:rPr>
          <w:noProof/>
        </w:rPr>
        <w:t>(</w:t>
      </w:r>
      <w:hyperlink w:anchor="_ENREF_32" w:tooltip="Deloitte, 2013 #189" w:history="1">
        <w:r w:rsidR="006A749C">
          <w:rPr>
            <w:noProof/>
          </w:rPr>
          <w:t>Deloitte 2013</w:t>
        </w:r>
      </w:hyperlink>
      <w:r w:rsidR="001E7C7B">
        <w:rPr>
          <w:noProof/>
        </w:rPr>
        <w:t>)</w:t>
      </w:r>
      <w:r w:rsidR="001E7C7B">
        <w:fldChar w:fldCharType="end"/>
      </w:r>
      <w:r w:rsidR="001E7C7B">
        <w:t>. While the requirement went into effect for fiscal years ending on or after September 30, 2013, the U.K. Corporate Gov</w:t>
      </w:r>
      <w:r w:rsidR="002772FD">
        <w:t>ernance Code has recommended this</w:t>
      </w:r>
      <w:r w:rsidR="001E7C7B">
        <w:t xml:space="preserve"> </w:t>
      </w:r>
      <w:r w:rsidR="002772FD">
        <w:t>reporting</w:t>
      </w:r>
      <w:r w:rsidR="001E7C7B">
        <w:t xml:space="preserve"> model on a ‘comply or explain’ basis since 2010 </w:t>
      </w:r>
      <w:r w:rsidR="001E7C7B">
        <w:fldChar w:fldCharType="begin"/>
      </w:r>
      <w:r w:rsidR="001E7C7B">
        <w:instrText xml:space="preserve"> ADDIN EN.CITE &lt;EndNote&gt;&lt;Cite&gt;&lt;Author&gt;Deloitte&lt;/Author&gt;&lt;Year&gt;2013&lt;/Year&gt;&lt;RecNum&gt;189&lt;/RecNum&gt;&lt;DisplayText&gt;(Deloitte 2013)&lt;/DisplayText&gt;&lt;record&gt;&lt;rec-number&gt;189&lt;/rec-number&gt;&lt;foreign-keys&gt;&lt;key app="EN" db-id="frdsfrdx0zpts8ex5pfvfda4s9srzrvrxd9z" timestamp="1397509106"&gt;189&lt;/key&gt;&lt;/foreign-keys&gt;&lt;ref-type name="Report"&gt;27&lt;/ref-type&gt;&lt;contributors&gt;&lt;authors&gt;&lt;author&gt;Deloitte&lt;/author&gt;&lt;/authors&gt;&lt;/contributors&gt;&lt;titles&gt;&lt;title&gt;A new beginning: Annual report insights 2013. Available at http://www.deloitte.com/assets/Dcom-UnitedKingdom/Local%20Assets/Documents/Services/Audit/uk-audit-a-new-beginning-printer-friendly-13.pdf&lt;/title&gt;&lt;/titles&gt;&lt;dates&gt;&lt;year&gt;2013&lt;/year&gt;&lt;pub-dates&gt;&lt;date&gt;October&lt;/date&gt;&lt;/pub-dates&gt;&lt;/dates&gt;&lt;urls&gt;&lt;related-urls&gt;&lt;url&gt;http://www.deloitte.com/assets/Dcom-UnitedKingdom/Local%20Assets/Documents/Services/Audit/uk-audit-a-new-beginning-printer-friendly-13.pdf&lt;/url&gt;&lt;/related-urls&gt;&lt;/urls&gt;&lt;/record&gt;&lt;/Cite&gt;&lt;/EndNote&gt;</w:instrText>
      </w:r>
      <w:r w:rsidR="001E7C7B">
        <w:fldChar w:fldCharType="separate"/>
      </w:r>
      <w:r w:rsidR="001E7C7B">
        <w:rPr>
          <w:noProof/>
        </w:rPr>
        <w:t>(</w:t>
      </w:r>
      <w:hyperlink w:anchor="_ENREF_32" w:tooltip="Deloitte, 2013 #189" w:history="1">
        <w:r w:rsidR="006A749C">
          <w:rPr>
            <w:noProof/>
          </w:rPr>
          <w:t>Deloitte 2013</w:t>
        </w:r>
      </w:hyperlink>
      <w:r w:rsidR="001E7C7B">
        <w:rPr>
          <w:noProof/>
        </w:rPr>
        <w:t>)</w:t>
      </w:r>
      <w:r w:rsidR="001E7C7B">
        <w:fldChar w:fldCharType="end"/>
      </w:r>
      <w:r w:rsidR="001E7C7B">
        <w:t xml:space="preserve">. </w:t>
      </w:r>
      <w:r w:rsidR="00695E49">
        <w:t xml:space="preserve">Furthermore, as KPMG Partner Tim Copnell states, “The requirement for a Strategic Report…is essentially the same as the Business Review it replaces...It is not clear how much a change in requirements this represents” </w:t>
      </w:r>
      <w:r w:rsidR="00FC2A16">
        <w:fldChar w:fldCharType="begin"/>
      </w:r>
      <w:r w:rsidR="00FC2A16">
        <w:instrText xml:space="preserve"> ADDIN EN.CITE &lt;EndNote&gt;&lt;Cite&gt;&lt;Author&gt;Copnell&lt;/Author&gt;&lt;Year&gt;2013&lt;/Year&gt;&lt;RecNum&gt;350&lt;/RecNum&gt;&lt;DisplayText&gt;(Copnell 2013)&lt;/DisplayText&gt;&lt;record&gt;&lt;rec-number&gt;350&lt;/rec-number&gt;&lt;foreign-keys&gt;&lt;key app="EN" db-id="frdsfrdx0zpts8ex5pfvfda4s9srzrvrxd9z" timestamp="1413293267"&gt;350&lt;/key&gt;&lt;/foreign-keys&gt;&lt;ref-type name="Journal Article"&gt;17&lt;/ref-type&gt;&lt;contributors&gt;&lt;authors&gt;&lt;author&gt;Copnell, Tim&lt;/author&gt;&lt;/authors&gt;&lt;/contributors&gt;&lt;titles&gt;&lt;title&gt;Strategic report - An opportunity (not to be) missed?&lt;/title&gt;&lt;secondary-title&gt;KPMG UK Research&lt;/secondary-title&gt;&lt;/titles&gt;&lt;periodical&gt;&lt;full-title&gt;KPMG UK Research&lt;/full-title&gt;&lt;/periodical&gt;&lt;volume&gt;October 23, 2013&lt;/volume&gt;&lt;dates&gt;&lt;year&gt;2013&lt;/year&gt;&lt;/dates&gt;&lt;urls&gt;&lt;related-urls&gt;&lt;url&gt;http://www.kpmg.com/UK/en/IssuesAndInsights/ArticlesPublications/Pages/strategic-report%E2%80%93opportunity-not-to-miss.aspx&lt;/url&gt;&lt;/related-urls&gt;&lt;/urls&gt;&lt;/record&gt;&lt;/Cite&gt;&lt;/EndNote&gt;</w:instrText>
      </w:r>
      <w:r w:rsidR="00FC2A16">
        <w:fldChar w:fldCharType="separate"/>
      </w:r>
      <w:r w:rsidR="00FC2A16">
        <w:rPr>
          <w:noProof/>
        </w:rPr>
        <w:t>(</w:t>
      </w:r>
      <w:hyperlink w:anchor="_ENREF_29" w:tooltip="Copnell, 2013 #350" w:history="1">
        <w:r w:rsidR="006A749C">
          <w:rPr>
            <w:noProof/>
          </w:rPr>
          <w:t>Copnell 2013</w:t>
        </w:r>
      </w:hyperlink>
      <w:r w:rsidR="00FC2A16">
        <w:rPr>
          <w:noProof/>
        </w:rPr>
        <w:t>)</w:t>
      </w:r>
      <w:r w:rsidR="00FC2A16">
        <w:fldChar w:fldCharType="end"/>
      </w:r>
      <w:r w:rsidR="00DD6A06">
        <w:t xml:space="preserve">. </w:t>
      </w:r>
      <w:r w:rsidR="007940F9">
        <w:t>I randomly selected 40 Premium firms and compared the company’s strategic report in the current year’s annual report to its business review in the prior year’s annual report. E</w:t>
      </w:r>
      <w:r w:rsidR="00090D61">
        <w:t>ach report contained the same primary disclosures. As I</w:t>
      </w:r>
      <w:r w:rsidR="005B6F13">
        <w:t xml:space="preserve"> did not note any exceptions, this review </w:t>
      </w:r>
      <w:r w:rsidR="00FB7AF3">
        <w:t xml:space="preserve">supports the commonly held sentiment that </w:t>
      </w:r>
      <w:r w:rsidR="009136B9">
        <w:t>the strategic reports did not materially change management’</w:t>
      </w:r>
      <w:r w:rsidR="00AE327D">
        <w:t xml:space="preserve">s disclosures and therefore </w:t>
      </w:r>
      <w:r w:rsidR="00EE27F2">
        <w:t>this regulatory change is</w:t>
      </w:r>
      <w:r w:rsidR="00AE327D">
        <w:t xml:space="preserve"> unlikely to impact my analysis.</w:t>
      </w:r>
    </w:p>
    <w:p w14:paraId="588603E0" w14:textId="52639C02" w:rsidR="002B507F" w:rsidRDefault="006A749C" w:rsidP="006A749C">
      <w:pPr>
        <w:pStyle w:val="Heading3"/>
      </w:pPr>
      <w:bookmarkStart w:id="22" w:name="_Toc286596280"/>
      <w:r>
        <w:t xml:space="preserve">5.4.2 </w:t>
      </w:r>
      <w:r w:rsidR="002B507F" w:rsidRPr="000E52D5">
        <w:t>Earnings Announcement Analysis</w:t>
      </w:r>
      <w:bookmarkEnd w:id="22"/>
    </w:p>
    <w:p w14:paraId="5264E17A" w14:textId="77777777" w:rsidR="006A749C" w:rsidRPr="006A749C" w:rsidRDefault="006A749C" w:rsidP="006A749C"/>
    <w:p w14:paraId="251839C0" w14:textId="65D50301" w:rsidR="00D47718" w:rsidRPr="00E26D55" w:rsidRDefault="006160D8" w:rsidP="001853E3">
      <w:pPr>
        <w:widowControl w:val="0"/>
        <w:spacing w:line="480" w:lineRule="auto"/>
        <w:contextualSpacing/>
        <w:jc w:val="both"/>
      </w:pPr>
      <w:r>
        <w:tab/>
      </w:r>
      <w:r w:rsidR="008F21CF" w:rsidRPr="00E26D55">
        <w:t xml:space="preserve">I </w:t>
      </w:r>
      <w:r>
        <w:t>also</w:t>
      </w:r>
      <w:r w:rsidR="00496D7A">
        <w:t xml:space="preserve"> perform a falsification test by</w:t>
      </w:r>
      <w:r>
        <w:t xml:space="preserve"> </w:t>
      </w:r>
      <w:r w:rsidR="00496D7A">
        <w:t>estimating</w:t>
      </w:r>
      <w:r w:rsidR="008F21CF" w:rsidRPr="00E26D55">
        <w:t xml:space="preserve"> models (1) and (2) around the earnings announcement dates for the sample firms. Since the audit committee and auditor reports are not released to the market until the annual report is issued</w:t>
      </w:r>
      <w:r w:rsidR="00DE43E0" w:rsidRPr="00E26D55">
        <w:t xml:space="preserve"> and the reporting requirements for earnings announcements did not change during this time period</w:t>
      </w:r>
      <w:r w:rsidR="008F21CF" w:rsidRPr="00E26D55">
        <w:t xml:space="preserve">, I do not expect to find a reduction in information asymmetry surrounding the earnings announcements of </w:t>
      </w:r>
      <w:r w:rsidR="00455EB9" w:rsidRPr="00E26D55">
        <w:t>the</w:t>
      </w:r>
      <w:r w:rsidR="008F21CF" w:rsidRPr="00E26D55">
        <w:t xml:space="preserve"> sample firms.</w:t>
      </w:r>
      <w:r w:rsidR="00DE43E0" w:rsidRPr="00E26D55">
        <w:t xml:space="preserve"> </w:t>
      </w:r>
      <w:r w:rsidR="002946A7" w:rsidRPr="00E26D55">
        <w:t xml:space="preserve">In support of this prediction, I fail to </w:t>
      </w:r>
      <w:r w:rsidR="0086704A">
        <w:t xml:space="preserve">find </w:t>
      </w:r>
      <w:r w:rsidR="002946A7" w:rsidRPr="00E26D55">
        <w:t xml:space="preserve">evidence </w:t>
      </w:r>
      <w:r w:rsidR="009859F0" w:rsidRPr="00E26D55">
        <w:t>that abnormal trading volume and abnormal bid-ask spreads significantly changed from the pre-period to the post-period.</w:t>
      </w:r>
      <w:r w:rsidR="009872A9" w:rsidRPr="00E26D55">
        <w:rPr>
          <w:rStyle w:val="FootnoteReference"/>
        </w:rPr>
        <w:footnoteReference w:id="42"/>
      </w:r>
      <w:r w:rsidR="009872A9" w:rsidRPr="00E26D55">
        <w:t xml:space="preserve"> </w:t>
      </w:r>
      <w:r w:rsidR="00DE43E0" w:rsidRPr="00E26D55">
        <w:t xml:space="preserve">This analysis provides additional comfort that </w:t>
      </w:r>
      <w:r w:rsidR="00E37B67" w:rsidRPr="00E26D55">
        <w:t>the main findings of this study are not due to changes in management disclosure practices or overall changes in the dependent variables over time for the sample firms.</w:t>
      </w:r>
    </w:p>
    <w:p w14:paraId="6F584658" w14:textId="77777777" w:rsidR="00D61051" w:rsidRPr="00E26D55" w:rsidRDefault="00D61051" w:rsidP="00EE6FE9">
      <w:pPr>
        <w:widowControl w:val="0"/>
        <w:contextualSpacing/>
        <w:jc w:val="center"/>
        <w:rPr>
          <w:b/>
        </w:rPr>
      </w:pPr>
    </w:p>
    <w:p w14:paraId="79433BAA" w14:textId="77777777" w:rsidR="00E32E93" w:rsidRDefault="00E32E93">
      <w:pPr>
        <w:rPr>
          <w:rFonts w:eastAsiaTheme="majorEastAsia" w:cstheme="majorBidi"/>
          <w:b/>
          <w:bCs/>
          <w:szCs w:val="32"/>
        </w:rPr>
      </w:pPr>
      <w:r>
        <w:br w:type="page"/>
      </w:r>
    </w:p>
    <w:p w14:paraId="7F9E48A2" w14:textId="7F9459BA" w:rsidR="00CD2369" w:rsidRDefault="00BC0DA7" w:rsidP="006A749C">
      <w:pPr>
        <w:pStyle w:val="Heading1"/>
      </w:pPr>
      <w:bookmarkStart w:id="23" w:name="_Toc286596281"/>
      <w:r w:rsidRPr="00E26D55">
        <w:t>V</w:t>
      </w:r>
      <w:r w:rsidR="00F44013" w:rsidRPr="00E26D55">
        <w:t>I.</w:t>
      </w:r>
      <w:r w:rsidRPr="00E26D55">
        <w:t xml:space="preserve"> CONCLUSION</w:t>
      </w:r>
      <w:bookmarkEnd w:id="23"/>
    </w:p>
    <w:p w14:paraId="032ADC9E" w14:textId="77777777" w:rsidR="006A749C" w:rsidRPr="006A749C" w:rsidRDefault="006A749C" w:rsidP="006A749C"/>
    <w:p w14:paraId="6531CC30" w14:textId="50340BC2" w:rsidR="00A36577" w:rsidRDefault="00F51856" w:rsidP="001853E3">
      <w:pPr>
        <w:widowControl w:val="0"/>
        <w:spacing w:line="480" w:lineRule="auto"/>
        <w:contextualSpacing/>
        <w:jc w:val="both"/>
      </w:pPr>
      <w:r w:rsidRPr="00E26D55">
        <w:tab/>
      </w:r>
      <w:r w:rsidR="008F42DA" w:rsidRPr="006A4CF9">
        <w:t xml:space="preserve">While substantial revisions to audit committee and auditor reporting are being discussed worldwide, archival research has been unable to examine the impact of these reforms. I exploit the United Kingdom’s </w:t>
      </w:r>
      <w:r w:rsidR="009B648E" w:rsidRPr="006A4CF9">
        <w:t xml:space="preserve">recent </w:t>
      </w:r>
      <w:r w:rsidR="008F42DA" w:rsidRPr="006A4CF9">
        <w:t xml:space="preserve">regulatory changes to fill this void. </w:t>
      </w:r>
      <w:r w:rsidR="00911EAA">
        <w:t xml:space="preserve">Using a balanced sample of U.K. firms required to comply with the reporting revisions, </w:t>
      </w:r>
      <w:r w:rsidR="00C94467">
        <w:t xml:space="preserve">I find that additional audit committee and auditor disclosures are associated with a </w:t>
      </w:r>
      <w:r w:rsidR="001D2D01">
        <w:t xml:space="preserve">significant reduction in information asymmetry </w:t>
      </w:r>
      <w:r w:rsidR="00F57287">
        <w:t xml:space="preserve">as proxied by higher abnormal trading volume and lower abnormal bid-ask spreads. </w:t>
      </w:r>
      <w:r w:rsidR="00F23B2C">
        <w:t>Furthermore, I find greater reductions in information asymmetry for firms with weaker information environments, suggesting that the new disclosures particularly benefit investors in these firms.</w:t>
      </w:r>
      <w:r w:rsidR="00260DBE">
        <w:t xml:space="preserve"> I also find some evidence </w:t>
      </w:r>
      <w:r w:rsidR="009C0202">
        <w:t>that</w:t>
      </w:r>
      <w:r w:rsidR="009C0202" w:rsidRPr="007E0758">
        <w:t xml:space="preserve"> </w:t>
      </w:r>
      <w:r w:rsidR="009C0202">
        <w:t xml:space="preserve">companies employing auditors that tend to provide more </w:t>
      </w:r>
      <w:r w:rsidR="0072026E">
        <w:t xml:space="preserve">(less) </w:t>
      </w:r>
      <w:r w:rsidR="009C0202">
        <w:t xml:space="preserve">detailed audit reports experience more </w:t>
      </w:r>
      <w:r w:rsidR="0072026E">
        <w:t xml:space="preserve">(less) </w:t>
      </w:r>
      <w:r w:rsidR="009C0202">
        <w:t>significant reductions in information asymmetry.</w:t>
      </w:r>
      <w:r w:rsidR="00F23B2C">
        <w:t xml:space="preserve"> </w:t>
      </w:r>
      <w:r w:rsidR="00587F25">
        <w:t xml:space="preserve">In addition, the results are robust to </w:t>
      </w:r>
      <w:r w:rsidR="00A36577">
        <w:t>the use of control sample</w:t>
      </w:r>
      <w:r w:rsidR="00674C10">
        <w:t xml:space="preserve">s, a strict change analysis, and a falsification test using earnings announcement dates. </w:t>
      </w:r>
    </w:p>
    <w:p w14:paraId="765562EA" w14:textId="4D0C6BF3" w:rsidR="00113C1E" w:rsidRPr="00E26D55" w:rsidRDefault="005D3D01" w:rsidP="001853E3">
      <w:pPr>
        <w:widowControl w:val="0"/>
        <w:spacing w:line="480" w:lineRule="auto"/>
        <w:ind w:firstLine="720"/>
        <w:contextualSpacing/>
        <w:jc w:val="both"/>
      </w:pPr>
      <w:r w:rsidRPr="006A4CF9">
        <w:t xml:space="preserve">By examining </w:t>
      </w:r>
      <w:r w:rsidR="001202BC" w:rsidRPr="006A4CF9">
        <w:t xml:space="preserve">the </w:t>
      </w:r>
      <w:r w:rsidR="00FA2D23">
        <w:t xml:space="preserve">impact </w:t>
      </w:r>
      <w:r w:rsidR="001202BC" w:rsidRPr="006A4CF9">
        <w:t xml:space="preserve">of the </w:t>
      </w:r>
      <w:r w:rsidR="00CF7662" w:rsidRPr="006A4CF9">
        <w:t xml:space="preserve">U.K.’s </w:t>
      </w:r>
      <w:r w:rsidR="001202BC" w:rsidRPr="006A4CF9">
        <w:t>new audi</w:t>
      </w:r>
      <w:r w:rsidR="006000D0">
        <w:t>t committee and auditor reports</w:t>
      </w:r>
      <w:r w:rsidRPr="006A4CF9">
        <w:t xml:space="preserve">, </w:t>
      </w:r>
      <w:r w:rsidR="001202BC" w:rsidRPr="006A4CF9">
        <w:t>this study provide</w:t>
      </w:r>
      <w:r w:rsidR="00C31429" w:rsidRPr="006A4CF9">
        <w:t xml:space="preserve">s important information for public companies, audit firms, audit committees, investors, regulators, other financial statement users, and the overall capital markets. </w:t>
      </w:r>
      <w:r w:rsidR="00B81916">
        <w:t xml:space="preserve">The results reveal </w:t>
      </w:r>
      <w:r w:rsidR="005C3B2B">
        <w:t>that</w:t>
      </w:r>
      <w:r w:rsidR="00B81916">
        <w:t xml:space="preserve"> additional</w:t>
      </w:r>
      <w:r w:rsidR="00E16647">
        <w:t xml:space="preserve"> required</w:t>
      </w:r>
      <w:r w:rsidR="00B81916">
        <w:t xml:space="preserve"> auditor a</w:t>
      </w:r>
      <w:r w:rsidR="005C3B2B">
        <w:t xml:space="preserve">nd audit committee disclosures can </w:t>
      </w:r>
      <w:r w:rsidR="00B81916">
        <w:t xml:space="preserve">provide investors with useful information that impacts their trading decisions. </w:t>
      </w:r>
      <w:r w:rsidR="00C31429" w:rsidRPr="006A4CF9">
        <w:t>My analysis not only reveals the effects of these regulatory changes in the United Kingdom,</w:t>
      </w:r>
      <w:r w:rsidR="00A03C93" w:rsidRPr="006A4CF9">
        <w:t xml:space="preserve"> but also presents considerations for the evaluation of the standards proposed by regulators of other major capital markets internationally</w:t>
      </w:r>
      <w:r w:rsidR="000B5DF9" w:rsidRPr="006A4CF9">
        <w:t xml:space="preserve">, particularly the </w:t>
      </w:r>
      <w:r w:rsidR="00A308FF">
        <w:t>PCAOB and the SEC</w:t>
      </w:r>
      <w:r w:rsidR="000B5DF9" w:rsidRPr="006A4CF9">
        <w:t>.</w:t>
      </w:r>
      <w:r w:rsidR="00947303" w:rsidRPr="00E26D55">
        <w:t xml:space="preserve"> </w:t>
      </w:r>
      <w:r w:rsidR="00BF669B" w:rsidRPr="00E26D55">
        <w:t xml:space="preserve"> </w:t>
      </w:r>
      <w:r w:rsidR="000B5DF9" w:rsidRPr="00E26D55">
        <w:t xml:space="preserve"> </w:t>
      </w:r>
      <w:r w:rsidR="00C31429" w:rsidRPr="00E26D55">
        <w:t xml:space="preserve">  </w:t>
      </w:r>
      <w:r w:rsidR="00D9497B" w:rsidRPr="00E26D55">
        <w:t xml:space="preserve"> </w:t>
      </w:r>
    </w:p>
    <w:p w14:paraId="20AE5DD7" w14:textId="6488F816" w:rsidR="006A749C" w:rsidRDefault="00DB485C" w:rsidP="00535B1D">
      <w:pPr>
        <w:widowControl w:val="0"/>
        <w:spacing w:line="480" w:lineRule="auto"/>
        <w:ind w:firstLine="720"/>
        <w:contextualSpacing/>
        <w:jc w:val="both"/>
      </w:pPr>
      <w:r w:rsidRPr="00E26D55">
        <w:t xml:space="preserve">In conclusion, I </w:t>
      </w:r>
      <w:r w:rsidR="0056362C" w:rsidRPr="00E26D55">
        <w:t>outline the following limitations and opportunities for future research.</w:t>
      </w:r>
      <w:r w:rsidR="0006399C" w:rsidRPr="00E26D55">
        <w:t xml:space="preserve"> T</w:t>
      </w:r>
      <w:r w:rsidR="00C97AE7" w:rsidRPr="00E26D55">
        <w:t>his study provides relevant and timely information to regulators, investors, professional groups, and other stakeholders by examining the first year of implementation of the audit committee and audit reporting standards</w:t>
      </w:r>
      <w:r w:rsidR="00D021A9" w:rsidRPr="00E26D55">
        <w:t xml:space="preserve"> in the United Kingdom</w:t>
      </w:r>
      <w:r w:rsidR="00C97AE7" w:rsidRPr="00E26D55">
        <w:t xml:space="preserve">. </w:t>
      </w:r>
      <w:r w:rsidR="004C496E" w:rsidRPr="00E26D55">
        <w:t>Whether the documented effects persist in future years</w:t>
      </w:r>
      <w:r w:rsidR="005C6156" w:rsidRPr="00E26D55">
        <w:t xml:space="preserve"> </w:t>
      </w:r>
      <w:r w:rsidR="004C496E" w:rsidRPr="00E26D55">
        <w:t xml:space="preserve">is unknown and </w:t>
      </w:r>
      <w:r w:rsidR="00434CA5" w:rsidRPr="00E26D55">
        <w:t>would be an important research question in its own right.</w:t>
      </w:r>
      <w:r w:rsidR="001D09EA" w:rsidRPr="00E26D55">
        <w:t xml:space="preserve"> </w:t>
      </w:r>
      <w:r w:rsidR="00763EC2" w:rsidRPr="00E26D55">
        <w:t>Additionally, w</w:t>
      </w:r>
      <w:r w:rsidR="00B14503" w:rsidRPr="00E26D55">
        <w:t xml:space="preserve">hile </w:t>
      </w:r>
      <w:r w:rsidR="00763EC2" w:rsidRPr="00E26D55">
        <w:t xml:space="preserve">there are numerous regulatory and cultural commonalities between the </w:t>
      </w:r>
      <w:r w:rsidR="005915D6" w:rsidRPr="00E26D55">
        <w:t>Unite</w:t>
      </w:r>
      <w:r w:rsidR="00763EC2" w:rsidRPr="00E26D55">
        <w:t xml:space="preserve">d Kingdom and the United States, there </w:t>
      </w:r>
      <w:r w:rsidR="00F97170" w:rsidRPr="00E26D55">
        <w:t xml:space="preserve">are three differences in these countries that may be important to consider: (1) </w:t>
      </w:r>
      <w:r w:rsidR="00E16D5B" w:rsidRPr="00E26D55">
        <w:t>litigation</w:t>
      </w:r>
      <w:r w:rsidR="0007600E" w:rsidRPr="00E26D55">
        <w:t xml:space="preserve"> tends to play a greater role in the development and enforcement of regulations in the </w:t>
      </w:r>
      <w:r w:rsidR="00593F74" w:rsidRPr="00E26D55">
        <w:t>U.S. than in the U.K.</w:t>
      </w:r>
      <w:r w:rsidR="0007600E" w:rsidRPr="00E26D55">
        <w:t xml:space="preserve">, (2) </w:t>
      </w:r>
      <w:r w:rsidR="006A7C9D" w:rsidRPr="00E26D55">
        <w:t xml:space="preserve">U.S. financial accounting standards are ‘rules-based’ while the U.K.’s standards are ‘principles-based’, and (3) </w:t>
      </w:r>
      <w:r w:rsidR="00FF5CBD" w:rsidRPr="00E26D55">
        <w:t>the U.K.’</w:t>
      </w:r>
      <w:r w:rsidR="00FD0E17" w:rsidRPr="00E26D55">
        <w:t xml:space="preserve">s FRC sets auditing, governance, and accounting </w:t>
      </w:r>
      <w:r w:rsidR="00FF5CBD" w:rsidRPr="00E26D55">
        <w:t xml:space="preserve">standards while several regulatory bodies are responsible for setting these standards in the U.S., namely the PCAOB, SEC, and FASB. </w:t>
      </w:r>
      <w:r w:rsidR="00B26426" w:rsidRPr="00E26D55">
        <w:t>This last difference between th</w:t>
      </w:r>
      <w:r w:rsidR="00AE4071" w:rsidRPr="00E26D55">
        <w:t xml:space="preserve">e countries presents an additional challenge to the United States as more than one regulator would need to be involved to institute both audit committee and auditor reporting changes. </w:t>
      </w:r>
      <w:r w:rsidR="007717D8" w:rsidRPr="00E26D55">
        <w:t>The results of this paper therefore need to be interpreted wit</w:t>
      </w:r>
      <w:r w:rsidR="00CF7662" w:rsidRPr="00E26D55">
        <w:t>h these considerations in mind and future research could illuminate the possible impact of these</w:t>
      </w:r>
      <w:r w:rsidR="009B648E" w:rsidRPr="00E26D55">
        <w:t xml:space="preserve"> differences on </w:t>
      </w:r>
      <w:r w:rsidR="00CF7662" w:rsidRPr="00E26D55">
        <w:t xml:space="preserve">audit committee and audit report reforms. </w:t>
      </w:r>
      <w:r w:rsidR="00B33584" w:rsidRPr="00E26D55">
        <w:t>Notwithstanding the above, this research informs a highly rel</w:t>
      </w:r>
      <w:r w:rsidR="006A4CF9">
        <w:t>evant regulatory debate on the effects of</w:t>
      </w:r>
      <w:r w:rsidR="00926328" w:rsidRPr="00E26D55">
        <w:t xml:space="preserve"> changing </w:t>
      </w:r>
      <w:r w:rsidR="00B33584" w:rsidRPr="00E26D55">
        <w:t>auditor</w:t>
      </w:r>
      <w:r w:rsidR="00926328" w:rsidRPr="00E26D55">
        <w:t xml:space="preserve"> and audit committee reports</w:t>
      </w:r>
      <w:r w:rsidR="00B33584" w:rsidRPr="00E26D55">
        <w:t>.</w:t>
      </w:r>
    </w:p>
    <w:p w14:paraId="75A242EC" w14:textId="77777777" w:rsidR="006A749C" w:rsidRDefault="006A749C">
      <w:r>
        <w:br w:type="page"/>
      </w:r>
    </w:p>
    <w:p w14:paraId="4DB05A75" w14:textId="77777777" w:rsidR="006A749C" w:rsidRDefault="006A749C" w:rsidP="006A749C">
      <w:pPr>
        <w:pStyle w:val="Heading1"/>
      </w:pPr>
    </w:p>
    <w:p w14:paraId="018B2522" w14:textId="77777777" w:rsidR="006A749C" w:rsidRDefault="006A749C" w:rsidP="006A749C">
      <w:pPr>
        <w:pStyle w:val="Heading1"/>
      </w:pPr>
    </w:p>
    <w:p w14:paraId="521C28AC" w14:textId="77777777" w:rsidR="006A749C" w:rsidRDefault="006A749C" w:rsidP="006A749C">
      <w:pPr>
        <w:pStyle w:val="Heading1"/>
      </w:pPr>
    </w:p>
    <w:p w14:paraId="1D51257B" w14:textId="77777777" w:rsidR="006A749C" w:rsidRDefault="006A749C" w:rsidP="006A749C">
      <w:pPr>
        <w:pStyle w:val="Heading1"/>
      </w:pPr>
    </w:p>
    <w:p w14:paraId="4C43EA86" w14:textId="7BC4F322" w:rsidR="00DB7B71" w:rsidRPr="006A749C" w:rsidRDefault="006A749C" w:rsidP="006A749C">
      <w:pPr>
        <w:pStyle w:val="Heading1"/>
      </w:pPr>
      <w:bookmarkStart w:id="24" w:name="_Toc286596282"/>
      <w:r>
        <w:t>LIST OF REFERENCES</w:t>
      </w:r>
      <w:bookmarkEnd w:id="24"/>
    </w:p>
    <w:p w14:paraId="127AB529" w14:textId="77777777" w:rsidR="00740C25" w:rsidRDefault="00740C25">
      <w:r>
        <w:br w:type="page"/>
      </w:r>
    </w:p>
    <w:p w14:paraId="649649EA" w14:textId="77777777" w:rsidR="006A749C" w:rsidRPr="006A749C" w:rsidRDefault="0079592F" w:rsidP="006A749C">
      <w:pPr>
        <w:pStyle w:val="EndNoteBibliography"/>
        <w:spacing w:after="240"/>
        <w:ind w:left="720" w:hanging="720"/>
        <w:rPr>
          <w:noProof/>
        </w:rPr>
      </w:pPr>
      <w:r w:rsidRPr="00E26D55">
        <w:fldChar w:fldCharType="begin"/>
      </w:r>
      <w:r w:rsidR="00104AD7" w:rsidRPr="00E26D55">
        <w:instrText xml:space="preserve"> ADDIN EN.REFLIST </w:instrText>
      </w:r>
      <w:r w:rsidRPr="00E26D55">
        <w:fldChar w:fldCharType="separate"/>
      </w:r>
      <w:bookmarkStart w:id="25" w:name="_ENREF_1"/>
      <w:r w:rsidR="006A749C" w:rsidRPr="006A749C">
        <w:rPr>
          <w:noProof/>
        </w:rPr>
        <w:t>AICPA. 1978. The Commission on Auditors' Responsibilities: Report, Conclusions, and Recommendations. New York, NY.</w:t>
      </w:r>
      <w:bookmarkEnd w:id="25"/>
    </w:p>
    <w:p w14:paraId="5D74B628" w14:textId="77777777" w:rsidR="006A749C" w:rsidRPr="006A749C" w:rsidRDefault="006A749C" w:rsidP="006A749C">
      <w:pPr>
        <w:pStyle w:val="EndNoteBibliography"/>
        <w:spacing w:after="240"/>
        <w:ind w:left="720" w:hanging="720"/>
        <w:rPr>
          <w:noProof/>
        </w:rPr>
      </w:pPr>
      <w:bookmarkStart w:id="26" w:name="_ENREF_2"/>
      <w:r w:rsidRPr="006A749C">
        <w:rPr>
          <w:noProof/>
        </w:rPr>
        <w:t xml:space="preserve">Asare, S. K., and A. M. Wright. 2012. Investors', Auditors', and Lenders' Understanding of the Message Conveyed by the Standard Audit Report on the Financial Statements. </w:t>
      </w:r>
      <w:r w:rsidRPr="006A749C">
        <w:rPr>
          <w:i/>
          <w:noProof/>
        </w:rPr>
        <w:t>Accounting Horizons</w:t>
      </w:r>
      <w:r w:rsidRPr="006A749C">
        <w:rPr>
          <w:noProof/>
        </w:rPr>
        <w:t xml:space="preserve"> 26 (2):193-217.</w:t>
      </w:r>
      <w:bookmarkEnd w:id="26"/>
    </w:p>
    <w:p w14:paraId="1699376C" w14:textId="77777777" w:rsidR="006A749C" w:rsidRPr="006A749C" w:rsidRDefault="006A749C" w:rsidP="006A749C">
      <w:pPr>
        <w:pStyle w:val="EndNoteBibliography"/>
        <w:spacing w:after="240"/>
        <w:ind w:left="720" w:hanging="720"/>
        <w:rPr>
          <w:noProof/>
        </w:rPr>
      </w:pPr>
      <w:bookmarkStart w:id="27" w:name="_ENREF_3"/>
      <w:r w:rsidRPr="006A749C">
        <w:rPr>
          <w:noProof/>
        </w:rPr>
        <w:t xml:space="preserve">Asthana, S., S. Balsam, and S. Sankaraguruswamy. 2004. Differential Response of Small versus Large Investors to 10-K Filings on EDGAR. </w:t>
      </w:r>
      <w:r w:rsidRPr="006A749C">
        <w:rPr>
          <w:i/>
          <w:noProof/>
        </w:rPr>
        <w:t>The Accounting Review</w:t>
      </w:r>
      <w:r w:rsidRPr="006A749C">
        <w:rPr>
          <w:noProof/>
        </w:rPr>
        <w:t xml:space="preserve"> 79 (3):571-589.</w:t>
      </w:r>
      <w:bookmarkEnd w:id="27"/>
    </w:p>
    <w:p w14:paraId="7230E9CE" w14:textId="77777777" w:rsidR="006A749C" w:rsidRPr="006A749C" w:rsidRDefault="006A749C" w:rsidP="006A749C">
      <w:pPr>
        <w:pStyle w:val="EndNoteBibliography"/>
        <w:spacing w:after="240"/>
        <w:ind w:left="720" w:hanging="720"/>
        <w:rPr>
          <w:noProof/>
        </w:rPr>
      </w:pPr>
      <w:bookmarkStart w:id="28" w:name="_ENREF_4"/>
      <w:r w:rsidRPr="006A749C">
        <w:rPr>
          <w:noProof/>
        </w:rPr>
        <w:t xml:space="preserve">Bamber, L. S., O. E. Barron, and D. E. Stevens. 2011. Trading Volume Around Earnings Announcements and Other Financial Reports: Theory, Research Design, Empirical Evidence, and Directions for Future Research. </w:t>
      </w:r>
      <w:r w:rsidRPr="006A749C">
        <w:rPr>
          <w:i/>
          <w:noProof/>
        </w:rPr>
        <w:t>Contemporary Accounting Research</w:t>
      </w:r>
      <w:r w:rsidRPr="006A749C">
        <w:rPr>
          <w:noProof/>
        </w:rPr>
        <w:t xml:space="preserve"> 28 (2):431-471.</w:t>
      </w:r>
      <w:bookmarkEnd w:id="28"/>
    </w:p>
    <w:p w14:paraId="70B90C90" w14:textId="77777777" w:rsidR="006A749C" w:rsidRPr="006A749C" w:rsidRDefault="006A749C" w:rsidP="006A749C">
      <w:pPr>
        <w:pStyle w:val="EndNoteBibliography"/>
        <w:spacing w:after="240"/>
        <w:ind w:left="720" w:hanging="720"/>
        <w:rPr>
          <w:noProof/>
        </w:rPr>
      </w:pPr>
      <w:bookmarkStart w:id="29" w:name="_ENREF_5"/>
      <w:r w:rsidRPr="006A749C">
        <w:rPr>
          <w:noProof/>
        </w:rPr>
        <w:t xml:space="preserve">Beasley, M. S., J. V. Carcello, D. R. Hermanson, and T. L. Neal. 2009. The Audit Committee Oversight Process. </w:t>
      </w:r>
      <w:r w:rsidRPr="006A749C">
        <w:rPr>
          <w:i/>
          <w:noProof/>
        </w:rPr>
        <w:t>Contemporary Accounting Research</w:t>
      </w:r>
      <w:r w:rsidRPr="006A749C">
        <w:rPr>
          <w:noProof/>
        </w:rPr>
        <w:t xml:space="preserve"> 26 (1):65-122.</w:t>
      </w:r>
      <w:bookmarkEnd w:id="29"/>
    </w:p>
    <w:p w14:paraId="2F42EDEB" w14:textId="77777777" w:rsidR="006A749C" w:rsidRPr="006A749C" w:rsidRDefault="006A749C" w:rsidP="006A749C">
      <w:pPr>
        <w:pStyle w:val="EndNoteBibliography"/>
        <w:spacing w:after="240"/>
        <w:ind w:left="720" w:hanging="720"/>
        <w:rPr>
          <w:noProof/>
        </w:rPr>
      </w:pPr>
      <w:bookmarkStart w:id="30" w:name="_ENREF_6"/>
      <w:r w:rsidRPr="006A749C">
        <w:rPr>
          <w:noProof/>
        </w:rPr>
        <w:t xml:space="preserve">Beneish, M. D., M. B. Billings, and L. D. Hodder. 2008. Internal Control Weaknesses and Information Uncertainty. </w:t>
      </w:r>
      <w:r w:rsidRPr="006A749C">
        <w:rPr>
          <w:i/>
          <w:noProof/>
        </w:rPr>
        <w:t>The Accounting Review</w:t>
      </w:r>
      <w:r w:rsidRPr="006A749C">
        <w:rPr>
          <w:noProof/>
        </w:rPr>
        <w:t xml:space="preserve"> 83 (3):665-703.</w:t>
      </w:r>
      <w:bookmarkEnd w:id="30"/>
    </w:p>
    <w:p w14:paraId="0003BDE4" w14:textId="77777777" w:rsidR="006A749C" w:rsidRPr="006A749C" w:rsidRDefault="006A749C" w:rsidP="006A749C">
      <w:pPr>
        <w:pStyle w:val="EndNoteBibliography"/>
        <w:spacing w:after="240"/>
        <w:ind w:left="720" w:hanging="720"/>
        <w:rPr>
          <w:noProof/>
        </w:rPr>
      </w:pPr>
      <w:bookmarkStart w:id="31" w:name="_ENREF_7"/>
      <w:r w:rsidRPr="006A749C">
        <w:rPr>
          <w:noProof/>
        </w:rPr>
        <w:t>Beresford, D. R. 2013. Comment Letter on PCAOB Rule Making Docket Matter No. 34: Proposed Auditing Standards on the Auditor's Report and the Auditor's Responsibilities Regarding Other Information and Related Amendments.</w:t>
      </w:r>
      <w:bookmarkEnd w:id="31"/>
    </w:p>
    <w:p w14:paraId="1BB9FAE9" w14:textId="77777777" w:rsidR="006A749C" w:rsidRPr="006A749C" w:rsidRDefault="006A749C" w:rsidP="006A749C">
      <w:pPr>
        <w:pStyle w:val="EndNoteBibliography"/>
        <w:spacing w:after="240"/>
        <w:ind w:left="720" w:hanging="720"/>
        <w:rPr>
          <w:noProof/>
        </w:rPr>
      </w:pPr>
      <w:bookmarkStart w:id="32" w:name="_ENREF_8"/>
      <w:r w:rsidRPr="006A749C">
        <w:rPr>
          <w:noProof/>
        </w:rPr>
        <w:t xml:space="preserve">Blake, K., J. V. Carcello, N. J. Harrison, M. J. Head, B. E. Roper, A. Simpson, T. Sondhi, R. M. Tarola, L. E. Turner, M. Williams, and A. Yerger. 2011. Response of a Subgroup of the PCAOB's Investor Advisory Group to the PCAOB's Concept Release Concerning Reports on Audited Financial Statements and Related Amendments to PCAOB Standards. </w:t>
      </w:r>
      <w:r w:rsidRPr="006A749C">
        <w:rPr>
          <w:i/>
          <w:noProof/>
        </w:rPr>
        <w:t>Current Issues in Auditing</w:t>
      </w:r>
      <w:r w:rsidRPr="006A749C">
        <w:rPr>
          <w:noProof/>
        </w:rPr>
        <w:t xml:space="preserve"> 5 (2):C21-C50.</w:t>
      </w:r>
      <w:bookmarkEnd w:id="32"/>
    </w:p>
    <w:p w14:paraId="671E645D" w14:textId="77777777" w:rsidR="006A749C" w:rsidRPr="006A749C" w:rsidRDefault="006A749C" w:rsidP="006A749C">
      <w:pPr>
        <w:pStyle w:val="EndNoteBibliography"/>
        <w:spacing w:after="240"/>
        <w:ind w:left="720" w:hanging="720"/>
        <w:rPr>
          <w:noProof/>
        </w:rPr>
      </w:pPr>
      <w:bookmarkStart w:id="33" w:name="_ENREF_9"/>
      <w:r w:rsidRPr="006A749C">
        <w:rPr>
          <w:noProof/>
        </w:rPr>
        <w:t xml:space="preserve">Blankespoor, E., G. S. Miller, and H. D. White. 2014. The Role of Dissemination in Market Liquidity: Evidence from Firms' Use of Twitter™. </w:t>
      </w:r>
      <w:r w:rsidRPr="006A749C">
        <w:rPr>
          <w:i/>
          <w:noProof/>
        </w:rPr>
        <w:t>Accounting Review</w:t>
      </w:r>
      <w:r w:rsidRPr="006A749C">
        <w:rPr>
          <w:noProof/>
        </w:rPr>
        <w:t xml:space="preserve"> 89 (1):79-112.</w:t>
      </w:r>
      <w:bookmarkEnd w:id="33"/>
    </w:p>
    <w:p w14:paraId="727CFCBD" w14:textId="77777777" w:rsidR="006A749C" w:rsidRPr="006A749C" w:rsidRDefault="006A749C" w:rsidP="006A749C">
      <w:pPr>
        <w:pStyle w:val="EndNoteBibliography"/>
        <w:spacing w:after="240"/>
        <w:ind w:left="720" w:hanging="720"/>
        <w:rPr>
          <w:noProof/>
        </w:rPr>
      </w:pPr>
      <w:bookmarkStart w:id="34" w:name="_ENREF_10"/>
      <w:r w:rsidRPr="006A749C">
        <w:rPr>
          <w:noProof/>
        </w:rPr>
        <w:t xml:space="preserve">Botosan, C. A. 1997. Disclosure level and the cost of equity capital. </w:t>
      </w:r>
      <w:r w:rsidRPr="006A749C">
        <w:rPr>
          <w:i/>
          <w:noProof/>
        </w:rPr>
        <w:t>Accounting Review</w:t>
      </w:r>
      <w:r w:rsidRPr="006A749C">
        <w:rPr>
          <w:noProof/>
        </w:rPr>
        <w:t xml:space="preserve"> 72 (3):323.</w:t>
      </w:r>
      <w:bookmarkEnd w:id="34"/>
    </w:p>
    <w:p w14:paraId="1DC438D4" w14:textId="77777777" w:rsidR="006A749C" w:rsidRPr="006A749C" w:rsidRDefault="006A749C" w:rsidP="006A749C">
      <w:pPr>
        <w:pStyle w:val="EndNoteBibliography"/>
        <w:spacing w:after="240"/>
        <w:ind w:left="720" w:hanging="720"/>
        <w:rPr>
          <w:noProof/>
        </w:rPr>
      </w:pPr>
      <w:bookmarkStart w:id="35" w:name="_ENREF_11"/>
      <w:r w:rsidRPr="006A749C">
        <w:rPr>
          <w:noProof/>
        </w:rPr>
        <w:t>Buller, S. E. 2013. BlackRock Comment Letter on PCAOB Rule Making Docket Matter No. 34: Proposed Auditing Standards on the Auditor's Report and the Auditor's Responsibilities Regarding Other Information and Related Amendments.</w:t>
      </w:r>
      <w:bookmarkEnd w:id="35"/>
    </w:p>
    <w:p w14:paraId="19DC769A" w14:textId="77777777" w:rsidR="006A749C" w:rsidRPr="006A749C" w:rsidRDefault="006A749C" w:rsidP="006A749C">
      <w:pPr>
        <w:pStyle w:val="EndNoteBibliography"/>
        <w:spacing w:after="240"/>
        <w:ind w:left="720" w:hanging="720"/>
        <w:rPr>
          <w:noProof/>
        </w:rPr>
      </w:pPr>
      <w:bookmarkStart w:id="36" w:name="_ENREF_12"/>
      <w:r w:rsidRPr="006A749C">
        <w:rPr>
          <w:noProof/>
        </w:rPr>
        <w:t xml:space="preserve">Bushee, B. J., J. E. Core, W. Guay, and S. J. W. Hamm. 2010. The Role of the Business Press as an Information Intermediary. </w:t>
      </w:r>
      <w:r w:rsidRPr="006A749C">
        <w:rPr>
          <w:i/>
          <w:noProof/>
        </w:rPr>
        <w:t>Journal of Accounting Research</w:t>
      </w:r>
      <w:r w:rsidRPr="006A749C">
        <w:rPr>
          <w:noProof/>
        </w:rPr>
        <w:t xml:space="preserve"> 48 (1):1-19.</w:t>
      </w:r>
      <w:bookmarkEnd w:id="36"/>
    </w:p>
    <w:p w14:paraId="60F41C61" w14:textId="77777777" w:rsidR="006A749C" w:rsidRPr="006A749C" w:rsidRDefault="006A749C" w:rsidP="006A749C">
      <w:pPr>
        <w:pStyle w:val="EndNoteBibliography"/>
        <w:spacing w:after="240"/>
        <w:ind w:left="720" w:hanging="720"/>
        <w:rPr>
          <w:noProof/>
        </w:rPr>
      </w:pPr>
      <w:bookmarkStart w:id="37" w:name="_ENREF_13"/>
      <w:r w:rsidRPr="006A749C">
        <w:rPr>
          <w:noProof/>
        </w:rPr>
        <w:t xml:space="preserve">Campbell, J., H. Chen, D. Dhaliwal, H.-m. Lu, and L. Steele. 2014. The information content of mandatory risk factor disclosures in corporate filings. </w:t>
      </w:r>
      <w:r w:rsidRPr="006A749C">
        <w:rPr>
          <w:i/>
          <w:noProof/>
        </w:rPr>
        <w:t>Review of Accounting Studies</w:t>
      </w:r>
      <w:r w:rsidRPr="006A749C">
        <w:rPr>
          <w:noProof/>
        </w:rPr>
        <w:t xml:space="preserve"> 19 (1):396-455.</w:t>
      </w:r>
      <w:bookmarkEnd w:id="37"/>
    </w:p>
    <w:p w14:paraId="6423AAFB" w14:textId="0D945353" w:rsidR="006A749C" w:rsidRPr="006A749C" w:rsidRDefault="006A749C" w:rsidP="006A749C">
      <w:pPr>
        <w:pStyle w:val="EndNoteBibliography"/>
        <w:spacing w:after="240"/>
        <w:ind w:left="720" w:hanging="720"/>
        <w:rPr>
          <w:noProof/>
        </w:rPr>
      </w:pPr>
      <w:bookmarkStart w:id="38" w:name="_ENREF_14"/>
      <w:r w:rsidRPr="006A749C">
        <w:rPr>
          <w:noProof/>
        </w:rPr>
        <w:t xml:space="preserve">CAQ. 2013. Enhancing the Audit Committee Report: A Call to Action. Available from </w:t>
      </w:r>
      <w:hyperlink r:id="rId13" w:history="1">
        <w:r w:rsidRPr="006A749C">
          <w:rPr>
            <w:rStyle w:val="Hyperlink"/>
            <w:noProof/>
          </w:rPr>
          <w:t>http://www.auditcommitteecollaboration.org/EnhancingtheAuditCommitteeReport-ACalltoAction.pdf</w:t>
        </w:r>
      </w:hyperlink>
      <w:r w:rsidRPr="006A749C">
        <w:rPr>
          <w:noProof/>
        </w:rPr>
        <w:t>.</w:t>
      </w:r>
      <w:bookmarkEnd w:id="38"/>
    </w:p>
    <w:p w14:paraId="2DAA5C7F" w14:textId="77777777" w:rsidR="006A749C" w:rsidRPr="006A749C" w:rsidRDefault="006A749C" w:rsidP="006A749C">
      <w:pPr>
        <w:pStyle w:val="EndNoteBibliography"/>
        <w:spacing w:after="240"/>
        <w:ind w:left="720" w:hanging="720"/>
        <w:rPr>
          <w:noProof/>
        </w:rPr>
      </w:pPr>
      <w:bookmarkStart w:id="39" w:name="_ENREF_15"/>
      <w:r w:rsidRPr="006A749C">
        <w:rPr>
          <w:noProof/>
        </w:rPr>
        <w:t>Carcello, J. V., N. J. Harrison, G. Sauter, and A. Yerger. 2011a. Improving the Auditor's Report. Presented at the PCAOB Investor Advisory Group Meeting on March 16, 2011.</w:t>
      </w:r>
      <w:bookmarkEnd w:id="39"/>
    </w:p>
    <w:p w14:paraId="728587E6" w14:textId="77777777" w:rsidR="006A749C" w:rsidRPr="006A749C" w:rsidRDefault="006A749C" w:rsidP="006A749C">
      <w:pPr>
        <w:pStyle w:val="EndNoteBibliography"/>
        <w:spacing w:after="240"/>
        <w:ind w:left="720" w:hanging="720"/>
        <w:rPr>
          <w:noProof/>
        </w:rPr>
      </w:pPr>
      <w:bookmarkStart w:id="40" w:name="_ENREF_16"/>
      <w:r w:rsidRPr="006A749C">
        <w:rPr>
          <w:noProof/>
        </w:rPr>
        <w:t xml:space="preserve">Carcello, J. V., D. R. Hermanson, and T. L. Neal. 2002. Disclosures in Audit Committee Charters and Reports. </w:t>
      </w:r>
      <w:r w:rsidRPr="006A749C">
        <w:rPr>
          <w:i/>
          <w:noProof/>
        </w:rPr>
        <w:t>Accounting Horizons</w:t>
      </w:r>
      <w:r w:rsidRPr="006A749C">
        <w:rPr>
          <w:noProof/>
        </w:rPr>
        <w:t xml:space="preserve"> 16 (4):291-304.</w:t>
      </w:r>
      <w:bookmarkEnd w:id="40"/>
    </w:p>
    <w:p w14:paraId="6D7DFAF7" w14:textId="77777777" w:rsidR="006A749C" w:rsidRPr="006A749C" w:rsidRDefault="006A749C" w:rsidP="006A749C">
      <w:pPr>
        <w:pStyle w:val="EndNoteBibliography"/>
        <w:spacing w:after="240"/>
        <w:ind w:left="720" w:hanging="720"/>
        <w:rPr>
          <w:noProof/>
        </w:rPr>
      </w:pPr>
      <w:bookmarkStart w:id="41" w:name="_ENREF_17"/>
      <w:r w:rsidRPr="006A749C">
        <w:rPr>
          <w:noProof/>
        </w:rPr>
        <w:t xml:space="preserve">Carcello, J. V., D. R. Hermanson, and Y. Zhongxia. 2011b. Corporate Governance Research in Accounting and Auditing: Insights, Practice Implications, and Future Research Directions. </w:t>
      </w:r>
      <w:r w:rsidRPr="006A749C">
        <w:rPr>
          <w:i/>
          <w:noProof/>
        </w:rPr>
        <w:t>AUDITING: A Journal of Practice &amp; Theory</w:t>
      </w:r>
      <w:r w:rsidRPr="006A749C">
        <w:rPr>
          <w:noProof/>
        </w:rPr>
        <w:t xml:space="preserve"> 30 (3):1-31.</w:t>
      </w:r>
      <w:bookmarkEnd w:id="41"/>
    </w:p>
    <w:p w14:paraId="1CE814E7" w14:textId="77777777" w:rsidR="006A749C" w:rsidRPr="006A749C" w:rsidRDefault="006A749C" w:rsidP="006A749C">
      <w:pPr>
        <w:pStyle w:val="EndNoteBibliography"/>
        <w:spacing w:after="240"/>
        <w:ind w:left="720" w:hanging="720"/>
        <w:rPr>
          <w:noProof/>
        </w:rPr>
      </w:pPr>
      <w:bookmarkStart w:id="42" w:name="_ENREF_18"/>
      <w:r w:rsidRPr="006A749C">
        <w:rPr>
          <w:noProof/>
        </w:rPr>
        <w:t xml:space="preserve">Carcello, J. V., and C. Li. 2013. Costs and Benefits of Requiring an Engagement Partner Signature: Recent Experience in the United Kingdom. </w:t>
      </w:r>
      <w:r w:rsidRPr="006A749C">
        <w:rPr>
          <w:i/>
          <w:noProof/>
        </w:rPr>
        <w:t>The Accounting Review</w:t>
      </w:r>
      <w:r w:rsidRPr="006A749C">
        <w:rPr>
          <w:noProof/>
        </w:rPr>
        <w:t xml:space="preserve"> 88 (5):1511-1546.</w:t>
      </w:r>
      <w:bookmarkEnd w:id="42"/>
    </w:p>
    <w:p w14:paraId="22D5BBA5" w14:textId="77777777" w:rsidR="006A749C" w:rsidRPr="006A749C" w:rsidRDefault="006A749C" w:rsidP="006A749C">
      <w:pPr>
        <w:pStyle w:val="EndNoteBibliography"/>
        <w:spacing w:after="240"/>
        <w:ind w:left="720" w:hanging="720"/>
        <w:rPr>
          <w:noProof/>
        </w:rPr>
      </w:pPr>
      <w:bookmarkStart w:id="43" w:name="_ENREF_19"/>
      <w:r w:rsidRPr="006A749C">
        <w:rPr>
          <w:noProof/>
        </w:rPr>
        <w:t>Cardiff, M. 2013. Grant Thornton UK Comment Letter on FRC Revision to ISA (UK and Ireland) 700: Requiring the auditor's report to address risks of material misstatement, materiality and a summary of audit scope.</w:t>
      </w:r>
      <w:bookmarkEnd w:id="43"/>
    </w:p>
    <w:p w14:paraId="50CDC83A" w14:textId="77777777" w:rsidR="006A749C" w:rsidRPr="006A749C" w:rsidRDefault="006A749C" w:rsidP="006A749C">
      <w:pPr>
        <w:pStyle w:val="EndNoteBibliography"/>
        <w:spacing w:after="240"/>
        <w:ind w:left="720" w:hanging="720"/>
        <w:rPr>
          <w:noProof/>
        </w:rPr>
      </w:pPr>
      <w:bookmarkStart w:id="44" w:name="_ENREF_20"/>
      <w:r w:rsidRPr="006A749C">
        <w:rPr>
          <w:noProof/>
        </w:rPr>
        <w:t xml:space="preserve">Carmichael, D. R., and A. J. Winters. 1982. The Evolution of Audit Reporting. </w:t>
      </w:r>
      <w:r w:rsidRPr="006A749C">
        <w:rPr>
          <w:i/>
          <w:noProof/>
        </w:rPr>
        <w:t>Auditing Symposium VI: Proceedings of the 1982 Touche Ross/University of Kansas Symposium on Auditing Problems</w:t>
      </w:r>
      <w:r w:rsidRPr="006A749C">
        <w:rPr>
          <w:noProof/>
        </w:rPr>
        <w:t>.</w:t>
      </w:r>
      <w:bookmarkEnd w:id="44"/>
    </w:p>
    <w:p w14:paraId="3B627EB0" w14:textId="77777777" w:rsidR="006A749C" w:rsidRPr="006A749C" w:rsidRDefault="006A749C" w:rsidP="006A749C">
      <w:pPr>
        <w:pStyle w:val="EndNoteBibliography"/>
        <w:spacing w:after="240"/>
        <w:ind w:left="720" w:hanging="720"/>
        <w:rPr>
          <w:noProof/>
        </w:rPr>
      </w:pPr>
      <w:bookmarkStart w:id="45" w:name="_ENREF_21"/>
      <w:r w:rsidRPr="006A749C">
        <w:rPr>
          <w:noProof/>
        </w:rPr>
        <w:t>Cates, T. 2013. KPMG UK Comment Letter on FRC Revision to ISA (UK and Ireland) 700: Requiring the auditor's report to address risks of material misstatement, materiality and a summary of audit scope.</w:t>
      </w:r>
      <w:bookmarkEnd w:id="45"/>
    </w:p>
    <w:p w14:paraId="779A0CE7" w14:textId="77777777" w:rsidR="006A749C" w:rsidRPr="006A749C" w:rsidRDefault="006A749C" w:rsidP="006A749C">
      <w:pPr>
        <w:pStyle w:val="EndNoteBibliography"/>
        <w:spacing w:after="240"/>
        <w:ind w:left="720" w:hanging="720"/>
        <w:rPr>
          <w:noProof/>
        </w:rPr>
      </w:pPr>
      <w:bookmarkStart w:id="46" w:name="_ENREF_22"/>
      <w:r w:rsidRPr="006A749C">
        <w:rPr>
          <w:noProof/>
        </w:rPr>
        <w:t>CFA. 2011. Usefulness of the Independent Auditor's Report: Survey to the CFA Institute Financial Reporting Survey Pool.</w:t>
      </w:r>
      <w:bookmarkEnd w:id="46"/>
    </w:p>
    <w:p w14:paraId="3B009341" w14:textId="77777777" w:rsidR="006A749C" w:rsidRPr="006A749C" w:rsidRDefault="006A749C" w:rsidP="006A749C">
      <w:pPr>
        <w:pStyle w:val="EndNoteBibliography"/>
        <w:spacing w:after="240"/>
        <w:ind w:left="720" w:hanging="720"/>
        <w:rPr>
          <w:noProof/>
        </w:rPr>
      </w:pPr>
      <w:bookmarkStart w:id="47" w:name="_ENREF_23"/>
      <w:r w:rsidRPr="006A749C">
        <w:rPr>
          <w:noProof/>
        </w:rPr>
        <w:t xml:space="preserve">Christensen, B. E., S. M. Glover, and C. J. Wolfe. 2014. Do Critical Audit Matter Paragraphs in the Audit Report Change Nonprofessional Investors’ Decision to Invest? . </w:t>
      </w:r>
      <w:r w:rsidRPr="006A749C">
        <w:rPr>
          <w:i/>
          <w:noProof/>
        </w:rPr>
        <w:t>Forthcoming at Auditing: A Journal of Practice and Theory</w:t>
      </w:r>
      <w:r w:rsidRPr="006A749C">
        <w:rPr>
          <w:noProof/>
        </w:rPr>
        <w:t>.</w:t>
      </w:r>
      <w:bookmarkEnd w:id="47"/>
    </w:p>
    <w:p w14:paraId="3B0D8A6C" w14:textId="77777777" w:rsidR="006A749C" w:rsidRPr="006A749C" w:rsidRDefault="006A749C" w:rsidP="006A749C">
      <w:pPr>
        <w:pStyle w:val="EndNoteBibliography"/>
        <w:spacing w:after="240"/>
        <w:ind w:left="720" w:hanging="720"/>
        <w:rPr>
          <w:noProof/>
        </w:rPr>
      </w:pPr>
      <w:bookmarkStart w:id="48" w:name="_ENREF_24"/>
      <w:r w:rsidRPr="006A749C">
        <w:rPr>
          <w:noProof/>
        </w:rPr>
        <w:t xml:space="preserve">Church, B. K., S. M. Davis, and S. A. McCracken. 2008. The Auditor's Reporting Model: A Literature Overview and Research Synthesis. </w:t>
      </w:r>
      <w:r w:rsidRPr="006A749C">
        <w:rPr>
          <w:i/>
          <w:noProof/>
        </w:rPr>
        <w:t>Accounting Horizons</w:t>
      </w:r>
      <w:r w:rsidRPr="006A749C">
        <w:rPr>
          <w:noProof/>
        </w:rPr>
        <w:t xml:space="preserve"> 22 (1):69-90.</w:t>
      </w:r>
      <w:bookmarkEnd w:id="48"/>
    </w:p>
    <w:p w14:paraId="6775D44F" w14:textId="77777777" w:rsidR="006A749C" w:rsidRPr="006A749C" w:rsidRDefault="006A749C" w:rsidP="006A749C">
      <w:pPr>
        <w:pStyle w:val="EndNoteBibliography"/>
        <w:spacing w:after="240"/>
        <w:ind w:left="720" w:hanging="720"/>
        <w:rPr>
          <w:noProof/>
        </w:rPr>
      </w:pPr>
      <w:bookmarkStart w:id="49" w:name="_ENREF_25"/>
      <w:r w:rsidRPr="006A749C">
        <w:rPr>
          <w:noProof/>
        </w:rPr>
        <w:t>CII. 2013. Policies on Corporate Governance. Section 2.13a: Audit Committee Responsibilities Regarding Independent Auditors.</w:t>
      </w:r>
      <w:bookmarkEnd w:id="49"/>
    </w:p>
    <w:p w14:paraId="066873F5" w14:textId="77777777" w:rsidR="006A749C" w:rsidRPr="006A749C" w:rsidRDefault="006A749C" w:rsidP="006A749C">
      <w:pPr>
        <w:pStyle w:val="EndNoteBibliography"/>
        <w:spacing w:after="240"/>
        <w:ind w:left="720" w:hanging="720"/>
        <w:rPr>
          <w:noProof/>
        </w:rPr>
      </w:pPr>
      <w:bookmarkStart w:id="50" w:name="_ENREF_26"/>
      <w:r w:rsidRPr="006A749C">
        <w:rPr>
          <w:noProof/>
        </w:rPr>
        <w:t>CNCC. 2011. Footprint Consultant Study on the perception of the statutory auditor's justification of assessments.</w:t>
      </w:r>
      <w:bookmarkEnd w:id="50"/>
    </w:p>
    <w:p w14:paraId="7100800A" w14:textId="2A17B93C" w:rsidR="006A749C" w:rsidRPr="006A749C" w:rsidRDefault="006A749C" w:rsidP="006A749C">
      <w:pPr>
        <w:pStyle w:val="EndNoteBibliography"/>
        <w:spacing w:after="240"/>
        <w:ind w:left="720" w:hanging="720"/>
        <w:rPr>
          <w:noProof/>
        </w:rPr>
      </w:pPr>
      <w:bookmarkStart w:id="51" w:name="_ENREF_27"/>
      <w:r w:rsidRPr="006A749C">
        <w:rPr>
          <w:noProof/>
        </w:rPr>
        <w:t xml:space="preserve">Cohn, M. 2014. European Parliament Moves Ahead on Audit Firm Reforms. Available at </w:t>
      </w:r>
      <w:hyperlink r:id="rId14" w:history="1">
        <w:r w:rsidRPr="006A749C">
          <w:rPr>
            <w:rStyle w:val="Hyperlink"/>
            <w:noProof/>
          </w:rPr>
          <w:t>http://www.accountingtoday.com/news/european-parliament-moves-ahead-on-audit-firm-reforms-70226-1.html</w:t>
        </w:r>
      </w:hyperlink>
      <w:r w:rsidRPr="006A749C">
        <w:rPr>
          <w:noProof/>
        </w:rPr>
        <w:t>.</w:t>
      </w:r>
      <w:bookmarkEnd w:id="51"/>
    </w:p>
    <w:p w14:paraId="29FF56CE" w14:textId="77777777" w:rsidR="006A749C" w:rsidRPr="006A749C" w:rsidRDefault="006A749C" w:rsidP="006A749C">
      <w:pPr>
        <w:pStyle w:val="EndNoteBibliography"/>
        <w:spacing w:after="240"/>
        <w:ind w:left="720" w:hanging="720"/>
        <w:rPr>
          <w:noProof/>
        </w:rPr>
      </w:pPr>
      <w:bookmarkStart w:id="52" w:name="_ENREF_28"/>
      <w:r w:rsidRPr="006A749C">
        <w:rPr>
          <w:noProof/>
        </w:rPr>
        <w:t>Collins, S., and T. Cates. 2014. KPMG UK Sharing audit insights: Our approach to reporting our findings.</w:t>
      </w:r>
      <w:bookmarkEnd w:id="52"/>
    </w:p>
    <w:p w14:paraId="5C0F1A2D" w14:textId="77777777" w:rsidR="006A749C" w:rsidRPr="006A749C" w:rsidRDefault="006A749C" w:rsidP="006A749C">
      <w:pPr>
        <w:pStyle w:val="EndNoteBibliography"/>
        <w:spacing w:after="240"/>
        <w:ind w:left="720" w:hanging="720"/>
        <w:rPr>
          <w:noProof/>
        </w:rPr>
      </w:pPr>
      <w:bookmarkStart w:id="53" w:name="_ENREF_29"/>
      <w:r w:rsidRPr="006A749C">
        <w:rPr>
          <w:noProof/>
        </w:rPr>
        <w:t xml:space="preserve">Copnell, T. 2013. Strategic report - An opportunity (not to be) missed? </w:t>
      </w:r>
      <w:r w:rsidRPr="006A749C">
        <w:rPr>
          <w:i/>
          <w:noProof/>
        </w:rPr>
        <w:t>KPMG UK Research</w:t>
      </w:r>
      <w:r w:rsidRPr="006A749C">
        <w:rPr>
          <w:noProof/>
        </w:rPr>
        <w:t xml:space="preserve"> October 23, 2013.</w:t>
      </w:r>
      <w:bookmarkEnd w:id="53"/>
    </w:p>
    <w:p w14:paraId="5236BFF3" w14:textId="77777777" w:rsidR="006A749C" w:rsidRPr="006A749C" w:rsidRDefault="006A749C" w:rsidP="006A749C">
      <w:pPr>
        <w:pStyle w:val="EndNoteBibliography"/>
        <w:spacing w:after="240"/>
        <w:ind w:left="720" w:hanging="720"/>
        <w:rPr>
          <w:noProof/>
        </w:rPr>
      </w:pPr>
      <w:bookmarkStart w:id="54" w:name="_ENREF_30"/>
      <w:r w:rsidRPr="006A749C">
        <w:rPr>
          <w:noProof/>
        </w:rPr>
        <w:t xml:space="preserve">De Franco, G., M. H. F. Wong, and Z. Yibin. 2011. Accounting Adjustments and the Valuation of Financial Statement Note Information in 10-K Filings. </w:t>
      </w:r>
      <w:r w:rsidRPr="006A749C">
        <w:rPr>
          <w:i/>
          <w:noProof/>
        </w:rPr>
        <w:t>The Accounting Review</w:t>
      </w:r>
      <w:r w:rsidRPr="006A749C">
        <w:rPr>
          <w:noProof/>
        </w:rPr>
        <w:t xml:space="preserve"> 86 (5):1577-1604.</w:t>
      </w:r>
      <w:bookmarkEnd w:id="54"/>
    </w:p>
    <w:p w14:paraId="48F92E6F" w14:textId="77777777" w:rsidR="006A749C" w:rsidRPr="006A749C" w:rsidRDefault="006A749C" w:rsidP="006A749C">
      <w:pPr>
        <w:pStyle w:val="EndNoteBibliography"/>
        <w:spacing w:after="240"/>
        <w:ind w:left="720" w:hanging="720"/>
        <w:rPr>
          <w:noProof/>
        </w:rPr>
      </w:pPr>
      <w:bookmarkStart w:id="55" w:name="_ENREF_31"/>
      <w:r w:rsidRPr="006A749C">
        <w:rPr>
          <w:noProof/>
        </w:rPr>
        <w:t xml:space="preserve">DeFond, M., M. Hung, and R. Trezevant. 2007. Investor protection and the information content of annual earnings announcements: International evidence. </w:t>
      </w:r>
      <w:r w:rsidRPr="006A749C">
        <w:rPr>
          <w:i/>
          <w:noProof/>
        </w:rPr>
        <w:t>Journal of Accounting and Economics</w:t>
      </w:r>
      <w:r w:rsidRPr="006A749C">
        <w:rPr>
          <w:noProof/>
        </w:rPr>
        <w:t xml:space="preserve"> 43 (1):37-67.</w:t>
      </w:r>
      <w:bookmarkEnd w:id="55"/>
    </w:p>
    <w:p w14:paraId="34ED6BF8" w14:textId="10E59503" w:rsidR="006A749C" w:rsidRPr="006A749C" w:rsidRDefault="006A749C" w:rsidP="006A749C">
      <w:pPr>
        <w:pStyle w:val="EndNoteBibliography"/>
        <w:spacing w:after="240"/>
        <w:ind w:left="720" w:hanging="720"/>
        <w:rPr>
          <w:noProof/>
        </w:rPr>
      </w:pPr>
      <w:bookmarkStart w:id="56" w:name="_ENREF_32"/>
      <w:r w:rsidRPr="006A749C">
        <w:rPr>
          <w:noProof/>
        </w:rPr>
        <w:t xml:space="preserve">Deloitte. 2013. A new beginning: Annual report insights 2013. Available at </w:t>
      </w:r>
      <w:hyperlink r:id="rId15" w:history="1">
        <w:r w:rsidRPr="006A749C">
          <w:rPr>
            <w:rStyle w:val="Hyperlink"/>
            <w:noProof/>
          </w:rPr>
          <w:t>http://www.deloitte.com/assets/Dcom-UnitedKingdom/Local Assets/Documents/Services/Audit/uk-audit-a-new-beginning-printer-friendly-13.pdf</w:t>
        </w:r>
      </w:hyperlink>
      <w:r w:rsidRPr="006A749C">
        <w:rPr>
          <w:noProof/>
        </w:rPr>
        <w:t>.</w:t>
      </w:r>
      <w:bookmarkEnd w:id="56"/>
    </w:p>
    <w:p w14:paraId="46F4E308" w14:textId="77777777" w:rsidR="006A749C" w:rsidRPr="006A749C" w:rsidRDefault="006A749C" w:rsidP="006A749C">
      <w:pPr>
        <w:pStyle w:val="EndNoteBibliography"/>
        <w:spacing w:after="240"/>
        <w:ind w:left="720" w:hanging="720"/>
        <w:rPr>
          <w:noProof/>
        </w:rPr>
      </w:pPr>
      <w:bookmarkStart w:id="57" w:name="_ENREF_33"/>
      <w:r w:rsidRPr="006A749C">
        <w:rPr>
          <w:noProof/>
        </w:rPr>
        <w:t xml:space="preserve">Doyle, J. T., and M. J. Magilke. 2013. Decision Usefulness and Accelerated Filing Deadlines. </w:t>
      </w:r>
      <w:r w:rsidRPr="006A749C">
        <w:rPr>
          <w:i/>
          <w:noProof/>
        </w:rPr>
        <w:t>Journal of Accounting Research</w:t>
      </w:r>
      <w:r w:rsidRPr="006A749C">
        <w:rPr>
          <w:noProof/>
        </w:rPr>
        <w:t xml:space="preserve"> 51 (3):549-581.</w:t>
      </w:r>
      <w:bookmarkEnd w:id="57"/>
    </w:p>
    <w:p w14:paraId="61CF803E" w14:textId="77777777" w:rsidR="006A749C" w:rsidRPr="006A749C" w:rsidRDefault="006A749C" w:rsidP="006A749C">
      <w:pPr>
        <w:pStyle w:val="EndNoteBibliography"/>
        <w:spacing w:after="240"/>
        <w:ind w:left="720" w:hanging="720"/>
        <w:rPr>
          <w:noProof/>
        </w:rPr>
      </w:pPr>
      <w:bookmarkStart w:id="58" w:name="_ENREF_34"/>
      <w:r w:rsidRPr="006A749C">
        <w:rPr>
          <w:noProof/>
        </w:rPr>
        <w:t>EY. 2013a. Audit committee reporting to shareholders: 2013 proxy season update.</w:t>
      </w:r>
      <w:bookmarkEnd w:id="58"/>
    </w:p>
    <w:p w14:paraId="373A64B4" w14:textId="77777777" w:rsidR="006A749C" w:rsidRPr="006A749C" w:rsidRDefault="006A749C" w:rsidP="006A749C">
      <w:pPr>
        <w:pStyle w:val="EndNoteBibliography"/>
        <w:spacing w:after="240"/>
        <w:ind w:left="720" w:hanging="720"/>
        <w:rPr>
          <w:noProof/>
        </w:rPr>
      </w:pPr>
      <w:bookmarkStart w:id="59" w:name="_ENREF_35"/>
      <w:r w:rsidRPr="006A749C">
        <w:rPr>
          <w:noProof/>
        </w:rPr>
        <w:t>———. 2013b. Audit committee reporting to shareholders: going beyond the minimum. Join the conversation on audit committee transparency. February 2013.</w:t>
      </w:r>
      <w:bookmarkEnd w:id="59"/>
    </w:p>
    <w:p w14:paraId="780A22E7" w14:textId="77777777" w:rsidR="006A749C" w:rsidRPr="006A749C" w:rsidRDefault="006A749C" w:rsidP="006A749C">
      <w:pPr>
        <w:pStyle w:val="EndNoteBibliography"/>
        <w:spacing w:after="240"/>
        <w:ind w:left="720" w:hanging="720"/>
        <w:rPr>
          <w:noProof/>
        </w:rPr>
      </w:pPr>
      <w:bookmarkStart w:id="60" w:name="_ENREF_36"/>
      <w:r w:rsidRPr="006A749C">
        <w:rPr>
          <w:noProof/>
        </w:rPr>
        <w:t>FCA. 2012. LR 9.7A.1 Preliminary statement of annual results.</w:t>
      </w:r>
      <w:bookmarkEnd w:id="60"/>
    </w:p>
    <w:p w14:paraId="2428C2DF" w14:textId="77777777" w:rsidR="006A749C" w:rsidRPr="006A749C" w:rsidRDefault="006A749C" w:rsidP="006A749C">
      <w:pPr>
        <w:pStyle w:val="EndNoteBibliography"/>
        <w:spacing w:after="240"/>
        <w:ind w:left="720" w:hanging="720"/>
        <w:rPr>
          <w:noProof/>
        </w:rPr>
      </w:pPr>
      <w:bookmarkStart w:id="61" w:name="_ENREF_37"/>
      <w:r w:rsidRPr="006A749C">
        <w:rPr>
          <w:noProof/>
        </w:rPr>
        <w:t xml:space="preserve">Fisher, T., and S. Deans. 2014. New UK Auditor's Reports Update. </w:t>
      </w:r>
      <w:r w:rsidRPr="006A749C">
        <w:rPr>
          <w:i/>
          <w:noProof/>
        </w:rPr>
        <w:t>Citigroup Research</w:t>
      </w:r>
      <w:r w:rsidRPr="006A749C">
        <w:rPr>
          <w:noProof/>
        </w:rPr>
        <w:t xml:space="preserve"> September 3, 2014.</w:t>
      </w:r>
      <w:bookmarkEnd w:id="61"/>
    </w:p>
    <w:p w14:paraId="750441F4" w14:textId="77777777" w:rsidR="006A749C" w:rsidRPr="006A749C" w:rsidRDefault="006A749C" w:rsidP="006A749C">
      <w:pPr>
        <w:pStyle w:val="EndNoteBibliography"/>
        <w:spacing w:after="240"/>
        <w:ind w:left="720" w:hanging="720"/>
        <w:rPr>
          <w:noProof/>
        </w:rPr>
      </w:pPr>
      <w:bookmarkStart w:id="62" w:name="_ENREF_38"/>
      <w:r w:rsidRPr="006A749C">
        <w:rPr>
          <w:noProof/>
        </w:rPr>
        <w:t>FRC. 2012a. International Standard on Auditing (UK and Ireland) 700: The independent auditor's report on financial statements.  Revised October 2012.</w:t>
      </w:r>
      <w:bookmarkEnd w:id="62"/>
    </w:p>
    <w:p w14:paraId="58C62187" w14:textId="77777777" w:rsidR="006A749C" w:rsidRPr="006A749C" w:rsidRDefault="006A749C" w:rsidP="006A749C">
      <w:pPr>
        <w:pStyle w:val="EndNoteBibliography"/>
        <w:spacing w:after="240"/>
        <w:ind w:left="720" w:hanging="720"/>
        <w:rPr>
          <w:noProof/>
        </w:rPr>
      </w:pPr>
      <w:bookmarkStart w:id="63" w:name="_ENREF_39"/>
      <w:r w:rsidRPr="006A749C">
        <w:rPr>
          <w:noProof/>
        </w:rPr>
        <w:t>———. 2012b. The UK Corporate Governance Code.  Revised September 2012.</w:t>
      </w:r>
      <w:bookmarkEnd w:id="63"/>
    </w:p>
    <w:p w14:paraId="53ECCADF" w14:textId="77777777" w:rsidR="006A749C" w:rsidRPr="006A749C" w:rsidRDefault="006A749C" w:rsidP="006A749C">
      <w:pPr>
        <w:pStyle w:val="EndNoteBibliography"/>
        <w:spacing w:after="240"/>
        <w:ind w:left="720" w:hanging="720"/>
        <w:rPr>
          <w:noProof/>
        </w:rPr>
      </w:pPr>
      <w:bookmarkStart w:id="64" w:name="_ENREF_40"/>
      <w:r w:rsidRPr="006A749C">
        <w:rPr>
          <w:noProof/>
        </w:rPr>
        <w:t>———. 2013. International Standard on Auditing (UK and Ireland) 700: The independent auditor's report on financial statements.  Revised June 2013.</w:t>
      </w:r>
      <w:bookmarkEnd w:id="64"/>
    </w:p>
    <w:p w14:paraId="48232835" w14:textId="77777777" w:rsidR="006A749C" w:rsidRPr="006A749C" w:rsidRDefault="006A749C" w:rsidP="006A749C">
      <w:pPr>
        <w:pStyle w:val="EndNoteBibliography"/>
        <w:spacing w:after="240"/>
        <w:ind w:left="720" w:hanging="720"/>
        <w:rPr>
          <w:noProof/>
        </w:rPr>
      </w:pPr>
      <w:bookmarkStart w:id="65" w:name="_ENREF_41"/>
      <w:r w:rsidRPr="006A749C">
        <w:rPr>
          <w:noProof/>
        </w:rPr>
        <w:t xml:space="preserve">Gassen, J., and H. A. Skaife. 2009. Can Audit Reforms Affect the Information Role of Audits? Evidence from the German Market. </w:t>
      </w:r>
      <w:r w:rsidRPr="006A749C">
        <w:rPr>
          <w:i/>
          <w:noProof/>
        </w:rPr>
        <w:t>Contemporary Accounting Research</w:t>
      </w:r>
      <w:r w:rsidRPr="006A749C">
        <w:rPr>
          <w:noProof/>
        </w:rPr>
        <w:t xml:space="preserve"> 26 (3):867-898.</w:t>
      </w:r>
      <w:bookmarkEnd w:id="65"/>
    </w:p>
    <w:p w14:paraId="39FEB391" w14:textId="77777777" w:rsidR="006A749C" w:rsidRPr="006A749C" w:rsidRDefault="006A749C" w:rsidP="006A749C">
      <w:pPr>
        <w:pStyle w:val="EndNoteBibliography"/>
        <w:spacing w:after="240"/>
        <w:ind w:left="720" w:hanging="720"/>
        <w:rPr>
          <w:noProof/>
        </w:rPr>
      </w:pPr>
      <w:bookmarkStart w:id="66" w:name="_ENREF_42"/>
      <w:r w:rsidRPr="006A749C">
        <w:rPr>
          <w:noProof/>
        </w:rPr>
        <w:t>Goff, P. G. 2013. TIAA-CREF Comment Letter on PCAOB Rule Making Docket Matter No. 34: Proposed Auditing Standards on the Auditor's Report and the Auditor's Responsibilities Regarding Other Information and Related Amendments.</w:t>
      </w:r>
      <w:bookmarkEnd w:id="66"/>
    </w:p>
    <w:p w14:paraId="020594BA" w14:textId="77777777" w:rsidR="006A749C" w:rsidRPr="006A749C" w:rsidRDefault="006A749C" w:rsidP="006A749C">
      <w:pPr>
        <w:pStyle w:val="EndNoteBibliography"/>
        <w:spacing w:after="240"/>
        <w:ind w:left="720" w:hanging="720"/>
        <w:rPr>
          <w:noProof/>
        </w:rPr>
      </w:pPr>
      <w:bookmarkStart w:id="67" w:name="_ENREF_43"/>
      <w:r w:rsidRPr="006A749C">
        <w:rPr>
          <w:noProof/>
        </w:rPr>
        <w:t xml:space="preserve">Gray, G. L., J. L. Turner, P. J. Coram, and T. J. Mock. 2011. Perceptions and Misperceptions Regarding the Unqualified Auditor's Report by Financial Statement Preparers, Users, and Auditors. </w:t>
      </w:r>
      <w:r w:rsidRPr="006A749C">
        <w:rPr>
          <w:i/>
          <w:noProof/>
        </w:rPr>
        <w:t>Accounting Horizons</w:t>
      </w:r>
      <w:r w:rsidRPr="006A749C">
        <w:rPr>
          <w:noProof/>
        </w:rPr>
        <w:t xml:space="preserve"> 25 (4):659-684.</w:t>
      </w:r>
      <w:bookmarkEnd w:id="67"/>
    </w:p>
    <w:p w14:paraId="59BFD036" w14:textId="77777777" w:rsidR="006A749C" w:rsidRPr="006A749C" w:rsidRDefault="006A749C" w:rsidP="006A749C">
      <w:pPr>
        <w:pStyle w:val="EndNoteBibliography"/>
        <w:spacing w:after="240"/>
        <w:ind w:left="720" w:hanging="720"/>
        <w:rPr>
          <w:noProof/>
        </w:rPr>
      </w:pPr>
      <w:bookmarkStart w:id="68" w:name="_ENREF_44"/>
      <w:r w:rsidRPr="006A749C">
        <w:rPr>
          <w:noProof/>
        </w:rPr>
        <w:t xml:space="preserve">Hail, L., and C. Leuz. 2006. International Differences in the Cost of Equity Capital: Do Legal Institutions and Securities Regulation Matter? </w:t>
      </w:r>
      <w:r w:rsidRPr="006A749C">
        <w:rPr>
          <w:i/>
          <w:noProof/>
        </w:rPr>
        <w:t>Journal of Accounting Research</w:t>
      </w:r>
      <w:r w:rsidRPr="006A749C">
        <w:rPr>
          <w:noProof/>
        </w:rPr>
        <w:t xml:space="preserve"> 44 (3):485-531.</w:t>
      </w:r>
      <w:bookmarkEnd w:id="68"/>
    </w:p>
    <w:p w14:paraId="5281CD7A" w14:textId="77777777" w:rsidR="006A749C" w:rsidRPr="006A749C" w:rsidRDefault="006A749C" w:rsidP="006A749C">
      <w:pPr>
        <w:pStyle w:val="EndNoteBibliography"/>
        <w:spacing w:after="240"/>
        <w:ind w:left="720" w:hanging="720"/>
        <w:rPr>
          <w:noProof/>
        </w:rPr>
      </w:pPr>
      <w:bookmarkStart w:id="69" w:name="_ENREF_45"/>
      <w:r w:rsidRPr="006A749C">
        <w:rPr>
          <w:noProof/>
        </w:rPr>
        <w:t xml:space="preserve">Heller, M. 2014. Investors Suggest External Auditor Review of Audit Committees. </w:t>
      </w:r>
      <w:r w:rsidRPr="006A749C">
        <w:rPr>
          <w:i/>
          <w:noProof/>
        </w:rPr>
        <w:t>CFO.com.</w:t>
      </w:r>
      <w:r w:rsidRPr="006A749C">
        <w:rPr>
          <w:noProof/>
        </w:rPr>
        <w:t xml:space="preserve"> October 24, 2014.</w:t>
      </w:r>
      <w:bookmarkEnd w:id="69"/>
    </w:p>
    <w:p w14:paraId="4F262AE4" w14:textId="77777777" w:rsidR="006A749C" w:rsidRPr="006A749C" w:rsidRDefault="006A749C" w:rsidP="006A749C">
      <w:pPr>
        <w:pStyle w:val="EndNoteBibliography"/>
        <w:spacing w:after="240"/>
        <w:ind w:left="720" w:hanging="720"/>
        <w:rPr>
          <w:noProof/>
        </w:rPr>
      </w:pPr>
      <w:bookmarkStart w:id="70" w:name="_ENREF_46"/>
      <w:r w:rsidRPr="006A749C">
        <w:rPr>
          <w:noProof/>
        </w:rPr>
        <w:t>IAASB. 2013a. A Framework for Audit Quality: Consultation Paper. January 2013.</w:t>
      </w:r>
      <w:bookmarkEnd w:id="70"/>
    </w:p>
    <w:p w14:paraId="1FD70842" w14:textId="77777777" w:rsidR="006A749C" w:rsidRPr="006A749C" w:rsidRDefault="006A749C" w:rsidP="006A749C">
      <w:pPr>
        <w:pStyle w:val="EndNoteBibliography"/>
        <w:spacing w:after="240"/>
        <w:ind w:left="720" w:hanging="720"/>
        <w:rPr>
          <w:noProof/>
        </w:rPr>
      </w:pPr>
      <w:bookmarkStart w:id="71" w:name="_ENREF_47"/>
      <w:r w:rsidRPr="006A749C">
        <w:rPr>
          <w:noProof/>
        </w:rPr>
        <w:t>———. 2013b. Reporting on Audited Financial Statements: Proposed New and Revised International Standards on Auditing (ISAs).  Revised July 2013.</w:t>
      </w:r>
      <w:bookmarkEnd w:id="71"/>
    </w:p>
    <w:p w14:paraId="3EFDEA76" w14:textId="77777777" w:rsidR="006A749C" w:rsidRPr="006A749C" w:rsidRDefault="006A749C" w:rsidP="006A749C">
      <w:pPr>
        <w:pStyle w:val="EndNoteBibliography"/>
        <w:spacing w:after="240"/>
        <w:ind w:left="720" w:hanging="720"/>
        <w:rPr>
          <w:noProof/>
        </w:rPr>
      </w:pPr>
      <w:bookmarkStart w:id="72" w:name="_ENREF_48"/>
      <w:r w:rsidRPr="006A749C">
        <w:rPr>
          <w:noProof/>
        </w:rPr>
        <w:t xml:space="preserve">IAG. 2014. Report from the Working Group on the Relationship and Role of the Auditor with the Audit Committee. </w:t>
      </w:r>
      <w:r w:rsidRPr="006A749C">
        <w:rPr>
          <w:i/>
          <w:noProof/>
        </w:rPr>
        <w:t>PCAOB Investor Advisory Group Meeting.</w:t>
      </w:r>
      <w:r w:rsidRPr="006A749C">
        <w:rPr>
          <w:noProof/>
        </w:rPr>
        <w:t xml:space="preserve"> October 20, 2014.</w:t>
      </w:r>
      <w:bookmarkEnd w:id="72"/>
    </w:p>
    <w:p w14:paraId="4151AE70" w14:textId="6A903AEC" w:rsidR="006A749C" w:rsidRPr="006A749C" w:rsidRDefault="006A749C" w:rsidP="006A749C">
      <w:pPr>
        <w:pStyle w:val="EndNoteBibliography"/>
        <w:spacing w:after="240"/>
        <w:ind w:left="720" w:hanging="720"/>
        <w:rPr>
          <w:noProof/>
        </w:rPr>
      </w:pPr>
      <w:bookmarkStart w:id="73" w:name="_ENREF_49"/>
      <w:r w:rsidRPr="006A749C">
        <w:rPr>
          <w:noProof/>
        </w:rPr>
        <w:t xml:space="preserve">Kachelmeier, S. J., J. J. Schmidt, and K. Valentine. 2014. The Effect of Disclosing Critical Audit Matters in the Auditor's Report on Perceived Auditor Responsibility for Misstatements. </w:t>
      </w:r>
      <w:hyperlink r:id="rId16" w:history="1">
        <w:r w:rsidRPr="006A749C">
          <w:rPr>
            <w:rStyle w:val="Hyperlink"/>
            <w:noProof/>
          </w:rPr>
          <w:t>http://papers.ssrn.com/sol3/papers.cfm?abstract_id=2481284</w:t>
        </w:r>
      </w:hyperlink>
      <w:r w:rsidRPr="006A749C">
        <w:rPr>
          <w:noProof/>
        </w:rPr>
        <w:t>.</w:t>
      </w:r>
      <w:bookmarkEnd w:id="73"/>
    </w:p>
    <w:p w14:paraId="78F2B305" w14:textId="77777777" w:rsidR="006A749C" w:rsidRPr="006A749C" w:rsidRDefault="006A749C" w:rsidP="006A749C">
      <w:pPr>
        <w:pStyle w:val="EndNoteBibliography"/>
        <w:spacing w:after="240"/>
        <w:ind w:left="720" w:hanging="720"/>
        <w:rPr>
          <w:noProof/>
        </w:rPr>
      </w:pPr>
      <w:bookmarkStart w:id="74" w:name="_ENREF_50"/>
      <w:r w:rsidRPr="006A749C">
        <w:rPr>
          <w:noProof/>
        </w:rPr>
        <w:t xml:space="preserve">Kelly, A. S., and L. C. Mohrweis. 1989. Bankers' and Investors' Perceptions of the Auditor's Role in Financial Statement Reporting: The Impact of SAS No. 58. </w:t>
      </w:r>
      <w:r w:rsidRPr="006A749C">
        <w:rPr>
          <w:i/>
          <w:noProof/>
        </w:rPr>
        <w:t>AUDITING: A Journal of Practice &amp; Theory</w:t>
      </w:r>
      <w:r w:rsidRPr="006A749C">
        <w:rPr>
          <w:noProof/>
        </w:rPr>
        <w:t xml:space="preserve"> 9 (1):87.</w:t>
      </w:r>
      <w:bookmarkEnd w:id="74"/>
    </w:p>
    <w:p w14:paraId="29731176" w14:textId="77777777" w:rsidR="006A749C" w:rsidRPr="006A749C" w:rsidRDefault="006A749C" w:rsidP="006A749C">
      <w:pPr>
        <w:pStyle w:val="EndNoteBibliography"/>
        <w:spacing w:after="240"/>
        <w:ind w:left="720" w:hanging="720"/>
        <w:rPr>
          <w:noProof/>
        </w:rPr>
      </w:pPr>
      <w:bookmarkStart w:id="75" w:name="_ENREF_51"/>
      <w:r w:rsidRPr="006A749C">
        <w:rPr>
          <w:noProof/>
        </w:rPr>
        <w:t xml:space="preserve">La Porta, R., F. Lopez-De-Silanes, A. Shleifer, and R. W. Vishny. 1997. Legal Determinants of External Finance. </w:t>
      </w:r>
      <w:r w:rsidRPr="006A749C">
        <w:rPr>
          <w:i/>
          <w:noProof/>
        </w:rPr>
        <w:t>Journal of Finance</w:t>
      </w:r>
      <w:r w:rsidRPr="006A749C">
        <w:rPr>
          <w:noProof/>
        </w:rPr>
        <w:t xml:space="preserve"> 52 (3):1131-1150.</w:t>
      </w:r>
      <w:bookmarkEnd w:id="75"/>
    </w:p>
    <w:p w14:paraId="7384FAC6" w14:textId="77777777" w:rsidR="006A749C" w:rsidRPr="006A749C" w:rsidRDefault="006A749C" w:rsidP="006A749C">
      <w:pPr>
        <w:pStyle w:val="EndNoteBibliography"/>
        <w:spacing w:after="240"/>
        <w:ind w:left="720" w:hanging="720"/>
        <w:rPr>
          <w:noProof/>
        </w:rPr>
      </w:pPr>
      <w:bookmarkStart w:id="76" w:name="_ENREF_52"/>
      <w:r w:rsidRPr="006A749C">
        <w:rPr>
          <w:noProof/>
        </w:rPr>
        <w:t xml:space="preserve">Landsman, W. R., E. L. Maydew, and J. R. Thornock. 2012. The information content of annual earnings announcements and mandatory adoption of IFRS. </w:t>
      </w:r>
      <w:r w:rsidRPr="006A749C">
        <w:rPr>
          <w:i/>
          <w:noProof/>
        </w:rPr>
        <w:t>Journal of Accounting and Economics</w:t>
      </w:r>
      <w:r w:rsidRPr="006A749C">
        <w:rPr>
          <w:noProof/>
        </w:rPr>
        <w:t xml:space="preserve"> 53 (1–2):34-54.</w:t>
      </w:r>
      <w:bookmarkEnd w:id="76"/>
    </w:p>
    <w:p w14:paraId="73CDAB60" w14:textId="77777777" w:rsidR="006A749C" w:rsidRPr="006A749C" w:rsidRDefault="006A749C" w:rsidP="006A749C">
      <w:pPr>
        <w:pStyle w:val="EndNoteBibliography"/>
        <w:spacing w:after="240"/>
        <w:ind w:left="720" w:hanging="720"/>
        <w:rPr>
          <w:noProof/>
        </w:rPr>
      </w:pPr>
      <w:bookmarkStart w:id="77" w:name="_ENREF_53"/>
      <w:r w:rsidRPr="006A749C">
        <w:rPr>
          <w:noProof/>
        </w:rPr>
        <w:t xml:space="preserve">Lang, M., K. V. Lins, and M. Maffett. 2012. Transparency, Liquidity, and Valuation: International Evidence on When Transparency Matters Most. </w:t>
      </w:r>
      <w:r w:rsidRPr="006A749C">
        <w:rPr>
          <w:i/>
          <w:noProof/>
        </w:rPr>
        <w:t>Journal of Accounting Research</w:t>
      </w:r>
      <w:r w:rsidRPr="006A749C">
        <w:rPr>
          <w:noProof/>
        </w:rPr>
        <w:t xml:space="preserve"> 50 (3):729-774.</w:t>
      </w:r>
      <w:bookmarkEnd w:id="77"/>
    </w:p>
    <w:p w14:paraId="590DFD73" w14:textId="77777777" w:rsidR="006A749C" w:rsidRPr="006A749C" w:rsidRDefault="006A749C" w:rsidP="006A749C">
      <w:pPr>
        <w:pStyle w:val="EndNoteBibliography"/>
        <w:spacing w:after="240"/>
        <w:ind w:left="720" w:hanging="720"/>
        <w:rPr>
          <w:noProof/>
        </w:rPr>
      </w:pPr>
      <w:bookmarkStart w:id="78" w:name="_ENREF_54"/>
      <w:r w:rsidRPr="006A749C">
        <w:rPr>
          <w:noProof/>
        </w:rPr>
        <w:t xml:space="preserve">Leuz, C., and R. E. Verrecchia. 2000. The Economic Consequences of Increased Disclosure. </w:t>
      </w:r>
      <w:r w:rsidRPr="006A749C">
        <w:rPr>
          <w:i/>
          <w:noProof/>
        </w:rPr>
        <w:t>Journal of Accounting Research</w:t>
      </w:r>
      <w:r w:rsidRPr="006A749C">
        <w:rPr>
          <w:noProof/>
        </w:rPr>
        <w:t xml:space="preserve"> 38 (3):91-124.</w:t>
      </w:r>
      <w:bookmarkEnd w:id="78"/>
    </w:p>
    <w:p w14:paraId="764CC351" w14:textId="77777777" w:rsidR="006A749C" w:rsidRPr="006A749C" w:rsidRDefault="006A749C" w:rsidP="006A749C">
      <w:pPr>
        <w:pStyle w:val="EndNoteBibliography"/>
        <w:spacing w:after="240"/>
        <w:ind w:left="720" w:hanging="720"/>
        <w:rPr>
          <w:noProof/>
        </w:rPr>
      </w:pPr>
      <w:bookmarkStart w:id="79" w:name="_ENREF_55"/>
      <w:r w:rsidRPr="006A749C">
        <w:rPr>
          <w:noProof/>
        </w:rPr>
        <w:t>Melvin, C. 2013. Hermes Comment Letter on FRC Revision to ISA (UK and Ireland) 700: Requiring the auditor's report to address risks of material misstatement, materiality and a summary of audit scope.</w:t>
      </w:r>
      <w:bookmarkEnd w:id="79"/>
    </w:p>
    <w:p w14:paraId="122608EC" w14:textId="77777777" w:rsidR="006A749C" w:rsidRPr="006A749C" w:rsidRDefault="006A749C" w:rsidP="006A749C">
      <w:pPr>
        <w:pStyle w:val="EndNoteBibliography"/>
        <w:spacing w:after="240"/>
        <w:ind w:left="720" w:hanging="720"/>
        <w:rPr>
          <w:noProof/>
        </w:rPr>
      </w:pPr>
      <w:bookmarkStart w:id="80" w:name="_ENREF_56"/>
      <w:r w:rsidRPr="006A749C">
        <w:rPr>
          <w:noProof/>
        </w:rPr>
        <w:t xml:space="preserve">Miller, B. P. 2010. The Effects of Reporting Complexity on Small and Large Investor Trading. </w:t>
      </w:r>
      <w:r w:rsidRPr="006A749C">
        <w:rPr>
          <w:i/>
          <w:noProof/>
        </w:rPr>
        <w:t>The Accounting Review</w:t>
      </w:r>
      <w:r w:rsidRPr="006A749C">
        <w:rPr>
          <w:noProof/>
        </w:rPr>
        <w:t xml:space="preserve"> 85 (6):2107-2143.</w:t>
      </w:r>
      <w:bookmarkEnd w:id="80"/>
    </w:p>
    <w:p w14:paraId="693185A9" w14:textId="77777777" w:rsidR="006A749C" w:rsidRPr="006A749C" w:rsidRDefault="006A749C" w:rsidP="006A749C">
      <w:pPr>
        <w:pStyle w:val="EndNoteBibliography"/>
        <w:spacing w:after="240"/>
        <w:ind w:left="720" w:hanging="720"/>
        <w:rPr>
          <w:noProof/>
        </w:rPr>
      </w:pPr>
      <w:bookmarkStart w:id="81" w:name="_ENREF_57"/>
      <w:r w:rsidRPr="006A749C">
        <w:rPr>
          <w:noProof/>
        </w:rPr>
        <w:t xml:space="preserve">Miller, J. R., S. A. Reed, and R. H. Strawser. 1993. Bank Loan Officers' Perceptions of the New Audit Report. </w:t>
      </w:r>
      <w:r w:rsidRPr="006A749C">
        <w:rPr>
          <w:i/>
          <w:noProof/>
        </w:rPr>
        <w:t>Accounting Horizons</w:t>
      </w:r>
      <w:r w:rsidRPr="006A749C">
        <w:rPr>
          <w:noProof/>
        </w:rPr>
        <w:t xml:space="preserve"> 7 (1):39-52.</w:t>
      </w:r>
      <w:bookmarkEnd w:id="81"/>
    </w:p>
    <w:p w14:paraId="2C8489C1" w14:textId="77777777" w:rsidR="006A749C" w:rsidRPr="006A749C" w:rsidRDefault="006A749C" w:rsidP="006A749C">
      <w:pPr>
        <w:pStyle w:val="EndNoteBibliography"/>
        <w:spacing w:after="240"/>
        <w:ind w:left="720" w:hanging="720"/>
        <w:rPr>
          <w:noProof/>
        </w:rPr>
      </w:pPr>
      <w:bookmarkStart w:id="82" w:name="_ENREF_58"/>
      <w:r w:rsidRPr="006A749C">
        <w:rPr>
          <w:noProof/>
        </w:rPr>
        <w:t xml:space="preserve">Mock, T. J., J. Bédard, P. J. Coram, S. M. Davis, R. Espahbodi, and R. C. Warne. 2013. The Audit Reporting Model: Current Research Synthesis and Implications. </w:t>
      </w:r>
      <w:r w:rsidRPr="006A749C">
        <w:rPr>
          <w:i/>
          <w:noProof/>
        </w:rPr>
        <w:t>AUDITING: A Journal of Practice &amp; Theory</w:t>
      </w:r>
      <w:r w:rsidRPr="006A749C">
        <w:rPr>
          <w:noProof/>
        </w:rPr>
        <w:t xml:space="preserve"> 32 (Supplement 1):323-351.</w:t>
      </w:r>
      <w:bookmarkEnd w:id="82"/>
    </w:p>
    <w:p w14:paraId="2C8675B7" w14:textId="77777777" w:rsidR="006A749C" w:rsidRPr="006A749C" w:rsidRDefault="006A749C" w:rsidP="006A749C">
      <w:pPr>
        <w:pStyle w:val="EndNoteBibliography"/>
        <w:spacing w:after="240"/>
        <w:ind w:left="720" w:hanging="720"/>
        <w:rPr>
          <w:noProof/>
        </w:rPr>
      </w:pPr>
      <w:bookmarkStart w:id="83" w:name="_ENREF_59"/>
      <w:r w:rsidRPr="006A749C">
        <w:rPr>
          <w:noProof/>
        </w:rPr>
        <w:t>NACD. 2013. Audit Committee Chair Advisory Council: Summary of Proceedings.  June 19, 2013.</w:t>
      </w:r>
      <w:bookmarkEnd w:id="83"/>
    </w:p>
    <w:p w14:paraId="79E18CF1" w14:textId="77777777" w:rsidR="006A749C" w:rsidRPr="006A749C" w:rsidRDefault="006A749C" w:rsidP="006A749C">
      <w:pPr>
        <w:pStyle w:val="EndNoteBibliography"/>
        <w:spacing w:after="240"/>
        <w:ind w:left="720" w:hanging="720"/>
        <w:rPr>
          <w:noProof/>
        </w:rPr>
      </w:pPr>
      <w:bookmarkStart w:id="84" w:name="_ENREF_60"/>
      <w:r w:rsidRPr="006A749C">
        <w:rPr>
          <w:noProof/>
        </w:rPr>
        <w:t xml:space="preserve">NCFFR. 1987. </w:t>
      </w:r>
      <w:r w:rsidRPr="006A749C">
        <w:rPr>
          <w:i/>
          <w:noProof/>
        </w:rPr>
        <w:t>Report of the National Commission on Fraudulent Financial Reporting (NCFFR)</w:t>
      </w:r>
      <w:r w:rsidRPr="006A749C">
        <w:rPr>
          <w:noProof/>
        </w:rPr>
        <w:t>.</w:t>
      </w:r>
      <w:bookmarkEnd w:id="84"/>
    </w:p>
    <w:p w14:paraId="674B208E" w14:textId="77777777" w:rsidR="006A749C" w:rsidRPr="006A749C" w:rsidRDefault="006A749C" w:rsidP="006A749C">
      <w:pPr>
        <w:pStyle w:val="EndNoteBibliography"/>
        <w:spacing w:after="240"/>
        <w:ind w:left="720" w:hanging="720"/>
        <w:rPr>
          <w:noProof/>
        </w:rPr>
      </w:pPr>
      <w:bookmarkStart w:id="85" w:name="_ENREF_61"/>
      <w:r w:rsidRPr="006A749C">
        <w:rPr>
          <w:noProof/>
        </w:rPr>
        <w:t xml:space="preserve">Pandit, G. M., V. Subrahmanyam, and G. M. Conway. 2006. Are the audit committee reports disclosing enough after the Sarbanes-Oxley Act?: A study of NYSE companies. </w:t>
      </w:r>
      <w:r w:rsidRPr="006A749C">
        <w:rPr>
          <w:i/>
          <w:noProof/>
        </w:rPr>
        <w:t>Managerial Auditing Journal</w:t>
      </w:r>
      <w:r w:rsidRPr="006A749C">
        <w:rPr>
          <w:noProof/>
        </w:rPr>
        <w:t xml:space="preserve"> 21 (1/2):34-45.</w:t>
      </w:r>
      <w:bookmarkEnd w:id="85"/>
    </w:p>
    <w:p w14:paraId="7BE217C7" w14:textId="77777777" w:rsidR="006A749C" w:rsidRPr="006A749C" w:rsidRDefault="006A749C" w:rsidP="006A749C">
      <w:pPr>
        <w:pStyle w:val="EndNoteBibliography"/>
        <w:spacing w:after="240"/>
        <w:ind w:left="720" w:hanging="720"/>
        <w:rPr>
          <w:noProof/>
        </w:rPr>
      </w:pPr>
      <w:bookmarkStart w:id="86" w:name="_ENREF_62"/>
      <w:r w:rsidRPr="006A749C">
        <w:rPr>
          <w:noProof/>
        </w:rPr>
        <w:t>PCAOB. 2013. Proposed Auditing Standards: The Auditor's Report on an Audit of Financial Statements When the Auditor Expresses an Unqualified Opinion.  August 13, 2013.</w:t>
      </w:r>
      <w:bookmarkEnd w:id="86"/>
    </w:p>
    <w:p w14:paraId="12F55A7F" w14:textId="77777777" w:rsidR="006A749C" w:rsidRPr="006A749C" w:rsidRDefault="006A749C" w:rsidP="006A749C">
      <w:pPr>
        <w:pStyle w:val="EndNoteBibliography"/>
        <w:spacing w:after="240"/>
        <w:ind w:left="720" w:hanging="720"/>
        <w:rPr>
          <w:noProof/>
        </w:rPr>
      </w:pPr>
      <w:bookmarkStart w:id="87" w:name="_ENREF_63"/>
      <w:r w:rsidRPr="006A749C">
        <w:rPr>
          <w:noProof/>
        </w:rPr>
        <w:t>———. 2014. Standing Advisory Group (SAG) Meeting Transcript.  June 24, 2014.</w:t>
      </w:r>
      <w:bookmarkEnd w:id="87"/>
    </w:p>
    <w:p w14:paraId="562A013A" w14:textId="77777777" w:rsidR="006A749C" w:rsidRPr="006A749C" w:rsidRDefault="006A749C" w:rsidP="006A749C">
      <w:pPr>
        <w:pStyle w:val="EndNoteBibliography"/>
        <w:spacing w:after="240"/>
        <w:ind w:left="720" w:hanging="720"/>
        <w:rPr>
          <w:noProof/>
        </w:rPr>
      </w:pPr>
      <w:bookmarkStart w:id="88" w:name="_ENREF_64"/>
      <w:r w:rsidRPr="006A749C">
        <w:rPr>
          <w:noProof/>
        </w:rPr>
        <w:t xml:space="preserve">Rezaee, Z., K. O. Olibe, and G. Mimmier. 2003. Improving corporate governance: The role of audit committee disclosures. </w:t>
      </w:r>
      <w:r w:rsidRPr="006A749C">
        <w:rPr>
          <w:i/>
          <w:noProof/>
        </w:rPr>
        <w:t>Managerial Auditing Journal</w:t>
      </w:r>
      <w:r w:rsidRPr="006A749C">
        <w:rPr>
          <w:noProof/>
        </w:rPr>
        <w:t xml:space="preserve"> 18 (6/7):530-537.</w:t>
      </w:r>
      <w:bookmarkEnd w:id="88"/>
    </w:p>
    <w:p w14:paraId="4FB00298" w14:textId="6CA822CF" w:rsidR="006A749C" w:rsidRPr="006A749C" w:rsidRDefault="006A749C" w:rsidP="006A749C">
      <w:pPr>
        <w:pStyle w:val="EndNoteBibliography"/>
        <w:spacing w:after="240"/>
        <w:ind w:left="720" w:hanging="720"/>
        <w:rPr>
          <w:noProof/>
        </w:rPr>
      </w:pPr>
      <w:bookmarkStart w:id="89" w:name="_ENREF_65"/>
      <w:r w:rsidRPr="006A749C">
        <w:rPr>
          <w:noProof/>
        </w:rPr>
        <w:t xml:space="preserve">SEC. 2000. Final Rule: Audit Committee Disclosure. January 10, 2000. Available at </w:t>
      </w:r>
      <w:hyperlink r:id="rId17" w:history="1">
        <w:r w:rsidRPr="006A749C">
          <w:rPr>
            <w:rStyle w:val="Hyperlink"/>
            <w:noProof/>
          </w:rPr>
          <w:t>http://www.sec.gov/rules/final/34-42266.htm</w:t>
        </w:r>
      </w:hyperlink>
      <w:r w:rsidRPr="006A749C">
        <w:rPr>
          <w:noProof/>
        </w:rPr>
        <w:t>.</w:t>
      </w:r>
      <w:bookmarkEnd w:id="89"/>
    </w:p>
    <w:p w14:paraId="42193A0B" w14:textId="4034B805" w:rsidR="006A749C" w:rsidRPr="006A749C" w:rsidRDefault="006A749C" w:rsidP="006A749C">
      <w:pPr>
        <w:pStyle w:val="EndNoteBibliography"/>
        <w:spacing w:after="240"/>
        <w:ind w:left="720" w:hanging="720"/>
        <w:rPr>
          <w:noProof/>
        </w:rPr>
      </w:pPr>
      <w:bookmarkStart w:id="90" w:name="_ENREF_66"/>
      <w:r w:rsidRPr="006A749C">
        <w:rPr>
          <w:noProof/>
        </w:rPr>
        <w:t xml:space="preserve">Touche, W. 2014. PCAOB Public Meeting on the Auditor's Reporting Model. April 3, 2014. Available at </w:t>
      </w:r>
      <w:hyperlink r:id="rId18" w:history="1">
        <w:r w:rsidRPr="006A749C">
          <w:rPr>
            <w:rStyle w:val="Hyperlink"/>
            <w:noProof/>
          </w:rPr>
          <w:t>http://pcaobus.org/Rules/Rulemaking/Docket034/04032014_Transcript.pdf</w:t>
        </w:r>
      </w:hyperlink>
      <w:r w:rsidRPr="006A749C">
        <w:rPr>
          <w:noProof/>
        </w:rPr>
        <w:t>.</w:t>
      </w:r>
      <w:bookmarkEnd w:id="90"/>
    </w:p>
    <w:p w14:paraId="4A893949" w14:textId="77777777" w:rsidR="006A749C" w:rsidRPr="006A749C" w:rsidRDefault="006A749C" w:rsidP="006A749C">
      <w:pPr>
        <w:pStyle w:val="EndNoteBibliography"/>
        <w:spacing w:after="240"/>
        <w:ind w:left="720" w:hanging="720"/>
        <w:rPr>
          <w:noProof/>
        </w:rPr>
      </w:pPr>
      <w:bookmarkStart w:id="91" w:name="_ENREF_67"/>
      <w:r w:rsidRPr="006A749C">
        <w:rPr>
          <w:noProof/>
        </w:rPr>
        <w:t xml:space="preserve">Turner, J. L., T. J. Mock, P. J. Coram, and G. L. Gray. 2010. Improving Transparency and Relevance of Auditor Communications with Financial Statement Users. </w:t>
      </w:r>
      <w:r w:rsidRPr="006A749C">
        <w:rPr>
          <w:i/>
          <w:noProof/>
        </w:rPr>
        <w:t>Current Issues in Auditing</w:t>
      </w:r>
      <w:r w:rsidRPr="006A749C">
        <w:rPr>
          <w:noProof/>
        </w:rPr>
        <w:t xml:space="preserve"> 4 (1):A1-A8.</w:t>
      </w:r>
      <w:bookmarkEnd w:id="91"/>
    </w:p>
    <w:p w14:paraId="1A520606" w14:textId="77777777" w:rsidR="006A749C" w:rsidRPr="006A749C" w:rsidRDefault="006A749C" w:rsidP="006A749C">
      <w:pPr>
        <w:pStyle w:val="EndNoteBibliography"/>
        <w:spacing w:after="240"/>
        <w:ind w:left="720" w:hanging="720"/>
        <w:rPr>
          <w:noProof/>
        </w:rPr>
      </w:pPr>
      <w:bookmarkStart w:id="92" w:name="_ENREF_68"/>
      <w:r w:rsidRPr="006A749C">
        <w:rPr>
          <w:noProof/>
        </w:rPr>
        <w:t xml:space="preserve">Turpin, R. A., and F. T. DeZoort. 1998. Characteristics of Firms that Include an Audit Committee Report in Their Annual Report. </w:t>
      </w:r>
      <w:r w:rsidRPr="006A749C">
        <w:rPr>
          <w:i/>
          <w:noProof/>
        </w:rPr>
        <w:t>International Journal of Auditing</w:t>
      </w:r>
      <w:r w:rsidRPr="006A749C">
        <w:rPr>
          <w:noProof/>
        </w:rPr>
        <w:t xml:space="preserve"> 2 (1):35-48.</w:t>
      </w:r>
      <w:bookmarkEnd w:id="92"/>
    </w:p>
    <w:p w14:paraId="54ED3847" w14:textId="77777777" w:rsidR="006A749C" w:rsidRPr="006A749C" w:rsidRDefault="006A749C" w:rsidP="006A749C">
      <w:pPr>
        <w:pStyle w:val="EndNoteBibliography"/>
        <w:spacing w:after="240"/>
        <w:ind w:left="720" w:hanging="720"/>
        <w:rPr>
          <w:noProof/>
        </w:rPr>
      </w:pPr>
      <w:bookmarkStart w:id="93" w:name="_ENREF_69"/>
      <w:r w:rsidRPr="006A749C">
        <w:rPr>
          <w:noProof/>
        </w:rPr>
        <w:t xml:space="preserve">Vanstraelen, A., C. Schelleman, R. Meuwissen, and I. Hofmann. 2012. The Audit Reporting Debate: Seemingly Intractable Problems and Feasible Solutions. </w:t>
      </w:r>
      <w:r w:rsidRPr="006A749C">
        <w:rPr>
          <w:i/>
          <w:noProof/>
        </w:rPr>
        <w:t>European Accounting Review</w:t>
      </w:r>
      <w:r w:rsidRPr="006A749C">
        <w:rPr>
          <w:noProof/>
        </w:rPr>
        <w:t xml:space="preserve"> 21 (2):193-215.</w:t>
      </w:r>
      <w:bookmarkEnd w:id="93"/>
    </w:p>
    <w:p w14:paraId="0819766C" w14:textId="66220741" w:rsidR="006A749C" w:rsidRPr="006A749C" w:rsidRDefault="006A749C" w:rsidP="006A749C">
      <w:pPr>
        <w:pStyle w:val="EndNoteBibliography"/>
        <w:spacing w:after="240"/>
        <w:ind w:left="720" w:hanging="720"/>
        <w:rPr>
          <w:noProof/>
        </w:rPr>
      </w:pPr>
      <w:bookmarkStart w:id="94" w:name="_ENREF_70"/>
      <w:r w:rsidRPr="006A749C">
        <w:rPr>
          <w:noProof/>
        </w:rPr>
        <w:t xml:space="preserve">White, M. J. 2013. The Path Forward on Disclosure. October 15, 2013. Available at </w:t>
      </w:r>
      <w:hyperlink r:id="rId19" w:history="1">
        <w:r w:rsidRPr="006A749C">
          <w:rPr>
            <w:rStyle w:val="Hyperlink"/>
            <w:noProof/>
          </w:rPr>
          <w:t>http://www.sec.gov/News/Speech/Detail/Speech/1370539878806 - .U0w418dw1Ns</w:t>
        </w:r>
      </w:hyperlink>
      <w:r w:rsidRPr="006A749C">
        <w:rPr>
          <w:noProof/>
        </w:rPr>
        <w:t>.</w:t>
      </w:r>
      <w:bookmarkEnd w:id="94"/>
    </w:p>
    <w:p w14:paraId="6B1F16CF" w14:textId="77777777" w:rsidR="006A749C" w:rsidRPr="006A749C" w:rsidRDefault="006A749C" w:rsidP="006A749C">
      <w:pPr>
        <w:pStyle w:val="EndNoteBibliography"/>
        <w:spacing w:after="240"/>
        <w:ind w:left="720" w:hanging="720"/>
        <w:rPr>
          <w:noProof/>
        </w:rPr>
      </w:pPr>
      <w:bookmarkStart w:id="95" w:name="_ENREF_71"/>
      <w:r w:rsidRPr="006A749C">
        <w:rPr>
          <w:noProof/>
        </w:rPr>
        <w:t xml:space="preserve">———. 2014. Remarks at the Financial Accounting Foundation Trustees Dinner. </w:t>
      </w:r>
      <w:r w:rsidRPr="006A749C">
        <w:rPr>
          <w:i/>
          <w:noProof/>
        </w:rPr>
        <w:t>U.S. Securities and Exchange Commission Speech.</w:t>
      </w:r>
      <w:r w:rsidRPr="006A749C">
        <w:rPr>
          <w:noProof/>
        </w:rPr>
        <w:t xml:space="preserve"> May 20, 2014.</w:t>
      </w:r>
      <w:bookmarkEnd w:id="95"/>
    </w:p>
    <w:p w14:paraId="7A0E68B7" w14:textId="77777777" w:rsidR="006A749C" w:rsidRPr="006A749C" w:rsidRDefault="006A749C" w:rsidP="006A749C">
      <w:pPr>
        <w:pStyle w:val="EndNoteBibliography"/>
        <w:spacing w:after="240"/>
        <w:ind w:left="720" w:hanging="720"/>
        <w:rPr>
          <w:noProof/>
        </w:rPr>
      </w:pPr>
      <w:bookmarkStart w:id="96" w:name="_ENREF_72"/>
      <w:r w:rsidRPr="006A749C">
        <w:rPr>
          <w:noProof/>
        </w:rPr>
        <w:t xml:space="preserve">Whitehouse, T. 2014. SEC Plans Early 2015 Concept Release on Audit Committee Upgrades. </w:t>
      </w:r>
      <w:r w:rsidRPr="006A749C">
        <w:rPr>
          <w:i/>
          <w:noProof/>
        </w:rPr>
        <w:t>Compliance Week.</w:t>
      </w:r>
      <w:r w:rsidRPr="006A749C">
        <w:rPr>
          <w:noProof/>
        </w:rPr>
        <w:t xml:space="preserve"> October 22, 2014.</w:t>
      </w:r>
      <w:bookmarkEnd w:id="96"/>
    </w:p>
    <w:p w14:paraId="34A6E780" w14:textId="1A5CFDD7" w:rsidR="006A749C" w:rsidRPr="006A749C" w:rsidRDefault="006A749C" w:rsidP="006A749C">
      <w:pPr>
        <w:pStyle w:val="EndNoteBibliography"/>
        <w:spacing w:after="240"/>
        <w:ind w:left="720" w:hanging="720"/>
        <w:rPr>
          <w:noProof/>
        </w:rPr>
      </w:pPr>
      <w:bookmarkStart w:id="97" w:name="_ENREF_73"/>
      <w:r w:rsidRPr="006A749C">
        <w:rPr>
          <w:noProof/>
        </w:rPr>
        <w:t xml:space="preserve">WorldBank. 2014. Market capitalization of listed companies. Available at </w:t>
      </w:r>
      <w:hyperlink r:id="rId20" w:history="1">
        <w:r w:rsidRPr="006A749C">
          <w:rPr>
            <w:rStyle w:val="Hyperlink"/>
            <w:noProof/>
          </w:rPr>
          <w:t>http://data.worldbank.org/indicator/CM.MKT.LCAP.CD</w:t>
        </w:r>
      </w:hyperlink>
      <w:r w:rsidRPr="006A749C">
        <w:rPr>
          <w:noProof/>
        </w:rPr>
        <w:t>.</w:t>
      </w:r>
      <w:bookmarkEnd w:id="97"/>
    </w:p>
    <w:p w14:paraId="1FFBDCD9" w14:textId="5B6E3EC9" w:rsidR="006A749C" w:rsidRDefault="006A749C" w:rsidP="006A749C">
      <w:pPr>
        <w:pStyle w:val="EndNoteBibliography"/>
        <w:ind w:left="720" w:hanging="720"/>
        <w:rPr>
          <w:noProof/>
        </w:rPr>
      </w:pPr>
      <w:bookmarkStart w:id="98" w:name="_ENREF_74"/>
      <w:r w:rsidRPr="006A749C">
        <w:rPr>
          <w:noProof/>
        </w:rPr>
        <w:t xml:space="preserve">You, H., and X.-j. Zhang. 2008. Financial reporting complexity and investor underreaction to 10-K information. </w:t>
      </w:r>
      <w:r w:rsidRPr="006A749C">
        <w:rPr>
          <w:i/>
          <w:noProof/>
        </w:rPr>
        <w:t>Review of Accounting Studies</w:t>
      </w:r>
      <w:r w:rsidRPr="006A749C">
        <w:rPr>
          <w:noProof/>
        </w:rPr>
        <w:t xml:space="preserve"> 14 (4):559-586.</w:t>
      </w:r>
      <w:bookmarkEnd w:id="98"/>
    </w:p>
    <w:p w14:paraId="2F6B9676" w14:textId="77777777" w:rsidR="006A749C" w:rsidRDefault="006A749C">
      <w:pPr>
        <w:rPr>
          <w:noProof/>
        </w:rPr>
      </w:pPr>
      <w:r>
        <w:rPr>
          <w:noProof/>
        </w:rPr>
        <w:br w:type="page"/>
      </w:r>
    </w:p>
    <w:p w14:paraId="10ABDF2C" w14:textId="77777777" w:rsidR="006A749C" w:rsidRDefault="006A749C" w:rsidP="006A749C">
      <w:pPr>
        <w:pStyle w:val="Heading1"/>
        <w:rPr>
          <w:noProof/>
        </w:rPr>
      </w:pPr>
    </w:p>
    <w:p w14:paraId="2C9D45C5" w14:textId="77777777" w:rsidR="006A749C" w:rsidRDefault="006A749C" w:rsidP="006A749C">
      <w:pPr>
        <w:pStyle w:val="Heading1"/>
        <w:rPr>
          <w:noProof/>
        </w:rPr>
      </w:pPr>
    </w:p>
    <w:p w14:paraId="288A658B" w14:textId="77777777" w:rsidR="006A749C" w:rsidRDefault="006A749C" w:rsidP="006A749C">
      <w:pPr>
        <w:pStyle w:val="Heading1"/>
        <w:rPr>
          <w:noProof/>
        </w:rPr>
      </w:pPr>
    </w:p>
    <w:p w14:paraId="60664A34" w14:textId="77777777" w:rsidR="006A749C" w:rsidRDefault="006A749C" w:rsidP="006A749C">
      <w:pPr>
        <w:pStyle w:val="Heading1"/>
        <w:rPr>
          <w:noProof/>
        </w:rPr>
      </w:pPr>
    </w:p>
    <w:p w14:paraId="1D83916A" w14:textId="4D7806DB" w:rsidR="006A749C" w:rsidRPr="006A749C" w:rsidRDefault="006A749C" w:rsidP="006A749C">
      <w:pPr>
        <w:pStyle w:val="Heading1"/>
        <w:rPr>
          <w:noProof/>
        </w:rPr>
      </w:pPr>
      <w:bookmarkStart w:id="99" w:name="_Toc286596283"/>
      <w:r>
        <w:rPr>
          <w:noProof/>
        </w:rPr>
        <w:t>APPENDICES</w:t>
      </w:r>
      <w:bookmarkEnd w:id="99"/>
    </w:p>
    <w:p w14:paraId="09218703" w14:textId="020BF67D" w:rsidR="00C92D5D" w:rsidRDefault="0079592F" w:rsidP="00003C45">
      <w:pPr>
        <w:widowControl w:val="0"/>
        <w:jc w:val="center"/>
      </w:pPr>
      <w:r w:rsidRPr="00E26D55">
        <w:fldChar w:fldCharType="end"/>
      </w:r>
    </w:p>
    <w:p w14:paraId="0AB5F4E2" w14:textId="77777777" w:rsidR="00C92D5D" w:rsidRDefault="00C92D5D">
      <w:r>
        <w:br w:type="page"/>
      </w:r>
    </w:p>
    <w:p w14:paraId="7031403A" w14:textId="2BF96BC0" w:rsidR="006A749C" w:rsidRDefault="006A749C" w:rsidP="006A749C">
      <w:pPr>
        <w:pStyle w:val="Heading2"/>
        <w:jc w:val="center"/>
      </w:pPr>
      <w:bookmarkStart w:id="100" w:name="_Toc286596284"/>
      <w:r>
        <w:t>Appendix A: Tables</w:t>
      </w:r>
      <w:bookmarkEnd w:id="100"/>
    </w:p>
    <w:p w14:paraId="2C79EF1A" w14:textId="77777777" w:rsidR="006A749C" w:rsidRDefault="006A749C" w:rsidP="00003C45">
      <w:pPr>
        <w:widowControl w:val="0"/>
        <w:jc w:val="center"/>
        <w:rPr>
          <w:b/>
        </w:rPr>
      </w:pPr>
    </w:p>
    <w:p w14:paraId="770F8687" w14:textId="664546B1" w:rsidR="00266FB2" w:rsidRPr="00003C45" w:rsidRDefault="00266FB2" w:rsidP="005E0441">
      <w:pPr>
        <w:pStyle w:val="Table"/>
      </w:pPr>
      <w:bookmarkStart w:id="101" w:name="_Toc286595534"/>
      <w:r w:rsidRPr="00E26D55">
        <w:t>Table 1: Sample Construction</w:t>
      </w:r>
      <w:bookmarkEnd w:id="101"/>
    </w:p>
    <w:p w14:paraId="5557EC80" w14:textId="77777777" w:rsidR="0071760E" w:rsidRPr="00E26D55" w:rsidRDefault="0071760E" w:rsidP="001853E3">
      <w:pPr>
        <w:widowControl w:val="0"/>
        <w:jc w:val="both"/>
      </w:pPr>
    </w:p>
    <w:p w14:paraId="2932E990" w14:textId="77777777" w:rsidR="005C002A" w:rsidRPr="00E26D55" w:rsidRDefault="005C002A" w:rsidP="001853E3">
      <w:pPr>
        <w:widowControl w:val="0"/>
        <w:jc w:val="both"/>
      </w:pPr>
    </w:p>
    <w:p w14:paraId="415D0474" w14:textId="7C65F5EF" w:rsidR="00873E37" w:rsidRPr="0003281F" w:rsidRDefault="001D056B" w:rsidP="001853E3">
      <w:pPr>
        <w:widowControl w:val="0"/>
        <w:ind w:right="360"/>
        <w:jc w:val="both"/>
        <w:rPr>
          <w:sz w:val="22"/>
          <w:szCs w:val="22"/>
        </w:rPr>
      </w:pPr>
      <w:r w:rsidRPr="0003281F">
        <w:rPr>
          <w:sz w:val="22"/>
          <w:szCs w:val="22"/>
        </w:rPr>
        <w:t>T</w:t>
      </w:r>
      <w:r w:rsidR="00EA3C0D" w:rsidRPr="0003281F">
        <w:rPr>
          <w:sz w:val="22"/>
          <w:szCs w:val="22"/>
        </w:rPr>
        <w:t xml:space="preserve">able 1 presents the </w:t>
      </w:r>
      <w:r w:rsidR="0071760E" w:rsidRPr="0003281F">
        <w:rPr>
          <w:sz w:val="22"/>
          <w:szCs w:val="22"/>
        </w:rPr>
        <w:t xml:space="preserve">sample selection process for the main analysis performed in this study. The final sample is comprised of 291 firm observations or 582 firm-year observations. </w:t>
      </w:r>
    </w:p>
    <w:p w14:paraId="243B9966" w14:textId="77777777" w:rsidR="00266FB2" w:rsidRPr="0003281F" w:rsidRDefault="00266FB2" w:rsidP="001853E3">
      <w:pPr>
        <w:widowControl w:val="0"/>
        <w:rPr>
          <w:sz w:val="22"/>
          <w:szCs w:val="22"/>
        </w:rPr>
      </w:pPr>
    </w:p>
    <w:p w14:paraId="2136F34F" w14:textId="77777777" w:rsidR="005C002A" w:rsidRPr="0003281F" w:rsidRDefault="005C002A" w:rsidP="001853E3">
      <w:pPr>
        <w:widowControl w:val="0"/>
        <w:rPr>
          <w:sz w:val="22"/>
          <w:szCs w:val="22"/>
        </w:rPr>
      </w:pPr>
    </w:p>
    <w:tbl>
      <w:tblPr>
        <w:tblW w:w="9040" w:type="dxa"/>
        <w:tblInd w:w="93" w:type="dxa"/>
        <w:tblLook w:val="04A0" w:firstRow="1" w:lastRow="0" w:firstColumn="1" w:lastColumn="0" w:noHBand="0" w:noVBand="1"/>
      </w:tblPr>
      <w:tblGrid>
        <w:gridCol w:w="6960"/>
        <w:gridCol w:w="2080"/>
      </w:tblGrid>
      <w:tr w:rsidR="00873E37" w:rsidRPr="0003281F" w14:paraId="410F9D32" w14:textId="77777777" w:rsidTr="00873E37">
        <w:trPr>
          <w:trHeight w:val="300"/>
        </w:trPr>
        <w:tc>
          <w:tcPr>
            <w:tcW w:w="6960" w:type="dxa"/>
            <w:tcBorders>
              <w:top w:val="single" w:sz="4" w:space="0" w:color="auto"/>
              <w:left w:val="nil"/>
              <w:bottom w:val="single" w:sz="4" w:space="0" w:color="auto"/>
              <w:right w:val="nil"/>
            </w:tcBorders>
            <w:shd w:val="clear" w:color="auto" w:fill="auto"/>
            <w:noWrap/>
            <w:vAlign w:val="bottom"/>
            <w:hideMark/>
          </w:tcPr>
          <w:p w14:paraId="34580295" w14:textId="56DD0127" w:rsidR="00873E37" w:rsidRPr="0003281F" w:rsidRDefault="00873E37" w:rsidP="001853E3">
            <w:pPr>
              <w:widowControl w:val="0"/>
              <w:rPr>
                <w:rFonts w:eastAsia="Times New Roman"/>
                <w:b/>
                <w:bCs/>
                <w:color w:val="000000"/>
                <w:sz w:val="22"/>
                <w:szCs w:val="22"/>
              </w:rPr>
            </w:pPr>
          </w:p>
        </w:tc>
        <w:tc>
          <w:tcPr>
            <w:tcW w:w="2080" w:type="dxa"/>
            <w:tcBorders>
              <w:top w:val="single" w:sz="4" w:space="0" w:color="auto"/>
              <w:left w:val="nil"/>
              <w:bottom w:val="single" w:sz="4" w:space="0" w:color="auto"/>
              <w:right w:val="nil"/>
            </w:tcBorders>
            <w:shd w:val="clear" w:color="auto" w:fill="auto"/>
            <w:noWrap/>
            <w:vAlign w:val="bottom"/>
            <w:hideMark/>
          </w:tcPr>
          <w:p w14:paraId="2F67ED84" w14:textId="77777777" w:rsidR="00873E37" w:rsidRPr="0003281F" w:rsidRDefault="00873E37" w:rsidP="001853E3">
            <w:pPr>
              <w:widowControl w:val="0"/>
              <w:jc w:val="center"/>
              <w:rPr>
                <w:rFonts w:eastAsia="Times New Roman"/>
                <w:b/>
                <w:bCs/>
                <w:color w:val="000000"/>
                <w:sz w:val="22"/>
                <w:szCs w:val="22"/>
              </w:rPr>
            </w:pPr>
            <w:r w:rsidRPr="0003281F">
              <w:rPr>
                <w:rFonts w:eastAsia="Times New Roman"/>
                <w:b/>
                <w:bCs/>
                <w:color w:val="000000"/>
                <w:sz w:val="22"/>
                <w:szCs w:val="22"/>
              </w:rPr>
              <w:t>Firm Observations</w:t>
            </w:r>
          </w:p>
        </w:tc>
      </w:tr>
      <w:tr w:rsidR="00873E37" w:rsidRPr="0003281F" w14:paraId="47FBB979" w14:textId="77777777" w:rsidTr="00873E37">
        <w:trPr>
          <w:trHeight w:val="300"/>
        </w:trPr>
        <w:tc>
          <w:tcPr>
            <w:tcW w:w="6960" w:type="dxa"/>
            <w:tcBorders>
              <w:top w:val="nil"/>
              <w:left w:val="nil"/>
              <w:bottom w:val="nil"/>
              <w:right w:val="nil"/>
            </w:tcBorders>
            <w:shd w:val="clear" w:color="auto" w:fill="auto"/>
            <w:noWrap/>
            <w:vAlign w:val="bottom"/>
            <w:hideMark/>
          </w:tcPr>
          <w:p w14:paraId="0F0E6281" w14:textId="77777777" w:rsidR="00873E37" w:rsidRPr="0003281F" w:rsidRDefault="00873E37" w:rsidP="001853E3">
            <w:pPr>
              <w:widowControl w:val="0"/>
              <w:rPr>
                <w:rFonts w:eastAsia="Times New Roman"/>
                <w:color w:val="000000"/>
                <w:sz w:val="22"/>
                <w:szCs w:val="22"/>
              </w:rPr>
            </w:pPr>
            <w:r w:rsidRPr="0003281F">
              <w:rPr>
                <w:rFonts w:eastAsia="Times New Roman"/>
                <w:color w:val="000000"/>
                <w:sz w:val="22"/>
                <w:szCs w:val="22"/>
              </w:rPr>
              <w:t>Premium Equity Listings on London Stock Exchange</w:t>
            </w:r>
          </w:p>
        </w:tc>
        <w:tc>
          <w:tcPr>
            <w:tcW w:w="2080" w:type="dxa"/>
            <w:tcBorders>
              <w:top w:val="nil"/>
              <w:left w:val="nil"/>
              <w:bottom w:val="nil"/>
              <w:right w:val="nil"/>
            </w:tcBorders>
            <w:shd w:val="clear" w:color="auto" w:fill="auto"/>
            <w:noWrap/>
            <w:vAlign w:val="bottom"/>
            <w:hideMark/>
          </w:tcPr>
          <w:p w14:paraId="35E5B273" w14:textId="77777777" w:rsidR="00873E37" w:rsidRPr="0003281F" w:rsidRDefault="00873E37" w:rsidP="001853E3">
            <w:pPr>
              <w:widowControl w:val="0"/>
              <w:jc w:val="right"/>
              <w:rPr>
                <w:rFonts w:eastAsia="Times New Roman"/>
                <w:color w:val="000000"/>
                <w:sz w:val="22"/>
                <w:szCs w:val="22"/>
              </w:rPr>
            </w:pPr>
            <w:r w:rsidRPr="0003281F">
              <w:rPr>
                <w:rFonts w:eastAsia="Times New Roman"/>
                <w:color w:val="000000"/>
                <w:sz w:val="22"/>
                <w:szCs w:val="22"/>
              </w:rPr>
              <w:t xml:space="preserve">937 </w:t>
            </w:r>
          </w:p>
        </w:tc>
      </w:tr>
      <w:tr w:rsidR="00873E37" w:rsidRPr="0003281F" w14:paraId="3493B90F" w14:textId="77777777" w:rsidTr="00873E37">
        <w:trPr>
          <w:trHeight w:val="300"/>
        </w:trPr>
        <w:tc>
          <w:tcPr>
            <w:tcW w:w="6960" w:type="dxa"/>
            <w:tcBorders>
              <w:top w:val="nil"/>
              <w:left w:val="nil"/>
              <w:bottom w:val="nil"/>
              <w:right w:val="nil"/>
            </w:tcBorders>
            <w:shd w:val="clear" w:color="auto" w:fill="auto"/>
            <w:noWrap/>
            <w:vAlign w:val="bottom"/>
            <w:hideMark/>
          </w:tcPr>
          <w:p w14:paraId="1F072CAD" w14:textId="77777777" w:rsidR="00873E37" w:rsidRPr="0003281F" w:rsidRDefault="00873E37" w:rsidP="001853E3">
            <w:pPr>
              <w:widowControl w:val="0"/>
              <w:rPr>
                <w:rFonts w:eastAsia="Times New Roman"/>
                <w:color w:val="000000"/>
                <w:sz w:val="22"/>
                <w:szCs w:val="22"/>
              </w:rPr>
            </w:pPr>
            <w:r w:rsidRPr="0003281F">
              <w:rPr>
                <w:rFonts w:eastAsia="Times New Roman"/>
                <w:color w:val="000000"/>
                <w:sz w:val="22"/>
                <w:szCs w:val="22"/>
              </w:rPr>
              <w:t>Less: Investment Funds</w:t>
            </w:r>
          </w:p>
        </w:tc>
        <w:tc>
          <w:tcPr>
            <w:tcW w:w="2080" w:type="dxa"/>
            <w:tcBorders>
              <w:top w:val="nil"/>
              <w:left w:val="nil"/>
              <w:bottom w:val="single" w:sz="4" w:space="0" w:color="auto"/>
              <w:right w:val="nil"/>
            </w:tcBorders>
            <w:shd w:val="clear" w:color="auto" w:fill="auto"/>
            <w:noWrap/>
            <w:vAlign w:val="bottom"/>
            <w:hideMark/>
          </w:tcPr>
          <w:p w14:paraId="7149BAE4" w14:textId="77777777" w:rsidR="00873E37" w:rsidRPr="0003281F" w:rsidRDefault="00873E37" w:rsidP="001853E3">
            <w:pPr>
              <w:widowControl w:val="0"/>
              <w:jc w:val="right"/>
              <w:rPr>
                <w:rFonts w:eastAsia="Times New Roman"/>
                <w:color w:val="000000"/>
                <w:sz w:val="22"/>
                <w:szCs w:val="22"/>
              </w:rPr>
            </w:pPr>
            <w:r w:rsidRPr="0003281F">
              <w:rPr>
                <w:rFonts w:eastAsia="Times New Roman"/>
                <w:color w:val="000000"/>
                <w:sz w:val="22"/>
                <w:szCs w:val="22"/>
              </w:rPr>
              <w:t>(428)</w:t>
            </w:r>
          </w:p>
        </w:tc>
      </w:tr>
      <w:tr w:rsidR="00873E37" w:rsidRPr="0003281F" w14:paraId="241665CB" w14:textId="77777777" w:rsidTr="00873E37">
        <w:trPr>
          <w:trHeight w:val="300"/>
        </w:trPr>
        <w:tc>
          <w:tcPr>
            <w:tcW w:w="6960" w:type="dxa"/>
            <w:tcBorders>
              <w:top w:val="nil"/>
              <w:left w:val="nil"/>
              <w:bottom w:val="nil"/>
              <w:right w:val="nil"/>
            </w:tcBorders>
            <w:shd w:val="clear" w:color="auto" w:fill="auto"/>
            <w:noWrap/>
            <w:vAlign w:val="bottom"/>
            <w:hideMark/>
          </w:tcPr>
          <w:p w14:paraId="222F5496" w14:textId="77777777" w:rsidR="00873E37" w:rsidRPr="0003281F" w:rsidRDefault="00873E37" w:rsidP="001853E3">
            <w:pPr>
              <w:widowControl w:val="0"/>
              <w:rPr>
                <w:rFonts w:eastAsia="Times New Roman"/>
                <w:color w:val="000000"/>
                <w:sz w:val="22"/>
                <w:szCs w:val="22"/>
              </w:rPr>
            </w:pPr>
            <w:r w:rsidRPr="0003281F">
              <w:rPr>
                <w:rFonts w:eastAsia="Times New Roman"/>
                <w:color w:val="000000"/>
                <w:sz w:val="22"/>
                <w:szCs w:val="22"/>
              </w:rPr>
              <w:t>Premium Equity Commercial Companies</w:t>
            </w:r>
          </w:p>
        </w:tc>
        <w:tc>
          <w:tcPr>
            <w:tcW w:w="2080" w:type="dxa"/>
            <w:tcBorders>
              <w:top w:val="nil"/>
              <w:left w:val="nil"/>
              <w:bottom w:val="nil"/>
              <w:right w:val="nil"/>
            </w:tcBorders>
            <w:shd w:val="clear" w:color="auto" w:fill="auto"/>
            <w:noWrap/>
            <w:vAlign w:val="bottom"/>
            <w:hideMark/>
          </w:tcPr>
          <w:p w14:paraId="0CCCB3B2" w14:textId="77777777" w:rsidR="00873E37" w:rsidRPr="0003281F" w:rsidRDefault="00873E37" w:rsidP="001853E3">
            <w:pPr>
              <w:widowControl w:val="0"/>
              <w:jc w:val="right"/>
              <w:rPr>
                <w:rFonts w:eastAsia="Times New Roman"/>
                <w:color w:val="000000"/>
                <w:sz w:val="22"/>
                <w:szCs w:val="22"/>
              </w:rPr>
            </w:pPr>
            <w:r w:rsidRPr="0003281F">
              <w:rPr>
                <w:rFonts w:eastAsia="Times New Roman"/>
                <w:color w:val="000000"/>
                <w:sz w:val="22"/>
                <w:szCs w:val="22"/>
              </w:rPr>
              <w:t xml:space="preserve">509 </w:t>
            </w:r>
          </w:p>
        </w:tc>
      </w:tr>
      <w:tr w:rsidR="00873E37" w:rsidRPr="0003281F" w14:paraId="040EEF10" w14:textId="77777777" w:rsidTr="00873E37">
        <w:trPr>
          <w:trHeight w:val="300"/>
        </w:trPr>
        <w:tc>
          <w:tcPr>
            <w:tcW w:w="6960" w:type="dxa"/>
            <w:tcBorders>
              <w:top w:val="nil"/>
              <w:left w:val="nil"/>
              <w:bottom w:val="nil"/>
              <w:right w:val="nil"/>
            </w:tcBorders>
            <w:shd w:val="clear" w:color="auto" w:fill="auto"/>
            <w:noWrap/>
            <w:vAlign w:val="bottom"/>
            <w:hideMark/>
          </w:tcPr>
          <w:p w14:paraId="794EDA71" w14:textId="77777777" w:rsidR="00873E37" w:rsidRPr="0003281F" w:rsidRDefault="00873E37" w:rsidP="001853E3">
            <w:pPr>
              <w:widowControl w:val="0"/>
              <w:rPr>
                <w:rFonts w:eastAsia="Times New Roman"/>
                <w:color w:val="000000"/>
                <w:sz w:val="22"/>
                <w:szCs w:val="22"/>
              </w:rPr>
            </w:pPr>
            <w:r w:rsidRPr="0003281F">
              <w:rPr>
                <w:rFonts w:eastAsia="Times New Roman"/>
                <w:color w:val="000000"/>
                <w:sz w:val="22"/>
                <w:szCs w:val="22"/>
              </w:rPr>
              <w:t>Less: Firms missing annual report dates in Bloomberg</w:t>
            </w:r>
          </w:p>
        </w:tc>
        <w:tc>
          <w:tcPr>
            <w:tcW w:w="2080" w:type="dxa"/>
            <w:tcBorders>
              <w:top w:val="nil"/>
              <w:left w:val="nil"/>
              <w:bottom w:val="nil"/>
              <w:right w:val="nil"/>
            </w:tcBorders>
            <w:shd w:val="clear" w:color="auto" w:fill="auto"/>
            <w:noWrap/>
            <w:vAlign w:val="bottom"/>
            <w:hideMark/>
          </w:tcPr>
          <w:p w14:paraId="611F2D04" w14:textId="0807709B" w:rsidR="00873E37" w:rsidRPr="0003281F" w:rsidRDefault="00D37078" w:rsidP="001853E3">
            <w:pPr>
              <w:widowControl w:val="0"/>
              <w:jc w:val="right"/>
              <w:rPr>
                <w:rFonts w:eastAsia="Times New Roman"/>
                <w:color w:val="000000"/>
                <w:sz w:val="22"/>
                <w:szCs w:val="22"/>
              </w:rPr>
            </w:pPr>
            <w:r w:rsidRPr="0003281F">
              <w:rPr>
                <w:rFonts w:eastAsia="Times New Roman"/>
                <w:color w:val="000000"/>
                <w:sz w:val="22"/>
                <w:szCs w:val="22"/>
              </w:rPr>
              <w:t>(101</w:t>
            </w:r>
            <w:r w:rsidR="00873E37" w:rsidRPr="0003281F">
              <w:rPr>
                <w:rFonts w:eastAsia="Times New Roman"/>
                <w:color w:val="000000"/>
                <w:sz w:val="22"/>
                <w:szCs w:val="22"/>
              </w:rPr>
              <w:t>)</w:t>
            </w:r>
          </w:p>
        </w:tc>
      </w:tr>
      <w:tr w:rsidR="00873E37" w:rsidRPr="0003281F" w14:paraId="5A342F26" w14:textId="77777777" w:rsidTr="00873E37">
        <w:trPr>
          <w:trHeight w:val="300"/>
        </w:trPr>
        <w:tc>
          <w:tcPr>
            <w:tcW w:w="6960" w:type="dxa"/>
            <w:tcBorders>
              <w:top w:val="nil"/>
              <w:left w:val="nil"/>
              <w:bottom w:val="nil"/>
              <w:right w:val="nil"/>
            </w:tcBorders>
            <w:shd w:val="clear" w:color="auto" w:fill="auto"/>
            <w:noWrap/>
            <w:vAlign w:val="bottom"/>
            <w:hideMark/>
          </w:tcPr>
          <w:p w14:paraId="4BF5EEE9" w14:textId="77777777" w:rsidR="00873E37" w:rsidRPr="0003281F" w:rsidRDefault="00873E37" w:rsidP="001853E3">
            <w:pPr>
              <w:widowControl w:val="0"/>
              <w:rPr>
                <w:rFonts w:eastAsia="Times New Roman"/>
                <w:color w:val="000000"/>
                <w:sz w:val="22"/>
                <w:szCs w:val="22"/>
              </w:rPr>
            </w:pPr>
            <w:r w:rsidRPr="0003281F">
              <w:rPr>
                <w:rFonts w:eastAsia="Times New Roman"/>
                <w:color w:val="000000"/>
                <w:sz w:val="22"/>
                <w:szCs w:val="22"/>
              </w:rPr>
              <w:t xml:space="preserve">Less: Firms missing data necessary to calculate </w:t>
            </w:r>
            <w:r w:rsidRPr="0003281F">
              <w:rPr>
                <w:rFonts w:eastAsia="Times New Roman"/>
                <w:i/>
                <w:iCs/>
                <w:color w:val="000000"/>
                <w:sz w:val="22"/>
                <w:szCs w:val="22"/>
              </w:rPr>
              <w:t>AVOL</w:t>
            </w:r>
            <w:r w:rsidRPr="0003281F">
              <w:rPr>
                <w:rFonts w:eastAsia="Times New Roman"/>
                <w:color w:val="000000"/>
                <w:sz w:val="22"/>
                <w:szCs w:val="22"/>
              </w:rPr>
              <w:t xml:space="preserve"> and </w:t>
            </w:r>
            <w:r w:rsidRPr="0003281F">
              <w:rPr>
                <w:rFonts w:eastAsia="Times New Roman"/>
                <w:i/>
                <w:iCs/>
                <w:color w:val="000000"/>
                <w:sz w:val="22"/>
                <w:szCs w:val="22"/>
              </w:rPr>
              <w:t>ASPREAD</w:t>
            </w:r>
          </w:p>
        </w:tc>
        <w:tc>
          <w:tcPr>
            <w:tcW w:w="2080" w:type="dxa"/>
            <w:tcBorders>
              <w:top w:val="nil"/>
              <w:left w:val="nil"/>
              <w:bottom w:val="nil"/>
              <w:right w:val="nil"/>
            </w:tcBorders>
            <w:shd w:val="clear" w:color="auto" w:fill="auto"/>
            <w:noWrap/>
            <w:vAlign w:val="bottom"/>
            <w:hideMark/>
          </w:tcPr>
          <w:p w14:paraId="34DB4007" w14:textId="77777777" w:rsidR="00873E37" w:rsidRPr="0003281F" w:rsidRDefault="00873E37" w:rsidP="001853E3">
            <w:pPr>
              <w:widowControl w:val="0"/>
              <w:jc w:val="right"/>
              <w:rPr>
                <w:rFonts w:eastAsia="Times New Roman"/>
                <w:color w:val="000000"/>
                <w:sz w:val="22"/>
                <w:szCs w:val="22"/>
              </w:rPr>
            </w:pPr>
            <w:r w:rsidRPr="0003281F">
              <w:rPr>
                <w:rFonts w:eastAsia="Times New Roman"/>
                <w:color w:val="000000"/>
                <w:sz w:val="22"/>
                <w:szCs w:val="22"/>
              </w:rPr>
              <w:t>(82)</w:t>
            </w:r>
          </w:p>
        </w:tc>
      </w:tr>
      <w:tr w:rsidR="00873E37" w:rsidRPr="0003281F" w14:paraId="13D5333E" w14:textId="77777777" w:rsidTr="00873E37">
        <w:trPr>
          <w:trHeight w:val="300"/>
        </w:trPr>
        <w:tc>
          <w:tcPr>
            <w:tcW w:w="6960" w:type="dxa"/>
            <w:tcBorders>
              <w:top w:val="nil"/>
              <w:left w:val="nil"/>
              <w:bottom w:val="nil"/>
              <w:right w:val="nil"/>
            </w:tcBorders>
            <w:shd w:val="clear" w:color="auto" w:fill="auto"/>
            <w:noWrap/>
            <w:vAlign w:val="bottom"/>
            <w:hideMark/>
          </w:tcPr>
          <w:p w14:paraId="1F01A025" w14:textId="77777777" w:rsidR="00873E37" w:rsidRPr="0003281F" w:rsidRDefault="00873E37" w:rsidP="001853E3">
            <w:pPr>
              <w:widowControl w:val="0"/>
              <w:rPr>
                <w:rFonts w:eastAsia="Times New Roman"/>
                <w:color w:val="000000"/>
                <w:sz w:val="22"/>
                <w:szCs w:val="22"/>
              </w:rPr>
            </w:pPr>
            <w:r w:rsidRPr="0003281F">
              <w:rPr>
                <w:rFonts w:eastAsia="Times New Roman"/>
                <w:color w:val="000000"/>
                <w:sz w:val="22"/>
                <w:szCs w:val="22"/>
              </w:rPr>
              <w:t>Less: Firms missing data necessary to compute control variables</w:t>
            </w:r>
          </w:p>
        </w:tc>
        <w:tc>
          <w:tcPr>
            <w:tcW w:w="2080" w:type="dxa"/>
            <w:tcBorders>
              <w:top w:val="nil"/>
              <w:left w:val="nil"/>
              <w:bottom w:val="single" w:sz="4" w:space="0" w:color="auto"/>
              <w:right w:val="nil"/>
            </w:tcBorders>
            <w:shd w:val="clear" w:color="auto" w:fill="auto"/>
            <w:noWrap/>
            <w:vAlign w:val="bottom"/>
            <w:hideMark/>
          </w:tcPr>
          <w:p w14:paraId="1C696F07" w14:textId="77777777" w:rsidR="00873E37" w:rsidRPr="0003281F" w:rsidRDefault="00873E37" w:rsidP="001853E3">
            <w:pPr>
              <w:widowControl w:val="0"/>
              <w:jc w:val="right"/>
              <w:rPr>
                <w:rFonts w:eastAsia="Times New Roman"/>
                <w:color w:val="000000"/>
                <w:sz w:val="22"/>
                <w:szCs w:val="22"/>
              </w:rPr>
            </w:pPr>
            <w:r w:rsidRPr="0003281F">
              <w:rPr>
                <w:rFonts w:eastAsia="Times New Roman"/>
                <w:color w:val="000000"/>
                <w:sz w:val="22"/>
                <w:szCs w:val="22"/>
              </w:rPr>
              <w:t>(35)</w:t>
            </w:r>
          </w:p>
        </w:tc>
      </w:tr>
      <w:tr w:rsidR="00873E37" w:rsidRPr="0003281F" w14:paraId="238039F7" w14:textId="77777777" w:rsidTr="00873E37">
        <w:trPr>
          <w:trHeight w:val="300"/>
        </w:trPr>
        <w:tc>
          <w:tcPr>
            <w:tcW w:w="6960" w:type="dxa"/>
            <w:tcBorders>
              <w:top w:val="nil"/>
              <w:left w:val="nil"/>
              <w:bottom w:val="nil"/>
              <w:right w:val="nil"/>
            </w:tcBorders>
            <w:shd w:val="clear" w:color="auto" w:fill="auto"/>
            <w:noWrap/>
            <w:vAlign w:val="bottom"/>
            <w:hideMark/>
          </w:tcPr>
          <w:p w14:paraId="751B80E0" w14:textId="77777777" w:rsidR="00873E37" w:rsidRPr="0003281F" w:rsidRDefault="00873E37" w:rsidP="001853E3">
            <w:pPr>
              <w:widowControl w:val="0"/>
              <w:rPr>
                <w:rFonts w:eastAsia="Times New Roman"/>
                <w:b/>
                <w:color w:val="000000"/>
                <w:sz w:val="22"/>
                <w:szCs w:val="22"/>
              </w:rPr>
            </w:pPr>
            <w:r w:rsidRPr="0003281F">
              <w:rPr>
                <w:rFonts w:eastAsia="Times New Roman"/>
                <w:b/>
                <w:color w:val="000000"/>
                <w:sz w:val="22"/>
                <w:szCs w:val="22"/>
              </w:rPr>
              <w:t>Final Sample (firm observations)</w:t>
            </w:r>
          </w:p>
        </w:tc>
        <w:tc>
          <w:tcPr>
            <w:tcW w:w="2080" w:type="dxa"/>
            <w:tcBorders>
              <w:top w:val="nil"/>
              <w:left w:val="nil"/>
              <w:bottom w:val="nil"/>
              <w:right w:val="nil"/>
            </w:tcBorders>
            <w:shd w:val="clear" w:color="auto" w:fill="auto"/>
            <w:noWrap/>
            <w:vAlign w:val="bottom"/>
            <w:hideMark/>
          </w:tcPr>
          <w:p w14:paraId="3B2C09C9" w14:textId="77777777" w:rsidR="00873E37" w:rsidRPr="0003281F" w:rsidRDefault="00873E37" w:rsidP="001853E3">
            <w:pPr>
              <w:widowControl w:val="0"/>
              <w:jc w:val="right"/>
              <w:rPr>
                <w:rFonts w:eastAsia="Times New Roman"/>
                <w:b/>
                <w:color w:val="000000"/>
                <w:sz w:val="22"/>
                <w:szCs w:val="22"/>
              </w:rPr>
            </w:pPr>
            <w:r w:rsidRPr="0003281F">
              <w:rPr>
                <w:rFonts w:eastAsia="Times New Roman"/>
                <w:b/>
                <w:color w:val="000000"/>
                <w:sz w:val="22"/>
                <w:szCs w:val="22"/>
              </w:rPr>
              <w:t xml:space="preserve">291 </w:t>
            </w:r>
          </w:p>
        </w:tc>
      </w:tr>
      <w:tr w:rsidR="00873E37" w:rsidRPr="0003281F" w14:paraId="58D6065A" w14:textId="77777777" w:rsidTr="00873E37">
        <w:trPr>
          <w:trHeight w:val="300"/>
        </w:trPr>
        <w:tc>
          <w:tcPr>
            <w:tcW w:w="6960" w:type="dxa"/>
            <w:tcBorders>
              <w:top w:val="nil"/>
              <w:left w:val="nil"/>
              <w:bottom w:val="single" w:sz="4" w:space="0" w:color="auto"/>
              <w:right w:val="nil"/>
            </w:tcBorders>
            <w:shd w:val="clear" w:color="auto" w:fill="auto"/>
            <w:noWrap/>
            <w:vAlign w:val="bottom"/>
            <w:hideMark/>
          </w:tcPr>
          <w:p w14:paraId="093C7953" w14:textId="77777777" w:rsidR="00873E37" w:rsidRPr="0003281F" w:rsidRDefault="00873E37" w:rsidP="001853E3">
            <w:pPr>
              <w:widowControl w:val="0"/>
              <w:rPr>
                <w:rFonts w:eastAsia="Times New Roman"/>
                <w:b/>
                <w:color w:val="000000"/>
                <w:sz w:val="22"/>
                <w:szCs w:val="22"/>
              </w:rPr>
            </w:pPr>
            <w:r w:rsidRPr="0003281F">
              <w:rPr>
                <w:rFonts w:eastAsia="Times New Roman"/>
                <w:b/>
                <w:color w:val="000000"/>
                <w:sz w:val="22"/>
                <w:szCs w:val="22"/>
              </w:rPr>
              <w:t>Final Sample (firm-year observations)</w:t>
            </w:r>
          </w:p>
        </w:tc>
        <w:tc>
          <w:tcPr>
            <w:tcW w:w="2080" w:type="dxa"/>
            <w:tcBorders>
              <w:top w:val="nil"/>
              <w:left w:val="nil"/>
              <w:bottom w:val="single" w:sz="4" w:space="0" w:color="auto"/>
              <w:right w:val="nil"/>
            </w:tcBorders>
            <w:shd w:val="clear" w:color="auto" w:fill="auto"/>
            <w:noWrap/>
            <w:vAlign w:val="bottom"/>
            <w:hideMark/>
          </w:tcPr>
          <w:p w14:paraId="7007084B" w14:textId="77777777" w:rsidR="00873E37" w:rsidRPr="0003281F" w:rsidRDefault="00873E37" w:rsidP="001853E3">
            <w:pPr>
              <w:widowControl w:val="0"/>
              <w:jc w:val="right"/>
              <w:rPr>
                <w:rFonts w:eastAsia="Times New Roman"/>
                <w:b/>
                <w:color w:val="000000"/>
                <w:sz w:val="22"/>
                <w:szCs w:val="22"/>
              </w:rPr>
            </w:pPr>
            <w:r w:rsidRPr="0003281F">
              <w:rPr>
                <w:rFonts w:eastAsia="Times New Roman"/>
                <w:b/>
                <w:color w:val="000000"/>
                <w:sz w:val="22"/>
                <w:szCs w:val="22"/>
              </w:rPr>
              <w:t xml:space="preserve">582 </w:t>
            </w:r>
          </w:p>
        </w:tc>
      </w:tr>
    </w:tbl>
    <w:p w14:paraId="10CEFFC9" w14:textId="0879C589" w:rsidR="001D056B" w:rsidRPr="00E26D55" w:rsidRDefault="001D056B" w:rsidP="001853E3">
      <w:pPr>
        <w:widowControl w:val="0"/>
      </w:pPr>
    </w:p>
    <w:p w14:paraId="429BC713" w14:textId="77777777" w:rsidR="001D056B" w:rsidRPr="00E26D55" w:rsidRDefault="001D056B" w:rsidP="001853E3">
      <w:pPr>
        <w:widowControl w:val="0"/>
      </w:pPr>
      <w:r w:rsidRPr="00E26D55">
        <w:br w:type="page"/>
      </w:r>
    </w:p>
    <w:p w14:paraId="6F516738" w14:textId="22065DAF" w:rsidR="005C002A" w:rsidRPr="00E26D55" w:rsidRDefault="00E01C0B" w:rsidP="00EA260E">
      <w:pPr>
        <w:pStyle w:val="Table"/>
      </w:pPr>
      <w:bookmarkStart w:id="102" w:name="_Toc286595535"/>
      <w:r>
        <w:t>Table 2</w:t>
      </w:r>
      <w:r w:rsidR="005C002A" w:rsidRPr="00E26D55">
        <w:t>: Univariate Results</w:t>
      </w:r>
      <w:bookmarkEnd w:id="102"/>
      <w:r w:rsidR="005C002A" w:rsidRPr="00E26D55">
        <w:t xml:space="preserve"> </w:t>
      </w:r>
    </w:p>
    <w:p w14:paraId="20F1CD27" w14:textId="77777777" w:rsidR="005C002A" w:rsidRPr="00E26D55" w:rsidRDefault="005C002A" w:rsidP="001853E3">
      <w:pPr>
        <w:widowControl w:val="0"/>
        <w:jc w:val="both"/>
      </w:pPr>
    </w:p>
    <w:p w14:paraId="775803BE" w14:textId="77777777" w:rsidR="005C002A" w:rsidRPr="00E26D55" w:rsidRDefault="005C002A" w:rsidP="001853E3">
      <w:pPr>
        <w:widowControl w:val="0"/>
        <w:jc w:val="both"/>
      </w:pPr>
    </w:p>
    <w:p w14:paraId="119146EA" w14:textId="4E831FA4" w:rsidR="00EC3EF0" w:rsidRPr="0003281F" w:rsidRDefault="00E01C0B" w:rsidP="001853E3">
      <w:pPr>
        <w:widowControl w:val="0"/>
        <w:ind w:right="360"/>
        <w:jc w:val="both"/>
        <w:rPr>
          <w:sz w:val="22"/>
          <w:szCs w:val="22"/>
        </w:rPr>
      </w:pPr>
      <w:r w:rsidRPr="0003281F">
        <w:rPr>
          <w:sz w:val="22"/>
          <w:szCs w:val="22"/>
        </w:rPr>
        <w:t>Table 2</w:t>
      </w:r>
      <w:r w:rsidR="005C002A" w:rsidRPr="0003281F">
        <w:rPr>
          <w:sz w:val="22"/>
          <w:szCs w:val="22"/>
        </w:rPr>
        <w:t xml:space="preserve"> presents the differences in means between the pre-period and post-period for each variable of interest (</w:t>
      </w:r>
      <w:r w:rsidR="005C002A" w:rsidRPr="0003281F">
        <w:rPr>
          <w:i/>
          <w:sz w:val="22"/>
          <w:szCs w:val="22"/>
        </w:rPr>
        <w:t>AVOL</w:t>
      </w:r>
      <w:r w:rsidR="005C002A" w:rsidRPr="0003281F">
        <w:rPr>
          <w:sz w:val="22"/>
          <w:szCs w:val="22"/>
        </w:rPr>
        <w:t xml:space="preserve"> and </w:t>
      </w:r>
      <w:r w:rsidR="005C002A" w:rsidRPr="0003281F">
        <w:rPr>
          <w:i/>
          <w:sz w:val="22"/>
          <w:szCs w:val="22"/>
        </w:rPr>
        <w:t>ASPREAD</w:t>
      </w:r>
      <w:r w:rsidR="005C002A" w:rsidRPr="0003281F">
        <w:rPr>
          <w:sz w:val="22"/>
          <w:szCs w:val="22"/>
        </w:rPr>
        <w:t>) as well as each control variable i</w:t>
      </w:r>
      <w:r w:rsidR="00EC3EF0" w:rsidRPr="0003281F">
        <w:rPr>
          <w:sz w:val="22"/>
          <w:szCs w:val="22"/>
        </w:rPr>
        <w:t>n equ</w:t>
      </w:r>
      <w:r w:rsidR="004754CC" w:rsidRPr="0003281F">
        <w:rPr>
          <w:sz w:val="22"/>
          <w:szCs w:val="22"/>
        </w:rPr>
        <w:t xml:space="preserve">ations (1) and (2). All variables are defined in </w:t>
      </w:r>
      <w:r w:rsidR="00B01688">
        <w:rPr>
          <w:sz w:val="22"/>
          <w:szCs w:val="22"/>
        </w:rPr>
        <w:t>Appendix B</w:t>
      </w:r>
      <w:r w:rsidR="004754CC" w:rsidRPr="0003281F">
        <w:rPr>
          <w:sz w:val="22"/>
          <w:szCs w:val="22"/>
        </w:rPr>
        <w:t xml:space="preserve">. </w:t>
      </w:r>
      <w:r w:rsidR="00EC3EF0" w:rsidRPr="0003281F">
        <w:rPr>
          <w:sz w:val="22"/>
          <w:szCs w:val="22"/>
        </w:rPr>
        <w:t>**</w:t>
      </w:r>
      <w:r w:rsidR="005C002A" w:rsidRPr="0003281F">
        <w:rPr>
          <w:sz w:val="22"/>
          <w:szCs w:val="22"/>
        </w:rPr>
        <w:t xml:space="preserve"> and **</w:t>
      </w:r>
      <w:r w:rsidR="00EC3EF0" w:rsidRPr="0003281F">
        <w:rPr>
          <w:sz w:val="22"/>
          <w:szCs w:val="22"/>
        </w:rPr>
        <w:t>*</w:t>
      </w:r>
      <w:r w:rsidR="005C002A" w:rsidRPr="0003281F">
        <w:rPr>
          <w:sz w:val="22"/>
          <w:szCs w:val="22"/>
        </w:rPr>
        <w:t xml:space="preserve"> </w:t>
      </w:r>
      <w:r w:rsidR="00EC3EF0" w:rsidRPr="0003281F">
        <w:rPr>
          <w:sz w:val="22"/>
          <w:szCs w:val="22"/>
        </w:rPr>
        <w:t xml:space="preserve">indicate significance at the 0.05 and 0.01 levels, respectively (based on one-tailed tests when a direction is predicted, two-tailed otherwise). </w:t>
      </w:r>
    </w:p>
    <w:p w14:paraId="0D6995F7" w14:textId="77777777" w:rsidR="00261BF2" w:rsidRPr="0003281F" w:rsidRDefault="00261BF2" w:rsidP="001853E3">
      <w:pPr>
        <w:widowControl w:val="0"/>
        <w:rPr>
          <w:sz w:val="22"/>
          <w:szCs w:val="22"/>
        </w:rPr>
      </w:pPr>
    </w:p>
    <w:p w14:paraId="0ECBBD34" w14:textId="77777777" w:rsidR="005C002A" w:rsidRPr="0003281F" w:rsidRDefault="005C002A" w:rsidP="001853E3">
      <w:pPr>
        <w:widowControl w:val="0"/>
        <w:rPr>
          <w:sz w:val="22"/>
          <w:szCs w:val="22"/>
        </w:rPr>
      </w:pPr>
    </w:p>
    <w:tbl>
      <w:tblPr>
        <w:tblW w:w="9371" w:type="dxa"/>
        <w:tblInd w:w="93" w:type="dxa"/>
        <w:tblLook w:val="04A0" w:firstRow="1" w:lastRow="0" w:firstColumn="1" w:lastColumn="0" w:noHBand="0" w:noVBand="1"/>
      </w:tblPr>
      <w:tblGrid>
        <w:gridCol w:w="2481"/>
        <w:gridCol w:w="640"/>
        <w:gridCol w:w="1428"/>
        <w:gridCol w:w="1428"/>
        <w:gridCol w:w="1578"/>
        <w:gridCol w:w="1108"/>
        <w:gridCol w:w="708"/>
      </w:tblGrid>
      <w:tr w:rsidR="00EC3EF0" w:rsidRPr="0003281F" w14:paraId="5949C187" w14:textId="77777777" w:rsidTr="00EC3EF0">
        <w:trPr>
          <w:trHeight w:val="320"/>
        </w:trPr>
        <w:tc>
          <w:tcPr>
            <w:tcW w:w="2481" w:type="dxa"/>
            <w:tcBorders>
              <w:top w:val="single" w:sz="4" w:space="0" w:color="auto"/>
              <w:left w:val="nil"/>
              <w:bottom w:val="nil"/>
              <w:right w:val="nil"/>
            </w:tcBorders>
            <w:shd w:val="clear" w:color="auto" w:fill="auto"/>
            <w:noWrap/>
            <w:vAlign w:val="bottom"/>
            <w:hideMark/>
          </w:tcPr>
          <w:p w14:paraId="70CAEE9F"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 </w:t>
            </w:r>
          </w:p>
        </w:tc>
        <w:tc>
          <w:tcPr>
            <w:tcW w:w="640" w:type="dxa"/>
            <w:tcBorders>
              <w:top w:val="single" w:sz="4" w:space="0" w:color="auto"/>
              <w:left w:val="nil"/>
              <w:bottom w:val="nil"/>
              <w:right w:val="nil"/>
            </w:tcBorders>
            <w:shd w:val="clear" w:color="auto" w:fill="auto"/>
            <w:noWrap/>
            <w:vAlign w:val="bottom"/>
            <w:hideMark/>
          </w:tcPr>
          <w:p w14:paraId="34314EFC" w14:textId="77777777" w:rsidR="00EC3EF0" w:rsidRPr="0003281F" w:rsidRDefault="00EC3EF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428" w:type="dxa"/>
            <w:tcBorders>
              <w:top w:val="single" w:sz="4" w:space="0" w:color="auto"/>
              <w:left w:val="nil"/>
              <w:bottom w:val="nil"/>
              <w:right w:val="nil"/>
            </w:tcBorders>
            <w:shd w:val="clear" w:color="auto" w:fill="auto"/>
            <w:noWrap/>
            <w:vAlign w:val="bottom"/>
            <w:hideMark/>
          </w:tcPr>
          <w:p w14:paraId="62AFF1E3" w14:textId="77777777" w:rsidR="00EC3EF0" w:rsidRPr="0003281F" w:rsidRDefault="00EC3EF0" w:rsidP="001853E3">
            <w:pPr>
              <w:widowControl w:val="0"/>
              <w:jc w:val="center"/>
              <w:rPr>
                <w:rFonts w:eastAsia="Times New Roman"/>
                <w:b/>
                <w:bCs/>
                <w:color w:val="000000"/>
                <w:sz w:val="22"/>
                <w:szCs w:val="22"/>
              </w:rPr>
            </w:pPr>
            <w:r w:rsidRPr="0003281F">
              <w:rPr>
                <w:rFonts w:eastAsia="Times New Roman"/>
                <w:b/>
                <w:bCs/>
                <w:i/>
                <w:iCs/>
                <w:color w:val="000000"/>
                <w:sz w:val="22"/>
                <w:szCs w:val="22"/>
              </w:rPr>
              <w:t>POST</w:t>
            </w:r>
            <w:r w:rsidRPr="0003281F">
              <w:rPr>
                <w:rFonts w:eastAsia="Times New Roman"/>
                <w:b/>
                <w:bCs/>
                <w:color w:val="000000"/>
                <w:sz w:val="22"/>
                <w:szCs w:val="22"/>
              </w:rPr>
              <w:t>=0</w:t>
            </w:r>
          </w:p>
        </w:tc>
        <w:tc>
          <w:tcPr>
            <w:tcW w:w="1428" w:type="dxa"/>
            <w:tcBorders>
              <w:top w:val="single" w:sz="4" w:space="0" w:color="auto"/>
              <w:left w:val="nil"/>
              <w:bottom w:val="nil"/>
              <w:right w:val="nil"/>
            </w:tcBorders>
            <w:shd w:val="clear" w:color="auto" w:fill="auto"/>
            <w:noWrap/>
            <w:vAlign w:val="bottom"/>
            <w:hideMark/>
          </w:tcPr>
          <w:p w14:paraId="12DF713A" w14:textId="77777777" w:rsidR="00EC3EF0" w:rsidRPr="0003281F" w:rsidRDefault="00EC3EF0" w:rsidP="001853E3">
            <w:pPr>
              <w:widowControl w:val="0"/>
              <w:jc w:val="center"/>
              <w:rPr>
                <w:rFonts w:eastAsia="Times New Roman"/>
                <w:b/>
                <w:bCs/>
                <w:color w:val="000000"/>
                <w:sz w:val="22"/>
                <w:szCs w:val="22"/>
              </w:rPr>
            </w:pPr>
            <w:r w:rsidRPr="0003281F">
              <w:rPr>
                <w:rFonts w:eastAsia="Times New Roman"/>
                <w:b/>
                <w:bCs/>
                <w:i/>
                <w:iCs/>
                <w:color w:val="000000"/>
                <w:sz w:val="22"/>
                <w:szCs w:val="22"/>
              </w:rPr>
              <w:t>POST</w:t>
            </w:r>
            <w:r w:rsidRPr="0003281F">
              <w:rPr>
                <w:rFonts w:eastAsia="Times New Roman"/>
                <w:b/>
                <w:bCs/>
                <w:color w:val="000000"/>
                <w:sz w:val="22"/>
                <w:szCs w:val="22"/>
              </w:rPr>
              <w:t>=1</w:t>
            </w:r>
          </w:p>
        </w:tc>
        <w:tc>
          <w:tcPr>
            <w:tcW w:w="1578" w:type="dxa"/>
            <w:tcBorders>
              <w:top w:val="single" w:sz="4" w:space="0" w:color="auto"/>
              <w:left w:val="nil"/>
              <w:bottom w:val="nil"/>
              <w:right w:val="nil"/>
            </w:tcBorders>
            <w:shd w:val="clear" w:color="auto" w:fill="auto"/>
            <w:noWrap/>
            <w:vAlign w:val="bottom"/>
            <w:hideMark/>
          </w:tcPr>
          <w:p w14:paraId="210776CB" w14:textId="77777777" w:rsidR="00EC3EF0" w:rsidRPr="0003281F" w:rsidRDefault="00EC3EF0" w:rsidP="001853E3">
            <w:pPr>
              <w:widowControl w:val="0"/>
              <w:rPr>
                <w:rFonts w:eastAsia="Times New Roman"/>
                <w:b/>
                <w:bCs/>
                <w:color w:val="000000"/>
                <w:sz w:val="22"/>
                <w:szCs w:val="22"/>
              </w:rPr>
            </w:pPr>
            <w:r w:rsidRPr="0003281F">
              <w:rPr>
                <w:rFonts w:eastAsia="Times New Roman"/>
                <w:b/>
                <w:bCs/>
                <w:color w:val="000000"/>
                <w:sz w:val="22"/>
                <w:szCs w:val="22"/>
              </w:rPr>
              <w:t> </w:t>
            </w:r>
          </w:p>
        </w:tc>
        <w:tc>
          <w:tcPr>
            <w:tcW w:w="1108" w:type="dxa"/>
            <w:tcBorders>
              <w:top w:val="single" w:sz="4" w:space="0" w:color="auto"/>
              <w:left w:val="nil"/>
              <w:bottom w:val="nil"/>
              <w:right w:val="nil"/>
            </w:tcBorders>
            <w:shd w:val="clear" w:color="auto" w:fill="auto"/>
            <w:noWrap/>
            <w:vAlign w:val="bottom"/>
            <w:hideMark/>
          </w:tcPr>
          <w:p w14:paraId="3665107B" w14:textId="77777777" w:rsidR="00EC3EF0" w:rsidRPr="0003281F" w:rsidRDefault="00EC3EF0" w:rsidP="001853E3">
            <w:pPr>
              <w:widowControl w:val="0"/>
              <w:rPr>
                <w:rFonts w:eastAsia="Times New Roman"/>
                <w:b/>
                <w:bCs/>
                <w:color w:val="000000"/>
                <w:sz w:val="22"/>
                <w:szCs w:val="22"/>
              </w:rPr>
            </w:pPr>
            <w:r w:rsidRPr="0003281F">
              <w:rPr>
                <w:rFonts w:eastAsia="Times New Roman"/>
                <w:b/>
                <w:bCs/>
                <w:color w:val="000000"/>
                <w:sz w:val="22"/>
                <w:szCs w:val="22"/>
              </w:rPr>
              <w:t> </w:t>
            </w:r>
          </w:p>
        </w:tc>
        <w:tc>
          <w:tcPr>
            <w:tcW w:w="708" w:type="dxa"/>
            <w:tcBorders>
              <w:top w:val="single" w:sz="4" w:space="0" w:color="auto"/>
              <w:left w:val="nil"/>
              <w:bottom w:val="nil"/>
              <w:right w:val="nil"/>
            </w:tcBorders>
            <w:shd w:val="clear" w:color="auto" w:fill="auto"/>
            <w:noWrap/>
            <w:vAlign w:val="bottom"/>
            <w:hideMark/>
          </w:tcPr>
          <w:p w14:paraId="5E360424"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 </w:t>
            </w:r>
          </w:p>
        </w:tc>
      </w:tr>
      <w:tr w:rsidR="00EC3EF0" w:rsidRPr="0003281F" w14:paraId="0271742B" w14:textId="77777777" w:rsidTr="00EC3EF0">
        <w:trPr>
          <w:trHeight w:val="320"/>
        </w:trPr>
        <w:tc>
          <w:tcPr>
            <w:tcW w:w="2481" w:type="dxa"/>
            <w:tcBorders>
              <w:top w:val="nil"/>
              <w:left w:val="nil"/>
              <w:bottom w:val="single" w:sz="4" w:space="0" w:color="auto"/>
              <w:right w:val="nil"/>
            </w:tcBorders>
            <w:shd w:val="clear" w:color="auto" w:fill="auto"/>
            <w:noWrap/>
            <w:vAlign w:val="bottom"/>
            <w:hideMark/>
          </w:tcPr>
          <w:p w14:paraId="7D9239D2"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 </w:t>
            </w:r>
          </w:p>
        </w:tc>
        <w:tc>
          <w:tcPr>
            <w:tcW w:w="640" w:type="dxa"/>
            <w:tcBorders>
              <w:top w:val="nil"/>
              <w:left w:val="nil"/>
              <w:bottom w:val="single" w:sz="4" w:space="0" w:color="auto"/>
              <w:right w:val="nil"/>
            </w:tcBorders>
            <w:shd w:val="clear" w:color="auto" w:fill="auto"/>
            <w:noWrap/>
            <w:vAlign w:val="bottom"/>
            <w:hideMark/>
          </w:tcPr>
          <w:p w14:paraId="6DC12F10" w14:textId="77777777" w:rsidR="00EC3EF0" w:rsidRPr="0003281F" w:rsidRDefault="00EC3EF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428" w:type="dxa"/>
            <w:tcBorders>
              <w:top w:val="nil"/>
              <w:left w:val="nil"/>
              <w:bottom w:val="single" w:sz="4" w:space="0" w:color="auto"/>
              <w:right w:val="nil"/>
            </w:tcBorders>
            <w:shd w:val="clear" w:color="auto" w:fill="auto"/>
            <w:noWrap/>
            <w:vAlign w:val="bottom"/>
            <w:hideMark/>
          </w:tcPr>
          <w:p w14:paraId="273769BB" w14:textId="77777777" w:rsidR="00EC3EF0" w:rsidRPr="0003281F" w:rsidRDefault="00EC3EF0" w:rsidP="001853E3">
            <w:pPr>
              <w:widowControl w:val="0"/>
              <w:jc w:val="center"/>
              <w:rPr>
                <w:rFonts w:eastAsia="Times New Roman"/>
                <w:b/>
                <w:bCs/>
                <w:color w:val="000000"/>
                <w:sz w:val="22"/>
                <w:szCs w:val="22"/>
              </w:rPr>
            </w:pPr>
            <w:r w:rsidRPr="0003281F">
              <w:rPr>
                <w:rFonts w:eastAsia="Times New Roman"/>
                <w:b/>
                <w:bCs/>
                <w:color w:val="000000"/>
                <w:sz w:val="22"/>
                <w:szCs w:val="22"/>
              </w:rPr>
              <w:t>(N=291)</w:t>
            </w:r>
          </w:p>
        </w:tc>
        <w:tc>
          <w:tcPr>
            <w:tcW w:w="1428" w:type="dxa"/>
            <w:tcBorders>
              <w:top w:val="nil"/>
              <w:left w:val="nil"/>
              <w:bottom w:val="single" w:sz="4" w:space="0" w:color="auto"/>
              <w:right w:val="nil"/>
            </w:tcBorders>
            <w:shd w:val="clear" w:color="auto" w:fill="auto"/>
            <w:noWrap/>
            <w:vAlign w:val="bottom"/>
            <w:hideMark/>
          </w:tcPr>
          <w:p w14:paraId="13DFFA96" w14:textId="77777777" w:rsidR="00EC3EF0" w:rsidRPr="0003281F" w:rsidRDefault="00EC3EF0" w:rsidP="001853E3">
            <w:pPr>
              <w:widowControl w:val="0"/>
              <w:jc w:val="center"/>
              <w:rPr>
                <w:rFonts w:eastAsia="Times New Roman"/>
                <w:b/>
                <w:bCs/>
                <w:color w:val="000000"/>
                <w:sz w:val="22"/>
                <w:szCs w:val="22"/>
              </w:rPr>
            </w:pPr>
            <w:r w:rsidRPr="0003281F">
              <w:rPr>
                <w:rFonts w:eastAsia="Times New Roman"/>
                <w:b/>
                <w:bCs/>
                <w:color w:val="000000"/>
                <w:sz w:val="22"/>
                <w:szCs w:val="22"/>
              </w:rPr>
              <w:t>(N=291)</w:t>
            </w:r>
          </w:p>
        </w:tc>
        <w:tc>
          <w:tcPr>
            <w:tcW w:w="1578" w:type="dxa"/>
            <w:tcBorders>
              <w:top w:val="nil"/>
              <w:left w:val="nil"/>
              <w:bottom w:val="single" w:sz="4" w:space="0" w:color="auto"/>
              <w:right w:val="nil"/>
            </w:tcBorders>
            <w:shd w:val="clear" w:color="auto" w:fill="auto"/>
            <w:noWrap/>
            <w:vAlign w:val="bottom"/>
            <w:hideMark/>
          </w:tcPr>
          <w:p w14:paraId="129D0331" w14:textId="77777777" w:rsidR="00EC3EF0" w:rsidRPr="0003281F" w:rsidRDefault="00EC3EF0" w:rsidP="001853E3">
            <w:pPr>
              <w:widowControl w:val="0"/>
              <w:jc w:val="center"/>
              <w:rPr>
                <w:rFonts w:eastAsia="Times New Roman"/>
                <w:b/>
                <w:bCs/>
                <w:color w:val="000000"/>
                <w:sz w:val="22"/>
                <w:szCs w:val="22"/>
              </w:rPr>
            </w:pPr>
            <w:r w:rsidRPr="0003281F">
              <w:rPr>
                <w:rFonts w:eastAsia="Times New Roman"/>
                <w:b/>
                <w:bCs/>
                <w:color w:val="000000"/>
                <w:sz w:val="22"/>
                <w:szCs w:val="22"/>
              </w:rPr>
              <w:t>Difference</w:t>
            </w:r>
          </w:p>
        </w:tc>
        <w:tc>
          <w:tcPr>
            <w:tcW w:w="1108" w:type="dxa"/>
            <w:tcBorders>
              <w:top w:val="nil"/>
              <w:left w:val="nil"/>
              <w:bottom w:val="single" w:sz="4" w:space="0" w:color="auto"/>
              <w:right w:val="nil"/>
            </w:tcBorders>
            <w:shd w:val="clear" w:color="auto" w:fill="auto"/>
            <w:noWrap/>
            <w:vAlign w:val="bottom"/>
            <w:hideMark/>
          </w:tcPr>
          <w:p w14:paraId="2C903935" w14:textId="77777777" w:rsidR="00EC3EF0" w:rsidRPr="0003281F" w:rsidRDefault="00EC3EF0" w:rsidP="001853E3">
            <w:pPr>
              <w:widowControl w:val="0"/>
              <w:jc w:val="center"/>
              <w:rPr>
                <w:rFonts w:eastAsia="Times New Roman"/>
                <w:b/>
                <w:bCs/>
                <w:color w:val="000000"/>
                <w:sz w:val="22"/>
                <w:szCs w:val="22"/>
              </w:rPr>
            </w:pPr>
            <w:r w:rsidRPr="0003281F">
              <w:rPr>
                <w:rFonts w:eastAsia="Times New Roman"/>
                <w:b/>
                <w:bCs/>
                <w:color w:val="000000"/>
                <w:sz w:val="22"/>
                <w:szCs w:val="22"/>
              </w:rPr>
              <w:t>p-value</w:t>
            </w:r>
          </w:p>
        </w:tc>
        <w:tc>
          <w:tcPr>
            <w:tcW w:w="708" w:type="dxa"/>
            <w:tcBorders>
              <w:top w:val="nil"/>
              <w:left w:val="nil"/>
              <w:bottom w:val="single" w:sz="4" w:space="0" w:color="auto"/>
              <w:right w:val="nil"/>
            </w:tcBorders>
            <w:shd w:val="clear" w:color="auto" w:fill="auto"/>
            <w:noWrap/>
            <w:vAlign w:val="bottom"/>
            <w:hideMark/>
          </w:tcPr>
          <w:p w14:paraId="33EF67E4"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 </w:t>
            </w:r>
          </w:p>
        </w:tc>
      </w:tr>
      <w:tr w:rsidR="00EC3EF0" w:rsidRPr="0003281F" w14:paraId="36142E02" w14:textId="77777777" w:rsidTr="00EC3EF0">
        <w:trPr>
          <w:trHeight w:val="320"/>
        </w:trPr>
        <w:tc>
          <w:tcPr>
            <w:tcW w:w="2481" w:type="dxa"/>
            <w:tcBorders>
              <w:top w:val="nil"/>
              <w:left w:val="nil"/>
              <w:bottom w:val="nil"/>
              <w:right w:val="nil"/>
            </w:tcBorders>
            <w:shd w:val="clear" w:color="auto" w:fill="auto"/>
            <w:noWrap/>
            <w:vAlign w:val="bottom"/>
            <w:hideMark/>
          </w:tcPr>
          <w:p w14:paraId="55823D08"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AVOL</w:t>
            </w:r>
          </w:p>
        </w:tc>
        <w:tc>
          <w:tcPr>
            <w:tcW w:w="640" w:type="dxa"/>
            <w:tcBorders>
              <w:top w:val="nil"/>
              <w:left w:val="nil"/>
              <w:bottom w:val="nil"/>
              <w:right w:val="nil"/>
            </w:tcBorders>
            <w:shd w:val="clear" w:color="auto" w:fill="auto"/>
            <w:noWrap/>
            <w:vAlign w:val="bottom"/>
            <w:hideMark/>
          </w:tcPr>
          <w:p w14:paraId="006C4A95" w14:textId="77777777" w:rsidR="00EC3EF0" w:rsidRPr="0003281F" w:rsidRDefault="00EC3EF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28" w:type="dxa"/>
            <w:tcBorders>
              <w:top w:val="nil"/>
              <w:left w:val="nil"/>
              <w:bottom w:val="nil"/>
              <w:right w:val="nil"/>
            </w:tcBorders>
            <w:shd w:val="clear" w:color="auto" w:fill="auto"/>
            <w:noWrap/>
            <w:vAlign w:val="bottom"/>
            <w:hideMark/>
          </w:tcPr>
          <w:p w14:paraId="5575E51C"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-0.038</w:t>
            </w:r>
          </w:p>
        </w:tc>
        <w:tc>
          <w:tcPr>
            <w:tcW w:w="1428" w:type="dxa"/>
            <w:tcBorders>
              <w:top w:val="nil"/>
              <w:left w:val="nil"/>
              <w:bottom w:val="nil"/>
              <w:right w:val="nil"/>
            </w:tcBorders>
            <w:shd w:val="clear" w:color="auto" w:fill="auto"/>
            <w:noWrap/>
            <w:vAlign w:val="bottom"/>
            <w:hideMark/>
          </w:tcPr>
          <w:p w14:paraId="26E338BE"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0.096</w:t>
            </w:r>
          </w:p>
        </w:tc>
        <w:tc>
          <w:tcPr>
            <w:tcW w:w="1578" w:type="dxa"/>
            <w:tcBorders>
              <w:top w:val="nil"/>
              <w:left w:val="nil"/>
              <w:bottom w:val="nil"/>
              <w:right w:val="nil"/>
            </w:tcBorders>
            <w:shd w:val="clear" w:color="auto" w:fill="auto"/>
            <w:noWrap/>
            <w:vAlign w:val="bottom"/>
            <w:hideMark/>
          </w:tcPr>
          <w:p w14:paraId="7604A098"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0.133</w:t>
            </w:r>
          </w:p>
        </w:tc>
        <w:tc>
          <w:tcPr>
            <w:tcW w:w="1108" w:type="dxa"/>
            <w:tcBorders>
              <w:top w:val="nil"/>
              <w:left w:val="nil"/>
              <w:bottom w:val="nil"/>
              <w:right w:val="nil"/>
            </w:tcBorders>
            <w:shd w:val="clear" w:color="auto" w:fill="auto"/>
            <w:noWrap/>
            <w:vAlign w:val="bottom"/>
            <w:hideMark/>
          </w:tcPr>
          <w:p w14:paraId="2A91E3AD"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0.041</w:t>
            </w:r>
          </w:p>
        </w:tc>
        <w:tc>
          <w:tcPr>
            <w:tcW w:w="708" w:type="dxa"/>
            <w:tcBorders>
              <w:top w:val="nil"/>
              <w:left w:val="nil"/>
              <w:bottom w:val="nil"/>
              <w:right w:val="nil"/>
            </w:tcBorders>
            <w:shd w:val="clear" w:color="auto" w:fill="auto"/>
            <w:noWrap/>
            <w:vAlign w:val="bottom"/>
            <w:hideMark/>
          </w:tcPr>
          <w:p w14:paraId="39D83273"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w:t>
            </w:r>
          </w:p>
        </w:tc>
      </w:tr>
      <w:tr w:rsidR="00EC3EF0" w:rsidRPr="0003281F" w14:paraId="691B244D" w14:textId="77777777" w:rsidTr="00EC3EF0">
        <w:trPr>
          <w:trHeight w:val="320"/>
        </w:trPr>
        <w:tc>
          <w:tcPr>
            <w:tcW w:w="2481" w:type="dxa"/>
            <w:tcBorders>
              <w:top w:val="nil"/>
              <w:left w:val="nil"/>
              <w:bottom w:val="nil"/>
              <w:right w:val="nil"/>
            </w:tcBorders>
            <w:shd w:val="clear" w:color="auto" w:fill="auto"/>
            <w:noWrap/>
            <w:vAlign w:val="bottom"/>
            <w:hideMark/>
          </w:tcPr>
          <w:p w14:paraId="3F35E076"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ASPREAD</w:t>
            </w:r>
          </w:p>
        </w:tc>
        <w:tc>
          <w:tcPr>
            <w:tcW w:w="640" w:type="dxa"/>
            <w:tcBorders>
              <w:top w:val="nil"/>
              <w:left w:val="nil"/>
              <w:bottom w:val="nil"/>
              <w:right w:val="nil"/>
            </w:tcBorders>
            <w:shd w:val="clear" w:color="auto" w:fill="auto"/>
            <w:noWrap/>
            <w:vAlign w:val="bottom"/>
            <w:hideMark/>
          </w:tcPr>
          <w:p w14:paraId="10F0F1A0" w14:textId="77777777" w:rsidR="00EC3EF0" w:rsidRPr="0003281F" w:rsidRDefault="00EC3EF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28" w:type="dxa"/>
            <w:tcBorders>
              <w:top w:val="nil"/>
              <w:left w:val="nil"/>
              <w:bottom w:val="nil"/>
              <w:right w:val="nil"/>
            </w:tcBorders>
            <w:shd w:val="clear" w:color="auto" w:fill="auto"/>
            <w:noWrap/>
            <w:vAlign w:val="bottom"/>
            <w:hideMark/>
          </w:tcPr>
          <w:p w14:paraId="06724A0A"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0.138</w:t>
            </w:r>
          </w:p>
        </w:tc>
        <w:tc>
          <w:tcPr>
            <w:tcW w:w="1428" w:type="dxa"/>
            <w:tcBorders>
              <w:top w:val="nil"/>
              <w:left w:val="nil"/>
              <w:bottom w:val="nil"/>
              <w:right w:val="nil"/>
            </w:tcBorders>
            <w:shd w:val="clear" w:color="auto" w:fill="auto"/>
            <w:noWrap/>
            <w:vAlign w:val="bottom"/>
            <w:hideMark/>
          </w:tcPr>
          <w:p w14:paraId="698F1CF9"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0.002</w:t>
            </w:r>
          </w:p>
        </w:tc>
        <w:tc>
          <w:tcPr>
            <w:tcW w:w="1578" w:type="dxa"/>
            <w:tcBorders>
              <w:top w:val="nil"/>
              <w:left w:val="nil"/>
              <w:bottom w:val="nil"/>
              <w:right w:val="nil"/>
            </w:tcBorders>
            <w:shd w:val="clear" w:color="auto" w:fill="auto"/>
            <w:noWrap/>
            <w:vAlign w:val="bottom"/>
            <w:hideMark/>
          </w:tcPr>
          <w:p w14:paraId="32577744"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-0.136</w:t>
            </w:r>
          </w:p>
        </w:tc>
        <w:tc>
          <w:tcPr>
            <w:tcW w:w="1108" w:type="dxa"/>
            <w:tcBorders>
              <w:top w:val="nil"/>
              <w:left w:val="nil"/>
              <w:bottom w:val="nil"/>
              <w:right w:val="nil"/>
            </w:tcBorders>
            <w:shd w:val="clear" w:color="auto" w:fill="auto"/>
            <w:noWrap/>
            <w:vAlign w:val="bottom"/>
            <w:hideMark/>
          </w:tcPr>
          <w:p w14:paraId="60873A60"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0.008</w:t>
            </w:r>
          </w:p>
        </w:tc>
        <w:tc>
          <w:tcPr>
            <w:tcW w:w="708" w:type="dxa"/>
            <w:tcBorders>
              <w:top w:val="nil"/>
              <w:left w:val="nil"/>
              <w:bottom w:val="nil"/>
              <w:right w:val="nil"/>
            </w:tcBorders>
            <w:shd w:val="clear" w:color="auto" w:fill="auto"/>
            <w:noWrap/>
            <w:vAlign w:val="bottom"/>
            <w:hideMark/>
          </w:tcPr>
          <w:p w14:paraId="3ED76A70"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w:t>
            </w:r>
          </w:p>
        </w:tc>
      </w:tr>
      <w:tr w:rsidR="00EC3EF0" w:rsidRPr="0003281F" w14:paraId="3BB41B81" w14:textId="77777777" w:rsidTr="00EC3EF0">
        <w:trPr>
          <w:trHeight w:val="320"/>
        </w:trPr>
        <w:tc>
          <w:tcPr>
            <w:tcW w:w="2481" w:type="dxa"/>
            <w:tcBorders>
              <w:top w:val="nil"/>
              <w:left w:val="nil"/>
              <w:bottom w:val="nil"/>
              <w:right w:val="nil"/>
            </w:tcBorders>
            <w:shd w:val="clear" w:color="auto" w:fill="auto"/>
            <w:noWrap/>
            <w:vAlign w:val="bottom"/>
            <w:hideMark/>
          </w:tcPr>
          <w:p w14:paraId="514C811A"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LN_MVE</w:t>
            </w:r>
          </w:p>
        </w:tc>
        <w:tc>
          <w:tcPr>
            <w:tcW w:w="640" w:type="dxa"/>
            <w:tcBorders>
              <w:top w:val="nil"/>
              <w:left w:val="nil"/>
              <w:bottom w:val="nil"/>
              <w:right w:val="nil"/>
            </w:tcBorders>
            <w:shd w:val="clear" w:color="auto" w:fill="auto"/>
            <w:noWrap/>
            <w:vAlign w:val="bottom"/>
            <w:hideMark/>
          </w:tcPr>
          <w:p w14:paraId="7F01A832" w14:textId="2F729533" w:rsidR="00EC3EF0" w:rsidRPr="0003281F" w:rsidRDefault="00EC3EF0" w:rsidP="001853E3">
            <w:pPr>
              <w:widowControl w:val="0"/>
              <w:jc w:val="center"/>
              <w:rPr>
                <w:rFonts w:eastAsia="Times New Roman"/>
                <w:color w:val="000000"/>
                <w:sz w:val="22"/>
                <w:szCs w:val="22"/>
              </w:rPr>
            </w:pPr>
          </w:p>
        </w:tc>
        <w:tc>
          <w:tcPr>
            <w:tcW w:w="1428" w:type="dxa"/>
            <w:tcBorders>
              <w:top w:val="nil"/>
              <w:left w:val="nil"/>
              <w:bottom w:val="nil"/>
              <w:right w:val="nil"/>
            </w:tcBorders>
            <w:shd w:val="clear" w:color="auto" w:fill="auto"/>
            <w:noWrap/>
            <w:vAlign w:val="bottom"/>
            <w:hideMark/>
          </w:tcPr>
          <w:p w14:paraId="7D9E79A0"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14.175</w:t>
            </w:r>
          </w:p>
        </w:tc>
        <w:tc>
          <w:tcPr>
            <w:tcW w:w="1428" w:type="dxa"/>
            <w:tcBorders>
              <w:top w:val="nil"/>
              <w:left w:val="nil"/>
              <w:bottom w:val="nil"/>
              <w:right w:val="nil"/>
            </w:tcBorders>
            <w:shd w:val="clear" w:color="auto" w:fill="auto"/>
            <w:noWrap/>
            <w:vAlign w:val="bottom"/>
            <w:hideMark/>
          </w:tcPr>
          <w:p w14:paraId="43ACEBE1"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14.367</w:t>
            </w:r>
          </w:p>
        </w:tc>
        <w:tc>
          <w:tcPr>
            <w:tcW w:w="1578" w:type="dxa"/>
            <w:tcBorders>
              <w:top w:val="nil"/>
              <w:left w:val="nil"/>
              <w:bottom w:val="nil"/>
              <w:right w:val="nil"/>
            </w:tcBorders>
            <w:shd w:val="clear" w:color="auto" w:fill="auto"/>
            <w:noWrap/>
            <w:vAlign w:val="bottom"/>
            <w:hideMark/>
          </w:tcPr>
          <w:p w14:paraId="5BE20136"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0.193</w:t>
            </w:r>
          </w:p>
        </w:tc>
        <w:tc>
          <w:tcPr>
            <w:tcW w:w="1108" w:type="dxa"/>
            <w:tcBorders>
              <w:top w:val="nil"/>
              <w:left w:val="nil"/>
              <w:bottom w:val="nil"/>
              <w:right w:val="nil"/>
            </w:tcBorders>
            <w:shd w:val="clear" w:color="auto" w:fill="auto"/>
            <w:noWrap/>
            <w:vAlign w:val="bottom"/>
            <w:hideMark/>
          </w:tcPr>
          <w:p w14:paraId="085552BB"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0.205</w:t>
            </w:r>
          </w:p>
        </w:tc>
        <w:tc>
          <w:tcPr>
            <w:tcW w:w="708" w:type="dxa"/>
            <w:tcBorders>
              <w:top w:val="nil"/>
              <w:left w:val="nil"/>
              <w:bottom w:val="nil"/>
              <w:right w:val="nil"/>
            </w:tcBorders>
            <w:shd w:val="clear" w:color="auto" w:fill="auto"/>
            <w:noWrap/>
            <w:vAlign w:val="bottom"/>
            <w:hideMark/>
          </w:tcPr>
          <w:p w14:paraId="4C5388CE" w14:textId="77777777" w:rsidR="00EC3EF0" w:rsidRPr="0003281F" w:rsidRDefault="00EC3EF0" w:rsidP="001853E3">
            <w:pPr>
              <w:widowControl w:val="0"/>
              <w:rPr>
                <w:rFonts w:eastAsia="Times New Roman"/>
                <w:color w:val="000000"/>
                <w:sz w:val="22"/>
                <w:szCs w:val="22"/>
              </w:rPr>
            </w:pPr>
          </w:p>
        </w:tc>
      </w:tr>
      <w:tr w:rsidR="00EC3EF0" w:rsidRPr="0003281F" w14:paraId="3400592D" w14:textId="77777777" w:rsidTr="00EC3EF0">
        <w:trPr>
          <w:trHeight w:val="320"/>
        </w:trPr>
        <w:tc>
          <w:tcPr>
            <w:tcW w:w="2481" w:type="dxa"/>
            <w:tcBorders>
              <w:top w:val="nil"/>
              <w:left w:val="nil"/>
              <w:bottom w:val="nil"/>
              <w:right w:val="nil"/>
            </w:tcBorders>
            <w:shd w:val="clear" w:color="auto" w:fill="auto"/>
            <w:noWrap/>
            <w:vAlign w:val="bottom"/>
            <w:hideMark/>
          </w:tcPr>
          <w:p w14:paraId="07900772"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NUM_ANALYST</w:t>
            </w:r>
          </w:p>
        </w:tc>
        <w:tc>
          <w:tcPr>
            <w:tcW w:w="640" w:type="dxa"/>
            <w:tcBorders>
              <w:top w:val="nil"/>
              <w:left w:val="nil"/>
              <w:bottom w:val="nil"/>
              <w:right w:val="nil"/>
            </w:tcBorders>
            <w:shd w:val="clear" w:color="auto" w:fill="auto"/>
            <w:noWrap/>
            <w:vAlign w:val="bottom"/>
            <w:hideMark/>
          </w:tcPr>
          <w:p w14:paraId="3B7A6340" w14:textId="1D6E5CC4" w:rsidR="00EC3EF0" w:rsidRPr="0003281F" w:rsidRDefault="00EC3EF0" w:rsidP="001853E3">
            <w:pPr>
              <w:widowControl w:val="0"/>
              <w:jc w:val="center"/>
              <w:rPr>
                <w:rFonts w:eastAsia="Times New Roman"/>
                <w:color w:val="000000"/>
                <w:sz w:val="22"/>
                <w:szCs w:val="22"/>
              </w:rPr>
            </w:pPr>
          </w:p>
        </w:tc>
        <w:tc>
          <w:tcPr>
            <w:tcW w:w="1428" w:type="dxa"/>
            <w:tcBorders>
              <w:top w:val="nil"/>
              <w:left w:val="nil"/>
              <w:bottom w:val="nil"/>
              <w:right w:val="nil"/>
            </w:tcBorders>
            <w:shd w:val="clear" w:color="auto" w:fill="auto"/>
            <w:noWrap/>
            <w:vAlign w:val="bottom"/>
            <w:hideMark/>
          </w:tcPr>
          <w:p w14:paraId="613E68FD"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11.694</w:t>
            </w:r>
          </w:p>
        </w:tc>
        <w:tc>
          <w:tcPr>
            <w:tcW w:w="1428" w:type="dxa"/>
            <w:tcBorders>
              <w:top w:val="nil"/>
              <w:left w:val="nil"/>
              <w:bottom w:val="nil"/>
              <w:right w:val="nil"/>
            </w:tcBorders>
            <w:shd w:val="clear" w:color="auto" w:fill="auto"/>
            <w:noWrap/>
            <w:vAlign w:val="bottom"/>
            <w:hideMark/>
          </w:tcPr>
          <w:p w14:paraId="324E8A7A"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11.406</w:t>
            </w:r>
          </w:p>
        </w:tc>
        <w:tc>
          <w:tcPr>
            <w:tcW w:w="1578" w:type="dxa"/>
            <w:tcBorders>
              <w:top w:val="nil"/>
              <w:left w:val="nil"/>
              <w:bottom w:val="nil"/>
              <w:right w:val="nil"/>
            </w:tcBorders>
            <w:shd w:val="clear" w:color="auto" w:fill="auto"/>
            <w:noWrap/>
            <w:vAlign w:val="bottom"/>
            <w:hideMark/>
          </w:tcPr>
          <w:p w14:paraId="0A2338A0"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-0.289</w:t>
            </w:r>
          </w:p>
        </w:tc>
        <w:tc>
          <w:tcPr>
            <w:tcW w:w="1108" w:type="dxa"/>
            <w:tcBorders>
              <w:top w:val="nil"/>
              <w:left w:val="nil"/>
              <w:bottom w:val="nil"/>
              <w:right w:val="nil"/>
            </w:tcBorders>
            <w:shd w:val="clear" w:color="auto" w:fill="auto"/>
            <w:noWrap/>
            <w:vAlign w:val="bottom"/>
            <w:hideMark/>
          </w:tcPr>
          <w:p w14:paraId="043FFE7D"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0.329</w:t>
            </w:r>
          </w:p>
        </w:tc>
        <w:tc>
          <w:tcPr>
            <w:tcW w:w="708" w:type="dxa"/>
            <w:tcBorders>
              <w:top w:val="nil"/>
              <w:left w:val="nil"/>
              <w:bottom w:val="nil"/>
              <w:right w:val="nil"/>
            </w:tcBorders>
            <w:shd w:val="clear" w:color="auto" w:fill="auto"/>
            <w:noWrap/>
            <w:vAlign w:val="bottom"/>
            <w:hideMark/>
          </w:tcPr>
          <w:p w14:paraId="2612A2E8" w14:textId="77777777" w:rsidR="00EC3EF0" w:rsidRPr="0003281F" w:rsidRDefault="00EC3EF0" w:rsidP="001853E3">
            <w:pPr>
              <w:widowControl w:val="0"/>
              <w:rPr>
                <w:rFonts w:eastAsia="Times New Roman"/>
                <w:color w:val="000000"/>
                <w:sz w:val="22"/>
                <w:szCs w:val="22"/>
              </w:rPr>
            </w:pPr>
          </w:p>
        </w:tc>
      </w:tr>
      <w:tr w:rsidR="00EC3EF0" w:rsidRPr="0003281F" w14:paraId="3D98BD6B" w14:textId="77777777" w:rsidTr="00EC3EF0">
        <w:trPr>
          <w:trHeight w:val="320"/>
        </w:trPr>
        <w:tc>
          <w:tcPr>
            <w:tcW w:w="2481" w:type="dxa"/>
            <w:tcBorders>
              <w:top w:val="nil"/>
              <w:left w:val="nil"/>
              <w:bottom w:val="nil"/>
              <w:right w:val="nil"/>
            </w:tcBorders>
            <w:shd w:val="clear" w:color="auto" w:fill="auto"/>
            <w:noWrap/>
            <w:vAlign w:val="bottom"/>
            <w:hideMark/>
          </w:tcPr>
          <w:p w14:paraId="0C69E459"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LAG</w:t>
            </w:r>
          </w:p>
        </w:tc>
        <w:tc>
          <w:tcPr>
            <w:tcW w:w="640" w:type="dxa"/>
            <w:tcBorders>
              <w:top w:val="nil"/>
              <w:left w:val="nil"/>
              <w:bottom w:val="nil"/>
              <w:right w:val="nil"/>
            </w:tcBorders>
            <w:shd w:val="clear" w:color="auto" w:fill="auto"/>
            <w:noWrap/>
            <w:vAlign w:val="bottom"/>
            <w:hideMark/>
          </w:tcPr>
          <w:p w14:paraId="5569EB5E" w14:textId="2DE99EC0" w:rsidR="00EC3EF0" w:rsidRPr="0003281F" w:rsidRDefault="00EC3EF0" w:rsidP="001853E3">
            <w:pPr>
              <w:widowControl w:val="0"/>
              <w:jc w:val="center"/>
              <w:rPr>
                <w:rFonts w:eastAsia="Times New Roman"/>
                <w:color w:val="000000"/>
                <w:sz w:val="22"/>
                <w:szCs w:val="22"/>
              </w:rPr>
            </w:pPr>
          </w:p>
        </w:tc>
        <w:tc>
          <w:tcPr>
            <w:tcW w:w="1428" w:type="dxa"/>
            <w:tcBorders>
              <w:top w:val="nil"/>
              <w:left w:val="nil"/>
              <w:bottom w:val="nil"/>
              <w:right w:val="nil"/>
            </w:tcBorders>
            <w:shd w:val="clear" w:color="auto" w:fill="auto"/>
            <w:noWrap/>
            <w:vAlign w:val="bottom"/>
            <w:hideMark/>
          </w:tcPr>
          <w:p w14:paraId="5B776876"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27.048</w:t>
            </w:r>
          </w:p>
        </w:tc>
        <w:tc>
          <w:tcPr>
            <w:tcW w:w="1428" w:type="dxa"/>
            <w:tcBorders>
              <w:top w:val="nil"/>
              <w:left w:val="nil"/>
              <w:bottom w:val="nil"/>
              <w:right w:val="nil"/>
            </w:tcBorders>
            <w:shd w:val="clear" w:color="auto" w:fill="auto"/>
            <w:noWrap/>
            <w:vAlign w:val="bottom"/>
            <w:hideMark/>
          </w:tcPr>
          <w:p w14:paraId="0EEF659D"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27.828</w:t>
            </w:r>
          </w:p>
        </w:tc>
        <w:tc>
          <w:tcPr>
            <w:tcW w:w="1578" w:type="dxa"/>
            <w:tcBorders>
              <w:top w:val="nil"/>
              <w:left w:val="nil"/>
              <w:bottom w:val="nil"/>
              <w:right w:val="nil"/>
            </w:tcBorders>
            <w:shd w:val="clear" w:color="auto" w:fill="auto"/>
            <w:noWrap/>
            <w:vAlign w:val="bottom"/>
            <w:hideMark/>
          </w:tcPr>
          <w:p w14:paraId="1119FD59"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0.780</w:t>
            </w:r>
          </w:p>
        </w:tc>
        <w:tc>
          <w:tcPr>
            <w:tcW w:w="1108" w:type="dxa"/>
            <w:tcBorders>
              <w:top w:val="nil"/>
              <w:left w:val="nil"/>
              <w:bottom w:val="nil"/>
              <w:right w:val="nil"/>
            </w:tcBorders>
            <w:shd w:val="clear" w:color="auto" w:fill="auto"/>
            <w:noWrap/>
            <w:vAlign w:val="bottom"/>
            <w:hideMark/>
          </w:tcPr>
          <w:p w14:paraId="2D18F37C"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0.257</w:t>
            </w:r>
          </w:p>
        </w:tc>
        <w:tc>
          <w:tcPr>
            <w:tcW w:w="708" w:type="dxa"/>
            <w:tcBorders>
              <w:top w:val="nil"/>
              <w:left w:val="nil"/>
              <w:bottom w:val="nil"/>
              <w:right w:val="nil"/>
            </w:tcBorders>
            <w:shd w:val="clear" w:color="auto" w:fill="auto"/>
            <w:noWrap/>
            <w:vAlign w:val="bottom"/>
            <w:hideMark/>
          </w:tcPr>
          <w:p w14:paraId="31419FB5" w14:textId="77777777" w:rsidR="00EC3EF0" w:rsidRPr="0003281F" w:rsidRDefault="00EC3EF0" w:rsidP="001853E3">
            <w:pPr>
              <w:widowControl w:val="0"/>
              <w:rPr>
                <w:rFonts w:eastAsia="Times New Roman"/>
                <w:color w:val="000000"/>
                <w:sz w:val="22"/>
                <w:szCs w:val="22"/>
              </w:rPr>
            </w:pPr>
          </w:p>
        </w:tc>
      </w:tr>
      <w:tr w:rsidR="00EC3EF0" w:rsidRPr="0003281F" w14:paraId="0F0F7FCC" w14:textId="77777777" w:rsidTr="00EC3EF0">
        <w:trPr>
          <w:trHeight w:val="320"/>
        </w:trPr>
        <w:tc>
          <w:tcPr>
            <w:tcW w:w="2481" w:type="dxa"/>
            <w:tcBorders>
              <w:top w:val="nil"/>
              <w:left w:val="nil"/>
              <w:bottom w:val="nil"/>
              <w:right w:val="nil"/>
            </w:tcBorders>
            <w:shd w:val="clear" w:color="auto" w:fill="auto"/>
            <w:noWrap/>
            <w:vAlign w:val="bottom"/>
            <w:hideMark/>
          </w:tcPr>
          <w:p w14:paraId="27A78378"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DISP</w:t>
            </w:r>
          </w:p>
        </w:tc>
        <w:tc>
          <w:tcPr>
            <w:tcW w:w="640" w:type="dxa"/>
            <w:tcBorders>
              <w:top w:val="nil"/>
              <w:left w:val="nil"/>
              <w:bottom w:val="nil"/>
              <w:right w:val="nil"/>
            </w:tcBorders>
            <w:shd w:val="clear" w:color="auto" w:fill="auto"/>
            <w:noWrap/>
            <w:vAlign w:val="bottom"/>
            <w:hideMark/>
          </w:tcPr>
          <w:p w14:paraId="606B6503" w14:textId="767BF387" w:rsidR="00EC3EF0" w:rsidRPr="0003281F" w:rsidRDefault="00EC3EF0" w:rsidP="001853E3">
            <w:pPr>
              <w:widowControl w:val="0"/>
              <w:jc w:val="center"/>
              <w:rPr>
                <w:rFonts w:eastAsia="Times New Roman"/>
                <w:color w:val="000000"/>
                <w:sz w:val="22"/>
                <w:szCs w:val="22"/>
              </w:rPr>
            </w:pPr>
          </w:p>
        </w:tc>
        <w:tc>
          <w:tcPr>
            <w:tcW w:w="1428" w:type="dxa"/>
            <w:tcBorders>
              <w:top w:val="nil"/>
              <w:left w:val="nil"/>
              <w:bottom w:val="nil"/>
              <w:right w:val="nil"/>
            </w:tcBorders>
            <w:shd w:val="clear" w:color="auto" w:fill="auto"/>
            <w:noWrap/>
            <w:vAlign w:val="bottom"/>
            <w:hideMark/>
          </w:tcPr>
          <w:p w14:paraId="130F1CCD"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0.009</w:t>
            </w:r>
          </w:p>
        </w:tc>
        <w:tc>
          <w:tcPr>
            <w:tcW w:w="1428" w:type="dxa"/>
            <w:tcBorders>
              <w:top w:val="nil"/>
              <w:left w:val="nil"/>
              <w:bottom w:val="nil"/>
              <w:right w:val="nil"/>
            </w:tcBorders>
            <w:shd w:val="clear" w:color="auto" w:fill="auto"/>
            <w:noWrap/>
            <w:vAlign w:val="bottom"/>
            <w:hideMark/>
          </w:tcPr>
          <w:p w14:paraId="45D0AFDA"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0.009</w:t>
            </w:r>
          </w:p>
        </w:tc>
        <w:tc>
          <w:tcPr>
            <w:tcW w:w="1578" w:type="dxa"/>
            <w:tcBorders>
              <w:top w:val="nil"/>
              <w:left w:val="nil"/>
              <w:bottom w:val="nil"/>
              <w:right w:val="nil"/>
            </w:tcBorders>
            <w:shd w:val="clear" w:color="auto" w:fill="auto"/>
            <w:noWrap/>
            <w:vAlign w:val="bottom"/>
            <w:hideMark/>
          </w:tcPr>
          <w:p w14:paraId="71F70DB1"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0.000</w:t>
            </w:r>
          </w:p>
        </w:tc>
        <w:tc>
          <w:tcPr>
            <w:tcW w:w="1108" w:type="dxa"/>
            <w:tcBorders>
              <w:top w:val="nil"/>
              <w:left w:val="nil"/>
              <w:bottom w:val="nil"/>
              <w:right w:val="nil"/>
            </w:tcBorders>
            <w:shd w:val="clear" w:color="auto" w:fill="auto"/>
            <w:noWrap/>
            <w:vAlign w:val="bottom"/>
            <w:hideMark/>
          </w:tcPr>
          <w:p w14:paraId="2DD534CA"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0.826</w:t>
            </w:r>
          </w:p>
        </w:tc>
        <w:tc>
          <w:tcPr>
            <w:tcW w:w="708" w:type="dxa"/>
            <w:tcBorders>
              <w:top w:val="nil"/>
              <w:left w:val="nil"/>
              <w:bottom w:val="nil"/>
              <w:right w:val="nil"/>
            </w:tcBorders>
            <w:shd w:val="clear" w:color="auto" w:fill="auto"/>
            <w:noWrap/>
            <w:vAlign w:val="bottom"/>
            <w:hideMark/>
          </w:tcPr>
          <w:p w14:paraId="6756FC07" w14:textId="77777777" w:rsidR="00EC3EF0" w:rsidRPr="0003281F" w:rsidRDefault="00EC3EF0" w:rsidP="001853E3">
            <w:pPr>
              <w:widowControl w:val="0"/>
              <w:rPr>
                <w:rFonts w:eastAsia="Times New Roman"/>
                <w:color w:val="000000"/>
                <w:sz w:val="22"/>
                <w:szCs w:val="22"/>
              </w:rPr>
            </w:pPr>
          </w:p>
        </w:tc>
      </w:tr>
      <w:tr w:rsidR="00EC3EF0" w:rsidRPr="0003281F" w14:paraId="7D78BD04" w14:textId="77777777" w:rsidTr="00EC3EF0">
        <w:trPr>
          <w:trHeight w:val="320"/>
        </w:trPr>
        <w:tc>
          <w:tcPr>
            <w:tcW w:w="2481" w:type="dxa"/>
            <w:tcBorders>
              <w:top w:val="nil"/>
              <w:left w:val="nil"/>
              <w:bottom w:val="nil"/>
              <w:right w:val="nil"/>
            </w:tcBorders>
            <w:shd w:val="clear" w:color="auto" w:fill="auto"/>
            <w:noWrap/>
            <w:vAlign w:val="bottom"/>
            <w:hideMark/>
          </w:tcPr>
          <w:p w14:paraId="60A6741F"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LOSS</w:t>
            </w:r>
          </w:p>
        </w:tc>
        <w:tc>
          <w:tcPr>
            <w:tcW w:w="640" w:type="dxa"/>
            <w:tcBorders>
              <w:top w:val="nil"/>
              <w:left w:val="nil"/>
              <w:bottom w:val="nil"/>
              <w:right w:val="nil"/>
            </w:tcBorders>
            <w:shd w:val="clear" w:color="auto" w:fill="auto"/>
            <w:noWrap/>
            <w:vAlign w:val="bottom"/>
            <w:hideMark/>
          </w:tcPr>
          <w:p w14:paraId="6CC1C03F" w14:textId="0C3A82B3" w:rsidR="00EC3EF0" w:rsidRPr="0003281F" w:rsidRDefault="00EC3EF0" w:rsidP="001853E3">
            <w:pPr>
              <w:widowControl w:val="0"/>
              <w:jc w:val="center"/>
              <w:rPr>
                <w:rFonts w:eastAsia="Times New Roman"/>
                <w:color w:val="000000"/>
                <w:sz w:val="22"/>
                <w:szCs w:val="22"/>
              </w:rPr>
            </w:pPr>
          </w:p>
        </w:tc>
        <w:tc>
          <w:tcPr>
            <w:tcW w:w="1428" w:type="dxa"/>
            <w:tcBorders>
              <w:top w:val="nil"/>
              <w:left w:val="nil"/>
              <w:bottom w:val="nil"/>
              <w:right w:val="nil"/>
            </w:tcBorders>
            <w:shd w:val="clear" w:color="auto" w:fill="auto"/>
            <w:noWrap/>
            <w:vAlign w:val="bottom"/>
            <w:hideMark/>
          </w:tcPr>
          <w:p w14:paraId="5FF91BCF"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0.141</w:t>
            </w:r>
          </w:p>
        </w:tc>
        <w:tc>
          <w:tcPr>
            <w:tcW w:w="1428" w:type="dxa"/>
            <w:tcBorders>
              <w:top w:val="nil"/>
              <w:left w:val="nil"/>
              <w:bottom w:val="nil"/>
              <w:right w:val="nil"/>
            </w:tcBorders>
            <w:shd w:val="clear" w:color="auto" w:fill="auto"/>
            <w:noWrap/>
            <w:vAlign w:val="bottom"/>
            <w:hideMark/>
          </w:tcPr>
          <w:p w14:paraId="72ACB5D4"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0.151</w:t>
            </w:r>
          </w:p>
        </w:tc>
        <w:tc>
          <w:tcPr>
            <w:tcW w:w="1578" w:type="dxa"/>
            <w:tcBorders>
              <w:top w:val="nil"/>
              <w:left w:val="nil"/>
              <w:bottom w:val="nil"/>
              <w:right w:val="nil"/>
            </w:tcBorders>
            <w:shd w:val="clear" w:color="auto" w:fill="auto"/>
            <w:noWrap/>
            <w:vAlign w:val="bottom"/>
            <w:hideMark/>
          </w:tcPr>
          <w:p w14:paraId="66C879DA"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0.010</w:t>
            </w:r>
          </w:p>
        </w:tc>
        <w:tc>
          <w:tcPr>
            <w:tcW w:w="1108" w:type="dxa"/>
            <w:tcBorders>
              <w:top w:val="nil"/>
              <w:left w:val="nil"/>
              <w:bottom w:val="nil"/>
              <w:right w:val="nil"/>
            </w:tcBorders>
            <w:shd w:val="clear" w:color="auto" w:fill="auto"/>
            <w:noWrap/>
            <w:vAlign w:val="bottom"/>
            <w:hideMark/>
          </w:tcPr>
          <w:p w14:paraId="33F79981"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0.363</w:t>
            </w:r>
          </w:p>
        </w:tc>
        <w:tc>
          <w:tcPr>
            <w:tcW w:w="708" w:type="dxa"/>
            <w:tcBorders>
              <w:top w:val="nil"/>
              <w:left w:val="nil"/>
              <w:bottom w:val="nil"/>
              <w:right w:val="nil"/>
            </w:tcBorders>
            <w:shd w:val="clear" w:color="auto" w:fill="auto"/>
            <w:noWrap/>
            <w:vAlign w:val="bottom"/>
            <w:hideMark/>
          </w:tcPr>
          <w:p w14:paraId="3CC8C6A0" w14:textId="77777777" w:rsidR="00EC3EF0" w:rsidRPr="0003281F" w:rsidRDefault="00EC3EF0" w:rsidP="001853E3">
            <w:pPr>
              <w:widowControl w:val="0"/>
              <w:rPr>
                <w:rFonts w:eastAsia="Times New Roman"/>
                <w:color w:val="000000"/>
                <w:sz w:val="22"/>
                <w:szCs w:val="22"/>
              </w:rPr>
            </w:pPr>
          </w:p>
        </w:tc>
      </w:tr>
      <w:tr w:rsidR="00EC3EF0" w:rsidRPr="0003281F" w14:paraId="4A90EA1B" w14:textId="77777777" w:rsidTr="00EC3EF0">
        <w:trPr>
          <w:trHeight w:val="320"/>
        </w:trPr>
        <w:tc>
          <w:tcPr>
            <w:tcW w:w="2481" w:type="dxa"/>
            <w:tcBorders>
              <w:top w:val="nil"/>
              <w:left w:val="nil"/>
              <w:bottom w:val="nil"/>
              <w:right w:val="nil"/>
            </w:tcBorders>
            <w:shd w:val="clear" w:color="auto" w:fill="auto"/>
            <w:noWrap/>
            <w:vAlign w:val="bottom"/>
            <w:hideMark/>
          </w:tcPr>
          <w:p w14:paraId="1BF83AF1"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UE</w:t>
            </w:r>
          </w:p>
        </w:tc>
        <w:tc>
          <w:tcPr>
            <w:tcW w:w="640" w:type="dxa"/>
            <w:tcBorders>
              <w:top w:val="nil"/>
              <w:left w:val="nil"/>
              <w:bottom w:val="nil"/>
              <w:right w:val="nil"/>
            </w:tcBorders>
            <w:shd w:val="clear" w:color="auto" w:fill="auto"/>
            <w:noWrap/>
            <w:vAlign w:val="bottom"/>
            <w:hideMark/>
          </w:tcPr>
          <w:p w14:paraId="1CF9E607" w14:textId="3BB4BBDC" w:rsidR="00EC3EF0" w:rsidRPr="0003281F" w:rsidRDefault="00EC3EF0" w:rsidP="001853E3">
            <w:pPr>
              <w:widowControl w:val="0"/>
              <w:jc w:val="center"/>
              <w:rPr>
                <w:rFonts w:eastAsia="Times New Roman"/>
                <w:color w:val="000000"/>
                <w:sz w:val="22"/>
                <w:szCs w:val="22"/>
              </w:rPr>
            </w:pPr>
          </w:p>
        </w:tc>
        <w:tc>
          <w:tcPr>
            <w:tcW w:w="1428" w:type="dxa"/>
            <w:tcBorders>
              <w:top w:val="nil"/>
              <w:left w:val="nil"/>
              <w:bottom w:val="nil"/>
              <w:right w:val="nil"/>
            </w:tcBorders>
            <w:shd w:val="clear" w:color="auto" w:fill="auto"/>
            <w:noWrap/>
            <w:vAlign w:val="bottom"/>
            <w:hideMark/>
          </w:tcPr>
          <w:p w14:paraId="39FA500B"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0.010</w:t>
            </w:r>
          </w:p>
        </w:tc>
        <w:tc>
          <w:tcPr>
            <w:tcW w:w="1428" w:type="dxa"/>
            <w:tcBorders>
              <w:top w:val="nil"/>
              <w:left w:val="nil"/>
              <w:bottom w:val="nil"/>
              <w:right w:val="nil"/>
            </w:tcBorders>
            <w:shd w:val="clear" w:color="auto" w:fill="auto"/>
            <w:noWrap/>
            <w:vAlign w:val="bottom"/>
            <w:hideMark/>
          </w:tcPr>
          <w:p w14:paraId="52DD83FF"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0.015</w:t>
            </w:r>
          </w:p>
        </w:tc>
        <w:tc>
          <w:tcPr>
            <w:tcW w:w="1578" w:type="dxa"/>
            <w:tcBorders>
              <w:top w:val="nil"/>
              <w:left w:val="nil"/>
              <w:bottom w:val="nil"/>
              <w:right w:val="nil"/>
            </w:tcBorders>
            <w:shd w:val="clear" w:color="auto" w:fill="auto"/>
            <w:noWrap/>
            <w:vAlign w:val="bottom"/>
            <w:hideMark/>
          </w:tcPr>
          <w:p w14:paraId="171DAADA"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0.005</w:t>
            </w:r>
          </w:p>
        </w:tc>
        <w:tc>
          <w:tcPr>
            <w:tcW w:w="1108" w:type="dxa"/>
            <w:tcBorders>
              <w:top w:val="nil"/>
              <w:left w:val="nil"/>
              <w:bottom w:val="nil"/>
              <w:right w:val="nil"/>
            </w:tcBorders>
            <w:shd w:val="clear" w:color="auto" w:fill="auto"/>
            <w:noWrap/>
            <w:vAlign w:val="bottom"/>
            <w:hideMark/>
          </w:tcPr>
          <w:p w14:paraId="68301F2C"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0.194</w:t>
            </w:r>
          </w:p>
        </w:tc>
        <w:tc>
          <w:tcPr>
            <w:tcW w:w="708" w:type="dxa"/>
            <w:tcBorders>
              <w:top w:val="nil"/>
              <w:left w:val="nil"/>
              <w:bottom w:val="nil"/>
              <w:right w:val="nil"/>
            </w:tcBorders>
            <w:shd w:val="clear" w:color="auto" w:fill="auto"/>
            <w:noWrap/>
            <w:vAlign w:val="bottom"/>
            <w:hideMark/>
          </w:tcPr>
          <w:p w14:paraId="1928BABF" w14:textId="77777777" w:rsidR="00EC3EF0" w:rsidRPr="0003281F" w:rsidRDefault="00EC3EF0" w:rsidP="001853E3">
            <w:pPr>
              <w:widowControl w:val="0"/>
              <w:rPr>
                <w:rFonts w:eastAsia="Times New Roman"/>
                <w:color w:val="000000"/>
                <w:sz w:val="22"/>
                <w:szCs w:val="22"/>
              </w:rPr>
            </w:pPr>
          </w:p>
        </w:tc>
      </w:tr>
      <w:tr w:rsidR="00EC3EF0" w:rsidRPr="0003281F" w14:paraId="11810144" w14:textId="77777777" w:rsidTr="00EC3EF0">
        <w:trPr>
          <w:trHeight w:val="320"/>
        </w:trPr>
        <w:tc>
          <w:tcPr>
            <w:tcW w:w="2481" w:type="dxa"/>
            <w:tcBorders>
              <w:top w:val="nil"/>
              <w:left w:val="nil"/>
              <w:bottom w:val="single" w:sz="4" w:space="0" w:color="auto"/>
              <w:right w:val="nil"/>
            </w:tcBorders>
            <w:shd w:val="clear" w:color="auto" w:fill="auto"/>
            <w:noWrap/>
            <w:vAlign w:val="bottom"/>
            <w:hideMark/>
          </w:tcPr>
          <w:p w14:paraId="3471FAE8"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SD_CFO</w:t>
            </w:r>
          </w:p>
        </w:tc>
        <w:tc>
          <w:tcPr>
            <w:tcW w:w="640" w:type="dxa"/>
            <w:tcBorders>
              <w:top w:val="nil"/>
              <w:left w:val="nil"/>
              <w:bottom w:val="single" w:sz="4" w:space="0" w:color="auto"/>
              <w:right w:val="nil"/>
            </w:tcBorders>
            <w:shd w:val="clear" w:color="auto" w:fill="auto"/>
            <w:noWrap/>
            <w:vAlign w:val="bottom"/>
            <w:hideMark/>
          </w:tcPr>
          <w:p w14:paraId="13B35BBE" w14:textId="1F97AE8E" w:rsidR="00EC3EF0" w:rsidRPr="0003281F" w:rsidRDefault="00EC3EF0" w:rsidP="001853E3">
            <w:pPr>
              <w:widowControl w:val="0"/>
              <w:jc w:val="center"/>
              <w:rPr>
                <w:rFonts w:eastAsia="Times New Roman"/>
                <w:color w:val="000000"/>
                <w:sz w:val="22"/>
                <w:szCs w:val="22"/>
              </w:rPr>
            </w:pPr>
          </w:p>
        </w:tc>
        <w:tc>
          <w:tcPr>
            <w:tcW w:w="1428" w:type="dxa"/>
            <w:tcBorders>
              <w:top w:val="nil"/>
              <w:left w:val="nil"/>
              <w:bottom w:val="single" w:sz="4" w:space="0" w:color="auto"/>
              <w:right w:val="nil"/>
            </w:tcBorders>
            <w:shd w:val="clear" w:color="auto" w:fill="auto"/>
            <w:noWrap/>
            <w:vAlign w:val="bottom"/>
            <w:hideMark/>
          </w:tcPr>
          <w:p w14:paraId="62D34A1C"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0.043</w:t>
            </w:r>
          </w:p>
        </w:tc>
        <w:tc>
          <w:tcPr>
            <w:tcW w:w="1428" w:type="dxa"/>
            <w:tcBorders>
              <w:top w:val="nil"/>
              <w:left w:val="nil"/>
              <w:bottom w:val="single" w:sz="4" w:space="0" w:color="auto"/>
              <w:right w:val="nil"/>
            </w:tcBorders>
            <w:shd w:val="clear" w:color="auto" w:fill="auto"/>
            <w:noWrap/>
            <w:vAlign w:val="bottom"/>
            <w:hideMark/>
          </w:tcPr>
          <w:p w14:paraId="5ECEF5F4"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0.041</w:t>
            </w:r>
          </w:p>
        </w:tc>
        <w:tc>
          <w:tcPr>
            <w:tcW w:w="1578" w:type="dxa"/>
            <w:tcBorders>
              <w:top w:val="nil"/>
              <w:left w:val="nil"/>
              <w:bottom w:val="single" w:sz="4" w:space="0" w:color="auto"/>
              <w:right w:val="nil"/>
            </w:tcBorders>
            <w:shd w:val="clear" w:color="auto" w:fill="auto"/>
            <w:noWrap/>
            <w:vAlign w:val="bottom"/>
            <w:hideMark/>
          </w:tcPr>
          <w:p w14:paraId="44BE6D0E"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-0.002</w:t>
            </w:r>
          </w:p>
        </w:tc>
        <w:tc>
          <w:tcPr>
            <w:tcW w:w="1108" w:type="dxa"/>
            <w:tcBorders>
              <w:top w:val="nil"/>
              <w:left w:val="nil"/>
              <w:bottom w:val="single" w:sz="4" w:space="0" w:color="auto"/>
              <w:right w:val="nil"/>
            </w:tcBorders>
            <w:shd w:val="clear" w:color="auto" w:fill="auto"/>
            <w:noWrap/>
            <w:vAlign w:val="bottom"/>
            <w:hideMark/>
          </w:tcPr>
          <w:p w14:paraId="586A7CA3" w14:textId="77777777" w:rsidR="00EC3EF0" w:rsidRPr="0003281F" w:rsidRDefault="00EC3EF0" w:rsidP="001853E3">
            <w:pPr>
              <w:widowControl w:val="0"/>
              <w:jc w:val="right"/>
              <w:rPr>
                <w:rFonts w:eastAsia="Times New Roman"/>
                <w:color w:val="000000"/>
                <w:sz w:val="22"/>
                <w:szCs w:val="22"/>
              </w:rPr>
            </w:pPr>
            <w:r w:rsidRPr="0003281F">
              <w:rPr>
                <w:rFonts w:eastAsia="Times New Roman"/>
                <w:color w:val="000000"/>
                <w:sz w:val="22"/>
                <w:szCs w:val="22"/>
              </w:rPr>
              <w:t>0.670</w:t>
            </w:r>
          </w:p>
        </w:tc>
        <w:tc>
          <w:tcPr>
            <w:tcW w:w="708" w:type="dxa"/>
            <w:tcBorders>
              <w:top w:val="nil"/>
              <w:left w:val="nil"/>
              <w:bottom w:val="single" w:sz="4" w:space="0" w:color="auto"/>
              <w:right w:val="nil"/>
            </w:tcBorders>
            <w:shd w:val="clear" w:color="auto" w:fill="auto"/>
            <w:noWrap/>
            <w:vAlign w:val="bottom"/>
            <w:hideMark/>
          </w:tcPr>
          <w:p w14:paraId="083C6F28" w14:textId="77777777" w:rsidR="00EC3EF0" w:rsidRPr="0003281F" w:rsidRDefault="00EC3EF0" w:rsidP="001853E3">
            <w:pPr>
              <w:widowControl w:val="0"/>
              <w:rPr>
                <w:rFonts w:eastAsia="Times New Roman"/>
                <w:color w:val="000000"/>
                <w:sz w:val="22"/>
                <w:szCs w:val="22"/>
              </w:rPr>
            </w:pPr>
            <w:r w:rsidRPr="0003281F">
              <w:rPr>
                <w:rFonts w:eastAsia="Times New Roman"/>
                <w:color w:val="000000"/>
                <w:sz w:val="22"/>
                <w:szCs w:val="22"/>
              </w:rPr>
              <w:t> </w:t>
            </w:r>
          </w:p>
        </w:tc>
      </w:tr>
    </w:tbl>
    <w:p w14:paraId="39262352" w14:textId="4EEF5038" w:rsidR="00EC3EF0" w:rsidRPr="0003281F" w:rsidRDefault="00EC3EF0" w:rsidP="001853E3">
      <w:pPr>
        <w:widowControl w:val="0"/>
        <w:rPr>
          <w:sz w:val="22"/>
          <w:szCs w:val="22"/>
        </w:rPr>
      </w:pPr>
    </w:p>
    <w:p w14:paraId="4DE55D2B" w14:textId="77777777" w:rsidR="00EC3EF0" w:rsidRPr="0003281F" w:rsidRDefault="00EC3EF0" w:rsidP="001853E3">
      <w:pPr>
        <w:widowControl w:val="0"/>
        <w:rPr>
          <w:sz w:val="22"/>
          <w:szCs w:val="22"/>
        </w:rPr>
      </w:pPr>
      <w:r w:rsidRPr="0003281F">
        <w:rPr>
          <w:sz w:val="22"/>
          <w:szCs w:val="22"/>
        </w:rPr>
        <w:br w:type="page"/>
      </w:r>
    </w:p>
    <w:p w14:paraId="54AB4A01" w14:textId="58A8BF32" w:rsidR="00EC3EF0" w:rsidRPr="00E26D55" w:rsidRDefault="00FC3706" w:rsidP="00EA260E">
      <w:pPr>
        <w:pStyle w:val="Table"/>
      </w:pPr>
      <w:bookmarkStart w:id="103" w:name="_Toc286595536"/>
      <w:r>
        <w:t>Table 3</w:t>
      </w:r>
      <w:r w:rsidR="00EC3EF0" w:rsidRPr="00E26D55">
        <w:t>: Regression Results</w:t>
      </w:r>
      <w:bookmarkEnd w:id="103"/>
      <w:r w:rsidR="00EC3EF0" w:rsidRPr="00E26D55">
        <w:t xml:space="preserve"> </w:t>
      </w:r>
    </w:p>
    <w:p w14:paraId="4A42E832" w14:textId="77777777" w:rsidR="00EC3EF0" w:rsidRPr="00E26D55" w:rsidRDefault="00EC3EF0" w:rsidP="001853E3">
      <w:pPr>
        <w:widowControl w:val="0"/>
        <w:jc w:val="both"/>
      </w:pPr>
    </w:p>
    <w:p w14:paraId="03D2AC38" w14:textId="77777777" w:rsidR="00EC3EF0" w:rsidRPr="00E26D55" w:rsidRDefault="00EC3EF0" w:rsidP="001853E3">
      <w:pPr>
        <w:widowControl w:val="0"/>
        <w:jc w:val="both"/>
      </w:pPr>
    </w:p>
    <w:p w14:paraId="4425A2F4" w14:textId="31B43215" w:rsidR="00EC3EF0" w:rsidRPr="00393625" w:rsidRDefault="00FC3706" w:rsidP="001853E3">
      <w:pPr>
        <w:widowControl w:val="0"/>
        <w:jc w:val="both"/>
        <w:rPr>
          <w:sz w:val="22"/>
          <w:szCs w:val="22"/>
        </w:rPr>
      </w:pPr>
      <w:r w:rsidRPr="00393625">
        <w:rPr>
          <w:sz w:val="22"/>
          <w:szCs w:val="22"/>
        </w:rPr>
        <w:t>Table 3</w:t>
      </w:r>
      <w:r w:rsidR="00EC3EF0" w:rsidRPr="00393625">
        <w:rPr>
          <w:sz w:val="22"/>
          <w:szCs w:val="22"/>
        </w:rPr>
        <w:t xml:space="preserve"> presents the regression results for the estimation of equation (1) in the first column and equation (2) in the second column. </w:t>
      </w:r>
      <w:r w:rsidR="004754CC" w:rsidRPr="00393625">
        <w:rPr>
          <w:sz w:val="22"/>
          <w:szCs w:val="22"/>
        </w:rPr>
        <w:t xml:space="preserve">All variables are defined in </w:t>
      </w:r>
      <w:r w:rsidR="00B01688">
        <w:rPr>
          <w:sz w:val="22"/>
          <w:szCs w:val="22"/>
        </w:rPr>
        <w:t>Appendix B</w:t>
      </w:r>
      <w:r w:rsidR="004754CC" w:rsidRPr="00393625">
        <w:rPr>
          <w:sz w:val="22"/>
          <w:szCs w:val="22"/>
        </w:rPr>
        <w:t>. Robust p-values</w:t>
      </w:r>
      <w:r w:rsidR="00424B85" w:rsidRPr="00393625">
        <w:rPr>
          <w:sz w:val="22"/>
          <w:szCs w:val="22"/>
        </w:rPr>
        <w:t xml:space="preserve"> adjusted for firm clustering effects</w:t>
      </w:r>
      <w:r w:rsidR="004754CC" w:rsidRPr="00393625">
        <w:rPr>
          <w:sz w:val="22"/>
          <w:szCs w:val="22"/>
        </w:rPr>
        <w:t xml:space="preserve"> are presented in parentheses below the coefficients.</w:t>
      </w:r>
      <w:r w:rsidR="00424B85" w:rsidRPr="00393625">
        <w:rPr>
          <w:sz w:val="22"/>
          <w:szCs w:val="22"/>
        </w:rPr>
        <w:t xml:space="preserve"> </w:t>
      </w:r>
      <w:r w:rsidR="00EC3EF0" w:rsidRPr="00393625">
        <w:rPr>
          <w:sz w:val="22"/>
          <w:szCs w:val="22"/>
        </w:rPr>
        <w:t xml:space="preserve">* and ** indicate significance at the 0.10 and 0.05 levels, respectively (based on one-tailed tests when a direction is predicted, two-tailed otherwise). </w:t>
      </w:r>
    </w:p>
    <w:p w14:paraId="0CEC173B" w14:textId="77777777" w:rsidR="00424B85" w:rsidRPr="00E26D55" w:rsidRDefault="00424B85" w:rsidP="001853E3">
      <w:pPr>
        <w:widowControl w:val="0"/>
        <w:jc w:val="both"/>
      </w:pPr>
    </w:p>
    <w:p w14:paraId="72E956D6" w14:textId="77777777" w:rsidR="00EC3EF0" w:rsidRPr="00E26D55" w:rsidRDefault="00EC3EF0" w:rsidP="001853E3">
      <w:pPr>
        <w:widowControl w:val="0"/>
        <w:ind w:right="360"/>
        <w:jc w:val="both"/>
      </w:pPr>
    </w:p>
    <w:tbl>
      <w:tblPr>
        <w:tblW w:w="7370" w:type="dxa"/>
        <w:jc w:val="center"/>
        <w:tblInd w:w="93" w:type="dxa"/>
        <w:tblLook w:val="04A0" w:firstRow="1" w:lastRow="0" w:firstColumn="1" w:lastColumn="0" w:noHBand="0" w:noVBand="1"/>
      </w:tblPr>
      <w:tblGrid>
        <w:gridCol w:w="3187"/>
        <w:gridCol w:w="490"/>
        <w:gridCol w:w="1388"/>
        <w:gridCol w:w="489"/>
        <w:gridCol w:w="1816"/>
      </w:tblGrid>
      <w:tr w:rsidR="00424B85" w:rsidRPr="007C50B1" w14:paraId="085A3268" w14:textId="77777777" w:rsidTr="00424B85">
        <w:trPr>
          <w:trHeight w:val="301"/>
          <w:jc w:val="center"/>
        </w:trPr>
        <w:tc>
          <w:tcPr>
            <w:tcW w:w="3187" w:type="dxa"/>
            <w:tcBorders>
              <w:top w:val="single" w:sz="4" w:space="0" w:color="auto"/>
              <w:left w:val="nil"/>
              <w:bottom w:val="nil"/>
              <w:right w:val="nil"/>
            </w:tcBorders>
            <w:shd w:val="clear" w:color="auto" w:fill="auto"/>
            <w:noWrap/>
            <w:vAlign w:val="bottom"/>
            <w:hideMark/>
          </w:tcPr>
          <w:p w14:paraId="234FFFFC"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 </w:t>
            </w:r>
          </w:p>
        </w:tc>
        <w:tc>
          <w:tcPr>
            <w:tcW w:w="490" w:type="dxa"/>
            <w:tcBorders>
              <w:top w:val="single" w:sz="4" w:space="0" w:color="auto"/>
              <w:left w:val="nil"/>
              <w:bottom w:val="nil"/>
              <w:right w:val="nil"/>
            </w:tcBorders>
            <w:shd w:val="clear" w:color="auto" w:fill="auto"/>
            <w:noWrap/>
            <w:vAlign w:val="bottom"/>
            <w:hideMark/>
          </w:tcPr>
          <w:p w14:paraId="4F1C3EBD"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 </w:t>
            </w:r>
          </w:p>
        </w:tc>
        <w:tc>
          <w:tcPr>
            <w:tcW w:w="1388" w:type="dxa"/>
            <w:tcBorders>
              <w:top w:val="single" w:sz="4" w:space="0" w:color="auto"/>
              <w:left w:val="nil"/>
              <w:bottom w:val="nil"/>
              <w:right w:val="nil"/>
            </w:tcBorders>
            <w:shd w:val="clear" w:color="auto" w:fill="auto"/>
            <w:noWrap/>
            <w:vAlign w:val="bottom"/>
            <w:hideMark/>
          </w:tcPr>
          <w:p w14:paraId="099FAA7C"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(1)</w:t>
            </w:r>
          </w:p>
        </w:tc>
        <w:tc>
          <w:tcPr>
            <w:tcW w:w="489" w:type="dxa"/>
            <w:tcBorders>
              <w:top w:val="single" w:sz="4" w:space="0" w:color="auto"/>
              <w:left w:val="nil"/>
              <w:bottom w:val="nil"/>
              <w:right w:val="nil"/>
            </w:tcBorders>
            <w:shd w:val="clear" w:color="auto" w:fill="auto"/>
            <w:noWrap/>
            <w:vAlign w:val="bottom"/>
            <w:hideMark/>
          </w:tcPr>
          <w:p w14:paraId="4D5C1802"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 </w:t>
            </w:r>
          </w:p>
        </w:tc>
        <w:tc>
          <w:tcPr>
            <w:tcW w:w="1816" w:type="dxa"/>
            <w:tcBorders>
              <w:top w:val="single" w:sz="4" w:space="0" w:color="auto"/>
              <w:left w:val="nil"/>
              <w:bottom w:val="nil"/>
              <w:right w:val="nil"/>
            </w:tcBorders>
            <w:shd w:val="clear" w:color="auto" w:fill="auto"/>
            <w:noWrap/>
            <w:vAlign w:val="bottom"/>
            <w:hideMark/>
          </w:tcPr>
          <w:p w14:paraId="6111F112"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(2)</w:t>
            </w:r>
          </w:p>
        </w:tc>
      </w:tr>
      <w:tr w:rsidR="00424B85" w:rsidRPr="007C50B1" w14:paraId="41B6064F"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074C84B8"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VARIABLES</w:t>
            </w:r>
          </w:p>
        </w:tc>
        <w:tc>
          <w:tcPr>
            <w:tcW w:w="490" w:type="dxa"/>
            <w:tcBorders>
              <w:top w:val="nil"/>
              <w:left w:val="nil"/>
              <w:bottom w:val="nil"/>
              <w:right w:val="nil"/>
            </w:tcBorders>
            <w:shd w:val="clear" w:color="auto" w:fill="auto"/>
            <w:noWrap/>
            <w:vAlign w:val="bottom"/>
            <w:hideMark/>
          </w:tcPr>
          <w:p w14:paraId="1D8C3E85"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28472638"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AVOL</w:t>
            </w:r>
          </w:p>
        </w:tc>
        <w:tc>
          <w:tcPr>
            <w:tcW w:w="489" w:type="dxa"/>
            <w:tcBorders>
              <w:top w:val="nil"/>
              <w:left w:val="nil"/>
              <w:bottom w:val="nil"/>
              <w:right w:val="nil"/>
            </w:tcBorders>
            <w:shd w:val="clear" w:color="auto" w:fill="auto"/>
            <w:noWrap/>
            <w:vAlign w:val="bottom"/>
            <w:hideMark/>
          </w:tcPr>
          <w:p w14:paraId="4C920B22"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19C1FA8F"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ASPREAD</w:t>
            </w:r>
          </w:p>
        </w:tc>
      </w:tr>
      <w:tr w:rsidR="00424B85" w:rsidRPr="007C50B1" w14:paraId="6BBAD504" w14:textId="77777777" w:rsidTr="00424B85">
        <w:trPr>
          <w:trHeight w:val="301"/>
          <w:jc w:val="center"/>
        </w:trPr>
        <w:tc>
          <w:tcPr>
            <w:tcW w:w="3187" w:type="dxa"/>
            <w:tcBorders>
              <w:top w:val="single" w:sz="4" w:space="0" w:color="auto"/>
              <w:left w:val="nil"/>
              <w:bottom w:val="nil"/>
              <w:right w:val="nil"/>
            </w:tcBorders>
            <w:shd w:val="clear" w:color="auto" w:fill="auto"/>
            <w:noWrap/>
            <w:vAlign w:val="bottom"/>
            <w:hideMark/>
          </w:tcPr>
          <w:p w14:paraId="7F1CCDAD"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 </w:t>
            </w:r>
          </w:p>
        </w:tc>
        <w:tc>
          <w:tcPr>
            <w:tcW w:w="490" w:type="dxa"/>
            <w:tcBorders>
              <w:top w:val="single" w:sz="4" w:space="0" w:color="auto"/>
              <w:left w:val="nil"/>
              <w:bottom w:val="nil"/>
              <w:right w:val="nil"/>
            </w:tcBorders>
            <w:shd w:val="clear" w:color="auto" w:fill="auto"/>
            <w:noWrap/>
            <w:vAlign w:val="bottom"/>
            <w:hideMark/>
          </w:tcPr>
          <w:p w14:paraId="0F0B62E8"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 </w:t>
            </w:r>
          </w:p>
        </w:tc>
        <w:tc>
          <w:tcPr>
            <w:tcW w:w="1388" w:type="dxa"/>
            <w:tcBorders>
              <w:top w:val="single" w:sz="4" w:space="0" w:color="auto"/>
              <w:left w:val="nil"/>
              <w:bottom w:val="nil"/>
              <w:right w:val="nil"/>
            </w:tcBorders>
            <w:shd w:val="clear" w:color="auto" w:fill="auto"/>
            <w:noWrap/>
            <w:vAlign w:val="bottom"/>
            <w:hideMark/>
          </w:tcPr>
          <w:p w14:paraId="42DE17E7"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 </w:t>
            </w:r>
          </w:p>
        </w:tc>
        <w:tc>
          <w:tcPr>
            <w:tcW w:w="489" w:type="dxa"/>
            <w:tcBorders>
              <w:top w:val="single" w:sz="4" w:space="0" w:color="auto"/>
              <w:left w:val="nil"/>
              <w:bottom w:val="nil"/>
              <w:right w:val="nil"/>
            </w:tcBorders>
            <w:shd w:val="clear" w:color="auto" w:fill="auto"/>
            <w:noWrap/>
            <w:vAlign w:val="bottom"/>
            <w:hideMark/>
          </w:tcPr>
          <w:p w14:paraId="5D47C68B"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 </w:t>
            </w:r>
          </w:p>
        </w:tc>
        <w:tc>
          <w:tcPr>
            <w:tcW w:w="1816" w:type="dxa"/>
            <w:tcBorders>
              <w:top w:val="single" w:sz="4" w:space="0" w:color="auto"/>
              <w:left w:val="nil"/>
              <w:bottom w:val="nil"/>
              <w:right w:val="nil"/>
            </w:tcBorders>
            <w:shd w:val="clear" w:color="auto" w:fill="auto"/>
            <w:noWrap/>
            <w:vAlign w:val="bottom"/>
            <w:hideMark/>
          </w:tcPr>
          <w:p w14:paraId="2598A33B"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 </w:t>
            </w:r>
          </w:p>
        </w:tc>
      </w:tr>
      <w:tr w:rsidR="00424B85" w:rsidRPr="007C50B1" w14:paraId="7C42D6F4"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798AD856" w14:textId="77777777" w:rsidR="00424B85" w:rsidRPr="00393625" w:rsidRDefault="00424B85" w:rsidP="001853E3">
            <w:pPr>
              <w:widowControl w:val="0"/>
              <w:rPr>
                <w:rFonts w:eastAsia="Times New Roman"/>
                <w:b/>
                <w:bCs/>
                <w:color w:val="000000"/>
                <w:sz w:val="22"/>
                <w:szCs w:val="22"/>
              </w:rPr>
            </w:pPr>
            <w:r w:rsidRPr="00393625">
              <w:rPr>
                <w:rFonts w:eastAsia="Times New Roman"/>
                <w:b/>
                <w:bCs/>
                <w:color w:val="000000"/>
                <w:sz w:val="22"/>
                <w:szCs w:val="22"/>
              </w:rPr>
              <w:t>POST</w:t>
            </w:r>
          </w:p>
        </w:tc>
        <w:tc>
          <w:tcPr>
            <w:tcW w:w="490" w:type="dxa"/>
            <w:tcBorders>
              <w:top w:val="nil"/>
              <w:left w:val="nil"/>
              <w:bottom w:val="nil"/>
              <w:right w:val="nil"/>
            </w:tcBorders>
            <w:shd w:val="clear" w:color="auto" w:fill="auto"/>
            <w:noWrap/>
            <w:vAlign w:val="bottom"/>
            <w:hideMark/>
          </w:tcPr>
          <w:p w14:paraId="5E9A4C02" w14:textId="77777777" w:rsidR="00424B85" w:rsidRPr="00393625" w:rsidRDefault="00424B85" w:rsidP="001853E3">
            <w:pPr>
              <w:widowControl w:val="0"/>
              <w:jc w:val="center"/>
              <w:rPr>
                <w:rFonts w:eastAsia="Times New Roman"/>
                <w:b/>
                <w:bCs/>
                <w:color w:val="000000"/>
                <w:sz w:val="22"/>
                <w:szCs w:val="22"/>
              </w:rPr>
            </w:pPr>
            <w:r w:rsidRPr="00393625">
              <w:rPr>
                <w:rFonts w:eastAsia="Times New Roman"/>
                <w:b/>
                <w:bCs/>
                <w:color w:val="000000"/>
                <w:sz w:val="22"/>
                <w:szCs w:val="22"/>
              </w:rPr>
              <w:t>+</w:t>
            </w:r>
          </w:p>
        </w:tc>
        <w:tc>
          <w:tcPr>
            <w:tcW w:w="1388" w:type="dxa"/>
            <w:tcBorders>
              <w:top w:val="nil"/>
              <w:left w:val="nil"/>
              <w:bottom w:val="nil"/>
              <w:right w:val="nil"/>
            </w:tcBorders>
            <w:shd w:val="clear" w:color="auto" w:fill="auto"/>
            <w:noWrap/>
            <w:vAlign w:val="bottom"/>
            <w:hideMark/>
          </w:tcPr>
          <w:p w14:paraId="6062D0CD" w14:textId="77777777" w:rsidR="00424B85" w:rsidRPr="00393625" w:rsidRDefault="00424B85" w:rsidP="001853E3">
            <w:pPr>
              <w:widowControl w:val="0"/>
              <w:jc w:val="center"/>
              <w:rPr>
                <w:rFonts w:eastAsia="Times New Roman"/>
                <w:b/>
                <w:bCs/>
                <w:color w:val="000000"/>
                <w:sz w:val="22"/>
                <w:szCs w:val="22"/>
              </w:rPr>
            </w:pPr>
            <w:r w:rsidRPr="00393625">
              <w:rPr>
                <w:rFonts w:eastAsia="Times New Roman"/>
                <w:b/>
                <w:bCs/>
                <w:color w:val="000000"/>
                <w:sz w:val="22"/>
                <w:szCs w:val="22"/>
              </w:rPr>
              <w:t>0.128**</w:t>
            </w:r>
          </w:p>
        </w:tc>
        <w:tc>
          <w:tcPr>
            <w:tcW w:w="489" w:type="dxa"/>
            <w:tcBorders>
              <w:top w:val="nil"/>
              <w:left w:val="nil"/>
              <w:bottom w:val="nil"/>
              <w:right w:val="nil"/>
            </w:tcBorders>
            <w:shd w:val="clear" w:color="auto" w:fill="auto"/>
            <w:noWrap/>
            <w:vAlign w:val="bottom"/>
            <w:hideMark/>
          </w:tcPr>
          <w:p w14:paraId="49F12DC7" w14:textId="77777777" w:rsidR="00424B85" w:rsidRPr="00393625" w:rsidRDefault="00424B85" w:rsidP="001853E3">
            <w:pPr>
              <w:widowControl w:val="0"/>
              <w:jc w:val="center"/>
              <w:rPr>
                <w:rFonts w:eastAsia="Times New Roman"/>
                <w:b/>
                <w:bCs/>
                <w:color w:val="000000"/>
                <w:sz w:val="22"/>
                <w:szCs w:val="22"/>
              </w:rPr>
            </w:pPr>
            <w:r w:rsidRPr="00393625">
              <w:rPr>
                <w:rFonts w:eastAsia="Times New Roman"/>
                <w:b/>
                <w:bCs/>
                <w:color w:val="000000"/>
                <w:sz w:val="22"/>
                <w:szCs w:val="22"/>
              </w:rPr>
              <w:t>-</w:t>
            </w:r>
          </w:p>
        </w:tc>
        <w:tc>
          <w:tcPr>
            <w:tcW w:w="1816" w:type="dxa"/>
            <w:tcBorders>
              <w:top w:val="nil"/>
              <w:left w:val="nil"/>
              <w:bottom w:val="nil"/>
              <w:right w:val="nil"/>
            </w:tcBorders>
            <w:shd w:val="clear" w:color="auto" w:fill="auto"/>
            <w:noWrap/>
            <w:vAlign w:val="bottom"/>
            <w:hideMark/>
          </w:tcPr>
          <w:p w14:paraId="4475F4F3" w14:textId="77777777" w:rsidR="00424B85" w:rsidRPr="00393625" w:rsidRDefault="00424B85" w:rsidP="001853E3">
            <w:pPr>
              <w:widowControl w:val="0"/>
              <w:jc w:val="center"/>
              <w:rPr>
                <w:rFonts w:eastAsia="Times New Roman"/>
                <w:b/>
                <w:bCs/>
                <w:color w:val="000000"/>
                <w:sz w:val="22"/>
                <w:szCs w:val="22"/>
              </w:rPr>
            </w:pPr>
            <w:r w:rsidRPr="00393625">
              <w:rPr>
                <w:rFonts w:eastAsia="Times New Roman"/>
                <w:b/>
                <w:bCs/>
                <w:color w:val="000000"/>
                <w:sz w:val="22"/>
                <w:szCs w:val="22"/>
              </w:rPr>
              <w:t>-0.126**</w:t>
            </w:r>
          </w:p>
        </w:tc>
      </w:tr>
      <w:tr w:rsidR="00424B85" w:rsidRPr="007C50B1" w14:paraId="179B072D"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2B3D5630" w14:textId="77777777" w:rsidR="00424B85" w:rsidRPr="00393625" w:rsidRDefault="00424B85" w:rsidP="001853E3">
            <w:pPr>
              <w:widowControl w:val="0"/>
              <w:rPr>
                <w:rFonts w:eastAsia="Times New Roman"/>
                <w:b/>
                <w:bCs/>
                <w:color w:val="000000"/>
                <w:sz w:val="22"/>
                <w:szCs w:val="22"/>
              </w:rPr>
            </w:pPr>
          </w:p>
        </w:tc>
        <w:tc>
          <w:tcPr>
            <w:tcW w:w="490" w:type="dxa"/>
            <w:tcBorders>
              <w:top w:val="nil"/>
              <w:left w:val="nil"/>
              <w:bottom w:val="nil"/>
              <w:right w:val="nil"/>
            </w:tcBorders>
            <w:shd w:val="clear" w:color="auto" w:fill="auto"/>
            <w:noWrap/>
            <w:vAlign w:val="bottom"/>
            <w:hideMark/>
          </w:tcPr>
          <w:p w14:paraId="6B20398A" w14:textId="77777777" w:rsidR="00424B85" w:rsidRPr="00393625" w:rsidRDefault="00424B85" w:rsidP="001853E3">
            <w:pPr>
              <w:widowControl w:val="0"/>
              <w:jc w:val="center"/>
              <w:rPr>
                <w:rFonts w:eastAsia="Times New Roman"/>
                <w:b/>
                <w:bCs/>
                <w:color w:val="000000"/>
                <w:sz w:val="22"/>
                <w:szCs w:val="22"/>
              </w:rPr>
            </w:pPr>
          </w:p>
        </w:tc>
        <w:tc>
          <w:tcPr>
            <w:tcW w:w="1388" w:type="dxa"/>
            <w:tcBorders>
              <w:top w:val="nil"/>
              <w:left w:val="nil"/>
              <w:bottom w:val="nil"/>
              <w:right w:val="nil"/>
            </w:tcBorders>
            <w:shd w:val="clear" w:color="auto" w:fill="auto"/>
            <w:noWrap/>
            <w:vAlign w:val="bottom"/>
            <w:hideMark/>
          </w:tcPr>
          <w:p w14:paraId="4E4C559F" w14:textId="77777777" w:rsidR="00424B85" w:rsidRPr="00393625" w:rsidRDefault="00424B85" w:rsidP="001853E3">
            <w:pPr>
              <w:widowControl w:val="0"/>
              <w:jc w:val="center"/>
              <w:rPr>
                <w:rFonts w:eastAsia="Times New Roman"/>
                <w:b/>
                <w:bCs/>
                <w:color w:val="000000"/>
                <w:sz w:val="22"/>
                <w:szCs w:val="22"/>
              </w:rPr>
            </w:pPr>
            <w:r w:rsidRPr="00393625">
              <w:rPr>
                <w:rFonts w:eastAsia="Times New Roman"/>
                <w:b/>
                <w:bCs/>
                <w:color w:val="000000"/>
                <w:sz w:val="22"/>
                <w:szCs w:val="22"/>
              </w:rPr>
              <w:t>(0.045)</w:t>
            </w:r>
          </w:p>
        </w:tc>
        <w:tc>
          <w:tcPr>
            <w:tcW w:w="489" w:type="dxa"/>
            <w:tcBorders>
              <w:top w:val="nil"/>
              <w:left w:val="nil"/>
              <w:bottom w:val="nil"/>
              <w:right w:val="nil"/>
            </w:tcBorders>
            <w:shd w:val="clear" w:color="auto" w:fill="auto"/>
            <w:noWrap/>
            <w:vAlign w:val="bottom"/>
            <w:hideMark/>
          </w:tcPr>
          <w:p w14:paraId="617DA394" w14:textId="77777777" w:rsidR="00424B85" w:rsidRPr="00393625" w:rsidRDefault="00424B85" w:rsidP="001853E3">
            <w:pPr>
              <w:widowControl w:val="0"/>
              <w:jc w:val="center"/>
              <w:rPr>
                <w:rFonts w:eastAsia="Times New Roman"/>
                <w:b/>
                <w:bCs/>
                <w:color w:val="000000"/>
                <w:sz w:val="22"/>
                <w:szCs w:val="22"/>
              </w:rPr>
            </w:pPr>
          </w:p>
        </w:tc>
        <w:tc>
          <w:tcPr>
            <w:tcW w:w="1816" w:type="dxa"/>
            <w:tcBorders>
              <w:top w:val="nil"/>
              <w:left w:val="nil"/>
              <w:bottom w:val="nil"/>
              <w:right w:val="nil"/>
            </w:tcBorders>
            <w:shd w:val="clear" w:color="auto" w:fill="auto"/>
            <w:noWrap/>
            <w:vAlign w:val="bottom"/>
            <w:hideMark/>
          </w:tcPr>
          <w:p w14:paraId="2BF95768" w14:textId="77777777" w:rsidR="00424B85" w:rsidRPr="00393625" w:rsidRDefault="00424B85" w:rsidP="001853E3">
            <w:pPr>
              <w:widowControl w:val="0"/>
              <w:jc w:val="center"/>
              <w:rPr>
                <w:rFonts w:eastAsia="Times New Roman"/>
                <w:b/>
                <w:bCs/>
                <w:color w:val="000000"/>
                <w:sz w:val="22"/>
                <w:szCs w:val="22"/>
              </w:rPr>
            </w:pPr>
            <w:r w:rsidRPr="00393625">
              <w:rPr>
                <w:rFonts w:eastAsia="Times New Roman"/>
                <w:b/>
                <w:bCs/>
                <w:color w:val="000000"/>
                <w:sz w:val="22"/>
                <w:szCs w:val="22"/>
              </w:rPr>
              <w:t>(0.016)</w:t>
            </w:r>
          </w:p>
        </w:tc>
      </w:tr>
      <w:tr w:rsidR="00424B85" w:rsidRPr="007C50B1" w14:paraId="0D78BAAC"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316F0D62"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LN_MVE</w:t>
            </w:r>
          </w:p>
        </w:tc>
        <w:tc>
          <w:tcPr>
            <w:tcW w:w="490" w:type="dxa"/>
            <w:tcBorders>
              <w:top w:val="nil"/>
              <w:left w:val="nil"/>
              <w:bottom w:val="nil"/>
              <w:right w:val="nil"/>
            </w:tcBorders>
            <w:shd w:val="clear" w:color="auto" w:fill="auto"/>
            <w:noWrap/>
            <w:vAlign w:val="bottom"/>
            <w:hideMark/>
          </w:tcPr>
          <w:p w14:paraId="0C613FBF"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388" w:type="dxa"/>
            <w:tcBorders>
              <w:top w:val="nil"/>
              <w:left w:val="nil"/>
              <w:bottom w:val="nil"/>
              <w:right w:val="nil"/>
            </w:tcBorders>
            <w:shd w:val="clear" w:color="auto" w:fill="auto"/>
            <w:noWrap/>
            <w:vAlign w:val="bottom"/>
            <w:hideMark/>
          </w:tcPr>
          <w:p w14:paraId="09D73F62"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0.046</w:t>
            </w:r>
          </w:p>
        </w:tc>
        <w:tc>
          <w:tcPr>
            <w:tcW w:w="489" w:type="dxa"/>
            <w:tcBorders>
              <w:top w:val="nil"/>
              <w:left w:val="nil"/>
              <w:bottom w:val="nil"/>
              <w:right w:val="nil"/>
            </w:tcBorders>
            <w:shd w:val="clear" w:color="auto" w:fill="auto"/>
            <w:noWrap/>
            <w:vAlign w:val="bottom"/>
            <w:hideMark/>
          </w:tcPr>
          <w:p w14:paraId="21A74089"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816" w:type="dxa"/>
            <w:tcBorders>
              <w:top w:val="nil"/>
              <w:left w:val="nil"/>
              <w:bottom w:val="nil"/>
              <w:right w:val="nil"/>
            </w:tcBorders>
            <w:shd w:val="clear" w:color="auto" w:fill="auto"/>
            <w:noWrap/>
            <w:vAlign w:val="bottom"/>
            <w:hideMark/>
          </w:tcPr>
          <w:p w14:paraId="28638882"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-0.053**</w:t>
            </w:r>
          </w:p>
        </w:tc>
      </w:tr>
      <w:tr w:rsidR="00424B85" w:rsidRPr="007C50B1" w14:paraId="7CC49A2A"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6B9E0AFC" w14:textId="77777777" w:rsidR="00424B85" w:rsidRPr="00393625" w:rsidRDefault="00424B85" w:rsidP="001853E3">
            <w:pPr>
              <w:widowControl w:val="0"/>
              <w:rPr>
                <w:rFonts w:eastAsia="Times New Roman"/>
                <w:color w:val="000000"/>
                <w:sz w:val="22"/>
                <w:szCs w:val="22"/>
              </w:rPr>
            </w:pPr>
          </w:p>
        </w:tc>
        <w:tc>
          <w:tcPr>
            <w:tcW w:w="490" w:type="dxa"/>
            <w:tcBorders>
              <w:top w:val="nil"/>
              <w:left w:val="nil"/>
              <w:bottom w:val="nil"/>
              <w:right w:val="nil"/>
            </w:tcBorders>
            <w:shd w:val="clear" w:color="auto" w:fill="auto"/>
            <w:noWrap/>
            <w:vAlign w:val="bottom"/>
            <w:hideMark/>
          </w:tcPr>
          <w:p w14:paraId="29184FB9"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24B72E85"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(0.243)</w:t>
            </w:r>
          </w:p>
        </w:tc>
        <w:tc>
          <w:tcPr>
            <w:tcW w:w="489" w:type="dxa"/>
            <w:tcBorders>
              <w:top w:val="nil"/>
              <w:left w:val="nil"/>
              <w:bottom w:val="nil"/>
              <w:right w:val="nil"/>
            </w:tcBorders>
            <w:shd w:val="clear" w:color="auto" w:fill="auto"/>
            <w:noWrap/>
            <w:vAlign w:val="bottom"/>
            <w:hideMark/>
          </w:tcPr>
          <w:p w14:paraId="228074A4"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350786A1"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(0.048)</w:t>
            </w:r>
          </w:p>
        </w:tc>
      </w:tr>
      <w:tr w:rsidR="00424B85" w:rsidRPr="007C50B1" w14:paraId="2FBEB2A0"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1D5B28A2"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NUM_ANALYST</w:t>
            </w:r>
          </w:p>
        </w:tc>
        <w:tc>
          <w:tcPr>
            <w:tcW w:w="490" w:type="dxa"/>
            <w:tcBorders>
              <w:top w:val="nil"/>
              <w:left w:val="nil"/>
              <w:bottom w:val="nil"/>
              <w:right w:val="nil"/>
            </w:tcBorders>
            <w:shd w:val="clear" w:color="auto" w:fill="auto"/>
            <w:noWrap/>
            <w:vAlign w:val="bottom"/>
            <w:hideMark/>
          </w:tcPr>
          <w:p w14:paraId="4D328D91"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388" w:type="dxa"/>
            <w:tcBorders>
              <w:top w:val="nil"/>
              <w:left w:val="nil"/>
              <w:bottom w:val="nil"/>
              <w:right w:val="nil"/>
            </w:tcBorders>
            <w:shd w:val="clear" w:color="auto" w:fill="auto"/>
            <w:noWrap/>
            <w:vAlign w:val="bottom"/>
            <w:hideMark/>
          </w:tcPr>
          <w:p w14:paraId="276DCECA"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0.012*</w:t>
            </w:r>
          </w:p>
        </w:tc>
        <w:tc>
          <w:tcPr>
            <w:tcW w:w="489" w:type="dxa"/>
            <w:tcBorders>
              <w:top w:val="nil"/>
              <w:left w:val="nil"/>
              <w:bottom w:val="nil"/>
              <w:right w:val="nil"/>
            </w:tcBorders>
            <w:shd w:val="clear" w:color="auto" w:fill="auto"/>
            <w:noWrap/>
            <w:vAlign w:val="bottom"/>
            <w:hideMark/>
          </w:tcPr>
          <w:p w14:paraId="3AA2F06D"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816" w:type="dxa"/>
            <w:tcBorders>
              <w:top w:val="nil"/>
              <w:left w:val="nil"/>
              <w:bottom w:val="nil"/>
              <w:right w:val="nil"/>
            </w:tcBorders>
            <w:shd w:val="clear" w:color="auto" w:fill="auto"/>
            <w:noWrap/>
            <w:vAlign w:val="bottom"/>
            <w:hideMark/>
          </w:tcPr>
          <w:p w14:paraId="17EE65A9"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-0.000</w:t>
            </w:r>
          </w:p>
        </w:tc>
      </w:tr>
      <w:tr w:rsidR="00424B85" w:rsidRPr="007C50B1" w14:paraId="5E06A236"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41D780BD" w14:textId="77777777" w:rsidR="00424B85" w:rsidRPr="00393625" w:rsidRDefault="00424B85" w:rsidP="001853E3">
            <w:pPr>
              <w:widowControl w:val="0"/>
              <w:rPr>
                <w:rFonts w:eastAsia="Times New Roman"/>
                <w:color w:val="000000"/>
                <w:sz w:val="22"/>
                <w:szCs w:val="22"/>
              </w:rPr>
            </w:pPr>
          </w:p>
        </w:tc>
        <w:tc>
          <w:tcPr>
            <w:tcW w:w="490" w:type="dxa"/>
            <w:tcBorders>
              <w:top w:val="nil"/>
              <w:left w:val="nil"/>
              <w:bottom w:val="nil"/>
              <w:right w:val="nil"/>
            </w:tcBorders>
            <w:shd w:val="clear" w:color="auto" w:fill="auto"/>
            <w:noWrap/>
            <w:vAlign w:val="bottom"/>
            <w:hideMark/>
          </w:tcPr>
          <w:p w14:paraId="0372999F"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5E7C1CC3"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(0.083)</w:t>
            </w:r>
          </w:p>
        </w:tc>
        <w:tc>
          <w:tcPr>
            <w:tcW w:w="489" w:type="dxa"/>
            <w:tcBorders>
              <w:top w:val="nil"/>
              <w:left w:val="nil"/>
              <w:bottom w:val="nil"/>
              <w:right w:val="nil"/>
            </w:tcBorders>
            <w:shd w:val="clear" w:color="auto" w:fill="auto"/>
            <w:noWrap/>
            <w:vAlign w:val="bottom"/>
            <w:hideMark/>
          </w:tcPr>
          <w:p w14:paraId="5A6840ED"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6C8FA700"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(0.494)</w:t>
            </w:r>
          </w:p>
        </w:tc>
      </w:tr>
      <w:tr w:rsidR="00424B85" w:rsidRPr="007C50B1" w14:paraId="3E4430B2"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3F89CB28"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LAG</w:t>
            </w:r>
          </w:p>
        </w:tc>
        <w:tc>
          <w:tcPr>
            <w:tcW w:w="490" w:type="dxa"/>
            <w:tcBorders>
              <w:top w:val="nil"/>
              <w:left w:val="nil"/>
              <w:bottom w:val="nil"/>
              <w:right w:val="nil"/>
            </w:tcBorders>
            <w:shd w:val="clear" w:color="auto" w:fill="auto"/>
            <w:noWrap/>
            <w:vAlign w:val="bottom"/>
            <w:hideMark/>
          </w:tcPr>
          <w:p w14:paraId="244399B2"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388" w:type="dxa"/>
            <w:tcBorders>
              <w:top w:val="nil"/>
              <w:left w:val="nil"/>
              <w:bottom w:val="nil"/>
              <w:right w:val="nil"/>
            </w:tcBorders>
            <w:shd w:val="clear" w:color="auto" w:fill="auto"/>
            <w:noWrap/>
            <w:vAlign w:val="bottom"/>
            <w:hideMark/>
          </w:tcPr>
          <w:p w14:paraId="506C052C"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-0.005**</w:t>
            </w:r>
          </w:p>
        </w:tc>
        <w:tc>
          <w:tcPr>
            <w:tcW w:w="489" w:type="dxa"/>
            <w:tcBorders>
              <w:top w:val="nil"/>
              <w:left w:val="nil"/>
              <w:bottom w:val="nil"/>
              <w:right w:val="nil"/>
            </w:tcBorders>
            <w:shd w:val="clear" w:color="auto" w:fill="auto"/>
            <w:noWrap/>
            <w:vAlign w:val="bottom"/>
            <w:hideMark/>
          </w:tcPr>
          <w:p w14:paraId="5B0F5C13"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816" w:type="dxa"/>
            <w:tcBorders>
              <w:top w:val="nil"/>
              <w:left w:val="nil"/>
              <w:bottom w:val="nil"/>
              <w:right w:val="nil"/>
            </w:tcBorders>
            <w:shd w:val="clear" w:color="auto" w:fill="auto"/>
            <w:noWrap/>
            <w:vAlign w:val="bottom"/>
            <w:hideMark/>
          </w:tcPr>
          <w:p w14:paraId="774C1EBD"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0.002</w:t>
            </w:r>
          </w:p>
        </w:tc>
      </w:tr>
      <w:tr w:rsidR="00424B85" w:rsidRPr="007C50B1" w14:paraId="7E77DACD"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590CF634" w14:textId="77777777" w:rsidR="00424B85" w:rsidRPr="00393625" w:rsidRDefault="00424B85" w:rsidP="001853E3">
            <w:pPr>
              <w:widowControl w:val="0"/>
              <w:rPr>
                <w:rFonts w:eastAsia="Times New Roman"/>
                <w:color w:val="000000"/>
                <w:sz w:val="22"/>
                <w:szCs w:val="22"/>
              </w:rPr>
            </w:pPr>
          </w:p>
        </w:tc>
        <w:tc>
          <w:tcPr>
            <w:tcW w:w="490" w:type="dxa"/>
            <w:tcBorders>
              <w:top w:val="nil"/>
              <w:left w:val="nil"/>
              <w:bottom w:val="nil"/>
              <w:right w:val="nil"/>
            </w:tcBorders>
            <w:shd w:val="clear" w:color="auto" w:fill="auto"/>
            <w:noWrap/>
            <w:vAlign w:val="bottom"/>
            <w:hideMark/>
          </w:tcPr>
          <w:p w14:paraId="614E050D"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0924AD9A"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(0.019)</w:t>
            </w:r>
          </w:p>
        </w:tc>
        <w:tc>
          <w:tcPr>
            <w:tcW w:w="489" w:type="dxa"/>
            <w:tcBorders>
              <w:top w:val="nil"/>
              <w:left w:val="nil"/>
              <w:bottom w:val="nil"/>
              <w:right w:val="nil"/>
            </w:tcBorders>
            <w:shd w:val="clear" w:color="auto" w:fill="auto"/>
            <w:noWrap/>
            <w:vAlign w:val="bottom"/>
            <w:hideMark/>
          </w:tcPr>
          <w:p w14:paraId="5F24934F"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1934178A"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(0.297)</w:t>
            </w:r>
          </w:p>
        </w:tc>
      </w:tr>
      <w:tr w:rsidR="00424B85" w:rsidRPr="007C50B1" w14:paraId="641A893E"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5711EA39"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DISP</w:t>
            </w:r>
          </w:p>
        </w:tc>
        <w:tc>
          <w:tcPr>
            <w:tcW w:w="490" w:type="dxa"/>
            <w:tcBorders>
              <w:top w:val="nil"/>
              <w:left w:val="nil"/>
              <w:bottom w:val="nil"/>
              <w:right w:val="nil"/>
            </w:tcBorders>
            <w:shd w:val="clear" w:color="auto" w:fill="auto"/>
            <w:noWrap/>
            <w:vAlign w:val="bottom"/>
            <w:hideMark/>
          </w:tcPr>
          <w:p w14:paraId="6553815E"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388" w:type="dxa"/>
            <w:tcBorders>
              <w:top w:val="nil"/>
              <w:left w:val="nil"/>
              <w:bottom w:val="nil"/>
              <w:right w:val="nil"/>
            </w:tcBorders>
            <w:shd w:val="clear" w:color="auto" w:fill="auto"/>
            <w:noWrap/>
            <w:vAlign w:val="bottom"/>
            <w:hideMark/>
          </w:tcPr>
          <w:p w14:paraId="4F96EC3B"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-1.670</w:t>
            </w:r>
          </w:p>
        </w:tc>
        <w:tc>
          <w:tcPr>
            <w:tcW w:w="489" w:type="dxa"/>
            <w:tcBorders>
              <w:top w:val="nil"/>
              <w:left w:val="nil"/>
              <w:bottom w:val="nil"/>
              <w:right w:val="nil"/>
            </w:tcBorders>
            <w:shd w:val="clear" w:color="auto" w:fill="auto"/>
            <w:noWrap/>
            <w:vAlign w:val="bottom"/>
            <w:hideMark/>
          </w:tcPr>
          <w:p w14:paraId="6BF181A7"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816" w:type="dxa"/>
            <w:tcBorders>
              <w:top w:val="nil"/>
              <w:left w:val="nil"/>
              <w:bottom w:val="nil"/>
              <w:right w:val="nil"/>
            </w:tcBorders>
            <w:shd w:val="clear" w:color="auto" w:fill="auto"/>
            <w:noWrap/>
            <w:vAlign w:val="bottom"/>
            <w:hideMark/>
          </w:tcPr>
          <w:p w14:paraId="2B07C4ED"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-2.835</w:t>
            </w:r>
          </w:p>
        </w:tc>
      </w:tr>
      <w:tr w:rsidR="00424B85" w:rsidRPr="007C50B1" w14:paraId="554736C4"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691004DC" w14:textId="77777777" w:rsidR="00424B85" w:rsidRPr="00393625" w:rsidRDefault="00424B85" w:rsidP="001853E3">
            <w:pPr>
              <w:widowControl w:val="0"/>
              <w:rPr>
                <w:rFonts w:eastAsia="Times New Roman"/>
                <w:color w:val="000000"/>
                <w:sz w:val="22"/>
                <w:szCs w:val="22"/>
              </w:rPr>
            </w:pPr>
          </w:p>
        </w:tc>
        <w:tc>
          <w:tcPr>
            <w:tcW w:w="490" w:type="dxa"/>
            <w:tcBorders>
              <w:top w:val="nil"/>
              <w:left w:val="nil"/>
              <w:bottom w:val="nil"/>
              <w:right w:val="nil"/>
            </w:tcBorders>
            <w:shd w:val="clear" w:color="auto" w:fill="auto"/>
            <w:noWrap/>
            <w:vAlign w:val="bottom"/>
            <w:hideMark/>
          </w:tcPr>
          <w:p w14:paraId="269756FF"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16F13DC5"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(0.465)</w:t>
            </w:r>
          </w:p>
        </w:tc>
        <w:tc>
          <w:tcPr>
            <w:tcW w:w="489" w:type="dxa"/>
            <w:tcBorders>
              <w:top w:val="nil"/>
              <w:left w:val="nil"/>
              <w:bottom w:val="nil"/>
              <w:right w:val="nil"/>
            </w:tcBorders>
            <w:shd w:val="clear" w:color="auto" w:fill="auto"/>
            <w:noWrap/>
            <w:vAlign w:val="bottom"/>
            <w:hideMark/>
          </w:tcPr>
          <w:p w14:paraId="3FDB6CD5"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5FEAFF0B"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(0.424)</w:t>
            </w:r>
          </w:p>
        </w:tc>
      </w:tr>
      <w:tr w:rsidR="00424B85" w:rsidRPr="007C50B1" w14:paraId="50D0F83B"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280CDB04"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LOSS</w:t>
            </w:r>
          </w:p>
        </w:tc>
        <w:tc>
          <w:tcPr>
            <w:tcW w:w="490" w:type="dxa"/>
            <w:tcBorders>
              <w:top w:val="nil"/>
              <w:left w:val="nil"/>
              <w:bottom w:val="nil"/>
              <w:right w:val="nil"/>
            </w:tcBorders>
            <w:shd w:val="clear" w:color="auto" w:fill="auto"/>
            <w:noWrap/>
            <w:vAlign w:val="bottom"/>
            <w:hideMark/>
          </w:tcPr>
          <w:p w14:paraId="103AEBD1"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388" w:type="dxa"/>
            <w:tcBorders>
              <w:top w:val="nil"/>
              <w:left w:val="nil"/>
              <w:bottom w:val="nil"/>
              <w:right w:val="nil"/>
            </w:tcBorders>
            <w:shd w:val="clear" w:color="auto" w:fill="auto"/>
            <w:noWrap/>
            <w:vAlign w:val="bottom"/>
            <w:hideMark/>
          </w:tcPr>
          <w:p w14:paraId="3F756FB7"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-0.059</w:t>
            </w:r>
          </w:p>
        </w:tc>
        <w:tc>
          <w:tcPr>
            <w:tcW w:w="489" w:type="dxa"/>
            <w:tcBorders>
              <w:top w:val="nil"/>
              <w:left w:val="nil"/>
              <w:bottom w:val="nil"/>
              <w:right w:val="nil"/>
            </w:tcBorders>
            <w:shd w:val="clear" w:color="auto" w:fill="auto"/>
            <w:noWrap/>
            <w:vAlign w:val="bottom"/>
            <w:hideMark/>
          </w:tcPr>
          <w:p w14:paraId="174BA190"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816" w:type="dxa"/>
            <w:tcBorders>
              <w:top w:val="nil"/>
              <w:left w:val="nil"/>
              <w:bottom w:val="nil"/>
              <w:right w:val="nil"/>
            </w:tcBorders>
            <w:shd w:val="clear" w:color="auto" w:fill="auto"/>
            <w:noWrap/>
            <w:vAlign w:val="bottom"/>
            <w:hideMark/>
          </w:tcPr>
          <w:p w14:paraId="4B81E23C"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0.064</w:t>
            </w:r>
          </w:p>
        </w:tc>
      </w:tr>
      <w:tr w:rsidR="00424B85" w:rsidRPr="007C50B1" w14:paraId="02F2D8DA"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7BCFC081" w14:textId="77777777" w:rsidR="00424B85" w:rsidRPr="00393625" w:rsidRDefault="00424B85" w:rsidP="001853E3">
            <w:pPr>
              <w:widowControl w:val="0"/>
              <w:rPr>
                <w:rFonts w:eastAsia="Times New Roman"/>
                <w:color w:val="000000"/>
                <w:sz w:val="22"/>
                <w:szCs w:val="22"/>
              </w:rPr>
            </w:pPr>
          </w:p>
        </w:tc>
        <w:tc>
          <w:tcPr>
            <w:tcW w:w="490" w:type="dxa"/>
            <w:tcBorders>
              <w:top w:val="nil"/>
              <w:left w:val="nil"/>
              <w:bottom w:val="nil"/>
              <w:right w:val="nil"/>
            </w:tcBorders>
            <w:shd w:val="clear" w:color="auto" w:fill="auto"/>
            <w:noWrap/>
            <w:vAlign w:val="bottom"/>
            <w:hideMark/>
          </w:tcPr>
          <w:p w14:paraId="6C19033B"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169DDDB4"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(0.325)</w:t>
            </w:r>
          </w:p>
        </w:tc>
        <w:tc>
          <w:tcPr>
            <w:tcW w:w="489" w:type="dxa"/>
            <w:tcBorders>
              <w:top w:val="nil"/>
              <w:left w:val="nil"/>
              <w:bottom w:val="nil"/>
              <w:right w:val="nil"/>
            </w:tcBorders>
            <w:shd w:val="clear" w:color="auto" w:fill="auto"/>
            <w:noWrap/>
            <w:vAlign w:val="bottom"/>
            <w:hideMark/>
          </w:tcPr>
          <w:p w14:paraId="414F1231"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1179A670"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(0.317)</w:t>
            </w:r>
          </w:p>
        </w:tc>
      </w:tr>
      <w:tr w:rsidR="00424B85" w:rsidRPr="007C50B1" w14:paraId="584A9CC2"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3975E595"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UE</w:t>
            </w:r>
          </w:p>
        </w:tc>
        <w:tc>
          <w:tcPr>
            <w:tcW w:w="490" w:type="dxa"/>
            <w:tcBorders>
              <w:top w:val="nil"/>
              <w:left w:val="nil"/>
              <w:bottom w:val="nil"/>
              <w:right w:val="nil"/>
            </w:tcBorders>
            <w:shd w:val="clear" w:color="auto" w:fill="auto"/>
            <w:noWrap/>
            <w:vAlign w:val="bottom"/>
            <w:hideMark/>
          </w:tcPr>
          <w:p w14:paraId="7AF55C6B"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388" w:type="dxa"/>
            <w:tcBorders>
              <w:top w:val="nil"/>
              <w:left w:val="nil"/>
              <w:bottom w:val="nil"/>
              <w:right w:val="nil"/>
            </w:tcBorders>
            <w:shd w:val="clear" w:color="auto" w:fill="auto"/>
            <w:noWrap/>
            <w:vAlign w:val="bottom"/>
            <w:hideMark/>
          </w:tcPr>
          <w:p w14:paraId="31E77D2B"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0.904</w:t>
            </w:r>
          </w:p>
        </w:tc>
        <w:tc>
          <w:tcPr>
            <w:tcW w:w="489" w:type="dxa"/>
            <w:tcBorders>
              <w:top w:val="nil"/>
              <w:left w:val="nil"/>
              <w:bottom w:val="nil"/>
              <w:right w:val="nil"/>
            </w:tcBorders>
            <w:shd w:val="clear" w:color="auto" w:fill="auto"/>
            <w:noWrap/>
            <w:vAlign w:val="bottom"/>
            <w:hideMark/>
          </w:tcPr>
          <w:p w14:paraId="18B99DAF"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816" w:type="dxa"/>
            <w:tcBorders>
              <w:top w:val="nil"/>
              <w:left w:val="nil"/>
              <w:bottom w:val="nil"/>
              <w:right w:val="nil"/>
            </w:tcBorders>
            <w:shd w:val="clear" w:color="auto" w:fill="auto"/>
            <w:noWrap/>
            <w:vAlign w:val="bottom"/>
            <w:hideMark/>
          </w:tcPr>
          <w:p w14:paraId="23E30BDB"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0.276</w:t>
            </w:r>
          </w:p>
        </w:tc>
      </w:tr>
      <w:tr w:rsidR="00424B85" w:rsidRPr="007C50B1" w14:paraId="47406864"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416CB444" w14:textId="77777777" w:rsidR="00424B85" w:rsidRPr="00393625" w:rsidRDefault="00424B85" w:rsidP="001853E3">
            <w:pPr>
              <w:widowControl w:val="0"/>
              <w:rPr>
                <w:rFonts w:eastAsia="Times New Roman"/>
                <w:color w:val="000000"/>
                <w:sz w:val="22"/>
                <w:szCs w:val="22"/>
              </w:rPr>
            </w:pPr>
          </w:p>
        </w:tc>
        <w:tc>
          <w:tcPr>
            <w:tcW w:w="490" w:type="dxa"/>
            <w:tcBorders>
              <w:top w:val="nil"/>
              <w:left w:val="nil"/>
              <w:bottom w:val="nil"/>
              <w:right w:val="nil"/>
            </w:tcBorders>
            <w:shd w:val="clear" w:color="auto" w:fill="auto"/>
            <w:noWrap/>
            <w:vAlign w:val="bottom"/>
            <w:hideMark/>
          </w:tcPr>
          <w:p w14:paraId="024C5CDD"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46933AB0"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(0.568)</w:t>
            </w:r>
          </w:p>
        </w:tc>
        <w:tc>
          <w:tcPr>
            <w:tcW w:w="489" w:type="dxa"/>
            <w:tcBorders>
              <w:top w:val="nil"/>
              <w:left w:val="nil"/>
              <w:bottom w:val="nil"/>
              <w:right w:val="nil"/>
            </w:tcBorders>
            <w:shd w:val="clear" w:color="auto" w:fill="auto"/>
            <w:noWrap/>
            <w:vAlign w:val="bottom"/>
            <w:hideMark/>
          </w:tcPr>
          <w:p w14:paraId="193F58D2"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2E3F2377"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(0.880)</w:t>
            </w:r>
          </w:p>
        </w:tc>
      </w:tr>
      <w:tr w:rsidR="00424B85" w:rsidRPr="007C50B1" w14:paraId="3AE8E4DE"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0CF1AE35"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SD_CFO</w:t>
            </w:r>
          </w:p>
        </w:tc>
        <w:tc>
          <w:tcPr>
            <w:tcW w:w="490" w:type="dxa"/>
            <w:tcBorders>
              <w:top w:val="nil"/>
              <w:left w:val="nil"/>
              <w:bottom w:val="nil"/>
              <w:right w:val="nil"/>
            </w:tcBorders>
            <w:shd w:val="clear" w:color="auto" w:fill="auto"/>
            <w:noWrap/>
            <w:vAlign w:val="bottom"/>
            <w:hideMark/>
          </w:tcPr>
          <w:p w14:paraId="2EB4CD9E"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388" w:type="dxa"/>
            <w:tcBorders>
              <w:top w:val="nil"/>
              <w:left w:val="nil"/>
              <w:bottom w:val="nil"/>
              <w:right w:val="nil"/>
            </w:tcBorders>
            <w:shd w:val="clear" w:color="auto" w:fill="auto"/>
            <w:noWrap/>
            <w:vAlign w:val="bottom"/>
            <w:hideMark/>
          </w:tcPr>
          <w:p w14:paraId="6941003C"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-0.669</w:t>
            </w:r>
          </w:p>
        </w:tc>
        <w:tc>
          <w:tcPr>
            <w:tcW w:w="489" w:type="dxa"/>
            <w:tcBorders>
              <w:top w:val="nil"/>
              <w:left w:val="nil"/>
              <w:bottom w:val="nil"/>
              <w:right w:val="nil"/>
            </w:tcBorders>
            <w:shd w:val="clear" w:color="auto" w:fill="auto"/>
            <w:noWrap/>
            <w:vAlign w:val="bottom"/>
            <w:hideMark/>
          </w:tcPr>
          <w:p w14:paraId="7DB2F5D4"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816" w:type="dxa"/>
            <w:tcBorders>
              <w:top w:val="nil"/>
              <w:left w:val="nil"/>
              <w:bottom w:val="nil"/>
              <w:right w:val="nil"/>
            </w:tcBorders>
            <w:shd w:val="clear" w:color="auto" w:fill="auto"/>
            <w:noWrap/>
            <w:vAlign w:val="bottom"/>
            <w:hideMark/>
          </w:tcPr>
          <w:p w14:paraId="558DC5C4"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0.927</w:t>
            </w:r>
          </w:p>
        </w:tc>
      </w:tr>
      <w:tr w:rsidR="00424B85" w:rsidRPr="007C50B1" w14:paraId="6B7381B1"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13A0EB5F" w14:textId="77777777" w:rsidR="00424B85" w:rsidRPr="00393625" w:rsidRDefault="00424B85" w:rsidP="001853E3">
            <w:pPr>
              <w:widowControl w:val="0"/>
              <w:rPr>
                <w:rFonts w:eastAsia="Times New Roman"/>
                <w:color w:val="000000"/>
                <w:sz w:val="22"/>
                <w:szCs w:val="22"/>
              </w:rPr>
            </w:pPr>
          </w:p>
        </w:tc>
        <w:tc>
          <w:tcPr>
            <w:tcW w:w="490" w:type="dxa"/>
            <w:tcBorders>
              <w:top w:val="nil"/>
              <w:left w:val="nil"/>
              <w:bottom w:val="nil"/>
              <w:right w:val="nil"/>
            </w:tcBorders>
            <w:shd w:val="clear" w:color="auto" w:fill="auto"/>
            <w:noWrap/>
            <w:vAlign w:val="bottom"/>
            <w:hideMark/>
          </w:tcPr>
          <w:p w14:paraId="1F72635F"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025AEE69"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(0.349)</w:t>
            </w:r>
          </w:p>
        </w:tc>
        <w:tc>
          <w:tcPr>
            <w:tcW w:w="489" w:type="dxa"/>
            <w:tcBorders>
              <w:top w:val="nil"/>
              <w:left w:val="nil"/>
              <w:bottom w:val="nil"/>
              <w:right w:val="nil"/>
            </w:tcBorders>
            <w:shd w:val="clear" w:color="auto" w:fill="auto"/>
            <w:noWrap/>
            <w:vAlign w:val="bottom"/>
            <w:hideMark/>
          </w:tcPr>
          <w:p w14:paraId="7578DCC7"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38BAA5B2"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(0.158)</w:t>
            </w:r>
          </w:p>
        </w:tc>
      </w:tr>
      <w:tr w:rsidR="00424B85" w:rsidRPr="007C50B1" w14:paraId="4D822788"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49434FF2"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Constant</w:t>
            </w:r>
          </w:p>
        </w:tc>
        <w:tc>
          <w:tcPr>
            <w:tcW w:w="490" w:type="dxa"/>
            <w:tcBorders>
              <w:top w:val="nil"/>
              <w:left w:val="nil"/>
              <w:bottom w:val="nil"/>
              <w:right w:val="nil"/>
            </w:tcBorders>
            <w:shd w:val="clear" w:color="auto" w:fill="auto"/>
            <w:noWrap/>
            <w:vAlign w:val="bottom"/>
            <w:hideMark/>
          </w:tcPr>
          <w:p w14:paraId="365EDF71"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388" w:type="dxa"/>
            <w:tcBorders>
              <w:top w:val="nil"/>
              <w:left w:val="nil"/>
              <w:bottom w:val="nil"/>
              <w:right w:val="nil"/>
            </w:tcBorders>
            <w:shd w:val="clear" w:color="auto" w:fill="auto"/>
            <w:noWrap/>
            <w:vAlign w:val="bottom"/>
            <w:hideMark/>
          </w:tcPr>
          <w:p w14:paraId="70AEB46F"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-1.015*</w:t>
            </w:r>
          </w:p>
        </w:tc>
        <w:tc>
          <w:tcPr>
            <w:tcW w:w="489" w:type="dxa"/>
            <w:tcBorders>
              <w:top w:val="nil"/>
              <w:left w:val="nil"/>
              <w:bottom w:val="nil"/>
              <w:right w:val="nil"/>
            </w:tcBorders>
            <w:shd w:val="clear" w:color="auto" w:fill="auto"/>
            <w:noWrap/>
            <w:vAlign w:val="bottom"/>
            <w:hideMark/>
          </w:tcPr>
          <w:p w14:paraId="794D03FA"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w:t>
            </w:r>
          </w:p>
        </w:tc>
        <w:tc>
          <w:tcPr>
            <w:tcW w:w="1816" w:type="dxa"/>
            <w:tcBorders>
              <w:top w:val="nil"/>
              <w:left w:val="nil"/>
              <w:bottom w:val="nil"/>
              <w:right w:val="nil"/>
            </w:tcBorders>
            <w:shd w:val="clear" w:color="auto" w:fill="auto"/>
            <w:noWrap/>
            <w:vAlign w:val="bottom"/>
            <w:hideMark/>
          </w:tcPr>
          <w:p w14:paraId="1A9E7F30"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0.309</w:t>
            </w:r>
          </w:p>
        </w:tc>
      </w:tr>
      <w:tr w:rsidR="00424B85" w:rsidRPr="007C50B1" w14:paraId="3947830F"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1533771B" w14:textId="77777777" w:rsidR="00424B85" w:rsidRPr="00393625" w:rsidRDefault="00424B85" w:rsidP="001853E3">
            <w:pPr>
              <w:widowControl w:val="0"/>
              <w:rPr>
                <w:rFonts w:eastAsia="Times New Roman"/>
                <w:color w:val="000000"/>
                <w:sz w:val="22"/>
                <w:szCs w:val="22"/>
              </w:rPr>
            </w:pPr>
          </w:p>
        </w:tc>
        <w:tc>
          <w:tcPr>
            <w:tcW w:w="490" w:type="dxa"/>
            <w:tcBorders>
              <w:top w:val="nil"/>
              <w:left w:val="nil"/>
              <w:bottom w:val="nil"/>
              <w:right w:val="nil"/>
            </w:tcBorders>
            <w:shd w:val="clear" w:color="auto" w:fill="auto"/>
            <w:noWrap/>
            <w:vAlign w:val="bottom"/>
            <w:hideMark/>
          </w:tcPr>
          <w:p w14:paraId="726D1375"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5D9068BD"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(0.074)</w:t>
            </w:r>
          </w:p>
        </w:tc>
        <w:tc>
          <w:tcPr>
            <w:tcW w:w="489" w:type="dxa"/>
            <w:tcBorders>
              <w:top w:val="nil"/>
              <w:left w:val="nil"/>
              <w:bottom w:val="nil"/>
              <w:right w:val="nil"/>
            </w:tcBorders>
            <w:shd w:val="clear" w:color="auto" w:fill="auto"/>
            <w:noWrap/>
            <w:vAlign w:val="bottom"/>
            <w:hideMark/>
          </w:tcPr>
          <w:p w14:paraId="080EF09B"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40312AE6"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(0.547)</w:t>
            </w:r>
          </w:p>
        </w:tc>
      </w:tr>
      <w:tr w:rsidR="00424B85" w:rsidRPr="007C50B1" w14:paraId="2B5FDB70"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077BB78F" w14:textId="77777777" w:rsidR="00424B85" w:rsidRPr="00393625" w:rsidRDefault="00424B85" w:rsidP="001853E3">
            <w:pPr>
              <w:widowControl w:val="0"/>
              <w:rPr>
                <w:rFonts w:eastAsia="Times New Roman"/>
                <w:color w:val="000000"/>
                <w:sz w:val="22"/>
                <w:szCs w:val="22"/>
              </w:rPr>
            </w:pPr>
          </w:p>
        </w:tc>
        <w:tc>
          <w:tcPr>
            <w:tcW w:w="490" w:type="dxa"/>
            <w:tcBorders>
              <w:top w:val="nil"/>
              <w:left w:val="nil"/>
              <w:bottom w:val="nil"/>
              <w:right w:val="nil"/>
            </w:tcBorders>
            <w:shd w:val="clear" w:color="auto" w:fill="auto"/>
            <w:noWrap/>
            <w:vAlign w:val="bottom"/>
            <w:hideMark/>
          </w:tcPr>
          <w:p w14:paraId="303DAC03"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48FCB85F" w14:textId="77777777" w:rsidR="00424B85" w:rsidRPr="00393625" w:rsidRDefault="00424B85" w:rsidP="001853E3">
            <w:pPr>
              <w:widowControl w:val="0"/>
              <w:jc w:val="center"/>
              <w:rPr>
                <w:rFonts w:eastAsia="Times New Roman"/>
                <w:color w:val="000000"/>
                <w:sz w:val="22"/>
                <w:szCs w:val="22"/>
              </w:rPr>
            </w:pPr>
          </w:p>
        </w:tc>
        <w:tc>
          <w:tcPr>
            <w:tcW w:w="489" w:type="dxa"/>
            <w:tcBorders>
              <w:top w:val="nil"/>
              <w:left w:val="nil"/>
              <w:bottom w:val="nil"/>
              <w:right w:val="nil"/>
            </w:tcBorders>
            <w:shd w:val="clear" w:color="auto" w:fill="auto"/>
            <w:noWrap/>
            <w:vAlign w:val="bottom"/>
            <w:hideMark/>
          </w:tcPr>
          <w:p w14:paraId="2239E0B7"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216E9BE8" w14:textId="77777777" w:rsidR="00424B85" w:rsidRPr="00393625" w:rsidRDefault="00424B85" w:rsidP="001853E3">
            <w:pPr>
              <w:widowControl w:val="0"/>
              <w:jc w:val="center"/>
              <w:rPr>
                <w:rFonts w:eastAsia="Times New Roman"/>
                <w:color w:val="000000"/>
                <w:sz w:val="22"/>
                <w:szCs w:val="22"/>
              </w:rPr>
            </w:pPr>
          </w:p>
        </w:tc>
      </w:tr>
      <w:tr w:rsidR="00424B85" w:rsidRPr="007C50B1" w14:paraId="46D71BB1"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17722E75"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Industry Fixed Effects</w:t>
            </w:r>
          </w:p>
        </w:tc>
        <w:tc>
          <w:tcPr>
            <w:tcW w:w="490" w:type="dxa"/>
            <w:tcBorders>
              <w:top w:val="nil"/>
              <w:left w:val="nil"/>
              <w:bottom w:val="nil"/>
              <w:right w:val="nil"/>
            </w:tcBorders>
            <w:shd w:val="clear" w:color="auto" w:fill="auto"/>
            <w:noWrap/>
            <w:vAlign w:val="bottom"/>
            <w:hideMark/>
          </w:tcPr>
          <w:p w14:paraId="126CFF05"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7A802559"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Yes</w:t>
            </w:r>
          </w:p>
        </w:tc>
        <w:tc>
          <w:tcPr>
            <w:tcW w:w="489" w:type="dxa"/>
            <w:tcBorders>
              <w:top w:val="nil"/>
              <w:left w:val="nil"/>
              <w:bottom w:val="nil"/>
              <w:right w:val="nil"/>
            </w:tcBorders>
            <w:shd w:val="clear" w:color="auto" w:fill="auto"/>
            <w:noWrap/>
            <w:vAlign w:val="bottom"/>
            <w:hideMark/>
          </w:tcPr>
          <w:p w14:paraId="2125D2ED"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431990DC"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Yes</w:t>
            </w:r>
          </w:p>
        </w:tc>
      </w:tr>
      <w:tr w:rsidR="00424B85" w:rsidRPr="007C50B1" w14:paraId="5F01F7C7" w14:textId="77777777" w:rsidTr="00424B85">
        <w:trPr>
          <w:trHeight w:val="301"/>
          <w:jc w:val="center"/>
        </w:trPr>
        <w:tc>
          <w:tcPr>
            <w:tcW w:w="3187" w:type="dxa"/>
            <w:tcBorders>
              <w:top w:val="nil"/>
              <w:left w:val="nil"/>
              <w:bottom w:val="nil"/>
              <w:right w:val="nil"/>
            </w:tcBorders>
            <w:shd w:val="clear" w:color="auto" w:fill="auto"/>
            <w:noWrap/>
            <w:vAlign w:val="bottom"/>
            <w:hideMark/>
          </w:tcPr>
          <w:p w14:paraId="454E31FD"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Observations</w:t>
            </w:r>
          </w:p>
        </w:tc>
        <w:tc>
          <w:tcPr>
            <w:tcW w:w="490" w:type="dxa"/>
            <w:tcBorders>
              <w:top w:val="nil"/>
              <w:left w:val="nil"/>
              <w:bottom w:val="nil"/>
              <w:right w:val="nil"/>
            </w:tcBorders>
            <w:shd w:val="clear" w:color="auto" w:fill="auto"/>
            <w:noWrap/>
            <w:vAlign w:val="bottom"/>
            <w:hideMark/>
          </w:tcPr>
          <w:p w14:paraId="63E084D5" w14:textId="77777777" w:rsidR="00424B85" w:rsidRPr="00393625" w:rsidRDefault="00424B85" w:rsidP="001853E3">
            <w:pPr>
              <w:widowControl w:val="0"/>
              <w:jc w:val="center"/>
              <w:rPr>
                <w:rFonts w:eastAsia="Times New Roman"/>
                <w:color w:val="000000"/>
                <w:sz w:val="22"/>
                <w:szCs w:val="22"/>
              </w:rPr>
            </w:pPr>
          </w:p>
        </w:tc>
        <w:tc>
          <w:tcPr>
            <w:tcW w:w="1388" w:type="dxa"/>
            <w:tcBorders>
              <w:top w:val="nil"/>
              <w:left w:val="nil"/>
              <w:bottom w:val="nil"/>
              <w:right w:val="nil"/>
            </w:tcBorders>
            <w:shd w:val="clear" w:color="auto" w:fill="auto"/>
            <w:noWrap/>
            <w:vAlign w:val="bottom"/>
            <w:hideMark/>
          </w:tcPr>
          <w:p w14:paraId="3754DBFC"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582</w:t>
            </w:r>
          </w:p>
        </w:tc>
        <w:tc>
          <w:tcPr>
            <w:tcW w:w="489" w:type="dxa"/>
            <w:tcBorders>
              <w:top w:val="nil"/>
              <w:left w:val="nil"/>
              <w:bottom w:val="nil"/>
              <w:right w:val="nil"/>
            </w:tcBorders>
            <w:shd w:val="clear" w:color="auto" w:fill="auto"/>
            <w:noWrap/>
            <w:vAlign w:val="bottom"/>
            <w:hideMark/>
          </w:tcPr>
          <w:p w14:paraId="4D882F02" w14:textId="77777777" w:rsidR="00424B85" w:rsidRPr="00393625" w:rsidRDefault="00424B85" w:rsidP="001853E3">
            <w:pPr>
              <w:widowControl w:val="0"/>
              <w:jc w:val="center"/>
              <w:rPr>
                <w:rFonts w:eastAsia="Times New Roman"/>
                <w:color w:val="000000"/>
                <w:sz w:val="22"/>
                <w:szCs w:val="22"/>
              </w:rPr>
            </w:pPr>
          </w:p>
        </w:tc>
        <w:tc>
          <w:tcPr>
            <w:tcW w:w="1816" w:type="dxa"/>
            <w:tcBorders>
              <w:top w:val="nil"/>
              <w:left w:val="nil"/>
              <w:bottom w:val="nil"/>
              <w:right w:val="nil"/>
            </w:tcBorders>
            <w:shd w:val="clear" w:color="auto" w:fill="auto"/>
            <w:noWrap/>
            <w:vAlign w:val="bottom"/>
            <w:hideMark/>
          </w:tcPr>
          <w:p w14:paraId="7C803F1B"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582</w:t>
            </w:r>
          </w:p>
        </w:tc>
      </w:tr>
      <w:tr w:rsidR="00424B85" w:rsidRPr="007C50B1" w14:paraId="5640A19C" w14:textId="77777777" w:rsidTr="00424B85">
        <w:trPr>
          <w:trHeight w:val="301"/>
          <w:jc w:val="center"/>
        </w:trPr>
        <w:tc>
          <w:tcPr>
            <w:tcW w:w="3187" w:type="dxa"/>
            <w:tcBorders>
              <w:top w:val="nil"/>
              <w:left w:val="nil"/>
              <w:bottom w:val="single" w:sz="4" w:space="0" w:color="auto"/>
              <w:right w:val="nil"/>
            </w:tcBorders>
            <w:shd w:val="clear" w:color="auto" w:fill="auto"/>
            <w:noWrap/>
            <w:vAlign w:val="bottom"/>
            <w:hideMark/>
          </w:tcPr>
          <w:p w14:paraId="698B68A1" w14:textId="77777777" w:rsidR="00424B85" w:rsidRPr="00393625" w:rsidRDefault="00424B85" w:rsidP="001853E3">
            <w:pPr>
              <w:widowControl w:val="0"/>
              <w:rPr>
                <w:rFonts w:eastAsia="Times New Roman"/>
                <w:color w:val="000000"/>
                <w:sz w:val="22"/>
                <w:szCs w:val="22"/>
              </w:rPr>
            </w:pPr>
            <w:r w:rsidRPr="00393625">
              <w:rPr>
                <w:rFonts w:eastAsia="Times New Roman"/>
                <w:color w:val="000000"/>
                <w:sz w:val="22"/>
                <w:szCs w:val="22"/>
              </w:rPr>
              <w:t>R-squared</w:t>
            </w:r>
          </w:p>
        </w:tc>
        <w:tc>
          <w:tcPr>
            <w:tcW w:w="490" w:type="dxa"/>
            <w:tcBorders>
              <w:top w:val="nil"/>
              <w:left w:val="nil"/>
              <w:bottom w:val="single" w:sz="4" w:space="0" w:color="auto"/>
              <w:right w:val="nil"/>
            </w:tcBorders>
            <w:shd w:val="clear" w:color="auto" w:fill="auto"/>
            <w:noWrap/>
            <w:vAlign w:val="bottom"/>
            <w:hideMark/>
          </w:tcPr>
          <w:p w14:paraId="2439D270"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 </w:t>
            </w:r>
          </w:p>
        </w:tc>
        <w:tc>
          <w:tcPr>
            <w:tcW w:w="1388" w:type="dxa"/>
            <w:tcBorders>
              <w:top w:val="nil"/>
              <w:left w:val="nil"/>
              <w:bottom w:val="single" w:sz="4" w:space="0" w:color="auto"/>
              <w:right w:val="nil"/>
            </w:tcBorders>
            <w:shd w:val="clear" w:color="auto" w:fill="auto"/>
            <w:noWrap/>
            <w:vAlign w:val="bottom"/>
            <w:hideMark/>
          </w:tcPr>
          <w:p w14:paraId="594AE662"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0.085</w:t>
            </w:r>
          </w:p>
        </w:tc>
        <w:tc>
          <w:tcPr>
            <w:tcW w:w="489" w:type="dxa"/>
            <w:tcBorders>
              <w:top w:val="nil"/>
              <w:left w:val="nil"/>
              <w:bottom w:val="single" w:sz="4" w:space="0" w:color="auto"/>
              <w:right w:val="nil"/>
            </w:tcBorders>
            <w:shd w:val="clear" w:color="auto" w:fill="auto"/>
            <w:noWrap/>
            <w:vAlign w:val="bottom"/>
            <w:hideMark/>
          </w:tcPr>
          <w:p w14:paraId="29751352"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 </w:t>
            </w:r>
          </w:p>
        </w:tc>
        <w:tc>
          <w:tcPr>
            <w:tcW w:w="1816" w:type="dxa"/>
            <w:tcBorders>
              <w:top w:val="nil"/>
              <w:left w:val="nil"/>
              <w:bottom w:val="single" w:sz="4" w:space="0" w:color="auto"/>
              <w:right w:val="nil"/>
            </w:tcBorders>
            <w:shd w:val="clear" w:color="auto" w:fill="auto"/>
            <w:noWrap/>
            <w:vAlign w:val="bottom"/>
            <w:hideMark/>
          </w:tcPr>
          <w:p w14:paraId="0B7302D7" w14:textId="77777777" w:rsidR="00424B85" w:rsidRPr="00393625" w:rsidRDefault="00424B85" w:rsidP="001853E3">
            <w:pPr>
              <w:widowControl w:val="0"/>
              <w:jc w:val="center"/>
              <w:rPr>
                <w:rFonts w:eastAsia="Times New Roman"/>
                <w:color w:val="000000"/>
                <w:sz w:val="22"/>
                <w:szCs w:val="22"/>
              </w:rPr>
            </w:pPr>
            <w:r w:rsidRPr="00393625">
              <w:rPr>
                <w:rFonts w:eastAsia="Times New Roman"/>
                <w:color w:val="000000"/>
                <w:sz w:val="22"/>
                <w:szCs w:val="22"/>
              </w:rPr>
              <w:t>0.094</w:t>
            </w:r>
          </w:p>
        </w:tc>
      </w:tr>
    </w:tbl>
    <w:p w14:paraId="74A3E75A" w14:textId="6CCA0DC3" w:rsidR="004F1EC0" w:rsidRPr="00E26D55" w:rsidRDefault="004F1EC0" w:rsidP="001853E3">
      <w:pPr>
        <w:widowControl w:val="0"/>
      </w:pPr>
    </w:p>
    <w:p w14:paraId="32B92F73" w14:textId="77777777" w:rsidR="00EA260E" w:rsidRDefault="00EA260E">
      <w:pPr>
        <w:rPr>
          <w:b/>
        </w:rPr>
      </w:pPr>
      <w:r>
        <w:br w:type="page"/>
      </w:r>
    </w:p>
    <w:p w14:paraId="61557F49" w14:textId="68FC50EB" w:rsidR="00FD45AC" w:rsidRPr="00E26D55" w:rsidRDefault="00FC3706" w:rsidP="00EA260E">
      <w:pPr>
        <w:pStyle w:val="Table"/>
      </w:pPr>
      <w:bookmarkStart w:id="104" w:name="_Toc286595537"/>
      <w:r>
        <w:t>Table 4</w:t>
      </w:r>
      <w:r w:rsidR="00FD45AC" w:rsidRPr="00E26D55">
        <w:t>: Analyst Following Analysis</w:t>
      </w:r>
      <w:bookmarkEnd w:id="104"/>
    </w:p>
    <w:p w14:paraId="2800FFDE" w14:textId="77777777" w:rsidR="00FD45AC" w:rsidRPr="00E26D55" w:rsidRDefault="00FD45AC" w:rsidP="001853E3">
      <w:pPr>
        <w:widowControl w:val="0"/>
        <w:jc w:val="both"/>
      </w:pPr>
    </w:p>
    <w:p w14:paraId="4964B426" w14:textId="77777777" w:rsidR="00FD45AC" w:rsidRPr="00E26D55" w:rsidRDefault="00FD45AC" w:rsidP="001853E3">
      <w:pPr>
        <w:widowControl w:val="0"/>
        <w:jc w:val="both"/>
      </w:pPr>
    </w:p>
    <w:p w14:paraId="3760011A" w14:textId="2A1CF593" w:rsidR="00FD45AC" w:rsidRPr="0003281F" w:rsidRDefault="00FC3706" w:rsidP="001853E3">
      <w:pPr>
        <w:widowControl w:val="0"/>
        <w:jc w:val="both"/>
        <w:rPr>
          <w:sz w:val="22"/>
          <w:szCs w:val="22"/>
        </w:rPr>
      </w:pPr>
      <w:r w:rsidRPr="0003281F">
        <w:rPr>
          <w:sz w:val="22"/>
          <w:szCs w:val="22"/>
        </w:rPr>
        <w:t>Table 4</w:t>
      </w:r>
      <w:r w:rsidR="00FD45AC" w:rsidRPr="0003281F">
        <w:rPr>
          <w:sz w:val="22"/>
          <w:szCs w:val="22"/>
        </w:rPr>
        <w:t xml:space="preserve"> presents the analyst following analysis. Panels A and B present the regression results for the estimation of equations (1) and (2), respectively. Columns 1 and 2 present the results for the subsamples of firms with high analyst coverage and low analyst coverage (divided at the median </w:t>
      </w:r>
      <w:r w:rsidR="00FD45AC" w:rsidRPr="0003281F">
        <w:rPr>
          <w:i/>
          <w:sz w:val="22"/>
          <w:szCs w:val="22"/>
        </w:rPr>
        <w:t>NUM_ANALYST</w:t>
      </w:r>
      <w:r w:rsidR="00FD45AC" w:rsidRPr="0003281F">
        <w:rPr>
          <w:sz w:val="22"/>
          <w:szCs w:val="22"/>
        </w:rPr>
        <w:t xml:space="preserve">). Column 3 presents the regression results using the full sample of firms including an interaction of </w:t>
      </w:r>
      <w:r w:rsidR="00FD45AC" w:rsidRPr="0003281F">
        <w:rPr>
          <w:i/>
          <w:sz w:val="22"/>
          <w:szCs w:val="22"/>
        </w:rPr>
        <w:t>POST x NUM_ANALYST</w:t>
      </w:r>
      <w:r w:rsidR="00FD45AC" w:rsidRPr="0003281F">
        <w:rPr>
          <w:sz w:val="22"/>
          <w:szCs w:val="22"/>
        </w:rPr>
        <w:t xml:space="preserve">. All variables are defined in </w:t>
      </w:r>
      <w:r w:rsidR="00B01688">
        <w:rPr>
          <w:sz w:val="22"/>
          <w:szCs w:val="22"/>
        </w:rPr>
        <w:t>Appendix B</w:t>
      </w:r>
      <w:r w:rsidR="00FD45AC" w:rsidRPr="0003281F">
        <w:rPr>
          <w:sz w:val="22"/>
          <w:szCs w:val="22"/>
        </w:rPr>
        <w:t xml:space="preserve">. Robust p-values adjusted for firm clustering effects are presented in parentheses below the coefficients. *, **, and *** indicate significance at the 0.10, 0.05, and 0.01 levels, respectively (based on one-tailed tests when a direction is predicted, two-tailed otherwise). </w:t>
      </w:r>
    </w:p>
    <w:p w14:paraId="7327C3F8" w14:textId="77777777" w:rsidR="00FD45AC" w:rsidRPr="0003281F" w:rsidRDefault="00FD45AC" w:rsidP="001853E3">
      <w:pPr>
        <w:widowControl w:val="0"/>
        <w:jc w:val="both"/>
        <w:rPr>
          <w:sz w:val="22"/>
          <w:szCs w:val="22"/>
        </w:rPr>
      </w:pPr>
    </w:p>
    <w:p w14:paraId="5795EF63" w14:textId="77777777" w:rsidR="00FD45AC" w:rsidRPr="00E26D55" w:rsidRDefault="00FD45AC" w:rsidP="001853E3">
      <w:pPr>
        <w:widowControl w:val="0"/>
        <w:jc w:val="both"/>
      </w:pPr>
    </w:p>
    <w:tbl>
      <w:tblPr>
        <w:tblW w:w="9372" w:type="dxa"/>
        <w:jc w:val="center"/>
        <w:tblInd w:w="93" w:type="dxa"/>
        <w:tblLook w:val="04A0" w:firstRow="1" w:lastRow="0" w:firstColumn="1" w:lastColumn="0" w:noHBand="0" w:noVBand="1"/>
      </w:tblPr>
      <w:tblGrid>
        <w:gridCol w:w="3018"/>
        <w:gridCol w:w="378"/>
        <w:gridCol w:w="2334"/>
        <w:gridCol w:w="1969"/>
        <w:gridCol w:w="346"/>
        <w:gridCol w:w="1327"/>
      </w:tblGrid>
      <w:tr w:rsidR="008C007D" w:rsidRPr="0003281F" w14:paraId="6DD277E4" w14:textId="77777777" w:rsidTr="008C007D">
        <w:trPr>
          <w:trHeight w:val="306"/>
          <w:jc w:val="center"/>
        </w:trPr>
        <w:tc>
          <w:tcPr>
            <w:tcW w:w="3018" w:type="dxa"/>
            <w:tcBorders>
              <w:top w:val="single" w:sz="4" w:space="0" w:color="auto"/>
              <w:left w:val="nil"/>
              <w:bottom w:val="single" w:sz="4" w:space="0" w:color="auto"/>
              <w:right w:val="nil"/>
            </w:tcBorders>
            <w:shd w:val="clear" w:color="auto" w:fill="auto"/>
            <w:noWrap/>
            <w:vAlign w:val="bottom"/>
            <w:hideMark/>
          </w:tcPr>
          <w:p w14:paraId="33836641" w14:textId="77777777" w:rsidR="00FD45AC" w:rsidRPr="0003281F" w:rsidRDefault="00FD45AC" w:rsidP="001853E3">
            <w:pPr>
              <w:widowControl w:val="0"/>
              <w:rPr>
                <w:rFonts w:eastAsia="Times New Roman"/>
                <w:b/>
                <w:bCs/>
                <w:color w:val="000000"/>
                <w:sz w:val="22"/>
                <w:szCs w:val="22"/>
              </w:rPr>
            </w:pPr>
            <w:r w:rsidRPr="0003281F">
              <w:rPr>
                <w:rFonts w:eastAsia="Times New Roman"/>
                <w:b/>
                <w:bCs/>
                <w:color w:val="000000"/>
                <w:sz w:val="22"/>
                <w:szCs w:val="22"/>
              </w:rPr>
              <w:t xml:space="preserve">Panel A: </w:t>
            </w:r>
            <w:r w:rsidRPr="0003281F">
              <w:rPr>
                <w:rFonts w:eastAsia="Times New Roman"/>
                <w:b/>
                <w:bCs/>
                <w:i/>
                <w:iCs/>
                <w:color w:val="000000"/>
                <w:sz w:val="22"/>
                <w:szCs w:val="22"/>
              </w:rPr>
              <w:t>AVOL</w:t>
            </w:r>
          </w:p>
        </w:tc>
        <w:tc>
          <w:tcPr>
            <w:tcW w:w="378" w:type="dxa"/>
            <w:tcBorders>
              <w:top w:val="single" w:sz="4" w:space="0" w:color="auto"/>
              <w:left w:val="nil"/>
              <w:bottom w:val="single" w:sz="4" w:space="0" w:color="auto"/>
              <w:right w:val="nil"/>
            </w:tcBorders>
            <w:shd w:val="clear" w:color="auto" w:fill="auto"/>
            <w:noWrap/>
            <w:vAlign w:val="bottom"/>
            <w:hideMark/>
          </w:tcPr>
          <w:p w14:paraId="52F68D66"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 </w:t>
            </w:r>
          </w:p>
        </w:tc>
        <w:tc>
          <w:tcPr>
            <w:tcW w:w="2334" w:type="dxa"/>
            <w:tcBorders>
              <w:top w:val="single" w:sz="4" w:space="0" w:color="auto"/>
              <w:left w:val="nil"/>
              <w:bottom w:val="single" w:sz="4" w:space="0" w:color="auto"/>
              <w:right w:val="nil"/>
            </w:tcBorders>
            <w:shd w:val="clear" w:color="auto" w:fill="auto"/>
            <w:noWrap/>
            <w:vAlign w:val="bottom"/>
            <w:hideMark/>
          </w:tcPr>
          <w:p w14:paraId="579B6E53"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 </w:t>
            </w:r>
          </w:p>
        </w:tc>
        <w:tc>
          <w:tcPr>
            <w:tcW w:w="1969" w:type="dxa"/>
            <w:tcBorders>
              <w:top w:val="single" w:sz="4" w:space="0" w:color="auto"/>
              <w:left w:val="nil"/>
              <w:bottom w:val="single" w:sz="4" w:space="0" w:color="auto"/>
              <w:right w:val="nil"/>
            </w:tcBorders>
            <w:shd w:val="clear" w:color="auto" w:fill="auto"/>
            <w:noWrap/>
            <w:vAlign w:val="bottom"/>
            <w:hideMark/>
          </w:tcPr>
          <w:p w14:paraId="00E4520E"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 </w:t>
            </w:r>
          </w:p>
        </w:tc>
        <w:tc>
          <w:tcPr>
            <w:tcW w:w="346" w:type="dxa"/>
            <w:tcBorders>
              <w:top w:val="single" w:sz="4" w:space="0" w:color="auto"/>
              <w:left w:val="nil"/>
              <w:bottom w:val="single" w:sz="4" w:space="0" w:color="auto"/>
              <w:right w:val="nil"/>
            </w:tcBorders>
            <w:shd w:val="clear" w:color="auto" w:fill="auto"/>
            <w:noWrap/>
            <w:vAlign w:val="bottom"/>
            <w:hideMark/>
          </w:tcPr>
          <w:p w14:paraId="522C85C7"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 </w:t>
            </w:r>
          </w:p>
        </w:tc>
        <w:tc>
          <w:tcPr>
            <w:tcW w:w="1327" w:type="dxa"/>
            <w:tcBorders>
              <w:top w:val="single" w:sz="4" w:space="0" w:color="auto"/>
              <w:left w:val="nil"/>
              <w:bottom w:val="single" w:sz="4" w:space="0" w:color="auto"/>
              <w:right w:val="nil"/>
            </w:tcBorders>
            <w:shd w:val="clear" w:color="auto" w:fill="auto"/>
            <w:noWrap/>
            <w:vAlign w:val="bottom"/>
            <w:hideMark/>
          </w:tcPr>
          <w:p w14:paraId="111500F5"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 </w:t>
            </w:r>
          </w:p>
        </w:tc>
      </w:tr>
      <w:tr w:rsidR="008C007D" w:rsidRPr="0003281F" w14:paraId="7FEB0AA2"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3E4E4B35"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 </w:t>
            </w:r>
          </w:p>
        </w:tc>
        <w:tc>
          <w:tcPr>
            <w:tcW w:w="378" w:type="dxa"/>
            <w:tcBorders>
              <w:top w:val="nil"/>
              <w:left w:val="nil"/>
              <w:bottom w:val="nil"/>
              <w:right w:val="nil"/>
            </w:tcBorders>
            <w:shd w:val="clear" w:color="auto" w:fill="auto"/>
            <w:noWrap/>
            <w:vAlign w:val="bottom"/>
            <w:hideMark/>
          </w:tcPr>
          <w:p w14:paraId="5CA800F3"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2334" w:type="dxa"/>
            <w:tcBorders>
              <w:top w:val="nil"/>
              <w:left w:val="nil"/>
              <w:bottom w:val="nil"/>
              <w:right w:val="nil"/>
            </w:tcBorders>
            <w:shd w:val="clear" w:color="auto" w:fill="auto"/>
            <w:noWrap/>
            <w:vAlign w:val="bottom"/>
            <w:hideMark/>
          </w:tcPr>
          <w:p w14:paraId="34395C2B"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High Analyst</w:t>
            </w:r>
          </w:p>
        </w:tc>
        <w:tc>
          <w:tcPr>
            <w:tcW w:w="1969" w:type="dxa"/>
            <w:tcBorders>
              <w:top w:val="nil"/>
              <w:left w:val="nil"/>
              <w:bottom w:val="nil"/>
              <w:right w:val="nil"/>
            </w:tcBorders>
            <w:shd w:val="clear" w:color="auto" w:fill="auto"/>
            <w:noWrap/>
            <w:vAlign w:val="bottom"/>
            <w:hideMark/>
          </w:tcPr>
          <w:p w14:paraId="1791BB0F"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Low Analyst</w:t>
            </w:r>
          </w:p>
        </w:tc>
        <w:tc>
          <w:tcPr>
            <w:tcW w:w="346" w:type="dxa"/>
            <w:tcBorders>
              <w:top w:val="nil"/>
              <w:left w:val="nil"/>
              <w:bottom w:val="nil"/>
              <w:right w:val="nil"/>
            </w:tcBorders>
            <w:shd w:val="clear" w:color="auto" w:fill="auto"/>
            <w:noWrap/>
            <w:vAlign w:val="bottom"/>
            <w:hideMark/>
          </w:tcPr>
          <w:p w14:paraId="4CC1F555"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 </w:t>
            </w:r>
          </w:p>
        </w:tc>
        <w:tc>
          <w:tcPr>
            <w:tcW w:w="1327" w:type="dxa"/>
            <w:tcBorders>
              <w:top w:val="nil"/>
              <w:left w:val="nil"/>
              <w:bottom w:val="nil"/>
              <w:right w:val="nil"/>
            </w:tcBorders>
            <w:shd w:val="clear" w:color="auto" w:fill="auto"/>
            <w:noWrap/>
            <w:vAlign w:val="bottom"/>
            <w:hideMark/>
          </w:tcPr>
          <w:p w14:paraId="47ED914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Full</w:t>
            </w:r>
          </w:p>
        </w:tc>
      </w:tr>
      <w:tr w:rsidR="008C007D" w:rsidRPr="0003281F" w14:paraId="4C90A702"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7703F1BE" w14:textId="77777777" w:rsidR="00FD45AC" w:rsidRPr="0003281F" w:rsidRDefault="00FD45AC" w:rsidP="001853E3">
            <w:pPr>
              <w:widowControl w:val="0"/>
              <w:rPr>
                <w:rFonts w:eastAsia="Times New Roman"/>
                <w:color w:val="000000"/>
                <w:sz w:val="22"/>
                <w:szCs w:val="22"/>
              </w:rPr>
            </w:pPr>
          </w:p>
        </w:tc>
        <w:tc>
          <w:tcPr>
            <w:tcW w:w="378" w:type="dxa"/>
            <w:tcBorders>
              <w:top w:val="nil"/>
              <w:left w:val="nil"/>
              <w:bottom w:val="nil"/>
              <w:right w:val="nil"/>
            </w:tcBorders>
            <w:shd w:val="clear" w:color="auto" w:fill="auto"/>
            <w:noWrap/>
            <w:vAlign w:val="bottom"/>
            <w:hideMark/>
          </w:tcPr>
          <w:p w14:paraId="6D5E00D4"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4A52BA21"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Coverage</w:t>
            </w:r>
          </w:p>
        </w:tc>
        <w:tc>
          <w:tcPr>
            <w:tcW w:w="1969" w:type="dxa"/>
            <w:tcBorders>
              <w:top w:val="nil"/>
              <w:left w:val="nil"/>
              <w:bottom w:val="nil"/>
              <w:right w:val="nil"/>
            </w:tcBorders>
            <w:shd w:val="clear" w:color="auto" w:fill="auto"/>
            <w:noWrap/>
            <w:vAlign w:val="bottom"/>
            <w:hideMark/>
          </w:tcPr>
          <w:p w14:paraId="62BB5A3B"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Coverage</w:t>
            </w:r>
          </w:p>
        </w:tc>
        <w:tc>
          <w:tcPr>
            <w:tcW w:w="346" w:type="dxa"/>
            <w:tcBorders>
              <w:top w:val="nil"/>
              <w:left w:val="nil"/>
              <w:bottom w:val="nil"/>
              <w:right w:val="nil"/>
            </w:tcBorders>
            <w:shd w:val="clear" w:color="auto" w:fill="auto"/>
            <w:noWrap/>
            <w:vAlign w:val="bottom"/>
            <w:hideMark/>
          </w:tcPr>
          <w:p w14:paraId="488165E5" w14:textId="77777777" w:rsidR="00FD45AC" w:rsidRPr="0003281F" w:rsidRDefault="00FD45AC" w:rsidP="001853E3">
            <w:pPr>
              <w:widowControl w:val="0"/>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272EE194"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Sample</w:t>
            </w:r>
          </w:p>
        </w:tc>
      </w:tr>
      <w:tr w:rsidR="008C007D" w:rsidRPr="0003281F" w14:paraId="1DCC527F" w14:textId="77777777" w:rsidTr="008C007D">
        <w:trPr>
          <w:trHeight w:val="306"/>
          <w:jc w:val="center"/>
        </w:trPr>
        <w:tc>
          <w:tcPr>
            <w:tcW w:w="3018" w:type="dxa"/>
            <w:tcBorders>
              <w:top w:val="single" w:sz="4" w:space="0" w:color="auto"/>
              <w:left w:val="nil"/>
              <w:bottom w:val="nil"/>
              <w:right w:val="nil"/>
            </w:tcBorders>
            <w:shd w:val="clear" w:color="auto" w:fill="auto"/>
            <w:noWrap/>
            <w:vAlign w:val="bottom"/>
            <w:hideMark/>
          </w:tcPr>
          <w:p w14:paraId="6463D310"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 </w:t>
            </w:r>
          </w:p>
        </w:tc>
        <w:tc>
          <w:tcPr>
            <w:tcW w:w="378" w:type="dxa"/>
            <w:tcBorders>
              <w:top w:val="single" w:sz="4" w:space="0" w:color="auto"/>
              <w:left w:val="nil"/>
              <w:bottom w:val="nil"/>
              <w:right w:val="nil"/>
            </w:tcBorders>
            <w:shd w:val="clear" w:color="auto" w:fill="auto"/>
            <w:noWrap/>
            <w:vAlign w:val="bottom"/>
            <w:hideMark/>
          </w:tcPr>
          <w:p w14:paraId="64A4F6C2"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2334" w:type="dxa"/>
            <w:tcBorders>
              <w:top w:val="single" w:sz="4" w:space="0" w:color="auto"/>
              <w:left w:val="nil"/>
              <w:bottom w:val="nil"/>
              <w:right w:val="nil"/>
            </w:tcBorders>
            <w:shd w:val="clear" w:color="auto" w:fill="auto"/>
            <w:noWrap/>
            <w:vAlign w:val="bottom"/>
            <w:hideMark/>
          </w:tcPr>
          <w:p w14:paraId="279B6A89"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(1)</w:t>
            </w:r>
          </w:p>
        </w:tc>
        <w:tc>
          <w:tcPr>
            <w:tcW w:w="1969" w:type="dxa"/>
            <w:tcBorders>
              <w:top w:val="single" w:sz="4" w:space="0" w:color="auto"/>
              <w:left w:val="nil"/>
              <w:bottom w:val="nil"/>
              <w:right w:val="nil"/>
            </w:tcBorders>
            <w:shd w:val="clear" w:color="auto" w:fill="auto"/>
            <w:noWrap/>
            <w:vAlign w:val="bottom"/>
            <w:hideMark/>
          </w:tcPr>
          <w:p w14:paraId="1052DF7E"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(2)</w:t>
            </w:r>
          </w:p>
        </w:tc>
        <w:tc>
          <w:tcPr>
            <w:tcW w:w="346" w:type="dxa"/>
            <w:tcBorders>
              <w:top w:val="single" w:sz="4" w:space="0" w:color="auto"/>
              <w:left w:val="nil"/>
              <w:bottom w:val="nil"/>
              <w:right w:val="nil"/>
            </w:tcBorders>
            <w:shd w:val="clear" w:color="auto" w:fill="auto"/>
            <w:noWrap/>
            <w:vAlign w:val="bottom"/>
            <w:hideMark/>
          </w:tcPr>
          <w:p w14:paraId="56549075"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327" w:type="dxa"/>
            <w:tcBorders>
              <w:top w:val="single" w:sz="4" w:space="0" w:color="auto"/>
              <w:left w:val="nil"/>
              <w:bottom w:val="nil"/>
              <w:right w:val="nil"/>
            </w:tcBorders>
            <w:shd w:val="clear" w:color="auto" w:fill="auto"/>
            <w:noWrap/>
            <w:vAlign w:val="bottom"/>
            <w:hideMark/>
          </w:tcPr>
          <w:p w14:paraId="0536AE60"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(3)</w:t>
            </w:r>
          </w:p>
        </w:tc>
      </w:tr>
      <w:tr w:rsidR="008C007D" w:rsidRPr="0003281F" w14:paraId="79479A8E"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42859FC3"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VARIABLES</w:t>
            </w:r>
          </w:p>
        </w:tc>
        <w:tc>
          <w:tcPr>
            <w:tcW w:w="378" w:type="dxa"/>
            <w:tcBorders>
              <w:top w:val="nil"/>
              <w:left w:val="nil"/>
              <w:bottom w:val="nil"/>
              <w:right w:val="nil"/>
            </w:tcBorders>
            <w:shd w:val="clear" w:color="auto" w:fill="auto"/>
            <w:noWrap/>
            <w:vAlign w:val="bottom"/>
            <w:hideMark/>
          </w:tcPr>
          <w:p w14:paraId="1B4EDC93"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3B70B9FC"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AVOL</w:t>
            </w:r>
          </w:p>
        </w:tc>
        <w:tc>
          <w:tcPr>
            <w:tcW w:w="1969" w:type="dxa"/>
            <w:tcBorders>
              <w:top w:val="nil"/>
              <w:left w:val="nil"/>
              <w:bottom w:val="nil"/>
              <w:right w:val="nil"/>
            </w:tcBorders>
            <w:shd w:val="clear" w:color="auto" w:fill="auto"/>
            <w:noWrap/>
            <w:vAlign w:val="bottom"/>
            <w:hideMark/>
          </w:tcPr>
          <w:p w14:paraId="6E9BD66E"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AVOL</w:t>
            </w:r>
          </w:p>
        </w:tc>
        <w:tc>
          <w:tcPr>
            <w:tcW w:w="346" w:type="dxa"/>
            <w:tcBorders>
              <w:top w:val="nil"/>
              <w:left w:val="nil"/>
              <w:bottom w:val="nil"/>
              <w:right w:val="nil"/>
            </w:tcBorders>
            <w:shd w:val="clear" w:color="auto" w:fill="auto"/>
            <w:noWrap/>
            <w:vAlign w:val="bottom"/>
            <w:hideMark/>
          </w:tcPr>
          <w:p w14:paraId="6B7E2AA7"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623729B3"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AVOL</w:t>
            </w:r>
          </w:p>
        </w:tc>
      </w:tr>
      <w:tr w:rsidR="008C007D" w:rsidRPr="0003281F" w14:paraId="73B98782" w14:textId="77777777" w:rsidTr="008C007D">
        <w:trPr>
          <w:trHeight w:val="306"/>
          <w:jc w:val="center"/>
        </w:trPr>
        <w:tc>
          <w:tcPr>
            <w:tcW w:w="3018" w:type="dxa"/>
            <w:tcBorders>
              <w:top w:val="single" w:sz="4" w:space="0" w:color="auto"/>
              <w:left w:val="nil"/>
              <w:bottom w:val="nil"/>
              <w:right w:val="nil"/>
            </w:tcBorders>
            <w:shd w:val="clear" w:color="auto" w:fill="auto"/>
            <w:noWrap/>
            <w:vAlign w:val="bottom"/>
            <w:hideMark/>
          </w:tcPr>
          <w:p w14:paraId="4B013451"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 </w:t>
            </w:r>
          </w:p>
        </w:tc>
        <w:tc>
          <w:tcPr>
            <w:tcW w:w="378" w:type="dxa"/>
            <w:tcBorders>
              <w:top w:val="single" w:sz="4" w:space="0" w:color="auto"/>
              <w:left w:val="nil"/>
              <w:bottom w:val="nil"/>
              <w:right w:val="nil"/>
            </w:tcBorders>
            <w:shd w:val="clear" w:color="auto" w:fill="auto"/>
            <w:noWrap/>
            <w:vAlign w:val="bottom"/>
            <w:hideMark/>
          </w:tcPr>
          <w:p w14:paraId="0840F5A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2334" w:type="dxa"/>
            <w:tcBorders>
              <w:top w:val="single" w:sz="4" w:space="0" w:color="auto"/>
              <w:left w:val="nil"/>
              <w:bottom w:val="nil"/>
              <w:right w:val="nil"/>
            </w:tcBorders>
            <w:shd w:val="clear" w:color="auto" w:fill="auto"/>
            <w:noWrap/>
            <w:vAlign w:val="bottom"/>
            <w:hideMark/>
          </w:tcPr>
          <w:p w14:paraId="3F1C9C33"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969" w:type="dxa"/>
            <w:tcBorders>
              <w:top w:val="single" w:sz="4" w:space="0" w:color="auto"/>
              <w:left w:val="nil"/>
              <w:bottom w:val="nil"/>
              <w:right w:val="nil"/>
            </w:tcBorders>
            <w:shd w:val="clear" w:color="auto" w:fill="auto"/>
            <w:noWrap/>
            <w:vAlign w:val="bottom"/>
            <w:hideMark/>
          </w:tcPr>
          <w:p w14:paraId="47A1218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346" w:type="dxa"/>
            <w:tcBorders>
              <w:top w:val="single" w:sz="4" w:space="0" w:color="auto"/>
              <w:left w:val="nil"/>
              <w:bottom w:val="nil"/>
              <w:right w:val="nil"/>
            </w:tcBorders>
            <w:shd w:val="clear" w:color="auto" w:fill="auto"/>
            <w:noWrap/>
            <w:vAlign w:val="bottom"/>
            <w:hideMark/>
          </w:tcPr>
          <w:p w14:paraId="0B8FF91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327" w:type="dxa"/>
            <w:tcBorders>
              <w:top w:val="single" w:sz="4" w:space="0" w:color="auto"/>
              <w:left w:val="nil"/>
              <w:bottom w:val="nil"/>
              <w:right w:val="nil"/>
            </w:tcBorders>
            <w:shd w:val="clear" w:color="auto" w:fill="auto"/>
            <w:noWrap/>
            <w:vAlign w:val="bottom"/>
            <w:hideMark/>
          </w:tcPr>
          <w:p w14:paraId="2D536795"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 </w:t>
            </w:r>
          </w:p>
        </w:tc>
      </w:tr>
      <w:tr w:rsidR="008C007D" w:rsidRPr="0003281F" w14:paraId="49802193"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2F9071E6" w14:textId="77777777" w:rsidR="00FD45AC" w:rsidRPr="0003281F" w:rsidRDefault="00FD45AC" w:rsidP="001853E3">
            <w:pPr>
              <w:widowControl w:val="0"/>
              <w:rPr>
                <w:rFonts w:eastAsia="Times New Roman"/>
                <w:b/>
                <w:bCs/>
                <w:color w:val="000000"/>
                <w:sz w:val="22"/>
                <w:szCs w:val="22"/>
              </w:rPr>
            </w:pPr>
            <w:r w:rsidRPr="0003281F">
              <w:rPr>
                <w:rFonts w:eastAsia="Times New Roman"/>
                <w:b/>
                <w:bCs/>
                <w:color w:val="000000"/>
                <w:sz w:val="22"/>
                <w:szCs w:val="22"/>
              </w:rPr>
              <w:t>POST</w:t>
            </w:r>
          </w:p>
        </w:tc>
        <w:tc>
          <w:tcPr>
            <w:tcW w:w="378" w:type="dxa"/>
            <w:tcBorders>
              <w:top w:val="nil"/>
              <w:left w:val="nil"/>
              <w:bottom w:val="nil"/>
              <w:right w:val="nil"/>
            </w:tcBorders>
            <w:shd w:val="clear" w:color="auto" w:fill="auto"/>
            <w:noWrap/>
            <w:vAlign w:val="bottom"/>
            <w:hideMark/>
          </w:tcPr>
          <w:p w14:paraId="536E5F24" w14:textId="77777777" w:rsidR="00FD45AC" w:rsidRPr="0003281F" w:rsidRDefault="00FD45AC" w:rsidP="001853E3">
            <w:pPr>
              <w:widowControl w:val="0"/>
              <w:jc w:val="center"/>
              <w:rPr>
                <w:rFonts w:eastAsia="Times New Roman"/>
                <w:b/>
                <w:bCs/>
                <w:color w:val="000000"/>
                <w:sz w:val="22"/>
                <w:szCs w:val="22"/>
              </w:rPr>
            </w:pPr>
            <w:r w:rsidRPr="0003281F">
              <w:rPr>
                <w:rFonts w:eastAsia="Times New Roman"/>
                <w:b/>
                <w:bCs/>
                <w:color w:val="000000"/>
                <w:sz w:val="22"/>
                <w:szCs w:val="22"/>
              </w:rPr>
              <w:t>+</w:t>
            </w:r>
          </w:p>
        </w:tc>
        <w:tc>
          <w:tcPr>
            <w:tcW w:w="2334" w:type="dxa"/>
            <w:tcBorders>
              <w:top w:val="nil"/>
              <w:left w:val="nil"/>
              <w:bottom w:val="nil"/>
              <w:right w:val="nil"/>
            </w:tcBorders>
            <w:shd w:val="clear" w:color="auto" w:fill="auto"/>
            <w:noWrap/>
            <w:vAlign w:val="bottom"/>
            <w:hideMark/>
          </w:tcPr>
          <w:p w14:paraId="4C44D912" w14:textId="77777777" w:rsidR="00FD45AC" w:rsidRPr="0003281F" w:rsidRDefault="00FD45AC" w:rsidP="001853E3">
            <w:pPr>
              <w:widowControl w:val="0"/>
              <w:jc w:val="center"/>
              <w:rPr>
                <w:rFonts w:eastAsia="Times New Roman"/>
                <w:b/>
                <w:bCs/>
                <w:color w:val="000000"/>
                <w:sz w:val="22"/>
                <w:szCs w:val="22"/>
              </w:rPr>
            </w:pPr>
            <w:r w:rsidRPr="0003281F">
              <w:rPr>
                <w:rFonts w:eastAsia="Times New Roman"/>
                <w:b/>
                <w:bCs/>
                <w:color w:val="000000"/>
                <w:sz w:val="22"/>
                <w:szCs w:val="22"/>
              </w:rPr>
              <w:t>-0.005</w:t>
            </w:r>
          </w:p>
        </w:tc>
        <w:tc>
          <w:tcPr>
            <w:tcW w:w="1969" w:type="dxa"/>
            <w:tcBorders>
              <w:top w:val="nil"/>
              <w:left w:val="nil"/>
              <w:bottom w:val="nil"/>
              <w:right w:val="nil"/>
            </w:tcBorders>
            <w:shd w:val="clear" w:color="auto" w:fill="auto"/>
            <w:noWrap/>
            <w:vAlign w:val="bottom"/>
            <w:hideMark/>
          </w:tcPr>
          <w:p w14:paraId="08485E16" w14:textId="77777777" w:rsidR="00FD45AC" w:rsidRPr="0003281F" w:rsidRDefault="00FD45AC" w:rsidP="001853E3">
            <w:pPr>
              <w:widowControl w:val="0"/>
              <w:jc w:val="center"/>
              <w:rPr>
                <w:rFonts w:eastAsia="Times New Roman"/>
                <w:b/>
                <w:bCs/>
                <w:color w:val="000000"/>
                <w:sz w:val="22"/>
                <w:szCs w:val="22"/>
              </w:rPr>
            </w:pPr>
            <w:r w:rsidRPr="0003281F">
              <w:rPr>
                <w:rFonts w:eastAsia="Times New Roman"/>
                <w:b/>
                <w:bCs/>
                <w:color w:val="000000"/>
                <w:sz w:val="22"/>
                <w:szCs w:val="22"/>
              </w:rPr>
              <w:t>0.298**</w:t>
            </w:r>
          </w:p>
        </w:tc>
        <w:tc>
          <w:tcPr>
            <w:tcW w:w="346" w:type="dxa"/>
            <w:tcBorders>
              <w:top w:val="nil"/>
              <w:left w:val="nil"/>
              <w:bottom w:val="nil"/>
              <w:right w:val="nil"/>
            </w:tcBorders>
            <w:shd w:val="clear" w:color="auto" w:fill="auto"/>
            <w:noWrap/>
            <w:vAlign w:val="bottom"/>
            <w:hideMark/>
          </w:tcPr>
          <w:p w14:paraId="5B4E1D99"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327" w:type="dxa"/>
            <w:tcBorders>
              <w:top w:val="nil"/>
              <w:left w:val="nil"/>
              <w:bottom w:val="nil"/>
              <w:right w:val="nil"/>
            </w:tcBorders>
            <w:shd w:val="clear" w:color="auto" w:fill="auto"/>
            <w:noWrap/>
            <w:vAlign w:val="bottom"/>
            <w:hideMark/>
          </w:tcPr>
          <w:p w14:paraId="5ED26BD8"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0.314*</w:t>
            </w:r>
          </w:p>
        </w:tc>
      </w:tr>
      <w:tr w:rsidR="008C007D" w:rsidRPr="0003281F" w14:paraId="6287025A"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5394D1A7" w14:textId="77777777" w:rsidR="00FD45AC" w:rsidRPr="0003281F" w:rsidRDefault="00FD45AC" w:rsidP="001853E3">
            <w:pPr>
              <w:widowControl w:val="0"/>
              <w:rPr>
                <w:rFonts w:eastAsia="Times New Roman"/>
                <w:b/>
                <w:bCs/>
                <w:color w:val="000000"/>
                <w:sz w:val="22"/>
                <w:szCs w:val="22"/>
              </w:rPr>
            </w:pPr>
          </w:p>
        </w:tc>
        <w:tc>
          <w:tcPr>
            <w:tcW w:w="378" w:type="dxa"/>
            <w:tcBorders>
              <w:top w:val="nil"/>
              <w:left w:val="nil"/>
              <w:bottom w:val="nil"/>
              <w:right w:val="nil"/>
            </w:tcBorders>
            <w:shd w:val="clear" w:color="auto" w:fill="auto"/>
            <w:noWrap/>
            <w:vAlign w:val="bottom"/>
            <w:hideMark/>
          </w:tcPr>
          <w:p w14:paraId="0F3BD7ED" w14:textId="77777777" w:rsidR="00FD45AC" w:rsidRPr="0003281F" w:rsidRDefault="00FD45AC" w:rsidP="001853E3">
            <w:pPr>
              <w:widowControl w:val="0"/>
              <w:jc w:val="center"/>
              <w:rPr>
                <w:rFonts w:eastAsia="Times New Roman"/>
                <w:b/>
                <w:bCs/>
                <w:color w:val="000000"/>
                <w:sz w:val="22"/>
                <w:szCs w:val="22"/>
              </w:rPr>
            </w:pPr>
          </w:p>
        </w:tc>
        <w:tc>
          <w:tcPr>
            <w:tcW w:w="2334" w:type="dxa"/>
            <w:tcBorders>
              <w:top w:val="nil"/>
              <w:left w:val="nil"/>
              <w:bottom w:val="nil"/>
              <w:right w:val="nil"/>
            </w:tcBorders>
            <w:shd w:val="clear" w:color="auto" w:fill="auto"/>
            <w:noWrap/>
            <w:vAlign w:val="bottom"/>
            <w:hideMark/>
          </w:tcPr>
          <w:p w14:paraId="05D753ED" w14:textId="77777777" w:rsidR="00FD45AC" w:rsidRPr="0003281F" w:rsidRDefault="00FD45AC" w:rsidP="001853E3">
            <w:pPr>
              <w:widowControl w:val="0"/>
              <w:jc w:val="center"/>
              <w:rPr>
                <w:rFonts w:eastAsia="Times New Roman"/>
                <w:b/>
                <w:bCs/>
                <w:color w:val="000000"/>
                <w:sz w:val="22"/>
                <w:szCs w:val="22"/>
              </w:rPr>
            </w:pPr>
            <w:r w:rsidRPr="0003281F">
              <w:rPr>
                <w:rFonts w:eastAsia="Times New Roman"/>
                <w:b/>
                <w:bCs/>
                <w:color w:val="000000"/>
                <w:sz w:val="22"/>
                <w:szCs w:val="22"/>
              </w:rPr>
              <w:t>(0.935)</w:t>
            </w:r>
          </w:p>
        </w:tc>
        <w:tc>
          <w:tcPr>
            <w:tcW w:w="1969" w:type="dxa"/>
            <w:tcBorders>
              <w:top w:val="nil"/>
              <w:left w:val="nil"/>
              <w:bottom w:val="nil"/>
              <w:right w:val="nil"/>
            </w:tcBorders>
            <w:shd w:val="clear" w:color="auto" w:fill="auto"/>
            <w:noWrap/>
            <w:vAlign w:val="bottom"/>
            <w:hideMark/>
          </w:tcPr>
          <w:p w14:paraId="30BB60BF" w14:textId="77777777" w:rsidR="00FD45AC" w:rsidRPr="0003281F" w:rsidRDefault="00FD45AC" w:rsidP="001853E3">
            <w:pPr>
              <w:widowControl w:val="0"/>
              <w:jc w:val="center"/>
              <w:rPr>
                <w:rFonts w:eastAsia="Times New Roman"/>
                <w:b/>
                <w:bCs/>
                <w:color w:val="000000"/>
                <w:sz w:val="22"/>
                <w:szCs w:val="22"/>
              </w:rPr>
            </w:pPr>
            <w:r w:rsidRPr="0003281F">
              <w:rPr>
                <w:rFonts w:eastAsia="Times New Roman"/>
                <w:b/>
                <w:bCs/>
                <w:color w:val="000000"/>
                <w:sz w:val="22"/>
                <w:szCs w:val="22"/>
              </w:rPr>
              <w:t>(0.018)</w:t>
            </w:r>
          </w:p>
        </w:tc>
        <w:tc>
          <w:tcPr>
            <w:tcW w:w="346" w:type="dxa"/>
            <w:tcBorders>
              <w:top w:val="nil"/>
              <w:left w:val="nil"/>
              <w:bottom w:val="nil"/>
              <w:right w:val="nil"/>
            </w:tcBorders>
            <w:shd w:val="clear" w:color="auto" w:fill="auto"/>
            <w:noWrap/>
            <w:vAlign w:val="bottom"/>
            <w:hideMark/>
          </w:tcPr>
          <w:p w14:paraId="1F7B5B53"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5A6B541F"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(0.062)</w:t>
            </w:r>
          </w:p>
        </w:tc>
      </w:tr>
      <w:tr w:rsidR="008C007D" w:rsidRPr="0003281F" w14:paraId="67FC962D"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70720F68"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LN_MVE</w:t>
            </w:r>
          </w:p>
        </w:tc>
        <w:tc>
          <w:tcPr>
            <w:tcW w:w="378" w:type="dxa"/>
            <w:tcBorders>
              <w:top w:val="nil"/>
              <w:left w:val="nil"/>
              <w:bottom w:val="nil"/>
              <w:right w:val="nil"/>
            </w:tcBorders>
            <w:shd w:val="clear" w:color="auto" w:fill="auto"/>
            <w:noWrap/>
            <w:vAlign w:val="bottom"/>
            <w:hideMark/>
          </w:tcPr>
          <w:p w14:paraId="62C60B61"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2334" w:type="dxa"/>
            <w:tcBorders>
              <w:top w:val="nil"/>
              <w:left w:val="nil"/>
              <w:bottom w:val="nil"/>
              <w:right w:val="nil"/>
            </w:tcBorders>
            <w:shd w:val="clear" w:color="auto" w:fill="auto"/>
            <w:noWrap/>
            <w:vAlign w:val="bottom"/>
            <w:hideMark/>
          </w:tcPr>
          <w:p w14:paraId="62AF7927"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0.006</w:t>
            </w:r>
          </w:p>
        </w:tc>
        <w:tc>
          <w:tcPr>
            <w:tcW w:w="1969" w:type="dxa"/>
            <w:tcBorders>
              <w:top w:val="nil"/>
              <w:left w:val="nil"/>
              <w:bottom w:val="nil"/>
              <w:right w:val="nil"/>
            </w:tcBorders>
            <w:shd w:val="clear" w:color="auto" w:fill="auto"/>
            <w:noWrap/>
            <w:vAlign w:val="bottom"/>
            <w:hideMark/>
          </w:tcPr>
          <w:p w14:paraId="00C7C31C"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0.093</w:t>
            </w:r>
          </w:p>
        </w:tc>
        <w:tc>
          <w:tcPr>
            <w:tcW w:w="346" w:type="dxa"/>
            <w:tcBorders>
              <w:top w:val="nil"/>
              <w:left w:val="nil"/>
              <w:bottom w:val="nil"/>
              <w:right w:val="nil"/>
            </w:tcBorders>
            <w:shd w:val="clear" w:color="auto" w:fill="auto"/>
            <w:noWrap/>
            <w:vAlign w:val="bottom"/>
            <w:hideMark/>
          </w:tcPr>
          <w:p w14:paraId="0A94B8E8"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327" w:type="dxa"/>
            <w:tcBorders>
              <w:top w:val="nil"/>
              <w:left w:val="nil"/>
              <w:bottom w:val="nil"/>
              <w:right w:val="nil"/>
            </w:tcBorders>
            <w:shd w:val="clear" w:color="auto" w:fill="auto"/>
            <w:noWrap/>
            <w:vAlign w:val="bottom"/>
            <w:hideMark/>
          </w:tcPr>
          <w:p w14:paraId="06864473"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0.048</w:t>
            </w:r>
          </w:p>
        </w:tc>
      </w:tr>
      <w:tr w:rsidR="008C007D" w:rsidRPr="0003281F" w14:paraId="53282034"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601A2CDA" w14:textId="77777777" w:rsidR="00FD45AC" w:rsidRPr="0003281F" w:rsidRDefault="00FD45AC" w:rsidP="001853E3">
            <w:pPr>
              <w:widowControl w:val="0"/>
              <w:rPr>
                <w:rFonts w:eastAsia="Times New Roman"/>
                <w:color w:val="000000"/>
                <w:sz w:val="22"/>
                <w:szCs w:val="22"/>
              </w:rPr>
            </w:pPr>
          </w:p>
        </w:tc>
        <w:tc>
          <w:tcPr>
            <w:tcW w:w="378" w:type="dxa"/>
            <w:tcBorders>
              <w:top w:val="nil"/>
              <w:left w:val="nil"/>
              <w:bottom w:val="nil"/>
              <w:right w:val="nil"/>
            </w:tcBorders>
            <w:shd w:val="clear" w:color="auto" w:fill="auto"/>
            <w:noWrap/>
            <w:vAlign w:val="bottom"/>
            <w:hideMark/>
          </w:tcPr>
          <w:p w14:paraId="673789F3"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58B4188D"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(0.893)</w:t>
            </w:r>
          </w:p>
        </w:tc>
        <w:tc>
          <w:tcPr>
            <w:tcW w:w="1969" w:type="dxa"/>
            <w:tcBorders>
              <w:top w:val="nil"/>
              <w:left w:val="nil"/>
              <w:bottom w:val="nil"/>
              <w:right w:val="nil"/>
            </w:tcBorders>
            <w:shd w:val="clear" w:color="auto" w:fill="auto"/>
            <w:noWrap/>
            <w:vAlign w:val="bottom"/>
            <w:hideMark/>
          </w:tcPr>
          <w:p w14:paraId="101EBAEF"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(0.239)</w:t>
            </w:r>
          </w:p>
        </w:tc>
        <w:tc>
          <w:tcPr>
            <w:tcW w:w="346" w:type="dxa"/>
            <w:tcBorders>
              <w:top w:val="nil"/>
              <w:left w:val="nil"/>
              <w:bottom w:val="nil"/>
              <w:right w:val="nil"/>
            </w:tcBorders>
            <w:shd w:val="clear" w:color="auto" w:fill="auto"/>
            <w:noWrap/>
            <w:vAlign w:val="bottom"/>
            <w:hideMark/>
          </w:tcPr>
          <w:p w14:paraId="05F610E9"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4BF362F5"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(0.233)</w:t>
            </w:r>
          </w:p>
        </w:tc>
      </w:tr>
      <w:tr w:rsidR="008C007D" w:rsidRPr="0003281F" w14:paraId="6108D7EF"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45684481"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NUM_ANALYST</w:t>
            </w:r>
          </w:p>
        </w:tc>
        <w:tc>
          <w:tcPr>
            <w:tcW w:w="378" w:type="dxa"/>
            <w:tcBorders>
              <w:top w:val="nil"/>
              <w:left w:val="nil"/>
              <w:bottom w:val="nil"/>
              <w:right w:val="nil"/>
            </w:tcBorders>
            <w:shd w:val="clear" w:color="auto" w:fill="auto"/>
            <w:noWrap/>
            <w:vAlign w:val="bottom"/>
            <w:hideMark/>
          </w:tcPr>
          <w:p w14:paraId="4C18EBFE"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2334" w:type="dxa"/>
            <w:tcBorders>
              <w:top w:val="nil"/>
              <w:left w:val="nil"/>
              <w:bottom w:val="nil"/>
              <w:right w:val="nil"/>
            </w:tcBorders>
            <w:shd w:val="clear" w:color="auto" w:fill="auto"/>
            <w:noWrap/>
            <w:vAlign w:val="bottom"/>
            <w:hideMark/>
          </w:tcPr>
          <w:p w14:paraId="7322550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0.003</w:t>
            </w:r>
          </w:p>
        </w:tc>
        <w:tc>
          <w:tcPr>
            <w:tcW w:w="1969" w:type="dxa"/>
            <w:tcBorders>
              <w:top w:val="nil"/>
              <w:left w:val="nil"/>
              <w:bottom w:val="nil"/>
              <w:right w:val="nil"/>
            </w:tcBorders>
            <w:shd w:val="clear" w:color="auto" w:fill="auto"/>
            <w:noWrap/>
            <w:vAlign w:val="bottom"/>
            <w:hideMark/>
          </w:tcPr>
          <w:p w14:paraId="0724BAA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-0.022</w:t>
            </w:r>
          </w:p>
        </w:tc>
        <w:tc>
          <w:tcPr>
            <w:tcW w:w="346" w:type="dxa"/>
            <w:tcBorders>
              <w:top w:val="nil"/>
              <w:left w:val="nil"/>
              <w:bottom w:val="nil"/>
              <w:right w:val="nil"/>
            </w:tcBorders>
            <w:shd w:val="clear" w:color="auto" w:fill="auto"/>
            <w:noWrap/>
            <w:vAlign w:val="bottom"/>
            <w:hideMark/>
          </w:tcPr>
          <w:p w14:paraId="2719225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327" w:type="dxa"/>
            <w:tcBorders>
              <w:top w:val="nil"/>
              <w:left w:val="nil"/>
              <w:bottom w:val="nil"/>
              <w:right w:val="nil"/>
            </w:tcBorders>
            <w:shd w:val="clear" w:color="auto" w:fill="auto"/>
            <w:noWrap/>
            <w:vAlign w:val="bottom"/>
            <w:hideMark/>
          </w:tcPr>
          <w:p w14:paraId="0A470148"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0.020**</w:t>
            </w:r>
          </w:p>
        </w:tc>
      </w:tr>
      <w:tr w:rsidR="008C007D" w:rsidRPr="0003281F" w14:paraId="2E34335B"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2B50CF2E" w14:textId="77777777" w:rsidR="00FD45AC" w:rsidRPr="0003281F" w:rsidRDefault="00FD45AC" w:rsidP="001853E3">
            <w:pPr>
              <w:widowControl w:val="0"/>
              <w:rPr>
                <w:rFonts w:eastAsia="Times New Roman"/>
                <w:color w:val="000000"/>
                <w:sz w:val="22"/>
                <w:szCs w:val="22"/>
              </w:rPr>
            </w:pPr>
          </w:p>
        </w:tc>
        <w:tc>
          <w:tcPr>
            <w:tcW w:w="378" w:type="dxa"/>
            <w:tcBorders>
              <w:top w:val="nil"/>
              <w:left w:val="nil"/>
              <w:bottom w:val="nil"/>
              <w:right w:val="nil"/>
            </w:tcBorders>
            <w:shd w:val="clear" w:color="auto" w:fill="auto"/>
            <w:noWrap/>
            <w:vAlign w:val="bottom"/>
            <w:hideMark/>
          </w:tcPr>
          <w:p w14:paraId="5628EC01"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7AF2C97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(0.364)</w:t>
            </w:r>
          </w:p>
        </w:tc>
        <w:tc>
          <w:tcPr>
            <w:tcW w:w="1969" w:type="dxa"/>
            <w:tcBorders>
              <w:top w:val="nil"/>
              <w:left w:val="nil"/>
              <w:bottom w:val="nil"/>
              <w:right w:val="nil"/>
            </w:tcBorders>
            <w:shd w:val="clear" w:color="auto" w:fill="auto"/>
            <w:noWrap/>
            <w:vAlign w:val="bottom"/>
            <w:hideMark/>
          </w:tcPr>
          <w:p w14:paraId="4F27B1AC"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(0.610)</w:t>
            </w:r>
          </w:p>
        </w:tc>
        <w:tc>
          <w:tcPr>
            <w:tcW w:w="346" w:type="dxa"/>
            <w:tcBorders>
              <w:top w:val="nil"/>
              <w:left w:val="nil"/>
              <w:bottom w:val="nil"/>
              <w:right w:val="nil"/>
            </w:tcBorders>
            <w:shd w:val="clear" w:color="auto" w:fill="auto"/>
            <w:noWrap/>
            <w:vAlign w:val="bottom"/>
            <w:hideMark/>
          </w:tcPr>
          <w:p w14:paraId="40D7EC6D"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3695DC61"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(0.049)</w:t>
            </w:r>
          </w:p>
        </w:tc>
      </w:tr>
      <w:tr w:rsidR="008C007D" w:rsidRPr="0003281F" w14:paraId="78405263"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23A2F3CA" w14:textId="77777777" w:rsidR="00FD45AC" w:rsidRPr="0003281F" w:rsidRDefault="00FD45AC" w:rsidP="001853E3">
            <w:pPr>
              <w:widowControl w:val="0"/>
              <w:rPr>
                <w:rFonts w:eastAsia="Times New Roman"/>
                <w:b/>
                <w:bCs/>
                <w:color w:val="000000"/>
                <w:sz w:val="22"/>
                <w:szCs w:val="22"/>
              </w:rPr>
            </w:pPr>
            <w:r w:rsidRPr="0003281F">
              <w:rPr>
                <w:rFonts w:eastAsia="Times New Roman"/>
                <w:b/>
                <w:bCs/>
                <w:color w:val="000000"/>
                <w:sz w:val="22"/>
                <w:szCs w:val="22"/>
              </w:rPr>
              <w:t>POST x NUM_ANALYST</w:t>
            </w:r>
          </w:p>
        </w:tc>
        <w:tc>
          <w:tcPr>
            <w:tcW w:w="378" w:type="dxa"/>
            <w:tcBorders>
              <w:top w:val="nil"/>
              <w:left w:val="nil"/>
              <w:bottom w:val="nil"/>
              <w:right w:val="nil"/>
            </w:tcBorders>
            <w:shd w:val="clear" w:color="auto" w:fill="auto"/>
            <w:noWrap/>
            <w:vAlign w:val="bottom"/>
            <w:hideMark/>
          </w:tcPr>
          <w:p w14:paraId="3D6F5C08" w14:textId="77777777" w:rsidR="00FD45AC" w:rsidRPr="0003281F" w:rsidRDefault="00FD45AC" w:rsidP="001853E3">
            <w:pPr>
              <w:widowControl w:val="0"/>
              <w:jc w:val="center"/>
              <w:rPr>
                <w:rFonts w:eastAsia="Times New Roman"/>
                <w:b/>
                <w:bCs/>
                <w:color w:val="000000"/>
                <w:sz w:val="22"/>
                <w:szCs w:val="22"/>
              </w:rPr>
            </w:pPr>
          </w:p>
        </w:tc>
        <w:tc>
          <w:tcPr>
            <w:tcW w:w="2334" w:type="dxa"/>
            <w:tcBorders>
              <w:top w:val="nil"/>
              <w:left w:val="nil"/>
              <w:bottom w:val="nil"/>
              <w:right w:val="nil"/>
            </w:tcBorders>
            <w:shd w:val="clear" w:color="auto" w:fill="auto"/>
            <w:noWrap/>
            <w:vAlign w:val="bottom"/>
            <w:hideMark/>
          </w:tcPr>
          <w:p w14:paraId="742A7BF7" w14:textId="77777777" w:rsidR="00FD45AC" w:rsidRPr="0003281F" w:rsidRDefault="00FD45AC" w:rsidP="001853E3">
            <w:pPr>
              <w:widowControl w:val="0"/>
              <w:jc w:val="center"/>
              <w:rPr>
                <w:rFonts w:eastAsia="Times New Roman"/>
                <w:b/>
                <w:bCs/>
                <w:color w:val="000000"/>
                <w:sz w:val="22"/>
                <w:szCs w:val="22"/>
              </w:rPr>
            </w:pPr>
          </w:p>
        </w:tc>
        <w:tc>
          <w:tcPr>
            <w:tcW w:w="1969" w:type="dxa"/>
            <w:tcBorders>
              <w:top w:val="nil"/>
              <w:left w:val="nil"/>
              <w:bottom w:val="nil"/>
              <w:right w:val="nil"/>
            </w:tcBorders>
            <w:shd w:val="clear" w:color="auto" w:fill="auto"/>
            <w:noWrap/>
            <w:vAlign w:val="bottom"/>
            <w:hideMark/>
          </w:tcPr>
          <w:p w14:paraId="1CE2A380" w14:textId="77777777" w:rsidR="00FD45AC" w:rsidRPr="0003281F" w:rsidRDefault="00FD45AC" w:rsidP="001853E3">
            <w:pPr>
              <w:widowControl w:val="0"/>
              <w:jc w:val="center"/>
              <w:rPr>
                <w:rFonts w:eastAsia="Times New Roman"/>
                <w:b/>
                <w:bCs/>
                <w:color w:val="000000"/>
                <w:sz w:val="22"/>
                <w:szCs w:val="22"/>
              </w:rPr>
            </w:pPr>
          </w:p>
        </w:tc>
        <w:tc>
          <w:tcPr>
            <w:tcW w:w="346" w:type="dxa"/>
            <w:tcBorders>
              <w:top w:val="nil"/>
              <w:left w:val="nil"/>
              <w:bottom w:val="nil"/>
              <w:right w:val="nil"/>
            </w:tcBorders>
            <w:shd w:val="clear" w:color="auto" w:fill="auto"/>
            <w:noWrap/>
            <w:vAlign w:val="bottom"/>
            <w:hideMark/>
          </w:tcPr>
          <w:p w14:paraId="3DA72736" w14:textId="77777777" w:rsidR="00FD45AC" w:rsidRPr="0003281F" w:rsidRDefault="00FD45AC" w:rsidP="001853E3">
            <w:pPr>
              <w:widowControl w:val="0"/>
              <w:jc w:val="center"/>
              <w:rPr>
                <w:rFonts w:eastAsia="Times New Roman"/>
                <w:b/>
                <w:bCs/>
                <w:color w:val="000000"/>
                <w:sz w:val="22"/>
                <w:szCs w:val="22"/>
              </w:rPr>
            </w:pPr>
            <w:r w:rsidRPr="0003281F">
              <w:rPr>
                <w:rFonts w:eastAsia="Times New Roman"/>
                <w:b/>
                <w:bCs/>
                <w:color w:val="000000"/>
                <w:sz w:val="22"/>
                <w:szCs w:val="22"/>
              </w:rPr>
              <w:t>-</w:t>
            </w:r>
          </w:p>
        </w:tc>
        <w:tc>
          <w:tcPr>
            <w:tcW w:w="1327" w:type="dxa"/>
            <w:tcBorders>
              <w:top w:val="nil"/>
              <w:left w:val="nil"/>
              <w:bottom w:val="nil"/>
              <w:right w:val="nil"/>
            </w:tcBorders>
            <w:shd w:val="clear" w:color="auto" w:fill="auto"/>
            <w:noWrap/>
            <w:vAlign w:val="bottom"/>
            <w:hideMark/>
          </w:tcPr>
          <w:p w14:paraId="509827EB" w14:textId="77777777" w:rsidR="00FD45AC" w:rsidRPr="0003281F" w:rsidRDefault="00FD45AC" w:rsidP="001853E3">
            <w:pPr>
              <w:widowControl w:val="0"/>
              <w:jc w:val="center"/>
              <w:rPr>
                <w:rFonts w:eastAsia="Times New Roman"/>
                <w:b/>
                <w:bCs/>
                <w:color w:val="000000"/>
                <w:sz w:val="22"/>
                <w:szCs w:val="22"/>
              </w:rPr>
            </w:pPr>
            <w:r w:rsidRPr="0003281F">
              <w:rPr>
                <w:rFonts w:eastAsia="Times New Roman"/>
                <w:b/>
                <w:bCs/>
                <w:color w:val="000000"/>
                <w:sz w:val="22"/>
                <w:szCs w:val="22"/>
              </w:rPr>
              <w:t>-0.016**</w:t>
            </w:r>
          </w:p>
        </w:tc>
      </w:tr>
      <w:tr w:rsidR="008C007D" w:rsidRPr="0003281F" w14:paraId="25B63EE4"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56A58F02" w14:textId="77777777" w:rsidR="00FD45AC" w:rsidRPr="0003281F" w:rsidRDefault="00FD45AC" w:rsidP="001853E3">
            <w:pPr>
              <w:widowControl w:val="0"/>
              <w:rPr>
                <w:rFonts w:eastAsia="Times New Roman"/>
                <w:b/>
                <w:bCs/>
                <w:color w:val="000000"/>
                <w:sz w:val="22"/>
                <w:szCs w:val="22"/>
              </w:rPr>
            </w:pPr>
          </w:p>
        </w:tc>
        <w:tc>
          <w:tcPr>
            <w:tcW w:w="378" w:type="dxa"/>
            <w:tcBorders>
              <w:top w:val="nil"/>
              <w:left w:val="nil"/>
              <w:bottom w:val="nil"/>
              <w:right w:val="nil"/>
            </w:tcBorders>
            <w:shd w:val="clear" w:color="auto" w:fill="auto"/>
            <w:noWrap/>
            <w:vAlign w:val="bottom"/>
            <w:hideMark/>
          </w:tcPr>
          <w:p w14:paraId="286C210F" w14:textId="77777777" w:rsidR="00FD45AC" w:rsidRPr="0003281F" w:rsidRDefault="00FD45AC" w:rsidP="001853E3">
            <w:pPr>
              <w:widowControl w:val="0"/>
              <w:jc w:val="center"/>
              <w:rPr>
                <w:rFonts w:eastAsia="Times New Roman"/>
                <w:b/>
                <w:bCs/>
                <w:color w:val="000000"/>
                <w:sz w:val="22"/>
                <w:szCs w:val="22"/>
              </w:rPr>
            </w:pPr>
          </w:p>
        </w:tc>
        <w:tc>
          <w:tcPr>
            <w:tcW w:w="2334" w:type="dxa"/>
            <w:tcBorders>
              <w:top w:val="nil"/>
              <w:left w:val="nil"/>
              <w:bottom w:val="nil"/>
              <w:right w:val="nil"/>
            </w:tcBorders>
            <w:shd w:val="clear" w:color="auto" w:fill="auto"/>
            <w:noWrap/>
            <w:vAlign w:val="bottom"/>
            <w:hideMark/>
          </w:tcPr>
          <w:p w14:paraId="573D146A" w14:textId="77777777" w:rsidR="00FD45AC" w:rsidRPr="0003281F" w:rsidRDefault="00FD45AC" w:rsidP="001853E3">
            <w:pPr>
              <w:widowControl w:val="0"/>
              <w:jc w:val="center"/>
              <w:rPr>
                <w:rFonts w:eastAsia="Times New Roman"/>
                <w:b/>
                <w:bCs/>
                <w:color w:val="000000"/>
                <w:sz w:val="22"/>
                <w:szCs w:val="22"/>
              </w:rPr>
            </w:pPr>
          </w:p>
        </w:tc>
        <w:tc>
          <w:tcPr>
            <w:tcW w:w="1969" w:type="dxa"/>
            <w:tcBorders>
              <w:top w:val="nil"/>
              <w:left w:val="nil"/>
              <w:bottom w:val="nil"/>
              <w:right w:val="nil"/>
            </w:tcBorders>
            <w:shd w:val="clear" w:color="auto" w:fill="auto"/>
            <w:noWrap/>
            <w:vAlign w:val="bottom"/>
            <w:hideMark/>
          </w:tcPr>
          <w:p w14:paraId="5D4509C9" w14:textId="77777777" w:rsidR="00FD45AC" w:rsidRPr="0003281F" w:rsidRDefault="00FD45AC" w:rsidP="001853E3">
            <w:pPr>
              <w:widowControl w:val="0"/>
              <w:jc w:val="center"/>
              <w:rPr>
                <w:rFonts w:eastAsia="Times New Roman"/>
                <w:b/>
                <w:bCs/>
                <w:color w:val="000000"/>
                <w:sz w:val="22"/>
                <w:szCs w:val="22"/>
              </w:rPr>
            </w:pPr>
          </w:p>
        </w:tc>
        <w:tc>
          <w:tcPr>
            <w:tcW w:w="346" w:type="dxa"/>
            <w:tcBorders>
              <w:top w:val="nil"/>
              <w:left w:val="nil"/>
              <w:bottom w:val="nil"/>
              <w:right w:val="nil"/>
            </w:tcBorders>
            <w:shd w:val="clear" w:color="auto" w:fill="auto"/>
            <w:noWrap/>
            <w:vAlign w:val="bottom"/>
            <w:hideMark/>
          </w:tcPr>
          <w:p w14:paraId="3C9557B6" w14:textId="77777777" w:rsidR="00FD45AC" w:rsidRPr="0003281F" w:rsidRDefault="00FD45AC" w:rsidP="001853E3">
            <w:pPr>
              <w:widowControl w:val="0"/>
              <w:jc w:val="center"/>
              <w:rPr>
                <w:rFonts w:eastAsia="Times New Roman"/>
                <w:b/>
                <w:bCs/>
                <w:color w:val="000000"/>
                <w:sz w:val="22"/>
                <w:szCs w:val="22"/>
              </w:rPr>
            </w:pPr>
          </w:p>
        </w:tc>
        <w:tc>
          <w:tcPr>
            <w:tcW w:w="1327" w:type="dxa"/>
            <w:tcBorders>
              <w:top w:val="nil"/>
              <w:left w:val="nil"/>
              <w:bottom w:val="nil"/>
              <w:right w:val="nil"/>
            </w:tcBorders>
            <w:shd w:val="clear" w:color="auto" w:fill="auto"/>
            <w:noWrap/>
            <w:vAlign w:val="bottom"/>
            <w:hideMark/>
          </w:tcPr>
          <w:p w14:paraId="4852A5FA" w14:textId="77777777" w:rsidR="00FD45AC" w:rsidRPr="0003281F" w:rsidRDefault="00FD45AC" w:rsidP="001853E3">
            <w:pPr>
              <w:widowControl w:val="0"/>
              <w:jc w:val="center"/>
              <w:rPr>
                <w:rFonts w:eastAsia="Times New Roman"/>
                <w:b/>
                <w:bCs/>
                <w:color w:val="000000"/>
                <w:sz w:val="22"/>
                <w:szCs w:val="22"/>
              </w:rPr>
            </w:pPr>
            <w:r w:rsidRPr="0003281F">
              <w:rPr>
                <w:rFonts w:eastAsia="Times New Roman"/>
                <w:b/>
                <w:bCs/>
                <w:color w:val="000000"/>
                <w:sz w:val="22"/>
                <w:szCs w:val="22"/>
              </w:rPr>
              <w:t>(0.045)</w:t>
            </w:r>
          </w:p>
        </w:tc>
      </w:tr>
      <w:tr w:rsidR="008C007D" w:rsidRPr="0003281F" w14:paraId="3C62B91D"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5B9766DA"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LAG</w:t>
            </w:r>
          </w:p>
        </w:tc>
        <w:tc>
          <w:tcPr>
            <w:tcW w:w="378" w:type="dxa"/>
            <w:tcBorders>
              <w:top w:val="nil"/>
              <w:left w:val="nil"/>
              <w:bottom w:val="nil"/>
              <w:right w:val="nil"/>
            </w:tcBorders>
            <w:shd w:val="clear" w:color="auto" w:fill="auto"/>
            <w:noWrap/>
            <w:vAlign w:val="bottom"/>
            <w:hideMark/>
          </w:tcPr>
          <w:p w14:paraId="5A51919C"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2334" w:type="dxa"/>
            <w:tcBorders>
              <w:top w:val="nil"/>
              <w:left w:val="nil"/>
              <w:bottom w:val="nil"/>
              <w:right w:val="nil"/>
            </w:tcBorders>
            <w:shd w:val="clear" w:color="auto" w:fill="auto"/>
            <w:noWrap/>
            <w:vAlign w:val="bottom"/>
            <w:hideMark/>
          </w:tcPr>
          <w:p w14:paraId="064BF467"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-0.005**</w:t>
            </w:r>
          </w:p>
        </w:tc>
        <w:tc>
          <w:tcPr>
            <w:tcW w:w="1969" w:type="dxa"/>
            <w:tcBorders>
              <w:top w:val="nil"/>
              <w:left w:val="nil"/>
              <w:bottom w:val="nil"/>
              <w:right w:val="nil"/>
            </w:tcBorders>
            <w:shd w:val="clear" w:color="auto" w:fill="auto"/>
            <w:noWrap/>
            <w:vAlign w:val="bottom"/>
            <w:hideMark/>
          </w:tcPr>
          <w:p w14:paraId="2AEBC805"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-0.007*</w:t>
            </w:r>
          </w:p>
        </w:tc>
        <w:tc>
          <w:tcPr>
            <w:tcW w:w="346" w:type="dxa"/>
            <w:tcBorders>
              <w:top w:val="nil"/>
              <w:left w:val="nil"/>
              <w:bottom w:val="nil"/>
              <w:right w:val="nil"/>
            </w:tcBorders>
            <w:shd w:val="clear" w:color="auto" w:fill="auto"/>
            <w:noWrap/>
            <w:vAlign w:val="bottom"/>
            <w:hideMark/>
          </w:tcPr>
          <w:p w14:paraId="32652EED"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327" w:type="dxa"/>
            <w:tcBorders>
              <w:top w:val="nil"/>
              <w:left w:val="nil"/>
              <w:bottom w:val="nil"/>
              <w:right w:val="nil"/>
            </w:tcBorders>
            <w:shd w:val="clear" w:color="auto" w:fill="auto"/>
            <w:noWrap/>
            <w:vAlign w:val="bottom"/>
            <w:hideMark/>
          </w:tcPr>
          <w:p w14:paraId="6EC5FC08"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-0.005**</w:t>
            </w:r>
          </w:p>
        </w:tc>
      </w:tr>
      <w:tr w:rsidR="008C007D" w:rsidRPr="0003281F" w14:paraId="57323502"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32647144" w14:textId="77777777" w:rsidR="00FD45AC" w:rsidRPr="0003281F" w:rsidRDefault="00FD45AC" w:rsidP="001853E3">
            <w:pPr>
              <w:widowControl w:val="0"/>
              <w:rPr>
                <w:rFonts w:eastAsia="Times New Roman"/>
                <w:color w:val="000000"/>
                <w:sz w:val="22"/>
                <w:szCs w:val="22"/>
              </w:rPr>
            </w:pPr>
          </w:p>
        </w:tc>
        <w:tc>
          <w:tcPr>
            <w:tcW w:w="378" w:type="dxa"/>
            <w:tcBorders>
              <w:top w:val="nil"/>
              <w:left w:val="nil"/>
              <w:bottom w:val="nil"/>
              <w:right w:val="nil"/>
            </w:tcBorders>
            <w:shd w:val="clear" w:color="auto" w:fill="auto"/>
            <w:noWrap/>
            <w:vAlign w:val="bottom"/>
            <w:hideMark/>
          </w:tcPr>
          <w:p w14:paraId="525A0E7A"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63EA30D1"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(0.035)</w:t>
            </w:r>
          </w:p>
        </w:tc>
        <w:tc>
          <w:tcPr>
            <w:tcW w:w="1969" w:type="dxa"/>
            <w:tcBorders>
              <w:top w:val="nil"/>
              <w:left w:val="nil"/>
              <w:bottom w:val="nil"/>
              <w:right w:val="nil"/>
            </w:tcBorders>
            <w:shd w:val="clear" w:color="auto" w:fill="auto"/>
            <w:noWrap/>
            <w:vAlign w:val="bottom"/>
            <w:hideMark/>
          </w:tcPr>
          <w:p w14:paraId="2A5F9B3E"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(0.061)</w:t>
            </w:r>
          </w:p>
        </w:tc>
        <w:tc>
          <w:tcPr>
            <w:tcW w:w="346" w:type="dxa"/>
            <w:tcBorders>
              <w:top w:val="nil"/>
              <w:left w:val="nil"/>
              <w:bottom w:val="nil"/>
              <w:right w:val="nil"/>
            </w:tcBorders>
            <w:shd w:val="clear" w:color="auto" w:fill="auto"/>
            <w:noWrap/>
            <w:vAlign w:val="bottom"/>
            <w:hideMark/>
          </w:tcPr>
          <w:p w14:paraId="30D360C8"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3834A888"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(0.040)</w:t>
            </w:r>
          </w:p>
        </w:tc>
      </w:tr>
      <w:tr w:rsidR="008C007D" w:rsidRPr="0003281F" w14:paraId="0B466BAB"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3C287222"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DISP</w:t>
            </w:r>
          </w:p>
        </w:tc>
        <w:tc>
          <w:tcPr>
            <w:tcW w:w="378" w:type="dxa"/>
            <w:tcBorders>
              <w:top w:val="nil"/>
              <w:left w:val="nil"/>
              <w:bottom w:val="nil"/>
              <w:right w:val="nil"/>
            </w:tcBorders>
            <w:shd w:val="clear" w:color="auto" w:fill="auto"/>
            <w:noWrap/>
            <w:vAlign w:val="bottom"/>
            <w:hideMark/>
          </w:tcPr>
          <w:p w14:paraId="76AF451C"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2334" w:type="dxa"/>
            <w:tcBorders>
              <w:top w:val="nil"/>
              <w:left w:val="nil"/>
              <w:bottom w:val="nil"/>
              <w:right w:val="nil"/>
            </w:tcBorders>
            <w:shd w:val="clear" w:color="auto" w:fill="auto"/>
            <w:noWrap/>
            <w:vAlign w:val="bottom"/>
            <w:hideMark/>
          </w:tcPr>
          <w:p w14:paraId="3CFB3D4E"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-3.091*</w:t>
            </w:r>
          </w:p>
        </w:tc>
        <w:tc>
          <w:tcPr>
            <w:tcW w:w="1969" w:type="dxa"/>
            <w:tcBorders>
              <w:top w:val="nil"/>
              <w:left w:val="nil"/>
              <w:bottom w:val="nil"/>
              <w:right w:val="nil"/>
            </w:tcBorders>
            <w:shd w:val="clear" w:color="auto" w:fill="auto"/>
            <w:noWrap/>
            <w:vAlign w:val="bottom"/>
            <w:hideMark/>
          </w:tcPr>
          <w:p w14:paraId="0D6BB62D"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-4.641*</w:t>
            </w:r>
          </w:p>
        </w:tc>
        <w:tc>
          <w:tcPr>
            <w:tcW w:w="346" w:type="dxa"/>
            <w:tcBorders>
              <w:top w:val="nil"/>
              <w:left w:val="nil"/>
              <w:bottom w:val="nil"/>
              <w:right w:val="nil"/>
            </w:tcBorders>
            <w:shd w:val="clear" w:color="auto" w:fill="auto"/>
            <w:noWrap/>
            <w:vAlign w:val="bottom"/>
            <w:hideMark/>
          </w:tcPr>
          <w:p w14:paraId="783891D8"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327" w:type="dxa"/>
            <w:tcBorders>
              <w:top w:val="nil"/>
              <w:left w:val="nil"/>
              <w:bottom w:val="nil"/>
              <w:right w:val="nil"/>
            </w:tcBorders>
            <w:shd w:val="clear" w:color="auto" w:fill="auto"/>
            <w:noWrap/>
            <w:vAlign w:val="bottom"/>
            <w:hideMark/>
          </w:tcPr>
          <w:p w14:paraId="2D3FFFD5"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-1.564</w:t>
            </w:r>
          </w:p>
        </w:tc>
      </w:tr>
      <w:tr w:rsidR="008C007D" w:rsidRPr="0003281F" w14:paraId="11B11477"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279D3812" w14:textId="77777777" w:rsidR="00FD45AC" w:rsidRPr="0003281F" w:rsidRDefault="00FD45AC" w:rsidP="001853E3">
            <w:pPr>
              <w:widowControl w:val="0"/>
              <w:rPr>
                <w:rFonts w:eastAsia="Times New Roman"/>
                <w:color w:val="000000"/>
                <w:sz w:val="22"/>
                <w:szCs w:val="22"/>
              </w:rPr>
            </w:pPr>
          </w:p>
        </w:tc>
        <w:tc>
          <w:tcPr>
            <w:tcW w:w="378" w:type="dxa"/>
            <w:tcBorders>
              <w:top w:val="nil"/>
              <w:left w:val="nil"/>
              <w:bottom w:val="nil"/>
              <w:right w:val="nil"/>
            </w:tcBorders>
            <w:shd w:val="clear" w:color="auto" w:fill="auto"/>
            <w:noWrap/>
            <w:vAlign w:val="bottom"/>
            <w:hideMark/>
          </w:tcPr>
          <w:p w14:paraId="557CBFD0"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2DD76E0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(0.087)</w:t>
            </w:r>
          </w:p>
        </w:tc>
        <w:tc>
          <w:tcPr>
            <w:tcW w:w="1969" w:type="dxa"/>
            <w:tcBorders>
              <w:top w:val="nil"/>
              <w:left w:val="nil"/>
              <w:bottom w:val="nil"/>
              <w:right w:val="nil"/>
            </w:tcBorders>
            <w:shd w:val="clear" w:color="auto" w:fill="auto"/>
            <w:noWrap/>
            <w:vAlign w:val="bottom"/>
            <w:hideMark/>
          </w:tcPr>
          <w:p w14:paraId="3CA49F64"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(0.055)</w:t>
            </w:r>
          </w:p>
        </w:tc>
        <w:tc>
          <w:tcPr>
            <w:tcW w:w="346" w:type="dxa"/>
            <w:tcBorders>
              <w:top w:val="nil"/>
              <w:left w:val="nil"/>
              <w:bottom w:val="nil"/>
              <w:right w:val="nil"/>
            </w:tcBorders>
            <w:shd w:val="clear" w:color="auto" w:fill="auto"/>
            <w:noWrap/>
            <w:vAlign w:val="bottom"/>
            <w:hideMark/>
          </w:tcPr>
          <w:p w14:paraId="1283968C"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5D333CD1"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(0.502)</w:t>
            </w:r>
          </w:p>
        </w:tc>
      </w:tr>
      <w:tr w:rsidR="008C007D" w:rsidRPr="0003281F" w14:paraId="7C5DB207"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516ADA58"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LOSS</w:t>
            </w:r>
          </w:p>
        </w:tc>
        <w:tc>
          <w:tcPr>
            <w:tcW w:w="378" w:type="dxa"/>
            <w:tcBorders>
              <w:top w:val="nil"/>
              <w:left w:val="nil"/>
              <w:bottom w:val="nil"/>
              <w:right w:val="nil"/>
            </w:tcBorders>
            <w:shd w:val="clear" w:color="auto" w:fill="auto"/>
            <w:noWrap/>
            <w:vAlign w:val="bottom"/>
            <w:hideMark/>
          </w:tcPr>
          <w:p w14:paraId="0B4735E4"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2334" w:type="dxa"/>
            <w:tcBorders>
              <w:top w:val="nil"/>
              <w:left w:val="nil"/>
              <w:bottom w:val="nil"/>
              <w:right w:val="nil"/>
            </w:tcBorders>
            <w:shd w:val="clear" w:color="auto" w:fill="auto"/>
            <w:noWrap/>
            <w:vAlign w:val="bottom"/>
            <w:hideMark/>
          </w:tcPr>
          <w:p w14:paraId="45EB301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-0.115</w:t>
            </w:r>
          </w:p>
        </w:tc>
        <w:tc>
          <w:tcPr>
            <w:tcW w:w="1969" w:type="dxa"/>
            <w:tcBorders>
              <w:top w:val="nil"/>
              <w:left w:val="nil"/>
              <w:bottom w:val="nil"/>
              <w:right w:val="nil"/>
            </w:tcBorders>
            <w:shd w:val="clear" w:color="auto" w:fill="auto"/>
            <w:noWrap/>
            <w:vAlign w:val="bottom"/>
            <w:hideMark/>
          </w:tcPr>
          <w:p w14:paraId="6AA0A809"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0.026</w:t>
            </w:r>
          </w:p>
        </w:tc>
        <w:tc>
          <w:tcPr>
            <w:tcW w:w="346" w:type="dxa"/>
            <w:tcBorders>
              <w:top w:val="nil"/>
              <w:left w:val="nil"/>
              <w:bottom w:val="nil"/>
              <w:right w:val="nil"/>
            </w:tcBorders>
            <w:shd w:val="clear" w:color="auto" w:fill="auto"/>
            <w:noWrap/>
            <w:vAlign w:val="bottom"/>
            <w:hideMark/>
          </w:tcPr>
          <w:p w14:paraId="305B5EA0"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327" w:type="dxa"/>
            <w:tcBorders>
              <w:top w:val="nil"/>
              <w:left w:val="nil"/>
              <w:bottom w:val="nil"/>
              <w:right w:val="nil"/>
            </w:tcBorders>
            <w:shd w:val="clear" w:color="auto" w:fill="auto"/>
            <w:noWrap/>
            <w:vAlign w:val="bottom"/>
            <w:hideMark/>
          </w:tcPr>
          <w:p w14:paraId="3C49F58B"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-0.066</w:t>
            </w:r>
          </w:p>
        </w:tc>
      </w:tr>
      <w:tr w:rsidR="008C007D" w:rsidRPr="0003281F" w14:paraId="75025A65"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3183C342" w14:textId="77777777" w:rsidR="00FD45AC" w:rsidRPr="0003281F" w:rsidRDefault="00FD45AC" w:rsidP="001853E3">
            <w:pPr>
              <w:widowControl w:val="0"/>
              <w:rPr>
                <w:rFonts w:eastAsia="Times New Roman"/>
                <w:color w:val="000000"/>
                <w:sz w:val="22"/>
                <w:szCs w:val="22"/>
              </w:rPr>
            </w:pPr>
          </w:p>
        </w:tc>
        <w:tc>
          <w:tcPr>
            <w:tcW w:w="378" w:type="dxa"/>
            <w:tcBorders>
              <w:top w:val="nil"/>
              <w:left w:val="nil"/>
              <w:bottom w:val="nil"/>
              <w:right w:val="nil"/>
            </w:tcBorders>
            <w:shd w:val="clear" w:color="auto" w:fill="auto"/>
            <w:noWrap/>
            <w:vAlign w:val="bottom"/>
            <w:hideMark/>
          </w:tcPr>
          <w:p w14:paraId="26E6999D"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779FDF51"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(0.153)</w:t>
            </w:r>
          </w:p>
        </w:tc>
        <w:tc>
          <w:tcPr>
            <w:tcW w:w="1969" w:type="dxa"/>
            <w:tcBorders>
              <w:top w:val="nil"/>
              <w:left w:val="nil"/>
              <w:bottom w:val="nil"/>
              <w:right w:val="nil"/>
            </w:tcBorders>
            <w:shd w:val="clear" w:color="auto" w:fill="auto"/>
            <w:noWrap/>
            <w:vAlign w:val="bottom"/>
            <w:hideMark/>
          </w:tcPr>
          <w:p w14:paraId="4B472AF9"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(0.902)</w:t>
            </w:r>
          </w:p>
        </w:tc>
        <w:tc>
          <w:tcPr>
            <w:tcW w:w="346" w:type="dxa"/>
            <w:tcBorders>
              <w:top w:val="nil"/>
              <w:left w:val="nil"/>
              <w:bottom w:val="nil"/>
              <w:right w:val="nil"/>
            </w:tcBorders>
            <w:shd w:val="clear" w:color="auto" w:fill="auto"/>
            <w:noWrap/>
            <w:vAlign w:val="bottom"/>
            <w:hideMark/>
          </w:tcPr>
          <w:p w14:paraId="044878BD"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6B4C9BD0"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(0.608)</w:t>
            </w:r>
          </w:p>
        </w:tc>
      </w:tr>
      <w:tr w:rsidR="008C007D" w:rsidRPr="0003281F" w14:paraId="1CAEC723"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7652BAD1"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UE</w:t>
            </w:r>
          </w:p>
        </w:tc>
        <w:tc>
          <w:tcPr>
            <w:tcW w:w="378" w:type="dxa"/>
            <w:tcBorders>
              <w:top w:val="nil"/>
              <w:left w:val="nil"/>
              <w:bottom w:val="nil"/>
              <w:right w:val="nil"/>
            </w:tcBorders>
            <w:shd w:val="clear" w:color="auto" w:fill="auto"/>
            <w:noWrap/>
            <w:vAlign w:val="bottom"/>
            <w:hideMark/>
          </w:tcPr>
          <w:p w14:paraId="5ED5D3F1"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2334" w:type="dxa"/>
            <w:tcBorders>
              <w:top w:val="nil"/>
              <w:left w:val="nil"/>
              <w:bottom w:val="nil"/>
              <w:right w:val="nil"/>
            </w:tcBorders>
            <w:shd w:val="clear" w:color="auto" w:fill="auto"/>
            <w:noWrap/>
            <w:vAlign w:val="bottom"/>
            <w:hideMark/>
          </w:tcPr>
          <w:p w14:paraId="4C30B3AB"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4.414***</w:t>
            </w:r>
          </w:p>
        </w:tc>
        <w:tc>
          <w:tcPr>
            <w:tcW w:w="1969" w:type="dxa"/>
            <w:tcBorders>
              <w:top w:val="nil"/>
              <w:left w:val="nil"/>
              <w:bottom w:val="nil"/>
              <w:right w:val="nil"/>
            </w:tcBorders>
            <w:shd w:val="clear" w:color="auto" w:fill="auto"/>
            <w:noWrap/>
            <w:vAlign w:val="bottom"/>
            <w:hideMark/>
          </w:tcPr>
          <w:p w14:paraId="03698F47"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-0.752</w:t>
            </w:r>
          </w:p>
        </w:tc>
        <w:tc>
          <w:tcPr>
            <w:tcW w:w="346" w:type="dxa"/>
            <w:tcBorders>
              <w:top w:val="nil"/>
              <w:left w:val="nil"/>
              <w:bottom w:val="nil"/>
              <w:right w:val="nil"/>
            </w:tcBorders>
            <w:shd w:val="clear" w:color="auto" w:fill="auto"/>
            <w:noWrap/>
            <w:vAlign w:val="bottom"/>
            <w:hideMark/>
          </w:tcPr>
          <w:p w14:paraId="03AA3657"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327" w:type="dxa"/>
            <w:tcBorders>
              <w:top w:val="nil"/>
              <w:left w:val="nil"/>
              <w:bottom w:val="nil"/>
              <w:right w:val="nil"/>
            </w:tcBorders>
            <w:shd w:val="clear" w:color="auto" w:fill="auto"/>
            <w:noWrap/>
            <w:vAlign w:val="bottom"/>
            <w:hideMark/>
          </w:tcPr>
          <w:p w14:paraId="33F36D24"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0.805</w:t>
            </w:r>
          </w:p>
        </w:tc>
      </w:tr>
      <w:tr w:rsidR="008C007D" w:rsidRPr="0003281F" w14:paraId="1A52F148"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781A4102" w14:textId="77777777" w:rsidR="00FD45AC" w:rsidRPr="0003281F" w:rsidRDefault="00FD45AC" w:rsidP="001853E3">
            <w:pPr>
              <w:widowControl w:val="0"/>
              <w:rPr>
                <w:rFonts w:eastAsia="Times New Roman"/>
                <w:color w:val="000000"/>
                <w:sz w:val="22"/>
                <w:szCs w:val="22"/>
              </w:rPr>
            </w:pPr>
          </w:p>
        </w:tc>
        <w:tc>
          <w:tcPr>
            <w:tcW w:w="378" w:type="dxa"/>
            <w:tcBorders>
              <w:top w:val="nil"/>
              <w:left w:val="nil"/>
              <w:bottom w:val="nil"/>
              <w:right w:val="nil"/>
            </w:tcBorders>
            <w:shd w:val="clear" w:color="auto" w:fill="auto"/>
            <w:noWrap/>
            <w:vAlign w:val="bottom"/>
            <w:hideMark/>
          </w:tcPr>
          <w:p w14:paraId="223CEBE1"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1631DDD9"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(0.000)</w:t>
            </w:r>
          </w:p>
        </w:tc>
        <w:tc>
          <w:tcPr>
            <w:tcW w:w="1969" w:type="dxa"/>
            <w:tcBorders>
              <w:top w:val="nil"/>
              <w:left w:val="nil"/>
              <w:bottom w:val="nil"/>
              <w:right w:val="nil"/>
            </w:tcBorders>
            <w:shd w:val="clear" w:color="auto" w:fill="auto"/>
            <w:noWrap/>
            <w:vAlign w:val="bottom"/>
            <w:hideMark/>
          </w:tcPr>
          <w:p w14:paraId="12188FC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(0.691)</w:t>
            </w:r>
          </w:p>
        </w:tc>
        <w:tc>
          <w:tcPr>
            <w:tcW w:w="346" w:type="dxa"/>
            <w:tcBorders>
              <w:top w:val="nil"/>
              <w:left w:val="nil"/>
              <w:bottom w:val="nil"/>
              <w:right w:val="nil"/>
            </w:tcBorders>
            <w:shd w:val="clear" w:color="auto" w:fill="auto"/>
            <w:noWrap/>
            <w:vAlign w:val="bottom"/>
            <w:hideMark/>
          </w:tcPr>
          <w:p w14:paraId="53504C69"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4A903BCD"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(0.616)</w:t>
            </w:r>
          </w:p>
        </w:tc>
      </w:tr>
      <w:tr w:rsidR="008C007D" w:rsidRPr="0003281F" w14:paraId="5FAD42CB"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7AFF0768"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SD_CFO</w:t>
            </w:r>
          </w:p>
        </w:tc>
        <w:tc>
          <w:tcPr>
            <w:tcW w:w="378" w:type="dxa"/>
            <w:tcBorders>
              <w:top w:val="nil"/>
              <w:left w:val="nil"/>
              <w:bottom w:val="nil"/>
              <w:right w:val="nil"/>
            </w:tcBorders>
            <w:shd w:val="clear" w:color="auto" w:fill="auto"/>
            <w:noWrap/>
            <w:vAlign w:val="bottom"/>
            <w:hideMark/>
          </w:tcPr>
          <w:p w14:paraId="24CC201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2334" w:type="dxa"/>
            <w:tcBorders>
              <w:top w:val="nil"/>
              <w:left w:val="nil"/>
              <w:bottom w:val="nil"/>
              <w:right w:val="nil"/>
            </w:tcBorders>
            <w:shd w:val="clear" w:color="auto" w:fill="auto"/>
            <w:noWrap/>
            <w:vAlign w:val="bottom"/>
            <w:hideMark/>
          </w:tcPr>
          <w:p w14:paraId="45F7B6D8"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-1.464***</w:t>
            </w:r>
          </w:p>
        </w:tc>
        <w:tc>
          <w:tcPr>
            <w:tcW w:w="1969" w:type="dxa"/>
            <w:tcBorders>
              <w:top w:val="nil"/>
              <w:left w:val="nil"/>
              <w:bottom w:val="nil"/>
              <w:right w:val="nil"/>
            </w:tcBorders>
            <w:shd w:val="clear" w:color="auto" w:fill="auto"/>
            <w:noWrap/>
            <w:vAlign w:val="bottom"/>
            <w:hideMark/>
          </w:tcPr>
          <w:p w14:paraId="4B2E67EA"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1.001</w:t>
            </w:r>
          </w:p>
        </w:tc>
        <w:tc>
          <w:tcPr>
            <w:tcW w:w="346" w:type="dxa"/>
            <w:tcBorders>
              <w:top w:val="nil"/>
              <w:left w:val="nil"/>
              <w:bottom w:val="nil"/>
              <w:right w:val="nil"/>
            </w:tcBorders>
            <w:shd w:val="clear" w:color="auto" w:fill="auto"/>
            <w:noWrap/>
            <w:vAlign w:val="bottom"/>
            <w:hideMark/>
          </w:tcPr>
          <w:p w14:paraId="4E5567FB"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327" w:type="dxa"/>
            <w:tcBorders>
              <w:top w:val="nil"/>
              <w:left w:val="nil"/>
              <w:bottom w:val="nil"/>
              <w:right w:val="nil"/>
            </w:tcBorders>
            <w:shd w:val="clear" w:color="auto" w:fill="auto"/>
            <w:noWrap/>
            <w:vAlign w:val="bottom"/>
            <w:hideMark/>
          </w:tcPr>
          <w:p w14:paraId="3D82D835"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-0.649</w:t>
            </w:r>
          </w:p>
        </w:tc>
      </w:tr>
      <w:tr w:rsidR="008C007D" w:rsidRPr="0003281F" w14:paraId="50E2CC92"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14E841E9" w14:textId="77777777" w:rsidR="00FD45AC" w:rsidRPr="0003281F" w:rsidRDefault="00FD45AC" w:rsidP="001853E3">
            <w:pPr>
              <w:widowControl w:val="0"/>
              <w:rPr>
                <w:rFonts w:eastAsia="Times New Roman"/>
                <w:color w:val="000000"/>
                <w:sz w:val="22"/>
                <w:szCs w:val="22"/>
              </w:rPr>
            </w:pPr>
          </w:p>
        </w:tc>
        <w:tc>
          <w:tcPr>
            <w:tcW w:w="378" w:type="dxa"/>
            <w:tcBorders>
              <w:top w:val="nil"/>
              <w:left w:val="nil"/>
              <w:bottom w:val="nil"/>
              <w:right w:val="nil"/>
            </w:tcBorders>
            <w:shd w:val="clear" w:color="auto" w:fill="auto"/>
            <w:noWrap/>
            <w:vAlign w:val="bottom"/>
            <w:hideMark/>
          </w:tcPr>
          <w:p w14:paraId="2D354B28"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70910A41"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(0.000)</w:t>
            </w:r>
          </w:p>
        </w:tc>
        <w:tc>
          <w:tcPr>
            <w:tcW w:w="1969" w:type="dxa"/>
            <w:tcBorders>
              <w:top w:val="nil"/>
              <w:left w:val="nil"/>
              <w:bottom w:val="nil"/>
              <w:right w:val="nil"/>
            </w:tcBorders>
            <w:shd w:val="clear" w:color="auto" w:fill="auto"/>
            <w:noWrap/>
            <w:vAlign w:val="bottom"/>
            <w:hideMark/>
          </w:tcPr>
          <w:p w14:paraId="07435FD2"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(0.668)</w:t>
            </w:r>
          </w:p>
        </w:tc>
        <w:tc>
          <w:tcPr>
            <w:tcW w:w="346" w:type="dxa"/>
            <w:tcBorders>
              <w:top w:val="nil"/>
              <w:left w:val="nil"/>
              <w:bottom w:val="nil"/>
              <w:right w:val="nil"/>
            </w:tcBorders>
            <w:shd w:val="clear" w:color="auto" w:fill="auto"/>
            <w:noWrap/>
            <w:vAlign w:val="bottom"/>
            <w:hideMark/>
          </w:tcPr>
          <w:p w14:paraId="3EBFA6AC"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5969F4D7"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(0.361)</w:t>
            </w:r>
          </w:p>
        </w:tc>
      </w:tr>
      <w:tr w:rsidR="008C007D" w:rsidRPr="0003281F" w14:paraId="3A2CC709"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27CEEF88"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Constant</w:t>
            </w:r>
          </w:p>
        </w:tc>
        <w:tc>
          <w:tcPr>
            <w:tcW w:w="378" w:type="dxa"/>
            <w:tcBorders>
              <w:top w:val="nil"/>
              <w:left w:val="nil"/>
              <w:bottom w:val="nil"/>
              <w:right w:val="nil"/>
            </w:tcBorders>
            <w:shd w:val="clear" w:color="auto" w:fill="auto"/>
            <w:noWrap/>
            <w:vAlign w:val="bottom"/>
            <w:hideMark/>
          </w:tcPr>
          <w:p w14:paraId="48C7FCDD"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2334" w:type="dxa"/>
            <w:tcBorders>
              <w:top w:val="nil"/>
              <w:left w:val="nil"/>
              <w:bottom w:val="nil"/>
              <w:right w:val="nil"/>
            </w:tcBorders>
            <w:shd w:val="clear" w:color="auto" w:fill="auto"/>
            <w:noWrap/>
            <w:vAlign w:val="bottom"/>
            <w:hideMark/>
          </w:tcPr>
          <w:p w14:paraId="3B3C7690"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0.351</w:t>
            </w:r>
          </w:p>
        </w:tc>
        <w:tc>
          <w:tcPr>
            <w:tcW w:w="1969" w:type="dxa"/>
            <w:tcBorders>
              <w:top w:val="nil"/>
              <w:left w:val="nil"/>
              <w:bottom w:val="nil"/>
              <w:right w:val="nil"/>
            </w:tcBorders>
            <w:shd w:val="clear" w:color="auto" w:fill="auto"/>
            <w:noWrap/>
            <w:vAlign w:val="bottom"/>
            <w:hideMark/>
          </w:tcPr>
          <w:p w14:paraId="199D48B5"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-0.700</w:t>
            </w:r>
          </w:p>
        </w:tc>
        <w:tc>
          <w:tcPr>
            <w:tcW w:w="346" w:type="dxa"/>
            <w:tcBorders>
              <w:top w:val="nil"/>
              <w:left w:val="nil"/>
              <w:bottom w:val="nil"/>
              <w:right w:val="nil"/>
            </w:tcBorders>
            <w:shd w:val="clear" w:color="auto" w:fill="auto"/>
            <w:noWrap/>
            <w:vAlign w:val="bottom"/>
            <w:hideMark/>
          </w:tcPr>
          <w:p w14:paraId="41FB0BCA"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327" w:type="dxa"/>
            <w:tcBorders>
              <w:top w:val="nil"/>
              <w:left w:val="nil"/>
              <w:bottom w:val="nil"/>
              <w:right w:val="nil"/>
            </w:tcBorders>
            <w:shd w:val="clear" w:color="auto" w:fill="auto"/>
            <w:noWrap/>
            <w:vAlign w:val="bottom"/>
            <w:hideMark/>
          </w:tcPr>
          <w:p w14:paraId="57001B8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-1.115*</w:t>
            </w:r>
          </w:p>
        </w:tc>
      </w:tr>
      <w:tr w:rsidR="008C007D" w:rsidRPr="0003281F" w14:paraId="3C1659C4"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62DC7890" w14:textId="77777777" w:rsidR="00FD45AC" w:rsidRPr="0003281F" w:rsidRDefault="00FD45AC" w:rsidP="001853E3">
            <w:pPr>
              <w:widowControl w:val="0"/>
              <w:rPr>
                <w:rFonts w:eastAsia="Times New Roman"/>
                <w:color w:val="000000"/>
                <w:sz w:val="22"/>
                <w:szCs w:val="22"/>
              </w:rPr>
            </w:pPr>
          </w:p>
        </w:tc>
        <w:tc>
          <w:tcPr>
            <w:tcW w:w="378" w:type="dxa"/>
            <w:tcBorders>
              <w:top w:val="nil"/>
              <w:left w:val="nil"/>
              <w:bottom w:val="nil"/>
              <w:right w:val="nil"/>
            </w:tcBorders>
            <w:shd w:val="clear" w:color="auto" w:fill="auto"/>
            <w:noWrap/>
            <w:vAlign w:val="bottom"/>
            <w:hideMark/>
          </w:tcPr>
          <w:p w14:paraId="3F0A136A"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0097A0F4"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(0.588)</w:t>
            </w:r>
          </w:p>
        </w:tc>
        <w:tc>
          <w:tcPr>
            <w:tcW w:w="1969" w:type="dxa"/>
            <w:tcBorders>
              <w:top w:val="nil"/>
              <w:left w:val="nil"/>
              <w:bottom w:val="nil"/>
              <w:right w:val="nil"/>
            </w:tcBorders>
            <w:shd w:val="clear" w:color="auto" w:fill="auto"/>
            <w:noWrap/>
            <w:vAlign w:val="bottom"/>
            <w:hideMark/>
          </w:tcPr>
          <w:p w14:paraId="54066324"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(0.447)</w:t>
            </w:r>
          </w:p>
        </w:tc>
        <w:tc>
          <w:tcPr>
            <w:tcW w:w="346" w:type="dxa"/>
            <w:tcBorders>
              <w:top w:val="nil"/>
              <w:left w:val="nil"/>
              <w:bottom w:val="nil"/>
              <w:right w:val="nil"/>
            </w:tcBorders>
            <w:shd w:val="clear" w:color="auto" w:fill="auto"/>
            <w:noWrap/>
            <w:vAlign w:val="bottom"/>
            <w:hideMark/>
          </w:tcPr>
          <w:p w14:paraId="14164641"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3591F951"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(0.051)</w:t>
            </w:r>
          </w:p>
        </w:tc>
      </w:tr>
      <w:tr w:rsidR="008C007D" w:rsidRPr="0003281F" w14:paraId="5A04A747"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407E76AA" w14:textId="77777777" w:rsidR="00FD45AC" w:rsidRPr="0003281F" w:rsidRDefault="00FD45AC" w:rsidP="001853E3">
            <w:pPr>
              <w:widowControl w:val="0"/>
              <w:rPr>
                <w:rFonts w:eastAsia="Times New Roman"/>
                <w:color w:val="000000"/>
                <w:sz w:val="22"/>
                <w:szCs w:val="22"/>
              </w:rPr>
            </w:pPr>
          </w:p>
        </w:tc>
        <w:tc>
          <w:tcPr>
            <w:tcW w:w="378" w:type="dxa"/>
            <w:tcBorders>
              <w:top w:val="nil"/>
              <w:left w:val="nil"/>
              <w:bottom w:val="nil"/>
              <w:right w:val="nil"/>
            </w:tcBorders>
            <w:shd w:val="clear" w:color="auto" w:fill="auto"/>
            <w:noWrap/>
            <w:vAlign w:val="bottom"/>
            <w:hideMark/>
          </w:tcPr>
          <w:p w14:paraId="4E9B3604"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337424A0" w14:textId="77777777" w:rsidR="00FD45AC" w:rsidRPr="0003281F" w:rsidRDefault="00FD45AC" w:rsidP="001853E3">
            <w:pPr>
              <w:widowControl w:val="0"/>
              <w:jc w:val="center"/>
              <w:rPr>
                <w:rFonts w:eastAsia="Times New Roman"/>
                <w:color w:val="000000"/>
                <w:sz w:val="22"/>
                <w:szCs w:val="22"/>
              </w:rPr>
            </w:pPr>
          </w:p>
        </w:tc>
        <w:tc>
          <w:tcPr>
            <w:tcW w:w="1969" w:type="dxa"/>
            <w:tcBorders>
              <w:top w:val="nil"/>
              <w:left w:val="nil"/>
              <w:bottom w:val="nil"/>
              <w:right w:val="nil"/>
            </w:tcBorders>
            <w:shd w:val="clear" w:color="auto" w:fill="auto"/>
            <w:noWrap/>
            <w:vAlign w:val="bottom"/>
            <w:hideMark/>
          </w:tcPr>
          <w:p w14:paraId="09ADDA8E" w14:textId="77777777" w:rsidR="00FD45AC" w:rsidRPr="0003281F" w:rsidRDefault="00FD45AC" w:rsidP="001853E3">
            <w:pPr>
              <w:widowControl w:val="0"/>
              <w:jc w:val="center"/>
              <w:rPr>
                <w:rFonts w:eastAsia="Times New Roman"/>
                <w:color w:val="000000"/>
                <w:sz w:val="22"/>
                <w:szCs w:val="22"/>
              </w:rPr>
            </w:pPr>
          </w:p>
        </w:tc>
        <w:tc>
          <w:tcPr>
            <w:tcW w:w="346" w:type="dxa"/>
            <w:tcBorders>
              <w:top w:val="nil"/>
              <w:left w:val="nil"/>
              <w:bottom w:val="nil"/>
              <w:right w:val="nil"/>
            </w:tcBorders>
            <w:shd w:val="clear" w:color="auto" w:fill="auto"/>
            <w:noWrap/>
            <w:vAlign w:val="bottom"/>
            <w:hideMark/>
          </w:tcPr>
          <w:p w14:paraId="6DA6378D"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1CADFE62" w14:textId="77777777" w:rsidR="00FD45AC" w:rsidRPr="0003281F" w:rsidRDefault="00FD45AC" w:rsidP="001853E3">
            <w:pPr>
              <w:widowControl w:val="0"/>
              <w:jc w:val="center"/>
              <w:rPr>
                <w:rFonts w:eastAsia="Times New Roman"/>
                <w:color w:val="000000"/>
                <w:sz w:val="22"/>
                <w:szCs w:val="22"/>
              </w:rPr>
            </w:pPr>
          </w:p>
        </w:tc>
      </w:tr>
      <w:tr w:rsidR="008C007D" w:rsidRPr="0003281F" w14:paraId="67AAB921"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7F92390A"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Industry Fixed Effects</w:t>
            </w:r>
          </w:p>
        </w:tc>
        <w:tc>
          <w:tcPr>
            <w:tcW w:w="378" w:type="dxa"/>
            <w:tcBorders>
              <w:top w:val="nil"/>
              <w:left w:val="nil"/>
              <w:bottom w:val="nil"/>
              <w:right w:val="nil"/>
            </w:tcBorders>
            <w:shd w:val="clear" w:color="auto" w:fill="auto"/>
            <w:noWrap/>
            <w:vAlign w:val="bottom"/>
            <w:hideMark/>
          </w:tcPr>
          <w:p w14:paraId="27A32434"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38B0A433"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Yes</w:t>
            </w:r>
          </w:p>
        </w:tc>
        <w:tc>
          <w:tcPr>
            <w:tcW w:w="1969" w:type="dxa"/>
            <w:tcBorders>
              <w:top w:val="nil"/>
              <w:left w:val="nil"/>
              <w:bottom w:val="nil"/>
              <w:right w:val="nil"/>
            </w:tcBorders>
            <w:shd w:val="clear" w:color="auto" w:fill="auto"/>
            <w:noWrap/>
            <w:vAlign w:val="bottom"/>
            <w:hideMark/>
          </w:tcPr>
          <w:p w14:paraId="6B98130A"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Yes</w:t>
            </w:r>
          </w:p>
        </w:tc>
        <w:tc>
          <w:tcPr>
            <w:tcW w:w="346" w:type="dxa"/>
            <w:tcBorders>
              <w:top w:val="nil"/>
              <w:left w:val="nil"/>
              <w:bottom w:val="nil"/>
              <w:right w:val="nil"/>
            </w:tcBorders>
            <w:shd w:val="clear" w:color="auto" w:fill="auto"/>
            <w:noWrap/>
            <w:vAlign w:val="bottom"/>
            <w:hideMark/>
          </w:tcPr>
          <w:p w14:paraId="441F50A8" w14:textId="77777777" w:rsidR="00FD45AC" w:rsidRPr="0003281F" w:rsidRDefault="00FD45AC" w:rsidP="001853E3">
            <w:pPr>
              <w:widowControl w:val="0"/>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006617C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Yes</w:t>
            </w:r>
          </w:p>
        </w:tc>
      </w:tr>
      <w:tr w:rsidR="008C007D" w:rsidRPr="0003281F" w14:paraId="3722223A" w14:textId="77777777" w:rsidTr="008C007D">
        <w:trPr>
          <w:trHeight w:val="306"/>
          <w:jc w:val="center"/>
        </w:trPr>
        <w:tc>
          <w:tcPr>
            <w:tcW w:w="3018" w:type="dxa"/>
            <w:tcBorders>
              <w:top w:val="nil"/>
              <w:left w:val="nil"/>
              <w:bottom w:val="nil"/>
              <w:right w:val="nil"/>
            </w:tcBorders>
            <w:shd w:val="clear" w:color="auto" w:fill="auto"/>
            <w:noWrap/>
            <w:vAlign w:val="bottom"/>
            <w:hideMark/>
          </w:tcPr>
          <w:p w14:paraId="1B8D1BA8"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Observations</w:t>
            </w:r>
          </w:p>
        </w:tc>
        <w:tc>
          <w:tcPr>
            <w:tcW w:w="378" w:type="dxa"/>
            <w:tcBorders>
              <w:top w:val="nil"/>
              <w:left w:val="nil"/>
              <w:bottom w:val="nil"/>
              <w:right w:val="nil"/>
            </w:tcBorders>
            <w:shd w:val="clear" w:color="auto" w:fill="auto"/>
            <w:noWrap/>
            <w:vAlign w:val="bottom"/>
            <w:hideMark/>
          </w:tcPr>
          <w:p w14:paraId="0F6AB6C7" w14:textId="77777777" w:rsidR="00FD45AC" w:rsidRPr="0003281F" w:rsidRDefault="00FD45AC" w:rsidP="001853E3">
            <w:pPr>
              <w:widowControl w:val="0"/>
              <w:jc w:val="center"/>
              <w:rPr>
                <w:rFonts w:eastAsia="Times New Roman"/>
                <w:color w:val="000000"/>
                <w:sz w:val="22"/>
                <w:szCs w:val="22"/>
              </w:rPr>
            </w:pPr>
          </w:p>
        </w:tc>
        <w:tc>
          <w:tcPr>
            <w:tcW w:w="2334" w:type="dxa"/>
            <w:tcBorders>
              <w:top w:val="nil"/>
              <w:left w:val="nil"/>
              <w:bottom w:val="nil"/>
              <w:right w:val="nil"/>
            </w:tcBorders>
            <w:shd w:val="clear" w:color="auto" w:fill="auto"/>
            <w:noWrap/>
            <w:vAlign w:val="bottom"/>
            <w:hideMark/>
          </w:tcPr>
          <w:p w14:paraId="0BF2B35B"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303</w:t>
            </w:r>
          </w:p>
        </w:tc>
        <w:tc>
          <w:tcPr>
            <w:tcW w:w="1969" w:type="dxa"/>
            <w:tcBorders>
              <w:top w:val="nil"/>
              <w:left w:val="nil"/>
              <w:bottom w:val="nil"/>
              <w:right w:val="nil"/>
            </w:tcBorders>
            <w:shd w:val="clear" w:color="auto" w:fill="auto"/>
            <w:noWrap/>
            <w:vAlign w:val="bottom"/>
            <w:hideMark/>
          </w:tcPr>
          <w:p w14:paraId="78D77356"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279</w:t>
            </w:r>
          </w:p>
        </w:tc>
        <w:tc>
          <w:tcPr>
            <w:tcW w:w="346" w:type="dxa"/>
            <w:tcBorders>
              <w:top w:val="nil"/>
              <w:left w:val="nil"/>
              <w:bottom w:val="nil"/>
              <w:right w:val="nil"/>
            </w:tcBorders>
            <w:shd w:val="clear" w:color="auto" w:fill="auto"/>
            <w:noWrap/>
            <w:vAlign w:val="bottom"/>
            <w:hideMark/>
          </w:tcPr>
          <w:p w14:paraId="7C709CCE" w14:textId="77777777" w:rsidR="00FD45AC" w:rsidRPr="0003281F" w:rsidRDefault="00FD45AC" w:rsidP="001853E3">
            <w:pPr>
              <w:widowControl w:val="0"/>
              <w:jc w:val="center"/>
              <w:rPr>
                <w:rFonts w:eastAsia="Times New Roman"/>
                <w:color w:val="000000"/>
                <w:sz w:val="22"/>
                <w:szCs w:val="22"/>
              </w:rPr>
            </w:pPr>
          </w:p>
        </w:tc>
        <w:tc>
          <w:tcPr>
            <w:tcW w:w="1327" w:type="dxa"/>
            <w:tcBorders>
              <w:top w:val="nil"/>
              <w:left w:val="nil"/>
              <w:bottom w:val="nil"/>
              <w:right w:val="nil"/>
            </w:tcBorders>
            <w:shd w:val="clear" w:color="auto" w:fill="auto"/>
            <w:noWrap/>
            <w:vAlign w:val="bottom"/>
            <w:hideMark/>
          </w:tcPr>
          <w:p w14:paraId="073C80B4"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582</w:t>
            </w:r>
          </w:p>
        </w:tc>
      </w:tr>
      <w:tr w:rsidR="008C007D" w:rsidRPr="0003281F" w14:paraId="4C7D12F1" w14:textId="77777777" w:rsidTr="008C007D">
        <w:trPr>
          <w:trHeight w:val="306"/>
          <w:jc w:val="center"/>
        </w:trPr>
        <w:tc>
          <w:tcPr>
            <w:tcW w:w="3018" w:type="dxa"/>
            <w:tcBorders>
              <w:top w:val="nil"/>
              <w:left w:val="nil"/>
              <w:bottom w:val="single" w:sz="4" w:space="0" w:color="auto"/>
              <w:right w:val="nil"/>
            </w:tcBorders>
            <w:shd w:val="clear" w:color="auto" w:fill="auto"/>
            <w:noWrap/>
            <w:vAlign w:val="bottom"/>
            <w:hideMark/>
          </w:tcPr>
          <w:p w14:paraId="3387E4B0" w14:textId="77777777" w:rsidR="00FD45AC" w:rsidRPr="0003281F" w:rsidRDefault="00FD45AC" w:rsidP="001853E3">
            <w:pPr>
              <w:widowControl w:val="0"/>
              <w:rPr>
                <w:rFonts w:eastAsia="Times New Roman"/>
                <w:color w:val="000000"/>
                <w:sz w:val="22"/>
                <w:szCs w:val="22"/>
              </w:rPr>
            </w:pPr>
            <w:r w:rsidRPr="0003281F">
              <w:rPr>
                <w:rFonts w:eastAsia="Times New Roman"/>
                <w:color w:val="000000"/>
                <w:sz w:val="22"/>
                <w:szCs w:val="22"/>
              </w:rPr>
              <w:t>R-squared</w:t>
            </w:r>
          </w:p>
        </w:tc>
        <w:tc>
          <w:tcPr>
            <w:tcW w:w="378" w:type="dxa"/>
            <w:tcBorders>
              <w:top w:val="nil"/>
              <w:left w:val="nil"/>
              <w:bottom w:val="single" w:sz="4" w:space="0" w:color="auto"/>
              <w:right w:val="nil"/>
            </w:tcBorders>
            <w:shd w:val="clear" w:color="auto" w:fill="auto"/>
            <w:noWrap/>
            <w:vAlign w:val="bottom"/>
            <w:hideMark/>
          </w:tcPr>
          <w:p w14:paraId="7F5CF0B3"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2334" w:type="dxa"/>
            <w:tcBorders>
              <w:top w:val="nil"/>
              <w:left w:val="nil"/>
              <w:bottom w:val="single" w:sz="4" w:space="0" w:color="auto"/>
              <w:right w:val="nil"/>
            </w:tcBorders>
            <w:shd w:val="clear" w:color="auto" w:fill="auto"/>
            <w:noWrap/>
            <w:vAlign w:val="bottom"/>
            <w:hideMark/>
          </w:tcPr>
          <w:p w14:paraId="2B8B0F25"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0.108</w:t>
            </w:r>
          </w:p>
        </w:tc>
        <w:tc>
          <w:tcPr>
            <w:tcW w:w="1969" w:type="dxa"/>
            <w:tcBorders>
              <w:top w:val="nil"/>
              <w:left w:val="nil"/>
              <w:bottom w:val="single" w:sz="4" w:space="0" w:color="auto"/>
              <w:right w:val="nil"/>
            </w:tcBorders>
            <w:shd w:val="clear" w:color="auto" w:fill="auto"/>
            <w:noWrap/>
            <w:vAlign w:val="bottom"/>
            <w:hideMark/>
          </w:tcPr>
          <w:p w14:paraId="10D0CBB2"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0.138</w:t>
            </w:r>
          </w:p>
        </w:tc>
        <w:tc>
          <w:tcPr>
            <w:tcW w:w="346" w:type="dxa"/>
            <w:tcBorders>
              <w:top w:val="nil"/>
              <w:left w:val="nil"/>
              <w:bottom w:val="single" w:sz="4" w:space="0" w:color="auto"/>
              <w:right w:val="nil"/>
            </w:tcBorders>
            <w:shd w:val="clear" w:color="auto" w:fill="auto"/>
            <w:noWrap/>
            <w:vAlign w:val="bottom"/>
            <w:hideMark/>
          </w:tcPr>
          <w:p w14:paraId="3523298E"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327" w:type="dxa"/>
            <w:tcBorders>
              <w:top w:val="nil"/>
              <w:left w:val="nil"/>
              <w:bottom w:val="single" w:sz="4" w:space="0" w:color="auto"/>
              <w:right w:val="nil"/>
            </w:tcBorders>
            <w:shd w:val="clear" w:color="auto" w:fill="auto"/>
            <w:noWrap/>
            <w:vAlign w:val="bottom"/>
            <w:hideMark/>
          </w:tcPr>
          <w:p w14:paraId="20FE07C7" w14:textId="77777777" w:rsidR="00FD45AC" w:rsidRPr="0003281F" w:rsidRDefault="00FD45AC" w:rsidP="001853E3">
            <w:pPr>
              <w:widowControl w:val="0"/>
              <w:jc w:val="center"/>
              <w:rPr>
                <w:rFonts w:eastAsia="Times New Roman"/>
                <w:color w:val="000000"/>
                <w:sz w:val="22"/>
                <w:szCs w:val="22"/>
              </w:rPr>
            </w:pPr>
            <w:r w:rsidRPr="0003281F">
              <w:rPr>
                <w:rFonts w:eastAsia="Times New Roman"/>
                <w:color w:val="000000"/>
                <w:sz w:val="22"/>
                <w:szCs w:val="22"/>
              </w:rPr>
              <w:t>0.090</w:t>
            </w:r>
          </w:p>
        </w:tc>
      </w:tr>
    </w:tbl>
    <w:p w14:paraId="127471DC" w14:textId="6D27AA35" w:rsidR="008C007D" w:rsidRPr="00E26D55" w:rsidRDefault="00FC3706" w:rsidP="001853E3">
      <w:pPr>
        <w:pageBreakBefore/>
        <w:widowControl w:val="0"/>
        <w:jc w:val="center"/>
        <w:rPr>
          <w:b/>
        </w:rPr>
      </w:pPr>
      <w:r>
        <w:rPr>
          <w:b/>
        </w:rPr>
        <w:t>Table 4</w:t>
      </w:r>
      <w:r w:rsidR="008C007D" w:rsidRPr="00E26D55">
        <w:rPr>
          <w:b/>
        </w:rPr>
        <w:t xml:space="preserve"> continued: Analyst Following Analysis</w:t>
      </w:r>
    </w:p>
    <w:p w14:paraId="2E0D9CBB" w14:textId="77777777" w:rsidR="00FD45AC" w:rsidRPr="00E26D55" w:rsidRDefault="00FD45AC" w:rsidP="001853E3">
      <w:pPr>
        <w:widowControl w:val="0"/>
        <w:jc w:val="both"/>
      </w:pPr>
    </w:p>
    <w:p w14:paraId="076A61A9" w14:textId="77777777" w:rsidR="008C007D" w:rsidRPr="00E26D55" w:rsidRDefault="008C007D" w:rsidP="001853E3">
      <w:pPr>
        <w:widowControl w:val="0"/>
        <w:jc w:val="both"/>
      </w:pPr>
    </w:p>
    <w:tbl>
      <w:tblPr>
        <w:tblW w:w="9289" w:type="dxa"/>
        <w:jc w:val="center"/>
        <w:tblInd w:w="93" w:type="dxa"/>
        <w:tblLook w:val="04A0" w:firstRow="1" w:lastRow="0" w:firstColumn="1" w:lastColumn="0" w:noHBand="0" w:noVBand="1"/>
      </w:tblPr>
      <w:tblGrid>
        <w:gridCol w:w="2958"/>
        <w:gridCol w:w="369"/>
        <w:gridCol w:w="2287"/>
        <w:gridCol w:w="1930"/>
        <w:gridCol w:w="370"/>
        <w:gridCol w:w="1375"/>
      </w:tblGrid>
      <w:tr w:rsidR="00B169A5" w:rsidRPr="0003281F" w14:paraId="4779854B" w14:textId="77777777" w:rsidTr="008B1197">
        <w:trPr>
          <w:trHeight w:val="305"/>
          <w:jc w:val="center"/>
        </w:trPr>
        <w:tc>
          <w:tcPr>
            <w:tcW w:w="2958" w:type="dxa"/>
            <w:tcBorders>
              <w:top w:val="single" w:sz="4" w:space="0" w:color="auto"/>
              <w:left w:val="nil"/>
              <w:bottom w:val="single" w:sz="4" w:space="0" w:color="auto"/>
              <w:right w:val="nil"/>
            </w:tcBorders>
            <w:shd w:val="clear" w:color="auto" w:fill="auto"/>
            <w:noWrap/>
            <w:vAlign w:val="bottom"/>
            <w:hideMark/>
          </w:tcPr>
          <w:p w14:paraId="1AB6AA65" w14:textId="77777777" w:rsidR="00B169A5" w:rsidRPr="0003281F" w:rsidRDefault="00B169A5" w:rsidP="00B169A5">
            <w:pPr>
              <w:rPr>
                <w:rFonts w:eastAsia="Times New Roman"/>
                <w:b/>
                <w:bCs/>
                <w:color w:val="000000"/>
                <w:sz w:val="22"/>
                <w:szCs w:val="22"/>
              </w:rPr>
            </w:pPr>
            <w:r w:rsidRPr="0003281F">
              <w:rPr>
                <w:rFonts w:eastAsia="Times New Roman"/>
                <w:b/>
                <w:bCs/>
                <w:color w:val="000000"/>
                <w:sz w:val="22"/>
                <w:szCs w:val="22"/>
              </w:rPr>
              <w:t xml:space="preserve">Panel B: </w:t>
            </w:r>
            <w:r w:rsidRPr="0003281F">
              <w:rPr>
                <w:rFonts w:eastAsia="Times New Roman"/>
                <w:b/>
                <w:bCs/>
                <w:i/>
                <w:iCs/>
                <w:color w:val="000000"/>
                <w:sz w:val="22"/>
                <w:szCs w:val="22"/>
              </w:rPr>
              <w:t>ASPREAD</w:t>
            </w:r>
          </w:p>
        </w:tc>
        <w:tc>
          <w:tcPr>
            <w:tcW w:w="369" w:type="dxa"/>
            <w:tcBorders>
              <w:top w:val="single" w:sz="4" w:space="0" w:color="auto"/>
              <w:left w:val="nil"/>
              <w:bottom w:val="single" w:sz="4" w:space="0" w:color="auto"/>
              <w:right w:val="nil"/>
            </w:tcBorders>
            <w:shd w:val="clear" w:color="auto" w:fill="auto"/>
            <w:noWrap/>
            <w:vAlign w:val="bottom"/>
            <w:hideMark/>
          </w:tcPr>
          <w:p w14:paraId="6CB3A966"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 </w:t>
            </w:r>
          </w:p>
        </w:tc>
        <w:tc>
          <w:tcPr>
            <w:tcW w:w="2287" w:type="dxa"/>
            <w:tcBorders>
              <w:top w:val="single" w:sz="4" w:space="0" w:color="auto"/>
              <w:left w:val="nil"/>
              <w:bottom w:val="single" w:sz="4" w:space="0" w:color="auto"/>
              <w:right w:val="nil"/>
            </w:tcBorders>
            <w:shd w:val="clear" w:color="auto" w:fill="auto"/>
            <w:noWrap/>
            <w:vAlign w:val="bottom"/>
            <w:hideMark/>
          </w:tcPr>
          <w:p w14:paraId="43769D8C"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 </w:t>
            </w:r>
          </w:p>
        </w:tc>
        <w:tc>
          <w:tcPr>
            <w:tcW w:w="1930" w:type="dxa"/>
            <w:tcBorders>
              <w:top w:val="single" w:sz="4" w:space="0" w:color="auto"/>
              <w:left w:val="nil"/>
              <w:bottom w:val="single" w:sz="4" w:space="0" w:color="auto"/>
              <w:right w:val="nil"/>
            </w:tcBorders>
            <w:shd w:val="clear" w:color="auto" w:fill="auto"/>
            <w:noWrap/>
            <w:vAlign w:val="bottom"/>
            <w:hideMark/>
          </w:tcPr>
          <w:p w14:paraId="3886E87D"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 </w:t>
            </w:r>
          </w:p>
        </w:tc>
        <w:tc>
          <w:tcPr>
            <w:tcW w:w="370" w:type="dxa"/>
            <w:tcBorders>
              <w:top w:val="single" w:sz="4" w:space="0" w:color="auto"/>
              <w:left w:val="nil"/>
              <w:bottom w:val="single" w:sz="4" w:space="0" w:color="auto"/>
              <w:right w:val="nil"/>
            </w:tcBorders>
            <w:shd w:val="clear" w:color="auto" w:fill="auto"/>
            <w:noWrap/>
            <w:vAlign w:val="bottom"/>
            <w:hideMark/>
          </w:tcPr>
          <w:p w14:paraId="2A91DB14"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 </w:t>
            </w:r>
          </w:p>
        </w:tc>
        <w:tc>
          <w:tcPr>
            <w:tcW w:w="1375" w:type="dxa"/>
            <w:tcBorders>
              <w:top w:val="single" w:sz="4" w:space="0" w:color="auto"/>
              <w:left w:val="nil"/>
              <w:bottom w:val="single" w:sz="4" w:space="0" w:color="auto"/>
              <w:right w:val="nil"/>
            </w:tcBorders>
            <w:shd w:val="clear" w:color="auto" w:fill="auto"/>
            <w:noWrap/>
            <w:vAlign w:val="bottom"/>
            <w:hideMark/>
          </w:tcPr>
          <w:p w14:paraId="388E55AC"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 </w:t>
            </w:r>
          </w:p>
        </w:tc>
      </w:tr>
      <w:tr w:rsidR="00B169A5" w:rsidRPr="0003281F" w14:paraId="348F3324"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1BFB77F9"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 </w:t>
            </w:r>
          </w:p>
        </w:tc>
        <w:tc>
          <w:tcPr>
            <w:tcW w:w="369" w:type="dxa"/>
            <w:tcBorders>
              <w:top w:val="nil"/>
              <w:left w:val="nil"/>
              <w:bottom w:val="nil"/>
              <w:right w:val="nil"/>
            </w:tcBorders>
            <w:shd w:val="clear" w:color="auto" w:fill="auto"/>
            <w:noWrap/>
            <w:vAlign w:val="bottom"/>
            <w:hideMark/>
          </w:tcPr>
          <w:p w14:paraId="19364A40"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 </w:t>
            </w:r>
          </w:p>
        </w:tc>
        <w:tc>
          <w:tcPr>
            <w:tcW w:w="2287" w:type="dxa"/>
            <w:tcBorders>
              <w:top w:val="nil"/>
              <w:left w:val="nil"/>
              <w:bottom w:val="nil"/>
              <w:right w:val="nil"/>
            </w:tcBorders>
            <w:shd w:val="clear" w:color="auto" w:fill="auto"/>
            <w:noWrap/>
            <w:vAlign w:val="bottom"/>
            <w:hideMark/>
          </w:tcPr>
          <w:p w14:paraId="52CB34F8"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High Analyst</w:t>
            </w:r>
          </w:p>
        </w:tc>
        <w:tc>
          <w:tcPr>
            <w:tcW w:w="1930" w:type="dxa"/>
            <w:tcBorders>
              <w:top w:val="nil"/>
              <w:left w:val="nil"/>
              <w:bottom w:val="nil"/>
              <w:right w:val="nil"/>
            </w:tcBorders>
            <w:shd w:val="clear" w:color="auto" w:fill="auto"/>
            <w:noWrap/>
            <w:vAlign w:val="bottom"/>
            <w:hideMark/>
          </w:tcPr>
          <w:p w14:paraId="58BBDF04"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Low Analyst</w:t>
            </w:r>
          </w:p>
        </w:tc>
        <w:tc>
          <w:tcPr>
            <w:tcW w:w="370" w:type="dxa"/>
            <w:tcBorders>
              <w:top w:val="nil"/>
              <w:left w:val="nil"/>
              <w:bottom w:val="nil"/>
              <w:right w:val="nil"/>
            </w:tcBorders>
            <w:shd w:val="clear" w:color="auto" w:fill="auto"/>
            <w:noWrap/>
            <w:vAlign w:val="bottom"/>
            <w:hideMark/>
          </w:tcPr>
          <w:p w14:paraId="3A677CE3"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 </w:t>
            </w:r>
          </w:p>
        </w:tc>
        <w:tc>
          <w:tcPr>
            <w:tcW w:w="1375" w:type="dxa"/>
            <w:tcBorders>
              <w:top w:val="nil"/>
              <w:left w:val="nil"/>
              <w:bottom w:val="nil"/>
              <w:right w:val="nil"/>
            </w:tcBorders>
            <w:shd w:val="clear" w:color="auto" w:fill="auto"/>
            <w:noWrap/>
            <w:vAlign w:val="bottom"/>
            <w:hideMark/>
          </w:tcPr>
          <w:p w14:paraId="2F2EE18A"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Full</w:t>
            </w:r>
          </w:p>
        </w:tc>
      </w:tr>
      <w:tr w:rsidR="00B169A5" w:rsidRPr="0003281F" w14:paraId="7B8AA072"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74A9B4E8" w14:textId="77777777" w:rsidR="00B169A5" w:rsidRPr="0003281F" w:rsidRDefault="00B169A5" w:rsidP="00B169A5">
            <w:pPr>
              <w:rPr>
                <w:rFonts w:eastAsia="Times New Roman"/>
                <w:color w:val="000000"/>
                <w:sz w:val="22"/>
                <w:szCs w:val="22"/>
              </w:rPr>
            </w:pPr>
          </w:p>
        </w:tc>
        <w:tc>
          <w:tcPr>
            <w:tcW w:w="369" w:type="dxa"/>
            <w:tcBorders>
              <w:top w:val="nil"/>
              <w:left w:val="nil"/>
              <w:bottom w:val="nil"/>
              <w:right w:val="nil"/>
            </w:tcBorders>
            <w:shd w:val="clear" w:color="auto" w:fill="auto"/>
            <w:noWrap/>
            <w:vAlign w:val="bottom"/>
            <w:hideMark/>
          </w:tcPr>
          <w:p w14:paraId="2D8E1767"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3F248C48"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Coverage</w:t>
            </w:r>
          </w:p>
        </w:tc>
        <w:tc>
          <w:tcPr>
            <w:tcW w:w="1930" w:type="dxa"/>
            <w:tcBorders>
              <w:top w:val="nil"/>
              <w:left w:val="nil"/>
              <w:bottom w:val="nil"/>
              <w:right w:val="nil"/>
            </w:tcBorders>
            <w:shd w:val="clear" w:color="auto" w:fill="auto"/>
            <w:noWrap/>
            <w:vAlign w:val="bottom"/>
            <w:hideMark/>
          </w:tcPr>
          <w:p w14:paraId="78267308"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Coverage</w:t>
            </w:r>
          </w:p>
        </w:tc>
        <w:tc>
          <w:tcPr>
            <w:tcW w:w="370" w:type="dxa"/>
            <w:tcBorders>
              <w:top w:val="nil"/>
              <w:left w:val="nil"/>
              <w:bottom w:val="nil"/>
              <w:right w:val="nil"/>
            </w:tcBorders>
            <w:shd w:val="clear" w:color="auto" w:fill="auto"/>
            <w:noWrap/>
            <w:vAlign w:val="bottom"/>
            <w:hideMark/>
          </w:tcPr>
          <w:p w14:paraId="7617E1AE" w14:textId="77777777" w:rsidR="00B169A5" w:rsidRPr="0003281F" w:rsidRDefault="00B169A5" w:rsidP="00B169A5">
            <w:pP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0D39C015"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Sample</w:t>
            </w:r>
          </w:p>
        </w:tc>
      </w:tr>
      <w:tr w:rsidR="00B169A5" w:rsidRPr="0003281F" w14:paraId="5E0E5B16" w14:textId="77777777" w:rsidTr="008B1197">
        <w:trPr>
          <w:trHeight w:val="305"/>
          <w:jc w:val="center"/>
        </w:trPr>
        <w:tc>
          <w:tcPr>
            <w:tcW w:w="2958" w:type="dxa"/>
            <w:tcBorders>
              <w:top w:val="single" w:sz="4" w:space="0" w:color="auto"/>
              <w:left w:val="nil"/>
              <w:bottom w:val="nil"/>
              <w:right w:val="nil"/>
            </w:tcBorders>
            <w:shd w:val="clear" w:color="auto" w:fill="auto"/>
            <w:noWrap/>
            <w:vAlign w:val="bottom"/>
            <w:hideMark/>
          </w:tcPr>
          <w:p w14:paraId="103A25CF"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 </w:t>
            </w:r>
          </w:p>
        </w:tc>
        <w:tc>
          <w:tcPr>
            <w:tcW w:w="369" w:type="dxa"/>
            <w:tcBorders>
              <w:top w:val="single" w:sz="4" w:space="0" w:color="auto"/>
              <w:left w:val="nil"/>
              <w:bottom w:val="nil"/>
              <w:right w:val="nil"/>
            </w:tcBorders>
            <w:shd w:val="clear" w:color="auto" w:fill="auto"/>
            <w:noWrap/>
            <w:vAlign w:val="bottom"/>
            <w:hideMark/>
          </w:tcPr>
          <w:p w14:paraId="21C93B5C"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 </w:t>
            </w:r>
          </w:p>
        </w:tc>
        <w:tc>
          <w:tcPr>
            <w:tcW w:w="2287" w:type="dxa"/>
            <w:tcBorders>
              <w:top w:val="single" w:sz="4" w:space="0" w:color="auto"/>
              <w:left w:val="nil"/>
              <w:bottom w:val="nil"/>
              <w:right w:val="nil"/>
            </w:tcBorders>
            <w:shd w:val="clear" w:color="auto" w:fill="auto"/>
            <w:noWrap/>
            <w:vAlign w:val="bottom"/>
            <w:hideMark/>
          </w:tcPr>
          <w:p w14:paraId="3FF70500"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(1)</w:t>
            </w:r>
          </w:p>
        </w:tc>
        <w:tc>
          <w:tcPr>
            <w:tcW w:w="1930" w:type="dxa"/>
            <w:tcBorders>
              <w:top w:val="single" w:sz="4" w:space="0" w:color="auto"/>
              <w:left w:val="nil"/>
              <w:bottom w:val="nil"/>
              <w:right w:val="nil"/>
            </w:tcBorders>
            <w:shd w:val="clear" w:color="auto" w:fill="auto"/>
            <w:noWrap/>
            <w:vAlign w:val="bottom"/>
            <w:hideMark/>
          </w:tcPr>
          <w:p w14:paraId="02879CE8"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(2)</w:t>
            </w:r>
          </w:p>
        </w:tc>
        <w:tc>
          <w:tcPr>
            <w:tcW w:w="370" w:type="dxa"/>
            <w:tcBorders>
              <w:top w:val="single" w:sz="4" w:space="0" w:color="auto"/>
              <w:left w:val="nil"/>
              <w:bottom w:val="nil"/>
              <w:right w:val="nil"/>
            </w:tcBorders>
            <w:shd w:val="clear" w:color="auto" w:fill="auto"/>
            <w:noWrap/>
            <w:vAlign w:val="bottom"/>
            <w:hideMark/>
          </w:tcPr>
          <w:p w14:paraId="279B23D5"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 </w:t>
            </w:r>
          </w:p>
        </w:tc>
        <w:tc>
          <w:tcPr>
            <w:tcW w:w="1375" w:type="dxa"/>
            <w:tcBorders>
              <w:top w:val="single" w:sz="4" w:space="0" w:color="auto"/>
              <w:left w:val="nil"/>
              <w:bottom w:val="nil"/>
              <w:right w:val="nil"/>
            </w:tcBorders>
            <w:shd w:val="clear" w:color="auto" w:fill="auto"/>
            <w:noWrap/>
            <w:vAlign w:val="bottom"/>
            <w:hideMark/>
          </w:tcPr>
          <w:p w14:paraId="05BA7B06"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(3)</w:t>
            </w:r>
          </w:p>
        </w:tc>
      </w:tr>
      <w:tr w:rsidR="00B169A5" w:rsidRPr="0003281F" w14:paraId="56982645"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67C946E3"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VARIABLES</w:t>
            </w:r>
          </w:p>
        </w:tc>
        <w:tc>
          <w:tcPr>
            <w:tcW w:w="369" w:type="dxa"/>
            <w:tcBorders>
              <w:top w:val="nil"/>
              <w:left w:val="nil"/>
              <w:bottom w:val="nil"/>
              <w:right w:val="nil"/>
            </w:tcBorders>
            <w:shd w:val="clear" w:color="auto" w:fill="auto"/>
            <w:noWrap/>
            <w:vAlign w:val="bottom"/>
            <w:hideMark/>
          </w:tcPr>
          <w:p w14:paraId="2FB161E2"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4304F8C3"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ASPREAD</w:t>
            </w:r>
          </w:p>
        </w:tc>
        <w:tc>
          <w:tcPr>
            <w:tcW w:w="1930" w:type="dxa"/>
            <w:tcBorders>
              <w:top w:val="nil"/>
              <w:left w:val="nil"/>
              <w:bottom w:val="nil"/>
              <w:right w:val="nil"/>
            </w:tcBorders>
            <w:shd w:val="clear" w:color="auto" w:fill="auto"/>
            <w:noWrap/>
            <w:vAlign w:val="bottom"/>
            <w:hideMark/>
          </w:tcPr>
          <w:p w14:paraId="30C82CA1"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ASPREAD</w:t>
            </w:r>
          </w:p>
        </w:tc>
        <w:tc>
          <w:tcPr>
            <w:tcW w:w="370" w:type="dxa"/>
            <w:tcBorders>
              <w:top w:val="nil"/>
              <w:left w:val="nil"/>
              <w:bottom w:val="nil"/>
              <w:right w:val="nil"/>
            </w:tcBorders>
            <w:shd w:val="clear" w:color="auto" w:fill="auto"/>
            <w:noWrap/>
            <w:vAlign w:val="bottom"/>
            <w:hideMark/>
          </w:tcPr>
          <w:p w14:paraId="0A64E386"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5B7946A6"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ASPREAD</w:t>
            </w:r>
          </w:p>
        </w:tc>
      </w:tr>
      <w:tr w:rsidR="00B169A5" w:rsidRPr="0003281F" w14:paraId="13C9E03D" w14:textId="77777777" w:rsidTr="008B1197">
        <w:trPr>
          <w:trHeight w:val="305"/>
          <w:jc w:val="center"/>
        </w:trPr>
        <w:tc>
          <w:tcPr>
            <w:tcW w:w="2958" w:type="dxa"/>
            <w:tcBorders>
              <w:top w:val="single" w:sz="4" w:space="0" w:color="auto"/>
              <w:left w:val="nil"/>
              <w:bottom w:val="nil"/>
              <w:right w:val="nil"/>
            </w:tcBorders>
            <w:shd w:val="clear" w:color="auto" w:fill="auto"/>
            <w:noWrap/>
            <w:vAlign w:val="bottom"/>
            <w:hideMark/>
          </w:tcPr>
          <w:p w14:paraId="26010859"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 </w:t>
            </w:r>
          </w:p>
        </w:tc>
        <w:tc>
          <w:tcPr>
            <w:tcW w:w="369" w:type="dxa"/>
            <w:tcBorders>
              <w:top w:val="single" w:sz="4" w:space="0" w:color="auto"/>
              <w:left w:val="nil"/>
              <w:bottom w:val="nil"/>
              <w:right w:val="nil"/>
            </w:tcBorders>
            <w:shd w:val="clear" w:color="auto" w:fill="auto"/>
            <w:noWrap/>
            <w:vAlign w:val="bottom"/>
            <w:hideMark/>
          </w:tcPr>
          <w:p w14:paraId="10AA0BA9"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 </w:t>
            </w:r>
          </w:p>
        </w:tc>
        <w:tc>
          <w:tcPr>
            <w:tcW w:w="2287" w:type="dxa"/>
            <w:tcBorders>
              <w:top w:val="single" w:sz="4" w:space="0" w:color="auto"/>
              <w:left w:val="nil"/>
              <w:bottom w:val="nil"/>
              <w:right w:val="nil"/>
            </w:tcBorders>
            <w:shd w:val="clear" w:color="auto" w:fill="auto"/>
            <w:noWrap/>
            <w:vAlign w:val="bottom"/>
            <w:hideMark/>
          </w:tcPr>
          <w:p w14:paraId="668E1740"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 </w:t>
            </w:r>
          </w:p>
        </w:tc>
        <w:tc>
          <w:tcPr>
            <w:tcW w:w="1930" w:type="dxa"/>
            <w:tcBorders>
              <w:top w:val="single" w:sz="4" w:space="0" w:color="auto"/>
              <w:left w:val="nil"/>
              <w:bottom w:val="nil"/>
              <w:right w:val="nil"/>
            </w:tcBorders>
            <w:shd w:val="clear" w:color="auto" w:fill="auto"/>
            <w:noWrap/>
            <w:vAlign w:val="bottom"/>
            <w:hideMark/>
          </w:tcPr>
          <w:p w14:paraId="741EEFAD"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 </w:t>
            </w:r>
          </w:p>
        </w:tc>
        <w:tc>
          <w:tcPr>
            <w:tcW w:w="370" w:type="dxa"/>
            <w:tcBorders>
              <w:top w:val="single" w:sz="4" w:space="0" w:color="auto"/>
              <w:left w:val="nil"/>
              <w:bottom w:val="nil"/>
              <w:right w:val="nil"/>
            </w:tcBorders>
            <w:shd w:val="clear" w:color="auto" w:fill="auto"/>
            <w:noWrap/>
            <w:vAlign w:val="bottom"/>
            <w:hideMark/>
          </w:tcPr>
          <w:p w14:paraId="61DDC299"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 </w:t>
            </w:r>
          </w:p>
        </w:tc>
        <w:tc>
          <w:tcPr>
            <w:tcW w:w="1375" w:type="dxa"/>
            <w:tcBorders>
              <w:top w:val="single" w:sz="4" w:space="0" w:color="auto"/>
              <w:left w:val="nil"/>
              <w:bottom w:val="nil"/>
              <w:right w:val="nil"/>
            </w:tcBorders>
            <w:shd w:val="clear" w:color="auto" w:fill="auto"/>
            <w:noWrap/>
            <w:vAlign w:val="bottom"/>
            <w:hideMark/>
          </w:tcPr>
          <w:p w14:paraId="137F4013"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 </w:t>
            </w:r>
          </w:p>
        </w:tc>
      </w:tr>
      <w:tr w:rsidR="00B169A5" w:rsidRPr="0003281F" w14:paraId="2C49E0FD"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42AC34A4" w14:textId="77777777" w:rsidR="00B169A5" w:rsidRPr="0003281F" w:rsidRDefault="00B169A5" w:rsidP="00B169A5">
            <w:pPr>
              <w:rPr>
                <w:rFonts w:eastAsia="Times New Roman"/>
                <w:b/>
                <w:bCs/>
                <w:color w:val="000000"/>
                <w:sz w:val="22"/>
                <w:szCs w:val="22"/>
              </w:rPr>
            </w:pPr>
            <w:r w:rsidRPr="0003281F">
              <w:rPr>
                <w:rFonts w:eastAsia="Times New Roman"/>
                <w:b/>
                <w:bCs/>
                <w:color w:val="000000"/>
                <w:sz w:val="22"/>
                <w:szCs w:val="22"/>
              </w:rPr>
              <w:t>POST</w:t>
            </w:r>
          </w:p>
        </w:tc>
        <w:tc>
          <w:tcPr>
            <w:tcW w:w="369" w:type="dxa"/>
            <w:tcBorders>
              <w:top w:val="nil"/>
              <w:left w:val="nil"/>
              <w:bottom w:val="nil"/>
              <w:right w:val="nil"/>
            </w:tcBorders>
            <w:shd w:val="clear" w:color="auto" w:fill="auto"/>
            <w:noWrap/>
            <w:vAlign w:val="bottom"/>
            <w:hideMark/>
          </w:tcPr>
          <w:p w14:paraId="636C3F0F" w14:textId="77777777" w:rsidR="00B169A5" w:rsidRPr="0003281F" w:rsidRDefault="00B169A5" w:rsidP="00B169A5">
            <w:pPr>
              <w:jc w:val="center"/>
              <w:rPr>
                <w:rFonts w:eastAsia="Times New Roman"/>
                <w:b/>
                <w:bCs/>
                <w:color w:val="000000"/>
                <w:sz w:val="22"/>
                <w:szCs w:val="22"/>
              </w:rPr>
            </w:pPr>
            <w:r w:rsidRPr="0003281F">
              <w:rPr>
                <w:rFonts w:eastAsia="Times New Roman"/>
                <w:b/>
                <w:bCs/>
                <w:color w:val="000000"/>
                <w:sz w:val="22"/>
                <w:szCs w:val="22"/>
              </w:rPr>
              <w:t>-</w:t>
            </w:r>
          </w:p>
        </w:tc>
        <w:tc>
          <w:tcPr>
            <w:tcW w:w="2287" w:type="dxa"/>
            <w:tcBorders>
              <w:top w:val="nil"/>
              <w:left w:val="nil"/>
              <w:bottom w:val="nil"/>
              <w:right w:val="nil"/>
            </w:tcBorders>
            <w:shd w:val="clear" w:color="auto" w:fill="auto"/>
            <w:noWrap/>
            <w:vAlign w:val="bottom"/>
            <w:hideMark/>
          </w:tcPr>
          <w:p w14:paraId="4ABC073A" w14:textId="77777777" w:rsidR="00B169A5" w:rsidRPr="0003281F" w:rsidRDefault="00B169A5" w:rsidP="00B169A5">
            <w:pPr>
              <w:jc w:val="center"/>
              <w:rPr>
                <w:rFonts w:eastAsia="Times New Roman"/>
                <w:b/>
                <w:bCs/>
                <w:color w:val="000000"/>
                <w:sz w:val="22"/>
                <w:szCs w:val="22"/>
              </w:rPr>
            </w:pPr>
            <w:r w:rsidRPr="0003281F">
              <w:rPr>
                <w:rFonts w:eastAsia="Times New Roman"/>
                <w:b/>
                <w:bCs/>
                <w:color w:val="000000"/>
                <w:sz w:val="22"/>
                <w:szCs w:val="22"/>
              </w:rPr>
              <w:t>-0.026</w:t>
            </w:r>
          </w:p>
        </w:tc>
        <w:tc>
          <w:tcPr>
            <w:tcW w:w="1930" w:type="dxa"/>
            <w:tcBorders>
              <w:top w:val="nil"/>
              <w:left w:val="nil"/>
              <w:bottom w:val="nil"/>
              <w:right w:val="nil"/>
            </w:tcBorders>
            <w:shd w:val="clear" w:color="auto" w:fill="auto"/>
            <w:noWrap/>
            <w:vAlign w:val="bottom"/>
            <w:hideMark/>
          </w:tcPr>
          <w:p w14:paraId="2A6E21AD" w14:textId="77777777" w:rsidR="00B169A5" w:rsidRPr="0003281F" w:rsidRDefault="00B169A5" w:rsidP="00B169A5">
            <w:pPr>
              <w:jc w:val="center"/>
              <w:rPr>
                <w:rFonts w:eastAsia="Times New Roman"/>
                <w:b/>
                <w:bCs/>
                <w:color w:val="000000"/>
                <w:sz w:val="22"/>
                <w:szCs w:val="22"/>
              </w:rPr>
            </w:pPr>
            <w:r w:rsidRPr="0003281F">
              <w:rPr>
                <w:rFonts w:eastAsia="Times New Roman"/>
                <w:b/>
                <w:bCs/>
                <w:color w:val="000000"/>
                <w:sz w:val="22"/>
                <w:szCs w:val="22"/>
              </w:rPr>
              <w:t>-0.225**</w:t>
            </w:r>
          </w:p>
        </w:tc>
        <w:tc>
          <w:tcPr>
            <w:tcW w:w="370" w:type="dxa"/>
            <w:tcBorders>
              <w:top w:val="nil"/>
              <w:left w:val="nil"/>
              <w:bottom w:val="nil"/>
              <w:right w:val="nil"/>
            </w:tcBorders>
            <w:shd w:val="clear" w:color="auto" w:fill="auto"/>
            <w:noWrap/>
            <w:vAlign w:val="bottom"/>
            <w:hideMark/>
          </w:tcPr>
          <w:p w14:paraId="5E0EA903"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1375" w:type="dxa"/>
            <w:tcBorders>
              <w:top w:val="nil"/>
              <w:left w:val="nil"/>
              <w:bottom w:val="nil"/>
              <w:right w:val="nil"/>
            </w:tcBorders>
            <w:shd w:val="clear" w:color="auto" w:fill="auto"/>
            <w:noWrap/>
            <w:vAlign w:val="bottom"/>
            <w:hideMark/>
          </w:tcPr>
          <w:p w14:paraId="7376B6A6"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-0.257*</w:t>
            </w:r>
          </w:p>
        </w:tc>
      </w:tr>
      <w:tr w:rsidR="00B169A5" w:rsidRPr="0003281F" w14:paraId="5CCD18B9"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294905EE" w14:textId="77777777" w:rsidR="00B169A5" w:rsidRPr="0003281F" w:rsidRDefault="00B169A5" w:rsidP="00B169A5">
            <w:pPr>
              <w:rPr>
                <w:rFonts w:eastAsia="Times New Roman"/>
                <w:b/>
                <w:bCs/>
                <w:color w:val="000000"/>
                <w:sz w:val="22"/>
                <w:szCs w:val="22"/>
              </w:rPr>
            </w:pPr>
          </w:p>
        </w:tc>
        <w:tc>
          <w:tcPr>
            <w:tcW w:w="369" w:type="dxa"/>
            <w:tcBorders>
              <w:top w:val="nil"/>
              <w:left w:val="nil"/>
              <w:bottom w:val="nil"/>
              <w:right w:val="nil"/>
            </w:tcBorders>
            <w:shd w:val="clear" w:color="auto" w:fill="auto"/>
            <w:noWrap/>
            <w:vAlign w:val="bottom"/>
            <w:hideMark/>
          </w:tcPr>
          <w:p w14:paraId="717541E4" w14:textId="77777777" w:rsidR="00B169A5" w:rsidRPr="0003281F" w:rsidRDefault="00B169A5" w:rsidP="00B169A5">
            <w:pPr>
              <w:jc w:val="center"/>
              <w:rPr>
                <w:rFonts w:eastAsia="Times New Roman"/>
                <w:b/>
                <w:bCs/>
                <w:color w:val="000000"/>
                <w:sz w:val="22"/>
                <w:szCs w:val="22"/>
              </w:rPr>
            </w:pPr>
          </w:p>
        </w:tc>
        <w:tc>
          <w:tcPr>
            <w:tcW w:w="2287" w:type="dxa"/>
            <w:tcBorders>
              <w:top w:val="nil"/>
              <w:left w:val="nil"/>
              <w:bottom w:val="nil"/>
              <w:right w:val="nil"/>
            </w:tcBorders>
            <w:shd w:val="clear" w:color="auto" w:fill="auto"/>
            <w:noWrap/>
            <w:vAlign w:val="bottom"/>
            <w:hideMark/>
          </w:tcPr>
          <w:p w14:paraId="3A6DBE24" w14:textId="77777777" w:rsidR="00B169A5" w:rsidRPr="0003281F" w:rsidRDefault="00B169A5" w:rsidP="00B169A5">
            <w:pPr>
              <w:jc w:val="center"/>
              <w:rPr>
                <w:rFonts w:eastAsia="Times New Roman"/>
                <w:b/>
                <w:bCs/>
                <w:color w:val="000000"/>
                <w:sz w:val="22"/>
                <w:szCs w:val="22"/>
              </w:rPr>
            </w:pPr>
            <w:r w:rsidRPr="0003281F">
              <w:rPr>
                <w:rFonts w:eastAsia="Times New Roman"/>
                <w:b/>
                <w:bCs/>
                <w:color w:val="000000"/>
                <w:sz w:val="22"/>
                <w:szCs w:val="22"/>
              </w:rPr>
              <w:t>(0.242)</w:t>
            </w:r>
          </w:p>
        </w:tc>
        <w:tc>
          <w:tcPr>
            <w:tcW w:w="1930" w:type="dxa"/>
            <w:tcBorders>
              <w:top w:val="nil"/>
              <w:left w:val="nil"/>
              <w:bottom w:val="nil"/>
              <w:right w:val="nil"/>
            </w:tcBorders>
            <w:shd w:val="clear" w:color="auto" w:fill="auto"/>
            <w:noWrap/>
            <w:vAlign w:val="bottom"/>
            <w:hideMark/>
          </w:tcPr>
          <w:p w14:paraId="1F243DBA" w14:textId="77777777" w:rsidR="00B169A5" w:rsidRPr="0003281F" w:rsidRDefault="00B169A5" w:rsidP="00B169A5">
            <w:pPr>
              <w:jc w:val="center"/>
              <w:rPr>
                <w:rFonts w:eastAsia="Times New Roman"/>
                <w:b/>
                <w:bCs/>
                <w:color w:val="000000"/>
                <w:sz w:val="22"/>
                <w:szCs w:val="22"/>
              </w:rPr>
            </w:pPr>
            <w:r w:rsidRPr="0003281F">
              <w:rPr>
                <w:rFonts w:eastAsia="Times New Roman"/>
                <w:b/>
                <w:bCs/>
                <w:color w:val="000000"/>
                <w:sz w:val="22"/>
                <w:szCs w:val="22"/>
              </w:rPr>
              <w:t>(0.032)</w:t>
            </w:r>
          </w:p>
        </w:tc>
        <w:tc>
          <w:tcPr>
            <w:tcW w:w="370" w:type="dxa"/>
            <w:tcBorders>
              <w:top w:val="nil"/>
              <w:left w:val="nil"/>
              <w:bottom w:val="nil"/>
              <w:right w:val="nil"/>
            </w:tcBorders>
            <w:shd w:val="clear" w:color="auto" w:fill="auto"/>
            <w:noWrap/>
            <w:vAlign w:val="bottom"/>
            <w:hideMark/>
          </w:tcPr>
          <w:p w14:paraId="4C60C975"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381D72E2"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(0.065)</w:t>
            </w:r>
          </w:p>
        </w:tc>
      </w:tr>
      <w:tr w:rsidR="00B169A5" w:rsidRPr="0003281F" w14:paraId="45353FA2"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433A5C21"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LN_MVE</w:t>
            </w:r>
          </w:p>
        </w:tc>
        <w:tc>
          <w:tcPr>
            <w:tcW w:w="369" w:type="dxa"/>
            <w:tcBorders>
              <w:top w:val="nil"/>
              <w:left w:val="nil"/>
              <w:bottom w:val="nil"/>
              <w:right w:val="nil"/>
            </w:tcBorders>
            <w:shd w:val="clear" w:color="auto" w:fill="auto"/>
            <w:noWrap/>
            <w:vAlign w:val="bottom"/>
            <w:hideMark/>
          </w:tcPr>
          <w:p w14:paraId="30ED3F8C"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2287" w:type="dxa"/>
            <w:tcBorders>
              <w:top w:val="nil"/>
              <w:left w:val="nil"/>
              <w:bottom w:val="nil"/>
              <w:right w:val="nil"/>
            </w:tcBorders>
            <w:shd w:val="clear" w:color="auto" w:fill="auto"/>
            <w:noWrap/>
            <w:vAlign w:val="bottom"/>
            <w:hideMark/>
          </w:tcPr>
          <w:p w14:paraId="18ABA45F"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-0.049*</w:t>
            </w:r>
          </w:p>
        </w:tc>
        <w:tc>
          <w:tcPr>
            <w:tcW w:w="1930" w:type="dxa"/>
            <w:tcBorders>
              <w:top w:val="nil"/>
              <w:left w:val="nil"/>
              <w:bottom w:val="nil"/>
              <w:right w:val="nil"/>
            </w:tcBorders>
            <w:shd w:val="clear" w:color="auto" w:fill="auto"/>
            <w:noWrap/>
            <w:vAlign w:val="bottom"/>
            <w:hideMark/>
          </w:tcPr>
          <w:p w14:paraId="0BCD8112"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-0.025</w:t>
            </w:r>
          </w:p>
        </w:tc>
        <w:tc>
          <w:tcPr>
            <w:tcW w:w="370" w:type="dxa"/>
            <w:tcBorders>
              <w:top w:val="nil"/>
              <w:left w:val="nil"/>
              <w:bottom w:val="nil"/>
              <w:right w:val="nil"/>
            </w:tcBorders>
            <w:shd w:val="clear" w:color="auto" w:fill="auto"/>
            <w:noWrap/>
            <w:vAlign w:val="bottom"/>
            <w:hideMark/>
          </w:tcPr>
          <w:p w14:paraId="65DD37A0"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1375" w:type="dxa"/>
            <w:tcBorders>
              <w:top w:val="nil"/>
              <w:left w:val="nil"/>
              <w:bottom w:val="nil"/>
              <w:right w:val="nil"/>
            </w:tcBorders>
            <w:shd w:val="clear" w:color="auto" w:fill="auto"/>
            <w:noWrap/>
            <w:vAlign w:val="bottom"/>
            <w:hideMark/>
          </w:tcPr>
          <w:p w14:paraId="72ABD5C8"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-0.054**</w:t>
            </w:r>
          </w:p>
        </w:tc>
      </w:tr>
      <w:tr w:rsidR="00B169A5" w:rsidRPr="0003281F" w14:paraId="03B1C586"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26D70BEF" w14:textId="77777777" w:rsidR="00B169A5" w:rsidRPr="0003281F" w:rsidRDefault="00B169A5" w:rsidP="00B169A5">
            <w:pPr>
              <w:rPr>
                <w:rFonts w:eastAsia="Times New Roman"/>
                <w:color w:val="000000"/>
                <w:sz w:val="22"/>
                <w:szCs w:val="22"/>
              </w:rPr>
            </w:pPr>
          </w:p>
        </w:tc>
        <w:tc>
          <w:tcPr>
            <w:tcW w:w="369" w:type="dxa"/>
            <w:tcBorders>
              <w:top w:val="nil"/>
              <w:left w:val="nil"/>
              <w:bottom w:val="nil"/>
              <w:right w:val="nil"/>
            </w:tcBorders>
            <w:shd w:val="clear" w:color="auto" w:fill="auto"/>
            <w:noWrap/>
            <w:vAlign w:val="bottom"/>
            <w:hideMark/>
          </w:tcPr>
          <w:p w14:paraId="22F1A0C0"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2AB09FD2"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(0.066)</w:t>
            </w:r>
          </w:p>
        </w:tc>
        <w:tc>
          <w:tcPr>
            <w:tcW w:w="1930" w:type="dxa"/>
            <w:tcBorders>
              <w:top w:val="nil"/>
              <w:left w:val="nil"/>
              <w:bottom w:val="nil"/>
              <w:right w:val="nil"/>
            </w:tcBorders>
            <w:shd w:val="clear" w:color="auto" w:fill="auto"/>
            <w:noWrap/>
            <w:vAlign w:val="bottom"/>
            <w:hideMark/>
          </w:tcPr>
          <w:p w14:paraId="54F00C5C"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(0.616)</w:t>
            </w:r>
          </w:p>
        </w:tc>
        <w:tc>
          <w:tcPr>
            <w:tcW w:w="370" w:type="dxa"/>
            <w:tcBorders>
              <w:top w:val="nil"/>
              <w:left w:val="nil"/>
              <w:bottom w:val="nil"/>
              <w:right w:val="nil"/>
            </w:tcBorders>
            <w:shd w:val="clear" w:color="auto" w:fill="auto"/>
            <w:noWrap/>
            <w:vAlign w:val="bottom"/>
            <w:hideMark/>
          </w:tcPr>
          <w:p w14:paraId="181713CB"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485F1B94"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(0.044)</w:t>
            </w:r>
          </w:p>
        </w:tc>
      </w:tr>
      <w:tr w:rsidR="00B169A5" w:rsidRPr="0003281F" w14:paraId="4F505A65"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55F36777"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NUM_ANALYST</w:t>
            </w:r>
          </w:p>
        </w:tc>
        <w:tc>
          <w:tcPr>
            <w:tcW w:w="369" w:type="dxa"/>
            <w:tcBorders>
              <w:top w:val="nil"/>
              <w:left w:val="nil"/>
              <w:bottom w:val="nil"/>
              <w:right w:val="nil"/>
            </w:tcBorders>
            <w:shd w:val="clear" w:color="auto" w:fill="auto"/>
            <w:noWrap/>
            <w:vAlign w:val="bottom"/>
            <w:hideMark/>
          </w:tcPr>
          <w:p w14:paraId="75D52C80"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2287" w:type="dxa"/>
            <w:tcBorders>
              <w:top w:val="nil"/>
              <w:left w:val="nil"/>
              <w:bottom w:val="nil"/>
              <w:right w:val="nil"/>
            </w:tcBorders>
            <w:shd w:val="clear" w:color="auto" w:fill="auto"/>
            <w:noWrap/>
            <w:vAlign w:val="bottom"/>
            <w:hideMark/>
          </w:tcPr>
          <w:p w14:paraId="0E191666"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0.007</w:t>
            </w:r>
          </w:p>
        </w:tc>
        <w:tc>
          <w:tcPr>
            <w:tcW w:w="1930" w:type="dxa"/>
            <w:tcBorders>
              <w:top w:val="nil"/>
              <w:left w:val="nil"/>
              <w:bottom w:val="nil"/>
              <w:right w:val="nil"/>
            </w:tcBorders>
            <w:shd w:val="clear" w:color="auto" w:fill="auto"/>
            <w:noWrap/>
            <w:vAlign w:val="bottom"/>
            <w:hideMark/>
          </w:tcPr>
          <w:p w14:paraId="737D101B"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-0.043**</w:t>
            </w:r>
          </w:p>
        </w:tc>
        <w:tc>
          <w:tcPr>
            <w:tcW w:w="370" w:type="dxa"/>
            <w:tcBorders>
              <w:top w:val="nil"/>
              <w:left w:val="nil"/>
              <w:bottom w:val="nil"/>
              <w:right w:val="nil"/>
            </w:tcBorders>
            <w:shd w:val="clear" w:color="auto" w:fill="auto"/>
            <w:noWrap/>
            <w:vAlign w:val="bottom"/>
            <w:hideMark/>
          </w:tcPr>
          <w:p w14:paraId="1FDFDFD6"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1375" w:type="dxa"/>
            <w:tcBorders>
              <w:top w:val="nil"/>
              <w:left w:val="nil"/>
              <w:bottom w:val="nil"/>
              <w:right w:val="nil"/>
            </w:tcBorders>
            <w:shd w:val="clear" w:color="auto" w:fill="auto"/>
            <w:noWrap/>
            <w:vAlign w:val="bottom"/>
            <w:hideMark/>
          </w:tcPr>
          <w:p w14:paraId="6A9ACA50"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-0.005</w:t>
            </w:r>
          </w:p>
        </w:tc>
      </w:tr>
      <w:tr w:rsidR="00B169A5" w:rsidRPr="0003281F" w14:paraId="1FF5F1EE"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58A8ADC8" w14:textId="77777777" w:rsidR="00B169A5" w:rsidRPr="0003281F" w:rsidRDefault="00B169A5" w:rsidP="00B169A5">
            <w:pPr>
              <w:rPr>
                <w:rFonts w:eastAsia="Times New Roman"/>
                <w:color w:val="000000"/>
                <w:sz w:val="22"/>
                <w:szCs w:val="22"/>
              </w:rPr>
            </w:pPr>
          </w:p>
        </w:tc>
        <w:tc>
          <w:tcPr>
            <w:tcW w:w="369" w:type="dxa"/>
            <w:tcBorders>
              <w:top w:val="nil"/>
              <w:left w:val="nil"/>
              <w:bottom w:val="nil"/>
              <w:right w:val="nil"/>
            </w:tcBorders>
            <w:shd w:val="clear" w:color="auto" w:fill="auto"/>
            <w:noWrap/>
            <w:vAlign w:val="bottom"/>
            <w:hideMark/>
          </w:tcPr>
          <w:p w14:paraId="5A1FAA5F"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0BD7DAC1"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(0.910)</w:t>
            </w:r>
          </w:p>
        </w:tc>
        <w:tc>
          <w:tcPr>
            <w:tcW w:w="1930" w:type="dxa"/>
            <w:tcBorders>
              <w:top w:val="nil"/>
              <w:left w:val="nil"/>
              <w:bottom w:val="nil"/>
              <w:right w:val="nil"/>
            </w:tcBorders>
            <w:shd w:val="clear" w:color="auto" w:fill="auto"/>
            <w:noWrap/>
            <w:vAlign w:val="bottom"/>
            <w:hideMark/>
          </w:tcPr>
          <w:p w14:paraId="72EFC23A"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(0.045)</w:t>
            </w:r>
          </w:p>
        </w:tc>
        <w:tc>
          <w:tcPr>
            <w:tcW w:w="370" w:type="dxa"/>
            <w:tcBorders>
              <w:top w:val="nil"/>
              <w:left w:val="nil"/>
              <w:bottom w:val="nil"/>
              <w:right w:val="nil"/>
            </w:tcBorders>
            <w:shd w:val="clear" w:color="auto" w:fill="auto"/>
            <w:noWrap/>
            <w:vAlign w:val="bottom"/>
            <w:hideMark/>
          </w:tcPr>
          <w:p w14:paraId="72FB1A09"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2622CBEC"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(0.424)</w:t>
            </w:r>
          </w:p>
        </w:tc>
      </w:tr>
      <w:tr w:rsidR="00B169A5" w:rsidRPr="0003281F" w14:paraId="75322D11"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394EFF18" w14:textId="77777777" w:rsidR="00B169A5" w:rsidRPr="0003281F" w:rsidRDefault="00B169A5" w:rsidP="00B169A5">
            <w:pPr>
              <w:rPr>
                <w:rFonts w:eastAsia="Times New Roman"/>
                <w:b/>
                <w:bCs/>
                <w:color w:val="000000"/>
                <w:sz w:val="22"/>
                <w:szCs w:val="22"/>
              </w:rPr>
            </w:pPr>
            <w:r w:rsidRPr="0003281F">
              <w:rPr>
                <w:rFonts w:eastAsia="Times New Roman"/>
                <w:b/>
                <w:bCs/>
                <w:color w:val="000000"/>
                <w:sz w:val="22"/>
                <w:szCs w:val="22"/>
              </w:rPr>
              <w:t>POST x NUM_ANALYST</w:t>
            </w:r>
          </w:p>
        </w:tc>
        <w:tc>
          <w:tcPr>
            <w:tcW w:w="369" w:type="dxa"/>
            <w:tcBorders>
              <w:top w:val="nil"/>
              <w:left w:val="nil"/>
              <w:bottom w:val="nil"/>
              <w:right w:val="nil"/>
            </w:tcBorders>
            <w:shd w:val="clear" w:color="auto" w:fill="auto"/>
            <w:noWrap/>
            <w:vAlign w:val="bottom"/>
            <w:hideMark/>
          </w:tcPr>
          <w:p w14:paraId="269D0813" w14:textId="77777777" w:rsidR="00B169A5" w:rsidRPr="0003281F" w:rsidRDefault="00B169A5" w:rsidP="00B169A5">
            <w:pPr>
              <w:jc w:val="center"/>
              <w:rPr>
                <w:rFonts w:eastAsia="Times New Roman"/>
                <w:b/>
                <w:bCs/>
                <w:color w:val="000000"/>
                <w:sz w:val="22"/>
                <w:szCs w:val="22"/>
              </w:rPr>
            </w:pPr>
          </w:p>
        </w:tc>
        <w:tc>
          <w:tcPr>
            <w:tcW w:w="2287" w:type="dxa"/>
            <w:tcBorders>
              <w:top w:val="nil"/>
              <w:left w:val="nil"/>
              <w:bottom w:val="nil"/>
              <w:right w:val="nil"/>
            </w:tcBorders>
            <w:shd w:val="clear" w:color="auto" w:fill="auto"/>
            <w:noWrap/>
            <w:vAlign w:val="bottom"/>
            <w:hideMark/>
          </w:tcPr>
          <w:p w14:paraId="714B77E6" w14:textId="77777777" w:rsidR="00B169A5" w:rsidRPr="0003281F" w:rsidRDefault="00B169A5" w:rsidP="00B169A5">
            <w:pPr>
              <w:jc w:val="center"/>
              <w:rPr>
                <w:rFonts w:eastAsia="Times New Roman"/>
                <w:b/>
                <w:bCs/>
                <w:color w:val="000000"/>
                <w:sz w:val="22"/>
                <w:szCs w:val="22"/>
              </w:rPr>
            </w:pPr>
          </w:p>
        </w:tc>
        <w:tc>
          <w:tcPr>
            <w:tcW w:w="1930" w:type="dxa"/>
            <w:tcBorders>
              <w:top w:val="nil"/>
              <w:left w:val="nil"/>
              <w:bottom w:val="nil"/>
              <w:right w:val="nil"/>
            </w:tcBorders>
            <w:shd w:val="clear" w:color="auto" w:fill="auto"/>
            <w:noWrap/>
            <w:vAlign w:val="bottom"/>
            <w:hideMark/>
          </w:tcPr>
          <w:p w14:paraId="774398D4" w14:textId="77777777" w:rsidR="00B169A5" w:rsidRPr="0003281F" w:rsidRDefault="00B169A5" w:rsidP="00B169A5">
            <w:pPr>
              <w:jc w:val="center"/>
              <w:rPr>
                <w:rFonts w:eastAsia="Times New Roman"/>
                <w:b/>
                <w:bCs/>
                <w:color w:val="000000"/>
                <w:sz w:val="22"/>
                <w:szCs w:val="22"/>
              </w:rPr>
            </w:pPr>
          </w:p>
        </w:tc>
        <w:tc>
          <w:tcPr>
            <w:tcW w:w="370" w:type="dxa"/>
            <w:tcBorders>
              <w:top w:val="nil"/>
              <w:left w:val="nil"/>
              <w:bottom w:val="nil"/>
              <w:right w:val="nil"/>
            </w:tcBorders>
            <w:shd w:val="clear" w:color="auto" w:fill="auto"/>
            <w:noWrap/>
            <w:vAlign w:val="bottom"/>
            <w:hideMark/>
          </w:tcPr>
          <w:p w14:paraId="774AFAF8" w14:textId="77777777" w:rsidR="00B169A5" w:rsidRPr="0003281F" w:rsidRDefault="00B169A5" w:rsidP="00B169A5">
            <w:pPr>
              <w:jc w:val="center"/>
              <w:rPr>
                <w:rFonts w:eastAsia="Times New Roman"/>
                <w:b/>
                <w:bCs/>
                <w:color w:val="000000"/>
                <w:sz w:val="22"/>
                <w:szCs w:val="22"/>
              </w:rPr>
            </w:pPr>
            <w:r w:rsidRPr="0003281F">
              <w:rPr>
                <w:rFonts w:eastAsia="Times New Roman"/>
                <w:b/>
                <w:bCs/>
                <w:color w:val="000000"/>
                <w:sz w:val="22"/>
                <w:szCs w:val="22"/>
              </w:rPr>
              <w:t>+</w:t>
            </w:r>
          </w:p>
        </w:tc>
        <w:tc>
          <w:tcPr>
            <w:tcW w:w="1375" w:type="dxa"/>
            <w:tcBorders>
              <w:top w:val="nil"/>
              <w:left w:val="nil"/>
              <w:bottom w:val="nil"/>
              <w:right w:val="nil"/>
            </w:tcBorders>
            <w:shd w:val="clear" w:color="auto" w:fill="auto"/>
            <w:noWrap/>
            <w:vAlign w:val="bottom"/>
            <w:hideMark/>
          </w:tcPr>
          <w:p w14:paraId="128AE2F9" w14:textId="77777777" w:rsidR="00B169A5" w:rsidRPr="0003281F" w:rsidRDefault="00B169A5" w:rsidP="00B169A5">
            <w:pPr>
              <w:jc w:val="center"/>
              <w:rPr>
                <w:rFonts w:eastAsia="Times New Roman"/>
                <w:b/>
                <w:bCs/>
                <w:color w:val="000000"/>
                <w:sz w:val="22"/>
                <w:szCs w:val="22"/>
              </w:rPr>
            </w:pPr>
            <w:r w:rsidRPr="0003281F">
              <w:rPr>
                <w:rFonts w:eastAsia="Times New Roman"/>
                <w:b/>
                <w:bCs/>
                <w:color w:val="000000"/>
                <w:sz w:val="22"/>
                <w:szCs w:val="22"/>
              </w:rPr>
              <w:t>0.011*</w:t>
            </w:r>
          </w:p>
        </w:tc>
      </w:tr>
      <w:tr w:rsidR="00B169A5" w:rsidRPr="0003281F" w14:paraId="6727D57A"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20F7D160" w14:textId="77777777" w:rsidR="00B169A5" w:rsidRPr="0003281F" w:rsidRDefault="00B169A5" w:rsidP="00B169A5">
            <w:pPr>
              <w:rPr>
                <w:rFonts w:eastAsia="Times New Roman"/>
                <w:b/>
                <w:bCs/>
                <w:color w:val="000000"/>
                <w:sz w:val="22"/>
                <w:szCs w:val="22"/>
              </w:rPr>
            </w:pPr>
          </w:p>
        </w:tc>
        <w:tc>
          <w:tcPr>
            <w:tcW w:w="369" w:type="dxa"/>
            <w:tcBorders>
              <w:top w:val="nil"/>
              <w:left w:val="nil"/>
              <w:bottom w:val="nil"/>
              <w:right w:val="nil"/>
            </w:tcBorders>
            <w:shd w:val="clear" w:color="auto" w:fill="auto"/>
            <w:noWrap/>
            <w:vAlign w:val="bottom"/>
            <w:hideMark/>
          </w:tcPr>
          <w:p w14:paraId="5E280E70" w14:textId="77777777" w:rsidR="00B169A5" w:rsidRPr="0003281F" w:rsidRDefault="00B169A5" w:rsidP="00B169A5">
            <w:pPr>
              <w:jc w:val="center"/>
              <w:rPr>
                <w:rFonts w:eastAsia="Times New Roman"/>
                <w:b/>
                <w:bCs/>
                <w:color w:val="000000"/>
                <w:sz w:val="22"/>
                <w:szCs w:val="22"/>
              </w:rPr>
            </w:pPr>
          </w:p>
        </w:tc>
        <w:tc>
          <w:tcPr>
            <w:tcW w:w="2287" w:type="dxa"/>
            <w:tcBorders>
              <w:top w:val="nil"/>
              <w:left w:val="nil"/>
              <w:bottom w:val="nil"/>
              <w:right w:val="nil"/>
            </w:tcBorders>
            <w:shd w:val="clear" w:color="auto" w:fill="auto"/>
            <w:noWrap/>
            <w:vAlign w:val="bottom"/>
            <w:hideMark/>
          </w:tcPr>
          <w:p w14:paraId="41BED23A" w14:textId="77777777" w:rsidR="00B169A5" w:rsidRPr="0003281F" w:rsidRDefault="00B169A5" w:rsidP="00B169A5">
            <w:pPr>
              <w:jc w:val="center"/>
              <w:rPr>
                <w:rFonts w:eastAsia="Times New Roman"/>
                <w:b/>
                <w:bCs/>
                <w:color w:val="000000"/>
                <w:sz w:val="22"/>
                <w:szCs w:val="22"/>
              </w:rPr>
            </w:pPr>
          </w:p>
        </w:tc>
        <w:tc>
          <w:tcPr>
            <w:tcW w:w="1930" w:type="dxa"/>
            <w:tcBorders>
              <w:top w:val="nil"/>
              <w:left w:val="nil"/>
              <w:bottom w:val="nil"/>
              <w:right w:val="nil"/>
            </w:tcBorders>
            <w:shd w:val="clear" w:color="auto" w:fill="auto"/>
            <w:noWrap/>
            <w:vAlign w:val="bottom"/>
            <w:hideMark/>
          </w:tcPr>
          <w:p w14:paraId="5093D85B" w14:textId="77777777" w:rsidR="00B169A5" w:rsidRPr="0003281F" w:rsidRDefault="00B169A5" w:rsidP="00B169A5">
            <w:pPr>
              <w:jc w:val="center"/>
              <w:rPr>
                <w:rFonts w:eastAsia="Times New Roman"/>
                <w:b/>
                <w:bCs/>
                <w:color w:val="000000"/>
                <w:sz w:val="22"/>
                <w:szCs w:val="22"/>
              </w:rPr>
            </w:pPr>
          </w:p>
        </w:tc>
        <w:tc>
          <w:tcPr>
            <w:tcW w:w="370" w:type="dxa"/>
            <w:tcBorders>
              <w:top w:val="nil"/>
              <w:left w:val="nil"/>
              <w:bottom w:val="nil"/>
              <w:right w:val="nil"/>
            </w:tcBorders>
            <w:shd w:val="clear" w:color="auto" w:fill="auto"/>
            <w:noWrap/>
            <w:vAlign w:val="bottom"/>
            <w:hideMark/>
          </w:tcPr>
          <w:p w14:paraId="52DFFA5E" w14:textId="77777777" w:rsidR="00B169A5" w:rsidRPr="0003281F" w:rsidRDefault="00B169A5" w:rsidP="00B169A5">
            <w:pPr>
              <w:jc w:val="center"/>
              <w:rPr>
                <w:rFonts w:eastAsia="Times New Roman"/>
                <w:b/>
                <w:bCs/>
                <w:color w:val="000000"/>
                <w:sz w:val="22"/>
                <w:szCs w:val="22"/>
              </w:rPr>
            </w:pPr>
          </w:p>
        </w:tc>
        <w:tc>
          <w:tcPr>
            <w:tcW w:w="1375" w:type="dxa"/>
            <w:tcBorders>
              <w:top w:val="nil"/>
              <w:left w:val="nil"/>
              <w:bottom w:val="nil"/>
              <w:right w:val="nil"/>
            </w:tcBorders>
            <w:shd w:val="clear" w:color="auto" w:fill="auto"/>
            <w:noWrap/>
            <w:vAlign w:val="bottom"/>
            <w:hideMark/>
          </w:tcPr>
          <w:p w14:paraId="7594C3C8" w14:textId="77777777" w:rsidR="00B169A5" w:rsidRPr="0003281F" w:rsidRDefault="00B169A5" w:rsidP="00B169A5">
            <w:pPr>
              <w:jc w:val="center"/>
              <w:rPr>
                <w:rFonts w:eastAsia="Times New Roman"/>
                <w:b/>
                <w:bCs/>
                <w:color w:val="000000"/>
                <w:sz w:val="22"/>
                <w:szCs w:val="22"/>
              </w:rPr>
            </w:pPr>
            <w:r w:rsidRPr="0003281F">
              <w:rPr>
                <w:rFonts w:eastAsia="Times New Roman"/>
                <w:b/>
                <w:bCs/>
                <w:color w:val="000000"/>
                <w:sz w:val="22"/>
                <w:szCs w:val="22"/>
              </w:rPr>
              <w:t>(0.063)</w:t>
            </w:r>
          </w:p>
        </w:tc>
      </w:tr>
      <w:tr w:rsidR="00B169A5" w:rsidRPr="0003281F" w14:paraId="445BF6BC"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7E35930A"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LAG</w:t>
            </w:r>
          </w:p>
        </w:tc>
        <w:tc>
          <w:tcPr>
            <w:tcW w:w="369" w:type="dxa"/>
            <w:tcBorders>
              <w:top w:val="nil"/>
              <w:left w:val="nil"/>
              <w:bottom w:val="nil"/>
              <w:right w:val="nil"/>
            </w:tcBorders>
            <w:shd w:val="clear" w:color="auto" w:fill="auto"/>
            <w:noWrap/>
            <w:vAlign w:val="bottom"/>
            <w:hideMark/>
          </w:tcPr>
          <w:p w14:paraId="6856F226"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2287" w:type="dxa"/>
            <w:tcBorders>
              <w:top w:val="nil"/>
              <w:left w:val="nil"/>
              <w:bottom w:val="nil"/>
              <w:right w:val="nil"/>
            </w:tcBorders>
            <w:shd w:val="clear" w:color="auto" w:fill="auto"/>
            <w:noWrap/>
            <w:vAlign w:val="bottom"/>
            <w:hideMark/>
          </w:tcPr>
          <w:p w14:paraId="6A947E09"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0.001*</w:t>
            </w:r>
          </w:p>
        </w:tc>
        <w:tc>
          <w:tcPr>
            <w:tcW w:w="1930" w:type="dxa"/>
            <w:tcBorders>
              <w:top w:val="nil"/>
              <w:left w:val="nil"/>
              <w:bottom w:val="nil"/>
              <w:right w:val="nil"/>
            </w:tcBorders>
            <w:shd w:val="clear" w:color="auto" w:fill="auto"/>
            <w:noWrap/>
            <w:vAlign w:val="bottom"/>
            <w:hideMark/>
          </w:tcPr>
          <w:p w14:paraId="5DB3FE21"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0.002</w:t>
            </w:r>
          </w:p>
        </w:tc>
        <w:tc>
          <w:tcPr>
            <w:tcW w:w="370" w:type="dxa"/>
            <w:tcBorders>
              <w:top w:val="nil"/>
              <w:left w:val="nil"/>
              <w:bottom w:val="nil"/>
              <w:right w:val="nil"/>
            </w:tcBorders>
            <w:shd w:val="clear" w:color="auto" w:fill="auto"/>
            <w:noWrap/>
            <w:vAlign w:val="bottom"/>
            <w:hideMark/>
          </w:tcPr>
          <w:p w14:paraId="5D29102D"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1375" w:type="dxa"/>
            <w:tcBorders>
              <w:top w:val="nil"/>
              <w:left w:val="nil"/>
              <w:bottom w:val="nil"/>
              <w:right w:val="nil"/>
            </w:tcBorders>
            <w:shd w:val="clear" w:color="auto" w:fill="auto"/>
            <w:noWrap/>
            <w:vAlign w:val="bottom"/>
            <w:hideMark/>
          </w:tcPr>
          <w:p w14:paraId="0B5E8689"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0.002</w:t>
            </w:r>
          </w:p>
        </w:tc>
      </w:tr>
      <w:tr w:rsidR="00B169A5" w:rsidRPr="0003281F" w14:paraId="3E40C0A0"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17155048" w14:textId="77777777" w:rsidR="00B169A5" w:rsidRPr="0003281F" w:rsidRDefault="00B169A5" w:rsidP="00B169A5">
            <w:pPr>
              <w:rPr>
                <w:rFonts w:eastAsia="Times New Roman"/>
                <w:color w:val="000000"/>
                <w:sz w:val="22"/>
                <w:szCs w:val="22"/>
              </w:rPr>
            </w:pPr>
          </w:p>
        </w:tc>
        <w:tc>
          <w:tcPr>
            <w:tcW w:w="369" w:type="dxa"/>
            <w:tcBorders>
              <w:top w:val="nil"/>
              <w:left w:val="nil"/>
              <w:bottom w:val="nil"/>
              <w:right w:val="nil"/>
            </w:tcBorders>
            <w:shd w:val="clear" w:color="auto" w:fill="auto"/>
            <w:noWrap/>
            <w:vAlign w:val="bottom"/>
            <w:hideMark/>
          </w:tcPr>
          <w:p w14:paraId="27B5A6A9"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7EC76653"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(0.089)</w:t>
            </w:r>
          </w:p>
        </w:tc>
        <w:tc>
          <w:tcPr>
            <w:tcW w:w="1930" w:type="dxa"/>
            <w:tcBorders>
              <w:top w:val="nil"/>
              <w:left w:val="nil"/>
              <w:bottom w:val="nil"/>
              <w:right w:val="nil"/>
            </w:tcBorders>
            <w:shd w:val="clear" w:color="auto" w:fill="auto"/>
            <w:noWrap/>
            <w:vAlign w:val="bottom"/>
            <w:hideMark/>
          </w:tcPr>
          <w:p w14:paraId="42AD828D"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(0.321)</w:t>
            </w:r>
          </w:p>
        </w:tc>
        <w:tc>
          <w:tcPr>
            <w:tcW w:w="370" w:type="dxa"/>
            <w:tcBorders>
              <w:top w:val="nil"/>
              <w:left w:val="nil"/>
              <w:bottom w:val="nil"/>
              <w:right w:val="nil"/>
            </w:tcBorders>
            <w:shd w:val="clear" w:color="auto" w:fill="auto"/>
            <w:noWrap/>
            <w:vAlign w:val="bottom"/>
            <w:hideMark/>
          </w:tcPr>
          <w:p w14:paraId="15763391"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72A4FB11"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(0.300)</w:t>
            </w:r>
          </w:p>
        </w:tc>
      </w:tr>
      <w:tr w:rsidR="00B169A5" w:rsidRPr="0003281F" w14:paraId="067D57EB"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552A80EE"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DISP</w:t>
            </w:r>
          </w:p>
        </w:tc>
        <w:tc>
          <w:tcPr>
            <w:tcW w:w="369" w:type="dxa"/>
            <w:tcBorders>
              <w:top w:val="nil"/>
              <w:left w:val="nil"/>
              <w:bottom w:val="nil"/>
              <w:right w:val="nil"/>
            </w:tcBorders>
            <w:shd w:val="clear" w:color="auto" w:fill="auto"/>
            <w:noWrap/>
            <w:vAlign w:val="bottom"/>
            <w:hideMark/>
          </w:tcPr>
          <w:p w14:paraId="5AA11D40"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2287" w:type="dxa"/>
            <w:tcBorders>
              <w:top w:val="nil"/>
              <w:left w:val="nil"/>
              <w:bottom w:val="nil"/>
              <w:right w:val="nil"/>
            </w:tcBorders>
            <w:shd w:val="clear" w:color="auto" w:fill="auto"/>
            <w:noWrap/>
            <w:vAlign w:val="bottom"/>
            <w:hideMark/>
          </w:tcPr>
          <w:p w14:paraId="71EC0494"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-7.863**</w:t>
            </w:r>
          </w:p>
        </w:tc>
        <w:tc>
          <w:tcPr>
            <w:tcW w:w="1930" w:type="dxa"/>
            <w:tcBorders>
              <w:top w:val="nil"/>
              <w:left w:val="nil"/>
              <w:bottom w:val="nil"/>
              <w:right w:val="nil"/>
            </w:tcBorders>
            <w:shd w:val="clear" w:color="auto" w:fill="auto"/>
            <w:noWrap/>
            <w:vAlign w:val="bottom"/>
            <w:hideMark/>
          </w:tcPr>
          <w:p w14:paraId="067883ED"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0.738</w:t>
            </w:r>
          </w:p>
        </w:tc>
        <w:tc>
          <w:tcPr>
            <w:tcW w:w="370" w:type="dxa"/>
            <w:tcBorders>
              <w:top w:val="nil"/>
              <w:left w:val="nil"/>
              <w:bottom w:val="nil"/>
              <w:right w:val="nil"/>
            </w:tcBorders>
            <w:shd w:val="clear" w:color="auto" w:fill="auto"/>
            <w:noWrap/>
            <w:vAlign w:val="bottom"/>
            <w:hideMark/>
          </w:tcPr>
          <w:p w14:paraId="5869CCC6"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1375" w:type="dxa"/>
            <w:tcBorders>
              <w:top w:val="nil"/>
              <w:left w:val="nil"/>
              <w:bottom w:val="nil"/>
              <w:right w:val="nil"/>
            </w:tcBorders>
            <w:shd w:val="clear" w:color="auto" w:fill="auto"/>
            <w:noWrap/>
            <w:vAlign w:val="bottom"/>
            <w:hideMark/>
          </w:tcPr>
          <w:p w14:paraId="6DE1B22D"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-2.910</w:t>
            </w:r>
          </w:p>
        </w:tc>
      </w:tr>
      <w:tr w:rsidR="00B169A5" w:rsidRPr="0003281F" w14:paraId="547A0F32"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11A297AF" w14:textId="77777777" w:rsidR="00B169A5" w:rsidRPr="0003281F" w:rsidRDefault="00B169A5" w:rsidP="00B169A5">
            <w:pPr>
              <w:rPr>
                <w:rFonts w:eastAsia="Times New Roman"/>
                <w:color w:val="000000"/>
                <w:sz w:val="22"/>
                <w:szCs w:val="22"/>
              </w:rPr>
            </w:pPr>
          </w:p>
        </w:tc>
        <w:tc>
          <w:tcPr>
            <w:tcW w:w="369" w:type="dxa"/>
            <w:tcBorders>
              <w:top w:val="nil"/>
              <w:left w:val="nil"/>
              <w:bottom w:val="nil"/>
              <w:right w:val="nil"/>
            </w:tcBorders>
            <w:shd w:val="clear" w:color="auto" w:fill="auto"/>
            <w:noWrap/>
            <w:vAlign w:val="bottom"/>
            <w:hideMark/>
          </w:tcPr>
          <w:p w14:paraId="25A1C8BA"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4A9E4B3B"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(0.033)</w:t>
            </w:r>
          </w:p>
        </w:tc>
        <w:tc>
          <w:tcPr>
            <w:tcW w:w="1930" w:type="dxa"/>
            <w:tcBorders>
              <w:top w:val="nil"/>
              <w:left w:val="nil"/>
              <w:bottom w:val="nil"/>
              <w:right w:val="nil"/>
            </w:tcBorders>
            <w:shd w:val="clear" w:color="auto" w:fill="auto"/>
            <w:noWrap/>
            <w:vAlign w:val="bottom"/>
            <w:hideMark/>
          </w:tcPr>
          <w:p w14:paraId="35B8F119"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(0.868)</w:t>
            </w:r>
          </w:p>
        </w:tc>
        <w:tc>
          <w:tcPr>
            <w:tcW w:w="370" w:type="dxa"/>
            <w:tcBorders>
              <w:top w:val="nil"/>
              <w:left w:val="nil"/>
              <w:bottom w:val="nil"/>
              <w:right w:val="nil"/>
            </w:tcBorders>
            <w:shd w:val="clear" w:color="auto" w:fill="auto"/>
            <w:noWrap/>
            <w:vAlign w:val="bottom"/>
            <w:hideMark/>
          </w:tcPr>
          <w:p w14:paraId="13061DAF"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6CAD6EA1"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(0.413)</w:t>
            </w:r>
          </w:p>
        </w:tc>
      </w:tr>
      <w:tr w:rsidR="00B169A5" w:rsidRPr="0003281F" w14:paraId="52DC5511"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69A5E2FA"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LOSS</w:t>
            </w:r>
          </w:p>
        </w:tc>
        <w:tc>
          <w:tcPr>
            <w:tcW w:w="369" w:type="dxa"/>
            <w:tcBorders>
              <w:top w:val="nil"/>
              <w:left w:val="nil"/>
              <w:bottom w:val="nil"/>
              <w:right w:val="nil"/>
            </w:tcBorders>
            <w:shd w:val="clear" w:color="auto" w:fill="auto"/>
            <w:noWrap/>
            <w:vAlign w:val="bottom"/>
            <w:hideMark/>
          </w:tcPr>
          <w:p w14:paraId="1C018DA7"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2287" w:type="dxa"/>
            <w:tcBorders>
              <w:top w:val="nil"/>
              <w:left w:val="nil"/>
              <w:bottom w:val="nil"/>
              <w:right w:val="nil"/>
            </w:tcBorders>
            <w:shd w:val="clear" w:color="auto" w:fill="auto"/>
            <w:noWrap/>
            <w:vAlign w:val="bottom"/>
            <w:hideMark/>
          </w:tcPr>
          <w:p w14:paraId="02A40AAD"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0.154*</w:t>
            </w:r>
          </w:p>
        </w:tc>
        <w:tc>
          <w:tcPr>
            <w:tcW w:w="1930" w:type="dxa"/>
            <w:tcBorders>
              <w:top w:val="nil"/>
              <w:left w:val="nil"/>
              <w:bottom w:val="nil"/>
              <w:right w:val="nil"/>
            </w:tcBorders>
            <w:shd w:val="clear" w:color="auto" w:fill="auto"/>
            <w:noWrap/>
            <w:vAlign w:val="bottom"/>
            <w:hideMark/>
          </w:tcPr>
          <w:p w14:paraId="6A3A3B81"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0.039</w:t>
            </w:r>
          </w:p>
        </w:tc>
        <w:tc>
          <w:tcPr>
            <w:tcW w:w="370" w:type="dxa"/>
            <w:tcBorders>
              <w:top w:val="nil"/>
              <w:left w:val="nil"/>
              <w:bottom w:val="nil"/>
              <w:right w:val="nil"/>
            </w:tcBorders>
            <w:shd w:val="clear" w:color="auto" w:fill="auto"/>
            <w:noWrap/>
            <w:vAlign w:val="bottom"/>
            <w:hideMark/>
          </w:tcPr>
          <w:p w14:paraId="5709A798"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1375" w:type="dxa"/>
            <w:tcBorders>
              <w:top w:val="nil"/>
              <w:left w:val="nil"/>
              <w:bottom w:val="nil"/>
              <w:right w:val="nil"/>
            </w:tcBorders>
            <w:shd w:val="clear" w:color="auto" w:fill="auto"/>
            <w:noWrap/>
            <w:vAlign w:val="bottom"/>
            <w:hideMark/>
          </w:tcPr>
          <w:p w14:paraId="286F59FF"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0.069</w:t>
            </w:r>
          </w:p>
        </w:tc>
      </w:tr>
      <w:tr w:rsidR="00B169A5" w:rsidRPr="0003281F" w14:paraId="39EC3868"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69B84750" w14:textId="77777777" w:rsidR="00B169A5" w:rsidRPr="0003281F" w:rsidRDefault="00B169A5" w:rsidP="00B169A5">
            <w:pPr>
              <w:rPr>
                <w:rFonts w:eastAsia="Times New Roman"/>
                <w:color w:val="000000"/>
                <w:sz w:val="22"/>
                <w:szCs w:val="22"/>
              </w:rPr>
            </w:pPr>
          </w:p>
        </w:tc>
        <w:tc>
          <w:tcPr>
            <w:tcW w:w="369" w:type="dxa"/>
            <w:tcBorders>
              <w:top w:val="nil"/>
              <w:left w:val="nil"/>
              <w:bottom w:val="nil"/>
              <w:right w:val="nil"/>
            </w:tcBorders>
            <w:shd w:val="clear" w:color="auto" w:fill="auto"/>
            <w:noWrap/>
            <w:vAlign w:val="bottom"/>
            <w:hideMark/>
          </w:tcPr>
          <w:p w14:paraId="5D94B59B"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2D07EA94"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(0.083)</w:t>
            </w:r>
          </w:p>
        </w:tc>
        <w:tc>
          <w:tcPr>
            <w:tcW w:w="1930" w:type="dxa"/>
            <w:tcBorders>
              <w:top w:val="nil"/>
              <w:left w:val="nil"/>
              <w:bottom w:val="nil"/>
              <w:right w:val="nil"/>
            </w:tcBorders>
            <w:shd w:val="clear" w:color="auto" w:fill="auto"/>
            <w:noWrap/>
            <w:vAlign w:val="bottom"/>
            <w:hideMark/>
          </w:tcPr>
          <w:p w14:paraId="23BEFF7E"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(0.423)</w:t>
            </w:r>
          </w:p>
        </w:tc>
        <w:tc>
          <w:tcPr>
            <w:tcW w:w="370" w:type="dxa"/>
            <w:tcBorders>
              <w:top w:val="nil"/>
              <w:left w:val="nil"/>
              <w:bottom w:val="nil"/>
              <w:right w:val="nil"/>
            </w:tcBorders>
            <w:shd w:val="clear" w:color="auto" w:fill="auto"/>
            <w:noWrap/>
            <w:vAlign w:val="bottom"/>
            <w:hideMark/>
          </w:tcPr>
          <w:p w14:paraId="715C4270"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7B6DAF55"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(0.302)</w:t>
            </w:r>
          </w:p>
        </w:tc>
      </w:tr>
      <w:tr w:rsidR="00B169A5" w:rsidRPr="0003281F" w14:paraId="424486BB"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363CB03E"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UE</w:t>
            </w:r>
          </w:p>
        </w:tc>
        <w:tc>
          <w:tcPr>
            <w:tcW w:w="369" w:type="dxa"/>
            <w:tcBorders>
              <w:top w:val="nil"/>
              <w:left w:val="nil"/>
              <w:bottom w:val="nil"/>
              <w:right w:val="nil"/>
            </w:tcBorders>
            <w:shd w:val="clear" w:color="auto" w:fill="auto"/>
            <w:noWrap/>
            <w:vAlign w:val="bottom"/>
            <w:hideMark/>
          </w:tcPr>
          <w:p w14:paraId="514218C8"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2287" w:type="dxa"/>
            <w:tcBorders>
              <w:top w:val="nil"/>
              <w:left w:val="nil"/>
              <w:bottom w:val="nil"/>
              <w:right w:val="nil"/>
            </w:tcBorders>
            <w:shd w:val="clear" w:color="auto" w:fill="auto"/>
            <w:noWrap/>
            <w:vAlign w:val="bottom"/>
            <w:hideMark/>
          </w:tcPr>
          <w:p w14:paraId="6FBD9DD3"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-2.276</w:t>
            </w:r>
          </w:p>
        </w:tc>
        <w:tc>
          <w:tcPr>
            <w:tcW w:w="1930" w:type="dxa"/>
            <w:tcBorders>
              <w:top w:val="nil"/>
              <w:left w:val="nil"/>
              <w:bottom w:val="nil"/>
              <w:right w:val="nil"/>
            </w:tcBorders>
            <w:shd w:val="clear" w:color="auto" w:fill="auto"/>
            <w:noWrap/>
            <w:vAlign w:val="bottom"/>
            <w:hideMark/>
          </w:tcPr>
          <w:p w14:paraId="585C9A71"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1.653</w:t>
            </w:r>
          </w:p>
        </w:tc>
        <w:tc>
          <w:tcPr>
            <w:tcW w:w="370" w:type="dxa"/>
            <w:tcBorders>
              <w:top w:val="nil"/>
              <w:left w:val="nil"/>
              <w:bottom w:val="nil"/>
              <w:right w:val="nil"/>
            </w:tcBorders>
            <w:shd w:val="clear" w:color="auto" w:fill="auto"/>
            <w:noWrap/>
            <w:vAlign w:val="bottom"/>
            <w:hideMark/>
          </w:tcPr>
          <w:p w14:paraId="739DC560"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1375" w:type="dxa"/>
            <w:tcBorders>
              <w:top w:val="nil"/>
              <w:left w:val="nil"/>
              <w:bottom w:val="nil"/>
              <w:right w:val="nil"/>
            </w:tcBorders>
            <w:shd w:val="clear" w:color="auto" w:fill="auto"/>
            <w:noWrap/>
            <w:vAlign w:val="bottom"/>
            <w:hideMark/>
          </w:tcPr>
          <w:p w14:paraId="06A9FC66"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0.346</w:t>
            </w:r>
          </w:p>
        </w:tc>
      </w:tr>
      <w:tr w:rsidR="00B169A5" w:rsidRPr="0003281F" w14:paraId="72392268"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59F19E2E" w14:textId="77777777" w:rsidR="00B169A5" w:rsidRPr="0003281F" w:rsidRDefault="00B169A5" w:rsidP="00B169A5">
            <w:pPr>
              <w:rPr>
                <w:rFonts w:eastAsia="Times New Roman"/>
                <w:color w:val="000000"/>
                <w:sz w:val="22"/>
                <w:szCs w:val="22"/>
              </w:rPr>
            </w:pPr>
          </w:p>
        </w:tc>
        <w:tc>
          <w:tcPr>
            <w:tcW w:w="369" w:type="dxa"/>
            <w:tcBorders>
              <w:top w:val="nil"/>
              <w:left w:val="nil"/>
              <w:bottom w:val="nil"/>
              <w:right w:val="nil"/>
            </w:tcBorders>
            <w:shd w:val="clear" w:color="auto" w:fill="auto"/>
            <w:noWrap/>
            <w:vAlign w:val="bottom"/>
            <w:hideMark/>
          </w:tcPr>
          <w:p w14:paraId="254E3A48"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451EA164"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(0.452)</w:t>
            </w:r>
          </w:p>
        </w:tc>
        <w:tc>
          <w:tcPr>
            <w:tcW w:w="1930" w:type="dxa"/>
            <w:tcBorders>
              <w:top w:val="nil"/>
              <w:left w:val="nil"/>
              <w:bottom w:val="nil"/>
              <w:right w:val="nil"/>
            </w:tcBorders>
            <w:shd w:val="clear" w:color="auto" w:fill="auto"/>
            <w:noWrap/>
            <w:vAlign w:val="bottom"/>
            <w:hideMark/>
          </w:tcPr>
          <w:p w14:paraId="43224CE0"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(0.214)</w:t>
            </w:r>
          </w:p>
        </w:tc>
        <w:tc>
          <w:tcPr>
            <w:tcW w:w="370" w:type="dxa"/>
            <w:tcBorders>
              <w:top w:val="nil"/>
              <w:left w:val="nil"/>
              <w:bottom w:val="nil"/>
              <w:right w:val="nil"/>
            </w:tcBorders>
            <w:shd w:val="clear" w:color="auto" w:fill="auto"/>
            <w:noWrap/>
            <w:vAlign w:val="bottom"/>
            <w:hideMark/>
          </w:tcPr>
          <w:p w14:paraId="15EBF529"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1828D9D3"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(0.851)</w:t>
            </w:r>
          </w:p>
        </w:tc>
      </w:tr>
      <w:tr w:rsidR="00B169A5" w:rsidRPr="0003281F" w14:paraId="04BE46DE"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14E9D6D0"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SD_CFO</w:t>
            </w:r>
          </w:p>
        </w:tc>
        <w:tc>
          <w:tcPr>
            <w:tcW w:w="369" w:type="dxa"/>
            <w:tcBorders>
              <w:top w:val="nil"/>
              <w:left w:val="nil"/>
              <w:bottom w:val="nil"/>
              <w:right w:val="nil"/>
            </w:tcBorders>
            <w:shd w:val="clear" w:color="auto" w:fill="auto"/>
            <w:noWrap/>
            <w:vAlign w:val="bottom"/>
            <w:hideMark/>
          </w:tcPr>
          <w:p w14:paraId="69E293BF"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2287" w:type="dxa"/>
            <w:tcBorders>
              <w:top w:val="nil"/>
              <w:left w:val="nil"/>
              <w:bottom w:val="nil"/>
              <w:right w:val="nil"/>
            </w:tcBorders>
            <w:shd w:val="clear" w:color="auto" w:fill="auto"/>
            <w:noWrap/>
            <w:vAlign w:val="bottom"/>
            <w:hideMark/>
          </w:tcPr>
          <w:p w14:paraId="344AEA58"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0.187</w:t>
            </w:r>
          </w:p>
        </w:tc>
        <w:tc>
          <w:tcPr>
            <w:tcW w:w="1930" w:type="dxa"/>
            <w:tcBorders>
              <w:top w:val="nil"/>
              <w:left w:val="nil"/>
              <w:bottom w:val="nil"/>
              <w:right w:val="nil"/>
            </w:tcBorders>
            <w:shd w:val="clear" w:color="auto" w:fill="auto"/>
            <w:noWrap/>
            <w:vAlign w:val="bottom"/>
            <w:hideMark/>
          </w:tcPr>
          <w:p w14:paraId="390CF149"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2.158</w:t>
            </w:r>
          </w:p>
        </w:tc>
        <w:tc>
          <w:tcPr>
            <w:tcW w:w="370" w:type="dxa"/>
            <w:tcBorders>
              <w:top w:val="nil"/>
              <w:left w:val="nil"/>
              <w:bottom w:val="nil"/>
              <w:right w:val="nil"/>
            </w:tcBorders>
            <w:shd w:val="clear" w:color="auto" w:fill="auto"/>
            <w:noWrap/>
            <w:vAlign w:val="bottom"/>
            <w:hideMark/>
          </w:tcPr>
          <w:p w14:paraId="409143A7"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1375" w:type="dxa"/>
            <w:tcBorders>
              <w:top w:val="nil"/>
              <w:left w:val="nil"/>
              <w:bottom w:val="nil"/>
              <w:right w:val="nil"/>
            </w:tcBorders>
            <w:shd w:val="clear" w:color="auto" w:fill="auto"/>
            <w:noWrap/>
            <w:vAlign w:val="bottom"/>
            <w:hideMark/>
          </w:tcPr>
          <w:p w14:paraId="1FDD381C"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0.913</w:t>
            </w:r>
          </w:p>
        </w:tc>
      </w:tr>
      <w:tr w:rsidR="00B169A5" w:rsidRPr="0003281F" w14:paraId="6C198B90"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12B16B13" w14:textId="77777777" w:rsidR="00B169A5" w:rsidRPr="0003281F" w:rsidRDefault="00B169A5" w:rsidP="00B169A5">
            <w:pPr>
              <w:rPr>
                <w:rFonts w:eastAsia="Times New Roman"/>
                <w:color w:val="000000"/>
                <w:sz w:val="22"/>
                <w:szCs w:val="22"/>
              </w:rPr>
            </w:pPr>
          </w:p>
        </w:tc>
        <w:tc>
          <w:tcPr>
            <w:tcW w:w="369" w:type="dxa"/>
            <w:tcBorders>
              <w:top w:val="nil"/>
              <w:left w:val="nil"/>
              <w:bottom w:val="nil"/>
              <w:right w:val="nil"/>
            </w:tcBorders>
            <w:shd w:val="clear" w:color="auto" w:fill="auto"/>
            <w:noWrap/>
            <w:vAlign w:val="bottom"/>
            <w:hideMark/>
          </w:tcPr>
          <w:p w14:paraId="3B6562C3"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3B8AA8C8"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(0.287)</w:t>
            </w:r>
          </w:p>
        </w:tc>
        <w:tc>
          <w:tcPr>
            <w:tcW w:w="1930" w:type="dxa"/>
            <w:tcBorders>
              <w:top w:val="nil"/>
              <w:left w:val="nil"/>
              <w:bottom w:val="nil"/>
              <w:right w:val="nil"/>
            </w:tcBorders>
            <w:shd w:val="clear" w:color="auto" w:fill="auto"/>
            <w:noWrap/>
            <w:vAlign w:val="bottom"/>
            <w:hideMark/>
          </w:tcPr>
          <w:p w14:paraId="5179E79B"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(0.202)</w:t>
            </w:r>
          </w:p>
        </w:tc>
        <w:tc>
          <w:tcPr>
            <w:tcW w:w="370" w:type="dxa"/>
            <w:tcBorders>
              <w:top w:val="nil"/>
              <w:left w:val="nil"/>
              <w:bottom w:val="nil"/>
              <w:right w:val="nil"/>
            </w:tcBorders>
            <w:shd w:val="clear" w:color="auto" w:fill="auto"/>
            <w:noWrap/>
            <w:vAlign w:val="bottom"/>
            <w:hideMark/>
          </w:tcPr>
          <w:p w14:paraId="4CB7152D"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26B44075"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(0.166)</w:t>
            </w:r>
          </w:p>
        </w:tc>
      </w:tr>
      <w:tr w:rsidR="00B169A5" w:rsidRPr="0003281F" w14:paraId="41993DB5"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2B0C02F5"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Constant</w:t>
            </w:r>
          </w:p>
        </w:tc>
        <w:tc>
          <w:tcPr>
            <w:tcW w:w="369" w:type="dxa"/>
            <w:tcBorders>
              <w:top w:val="nil"/>
              <w:left w:val="nil"/>
              <w:bottom w:val="nil"/>
              <w:right w:val="nil"/>
            </w:tcBorders>
            <w:shd w:val="clear" w:color="auto" w:fill="auto"/>
            <w:noWrap/>
            <w:vAlign w:val="bottom"/>
            <w:hideMark/>
          </w:tcPr>
          <w:p w14:paraId="06DA3D5C"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2287" w:type="dxa"/>
            <w:tcBorders>
              <w:top w:val="nil"/>
              <w:left w:val="nil"/>
              <w:bottom w:val="nil"/>
              <w:right w:val="nil"/>
            </w:tcBorders>
            <w:shd w:val="clear" w:color="auto" w:fill="auto"/>
            <w:noWrap/>
            <w:vAlign w:val="bottom"/>
            <w:hideMark/>
          </w:tcPr>
          <w:p w14:paraId="7D70A96A"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0.746*</w:t>
            </w:r>
          </w:p>
        </w:tc>
        <w:tc>
          <w:tcPr>
            <w:tcW w:w="1930" w:type="dxa"/>
            <w:tcBorders>
              <w:top w:val="nil"/>
              <w:left w:val="nil"/>
              <w:bottom w:val="nil"/>
              <w:right w:val="nil"/>
            </w:tcBorders>
            <w:shd w:val="clear" w:color="auto" w:fill="auto"/>
            <w:noWrap/>
            <w:vAlign w:val="bottom"/>
            <w:hideMark/>
          </w:tcPr>
          <w:p w14:paraId="66205425"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0.798</w:t>
            </w:r>
          </w:p>
        </w:tc>
        <w:tc>
          <w:tcPr>
            <w:tcW w:w="370" w:type="dxa"/>
            <w:tcBorders>
              <w:top w:val="nil"/>
              <w:left w:val="nil"/>
              <w:bottom w:val="nil"/>
              <w:right w:val="nil"/>
            </w:tcBorders>
            <w:shd w:val="clear" w:color="auto" w:fill="auto"/>
            <w:noWrap/>
            <w:vAlign w:val="bottom"/>
            <w:hideMark/>
          </w:tcPr>
          <w:p w14:paraId="01490D66"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w:t>
            </w:r>
          </w:p>
        </w:tc>
        <w:tc>
          <w:tcPr>
            <w:tcW w:w="1375" w:type="dxa"/>
            <w:tcBorders>
              <w:top w:val="nil"/>
              <w:left w:val="nil"/>
              <w:bottom w:val="nil"/>
              <w:right w:val="nil"/>
            </w:tcBorders>
            <w:shd w:val="clear" w:color="auto" w:fill="auto"/>
            <w:noWrap/>
            <w:vAlign w:val="bottom"/>
            <w:hideMark/>
          </w:tcPr>
          <w:p w14:paraId="6A93C27E"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0.380</w:t>
            </w:r>
          </w:p>
        </w:tc>
      </w:tr>
      <w:tr w:rsidR="00B169A5" w:rsidRPr="0003281F" w14:paraId="3090D19D"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2EE11735" w14:textId="77777777" w:rsidR="00B169A5" w:rsidRPr="0003281F" w:rsidRDefault="00B169A5" w:rsidP="00B169A5">
            <w:pPr>
              <w:rPr>
                <w:rFonts w:eastAsia="Times New Roman"/>
                <w:color w:val="000000"/>
                <w:sz w:val="22"/>
                <w:szCs w:val="22"/>
              </w:rPr>
            </w:pPr>
          </w:p>
        </w:tc>
        <w:tc>
          <w:tcPr>
            <w:tcW w:w="369" w:type="dxa"/>
            <w:tcBorders>
              <w:top w:val="nil"/>
              <w:left w:val="nil"/>
              <w:bottom w:val="nil"/>
              <w:right w:val="nil"/>
            </w:tcBorders>
            <w:shd w:val="clear" w:color="auto" w:fill="auto"/>
            <w:noWrap/>
            <w:vAlign w:val="bottom"/>
            <w:hideMark/>
          </w:tcPr>
          <w:p w14:paraId="0C44068D"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28BC0ED7"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(0.063)</w:t>
            </w:r>
          </w:p>
        </w:tc>
        <w:tc>
          <w:tcPr>
            <w:tcW w:w="1930" w:type="dxa"/>
            <w:tcBorders>
              <w:top w:val="nil"/>
              <w:left w:val="nil"/>
              <w:bottom w:val="nil"/>
              <w:right w:val="nil"/>
            </w:tcBorders>
            <w:shd w:val="clear" w:color="auto" w:fill="auto"/>
            <w:noWrap/>
            <w:vAlign w:val="bottom"/>
            <w:hideMark/>
          </w:tcPr>
          <w:p w14:paraId="519209BF"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(0.308)</w:t>
            </w:r>
          </w:p>
        </w:tc>
        <w:tc>
          <w:tcPr>
            <w:tcW w:w="370" w:type="dxa"/>
            <w:tcBorders>
              <w:top w:val="nil"/>
              <w:left w:val="nil"/>
              <w:bottom w:val="nil"/>
              <w:right w:val="nil"/>
            </w:tcBorders>
            <w:shd w:val="clear" w:color="auto" w:fill="auto"/>
            <w:noWrap/>
            <w:vAlign w:val="bottom"/>
            <w:hideMark/>
          </w:tcPr>
          <w:p w14:paraId="6A8CD4B4"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37C8E1F2"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(0.460)</w:t>
            </w:r>
          </w:p>
        </w:tc>
      </w:tr>
      <w:tr w:rsidR="00B169A5" w:rsidRPr="0003281F" w14:paraId="0D5B459F"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3EC63F90" w14:textId="77777777" w:rsidR="00B169A5" w:rsidRPr="0003281F" w:rsidRDefault="00B169A5" w:rsidP="00B169A5">
            <w:pPr>
              <w:rPr>
                <w:rFonts w:eastAsia="Times New Roman"/>
                <w:color w:val="000000"/>
                <w:sz w:val="22"/>
                <w:szCs w:val="22"/>
              </w:rPr>
            </w:pPr>
          </w:p>
        </w:tc>
        <w:tc>
          <w:tcPr>
            <w:tcW w:w="369" w:type="dxa"/>
            <w:tcBorders>
              <w:top w:val="nil"/>
              <w:left w:val="nil"/>
              <w:bottom w:val="nil"/>
              <w:right w:val="nil"/>
            </w:tcBorders>
            <w:shd w:val="clear" w:color="auto" w:fill="auto"/>
            <w:noWrap/>
            <w:vAlign w:val="bottom"/>
            <w:hideMark/>
          </w:tcPr>
          <w:p w14:paraId="568154BF"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3A9D10A2" w14:textId="77777777" w:rsidR="00B169A5" w:rsidRPr="0003281F" w:rsidRDefault="00B169A5" w:rsidP="00B169A5">
            <w:pPr>
              <w:jc w:val="center"/>
              <w:rPr>
                <w:rFonts w:eastAsia="Times New Roman"/>
                <w:color w:val="000000"/>
                <w:sz w:val="22"/>
                <w:szCs w:val="22"/>
              </w:rPr>
            </w:pPr>
          </w:p>
        </w:tc>
        <w:tc>
          <w:tcPr>
            <w:tcW w:w="1930" w:type="dxa"/>
            <w:tcBorders>
              <w:top w:val="nil"/>
              <w:left w:val="nil"/>
              <w:bottom w:val="nil"/>
              <w:right w:val="nil"/>
            </w:tcBorders>
            <w:shd w:val="clear" w:color="auto" w:fill="auto"/>
            <w:noWrap/>
            <w:vAlign w:val="bottom"/>
            <w:hideMark/>
          </w:tcPr>
          <w:p w14:paraId="3693EA3F" w14:textId="77777777" w:rsidR="00B169A5" w:rsidRPr="0003281F" w:rsidRDefault="00B169A5" w:rsidP="00B169A5">
            <w:pPr>
              <w:jc w:val="center"/>
              <w:rPr>
                <w:rFonts w:eastAsia="Times New Roman"/>
                <w:color w:val="000000"/>
                <w:sz w:val="22"/>
                <w:szCs w:val="22"/>
              </w:rPr>
            </w:pPr>
          </w:p>
        </w:tc>
        <w:tc>
          <w:tcPr>
            <w:tcW w:w="370" w:type="dxa"/>
            <w:tcBorders>
              <w:top w:val="nil"/>
              <w:left w:val="nil"/>
              <w:bottom w:val="nil"/>
              <w:right w:val="nil"/>
            </w:tcBorders>
            <w:shd w:val="clear" w:color="auto" w:fill="auto"/>
            <w:noWrap/>
            <w:vAlign w:val="bottom"/>
            <w:hideMark/>
          </w:tcPr>
          <w:p w14:paraId="638E5318"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6616A23F" w14:textId="77777777" w:rsidR="00B169A5" w:rsidRPr="0003281F" w:rsidRDefault="00B169A5" w:rsidP="00B169A5">
            <w:pPr>
              <w:jc w:val="center"/>
              <w:rPr>
                <w:rFonts w:eastAsia="Times New Roman"/>
                <w:color w:val="000000"/>
                <w:sz w:val="22"/>
                <w:szCs w:val="22"/>
              </w:rPr>
            </w:pPr>
          </w:p>
        </w:tc>
      </w:tr>
      <w:tr w:rsidR="00B169A5" w:rsidRPr="0003281F" w14:paraId="588658B1"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018AAC79"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Industry Fixed Effects</w:t>
            </w:r>
          </w:p>
        </w:tc>
        <w:tc>
          <w:tcPr>
            <w:tcW w:w="369" w:type="dxa"/>
            <w:tcBorders>
              <w:top w:val="nil"/>
              <w:left w:val="nil"/>
              <w:bottom w:val="nil"/>
              <w:right w:val="nil"/>
            </w:tcBorders>
            <w:shd w:val="clear" w:color="auto" w:fill="auto"/>
            <w:noWrap/>
            <w:vAlign w:val="bottom"/>
            <w:hideMark/>
          </w:tcPr>
          <w:p w14:paraId="40074AEA"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72D1CC3F"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Yes</w:t>
            </w:r>
          </w:p>
        </w:tc>
        <w:tc>
          <w:tcPr>
            <w:tcW w:w="1930" w:type="dxa"/>
            <w:tcBorders>
              <w:top w:val="nil"/>
              <w:left w:val="nil"/>
              <w:bottom w:val="nil"/>
              <w:right w:val="nil"/>
            </w:tcBorders>
            <w:shd w:val="clear" w:color="auto" w:fill="auto"/>
            <w:noWrap/>
            <w:vAlign w:val="bottom"/>
            <w:hideMark/>
          </w:tcPr>
          <w:p w14:paraId="75957F00"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Yes</w:t>
            </w:r>
          </w:p>
        </w:tc>
        <w:tc>
          <w:tcPr>
            <w:tcW w:w="370" w:type="dxa"/>
            <w:tcBorders>
              <w:top w:val="nil"/>
              <w:left w:val="nil"/>
              <w:bottom w:val="nil"/>
              <w:right w:val="nil"/>
            </w:tcBorders>
            <w:shd w:val="clear" w:color="auto" w:fill="auto"/>
            <w:noWrap/>
            <w:vAlign w:val="bottom"/>
            <w:hideMark/>
          </w:tcPr>
          <w:p w14:paraId="0336156B" w14:textId="77777777" w:rsidR="00B169A5" w:rsidRPr="0003281F" w:rsidRDefault="00B169A5" w:rsidP="00B169A5">
            <w:pP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4CE06B6F"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Yes</w:t>
            </w:r>
          </w:p>
        </w:tc>
      </w:tr>
      <w:tr w:rsidR="00B169A5" w:rsidRPr="0003281F" w14:paraId="3D3E0C92" w14:textId="77777777" w:rsidTr="008B1197">
        <w:trPr>
          <w:trHeight w:val="305"/>
          <w:jc w:val="center"/>
        </w:trPr>
        <w:tc>
          <w:tcPr>
            <w:tcW w:w="2958" w:type="dxa"/>
            <w:tcBorders>
              <w:top w:val="nil"/>
              <w:left w:val="nil"/>
              <w:bottom w:val="nil"/>
              <w:right w:val="nil"/>
            </w:tcBorders>
            <w:shd w:val="clear" w:color="auto" w:fill="auto"/>
            <w:noWrap/>
            <w:vAlign w:val="bottom"/>
            <w:hideMark/>
          </w:tcPr>
          <w:p w14:paraId="35056734"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Observations</w:t>
            </w:r>
          </w:p>
        </w:tc>
        <w:tc>
          <w:tcPr>
            <w:tcW w:w="369" w:type="dxa"/>
            <w:tcBorders>
              <w:top w:val="nil"/>
              <w:left w:val="nil"/>
              <w:bottom w:val="nil"/>
              <w:right w:val="nil"/>
            </w:tcBorders>
            <w:shd w:val="clear" w:color="auto" w:fill="auto"/>
            <w:noWrap/>
            <w:vAlign w:val="bottom"/>
            <w:hideMark/>
          </w:tcPr>
          <w:p w14:paraId="2B54F4C2" w14:textId="77777777" w:rsidR="00B169A5" w:rsidRPr="0003281F" w:rsidRDefault="00B169A5" w:rsidP="00B169A5">
            <w:pPr>
              <w:jc w:val="center"/>
              <w:rPr>
                <w:rFonts w:eastAsia="Times New Roman"/>
                <w:color w:val="000000"/>
                <w:sz w:val="22"/>
                <w:szCs w:val="22"/>
              </w:rPr>
            </w:pPr>
          </w:p>
        </w:tc>
        <w:tc>
          <w:tcPr>
            <w:tcW w:w="2287" w:type="dxa"/>
            <w:tcBorders>
              <w:top w:val="nil"/>
              <w:left w:val="nil"/>
              <w:bottom w:val="nil"/>
              <w:right w:val="nil"/>
            </w:tcBorders>
            <w:shd w:val="clear" w:color="auto" w:fill="auto"/>
            <w:noWrap/>
            <w:vAlign w:val="bottom"/>
            <w:hideMark/>
          </w:tcPr>
          <w:p w14:paraId="753E7929"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303</w:t>
            </w:r>
          </w:p>
        </w:tc>
        <w:tc>
          <w:tcPr>
            <w:tcW w:w="1930" w:type="dxa"/>
            <w:tcBorders>
              <w:top w:val="nil"/>
              <w:left w:val="nil"/>
              <w:bottom w:val="nil"/>
              <w:right w:val="nil"/>
            </w:tcBorders>
            <w:shd w:val="clear" w:color="auto" w:fill="auto"/>
            <w:noWrap/>
            <w:vAlign w:val="bottom"/>
            <w:hideMark/>
          </w:tcPr>
          <w:p w14:paraId="78BB0D0E"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279</w:t>
            </w:r>
          </w:p>
        </w:tc>
        <w:tc>
          <w:tcPr>
            <w:tcW w:w="370" w:type="dxa"/>
            <w:tcBorders>
              <w:top w:val="nil"/>
              <w:left w:val="nil"/>
              <w:bottom w:val="nil"/>
              <w:right w:val="nil"/>
            </w:tcBorders>
            <w:shd w:val="clear" w:color="auto" w:fill="auto"/>
            <w:noWrap/>
            <w:vAlign w:val="bottom"/>
            <w:hideMark/>
          </w:tcPr>
          <w:p w14:paraId="3AF0D955" w14:textId="77777777" w:rsidR="00B169A5" w:rsidRPr="0003281F" w:rsidRDefault="00B169A5" w:rsidP="00B169A5">
            <w:pPr>
              <w:jc w:val="center"/>
              <w:rPr>
                <w:rFonts w:eastAsia="Times New Roman"/>
                <w:color w:val="000000"/>
                <w:sz w:val="22"/>
                <w:szCs w:val="22"/>
              </w:rPr>
            </w:pPr>
          </w:p>
        </w:tc>
        <w:tc>
          <w:tcPr>
            <w:tcW w:w="1375" w:type="dxa"/>
            <w:tcBorders>
              <w:top w:val="nil"/>
              <w:left w:val="nil"/>
              <w:bottom w:val="nil"/>
              <w:right w:val="nil"/>
            </w:tcBorders>
            <w:shd w:val="clear" w:color="auto" w:fill="auto"/>
            <w:noWrap/>
            <w:vAlign w:val="bottom"/>
            <w:hideMark/>
          </w:tcPr>
          <w:p w14:paraId="44CE6679"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582</w:t>
            </w:r>
          </w:p>
        </w:tc>
      </w:tr>
      <w:tr w:rsidR="00B169A5" w:rsidRPr="0003281F" w14:paraId="739D3D7F" w14:textId="77777777" w:rsidTr="008B1197">
        <w:trPr>
          <w:trHeight w:val="305"/>
          <w:jc w:val="center"/>
        </w:trPr>
        <w:tc>
          <w:tcPr>
            <w:tcW w:w="2958" w:type="dxa"/>
            <w:tcBorders>
              <w:top w:val="nil"/>
              <w:left w:val="nil"/>
              <w:bottom w:val="single" w:sz="4" w:space="0" w:color="auto"/>
              <w:right w:val="nil"/>
            </w:tcBorders>
            <w:shd w:val="clear" w:color="auto" w:fill="auto"/>
            <w:noWrap/>
            <w:vAlign w:val="bottom"/>
            <w:hideMark/>
          </w:tcPr>
          <w:p w14:paraId="10750400" w14:textId="77777777" w:rsidR="00B169A5" w:rsidRPr="0003281F" w:rsidRDefault="00B169A5" w:rsidP="00B169A5">
            <w:pPr>
              <w:rPr>
                <w:rFonts w:eastAsia="Times New Roman"/>
                <w:color w:val="000000"/>
                <w:sz w:val="22"/>
                <w:szCs w:val="22"/>
              </w:rPr>
            </w:pPr>
            <w:r w:rsidRPr="0003281F">
              <w:rPr>
                <w:rFonts w:eastAsia="Times New Roman"/>
                <w:color w:val="000000"/>
                <w:sz w:val="22"/>
                <w:szCs w:val="22"/>
              </w:rPr>
              <w:t>R-squared</w:t>
            </w:r>
          </w:p>
        </w:tc>
        <w:tc>
          <w:tcPr>
            <w:tcW w:w="369" w:type="dxa"/>
            <w:tcBorders>
              <w:top w:val="nil"/>
              <w:left w:val="nil"/>
              <w:bottom w:val="single" w:sz="4" w:space="0" w:color="auto"/>
              <w:right w:val="nil"/>
            </w:tcBorders>
            <w:shd w:val="clear" w:color="auto" w:fill="auto"/>
            <w:noWrap/>
            <w:vAlign w:val="bottom"/>
            <w:hideMark/>
          </w:tcPr>
          <w:p w14:paraId="742727FF"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 </w:t>
            </w:r>
          </w:p>
        </w:tc>
        <w:tc>
          <w:tcPr>
            <w:tcW w:w="2287" w:type="dxa"/>
            <w:tcBorders>
              <w:top w:val="nil"/>
              <w:left w:val="nil"/>
              <w:bottom w:val="single" w:sz="4" w:space="0" w:color="auto"/>
              <w:right w:val="nil"/>
            </w:tcBorders>
            <w:shd w:val="clear" w:color="auto" w:fill="auto"/>
            <w:noWrap/>
            <w:vAlign w:val="bottom"/>
            <w:hideMark/>
          </w:tcPr>
          <w:p w14:paraId="1D366417"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0.382</w:t>
            </w:r>
          </w:p>
        </w:tc>
        <w:tc>
          <w:tcPr>
            <w:tcW w:w="1930" w:type="dxa"/>
            <w:tcBorders>
              <w:top w:val="nil"/>
              <w:left w:val="nil"/>
              <w:bottom w:val="single" w:sz="4" w:space="0" w:color="auto"/>
              <w:right w:val="nil"/>
            </w:tcBorders>
            <w:shd w:val="clear" w:color="auto" w:fill="auto"/>
            <w:noWrap/>
            <w:vAlign w:val="bottom"/>
            <w:hideMark/>
          </w:tcPr>
          <w:p w14:paraId="4AAA82F9"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0.165</w:t>
            </w:r>
          </w:p>
        </w:tc>
        <w:tc>
          <w:tcPr>
            <w:tcW w:w="370" w:type="dxa"/>
            <w:tcBorders>
              <w:top w:val="nil"/>
              <w:left w:val="nil"/>
              <w:bottom w:val="single" w:sz="4" w:space="0" w:color="auto"/>
              <w:right w:val="nil"/>
            </w:tcBorders>
            <w:shd w:val="clear" w:color="auto" w:fill="auto"/>
            <w:noWrap/>
            <w:vAlign w:val="bottom"/>
            <w:hideMark/>
          </w:tcPr>
          <w:p w14:paraId="0A6F6247"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 </w:t>
            </w:r>
          </w:p>
        </w:tc>
        <w:tc>
          <w:tcPr>
            <w:tcW w:w="1375" w:type="dxa"/>
            <w:tcBorders>
              <w:top w:val="nil"/>
              <w:left w:val="nil"/>
              <w:bottom w:val="single" w:sz="4" w:space="0" w:color="auto"/>
              <w:right w:val="nil"/>
            </w:tcBorders>
            <w:shd w:val="clear" w:color="auto" w:fill="auto"/>
            <w:noWrap/>
            <w:vAlign w:val="bottom"/>
            <w:hideMark/>
          </w:tcPr>
          <w:p w14:paraId="6E19ECC5" w14:textId="77777777" w:rsidR="00B169A5" w:rsidRPr="0003281F" w:rsidRDefault="00B169A5" w:rsidP="00B169A5">
            <w:pPr>
              <w:jc w:val="center"/>
              <w:rPr>
                <w:rFonts w:eastAsia="Times New Roman"/>
                <w:color w:val="000000"/>
                <w:sz w:val="22"/>
                <w:szCs w:val="22"/>
              </w:rPr>
            </w:pPr>
            <w:r w:rsidRPr="0003281F">
              <w:rPr>
                <w:rFonts w:eastAsia="Times New Roman"/>
                <w:color w:val="000000"/>
                <w:sz w:val="22"/>
                <w:szCs w:val="22"/>
              </w:rPr>
              <w:t>0.098</w:t>
            </w:r>
          </w:p>
        </w:tc>
      </w:tr>
    </w:tbl>
    <w:p w14:paraId="17313C88" w14:textId="77777777" w:rsidR="008C007D" w:rsidRPr="00E26D55" w:rsidRDefault="008C007D" w:rsidP="001853E3">
      <w:pPr>
        <w:widowControl w:val="0"/>
        <w:jc w:val="both"/>
      </w:pPr>
    </w:p>
    <w:p w14:paraId="42F4FDE5" w14:textId="77777777" w:rsidR="005E0441" w:rsidRDefault="005E0441">
      <w:pPr>
        <w:rPr>
          <w:b/>
        </w:rPr>
      </w:pPr>
      <w:r>
        <w:br w:type="page"/>
      </w:r>
    </w:p>
    <w:p w14:paraId="5472007E" w14:textId="4FE2982E" w:rsidR="004F1EC0" w:rsidRPr="00E26D55" w:rsidRDefault="00FC3706" w:rsidP="005E0441">
      <w:pPr>
        <w:pStyle w:val="Table"/>
      </w:pPr>
      <w:bookmarkStart w:id="105" w:name="_Toc286595538"/>
      <w:r>
        <w:t>Table 5</w:t>
      </w:r>
      <w:r w:rsidR="004F1EC0" w:rsidRPr="00E26D55">
        <w:t>: Regression Results using U.S. Control Group</w:t>
      </w:r>
      <w:bookmarkEnd w:id="105"/>
    </w:p>
    <w:p w14:paraId="3489B7B8" w14:textId="77777777" w:rsidR="004F1EC0" w:rsidRPr="00E26D55" w:rsidRDefault="004F1EC0" w:rsidP="001853E3">
      <w:pPr>
        <w:widowControl w:val="0"/>
        <w:jc w:val="both"/>
      </w:pPr>
    </w:p>
    <w:p w14:paraId="2259CE6F" w14:textId="77777777" w:rsidR="004F1EC0" w:rsidRPr="0003281F" w:rsidRDefault="004F1EC0" w:rsidP="001853E3">
      <w:pPr>
        <w:widowControl w:val="0"/>
        <w:jc w:val="both"/>
        <w:rPr>
          <w:sz w:val="22"/>
          <w:szCs w:val="22"/>
        </w:rPr>
      </w:pPr>
    </w:p>
    <w:p w14:paraId="6A5141D4" w14:textId="5CD44396" w:rsidR="004F1EC0" w:rsidRPr="0003281F" w:rsidRDefault="00FC3706" w:rsidP="001853E3">
      <w:pPr>
        <w:widowControl w:val="0"/>
        <w:jc w:val="both"/>
        <w:rPr>
          <w:sz w:val="22"/>
          <w:szCs w:val="22"/>
        </w:rPr>
      </w:pPr>
      <w:r w:rsidRPr="0003281F">
        <w:rPr>
          <w:sz w:val="22"/>
          <w:szCs w:val="22"/>
        </w:rPr>
        <w:t>Table 5</w:t>
      </w:r>
      <w:r w:rsidR="004F1EC0" w:rsidRPr="0003281F">
        <w:rPr>
          <w:sz w:val="22"/>
          <w:szCs w:val="22"/>
        </w:rPr>
        <w:t xml:space="preserve"> presents the regression results for the estimation of equations (1) and (2) using U.S. firms as a control group. Columns 1 and 2 present the results for a full sample of U.S. and U.K. firms. Columns 3 and 4 present the analysis using a propensity score matched sample. All variables are defined in </w:t>
      </w:r>
      <w:r w:rsidR="00B01688">
        <w:rPr>
          <w:sz w:val="22"/>
          <w:szCs w:val="22"/>
        </w:rPr>
        <w:t>Appendix B</w:t>
      </w:r>
      <w:r w:rsidR="004F1EC0" w:rsidRPr="0003281F">
        <w:rPr>
          <w:sz w:val="22"/>
          <w:szCs w:val="22"/>
        </w:rPr>
        <w:t xml:space="preserve">. Robust p-values adjusted for firm clustering effects are presented in parentheses below the coefficients. *, **, and *** indicate significance at the 0.10, 0.05, and 0.01 levels, respectively (based on one-tailed tests when a direction is predicted, two-tailed otherwise). </w:t>
      </w:r>
    </w:p>
    <w:p w14:paraId="57943BE1" w14:textId="77777777" w:rsidR="005C002A" w:rsidRPr="0003281F" w:rsidRDefault="005C002A" w:rsidP="001853E3">
      <w:pPr>
        <w:widowControl w:val="0"/>
        <w:rPr>
          <w:sz w:val="22"/>
          <w:szCs w:val="22"/>
        </w:rPr>
      </w:pPr>
    </w:p>
    <w:p w14:paraId="7CC58BFF" w14:textId="77777777" w:rsidR="004F1EC0" w:rsidRPr="00E26D55" w:rsidRDefault="004F1EC0" w:rsidP="001853E3">
      <w:pPr>
        <w:widowControl w:val="0"/>
      </w:pPr>
    </w:p>
    <w:tbl>
      <w:tblPr>
        <w:tblW w:w="9370" w:type="dxa"/>
        <w:jc w:val="center"/>
        <w:tblInd w:w="93" w:type="dxa"/>
        <w:tblLook w:val="04A0" w:firstRow="1" w:lastRow="0" w:firstColumn="1" w:lastColumn="0" w:noHBand="0" w:noVBand="1"/>
      </w:tblPr>
      <w:tblGrid>
        <w:gridCol w:w="2393"/>
        <w:gridCol w:w="367"/>
        <w:gridCol w:w="1288"/>
        <w:gridCol w:w="366"/>
        <w:gridCol w:w="1435"/>
        <w:gridCol w:w="367"/>
        <w:gridCol w:w="1232"/>
        <w:gridCol w:w="366"/>
        <w:gridCol w:w="1556"/>
      </w:tblGrid>
      <w:tr w:rsidR="004F1EC0" w:rsidRPr="0003281F" w14:paraId="4BCC0041" w14:textId="77777777" w:rsidTr="009A2F67">
        <w:trPr>
          <w:trHeight w:val="271"/>
          <w:jc w:val="center"/>
        </w:trPr>
        <w:tc>
          <w:tcPr>
            <w:tcW w:w="2393" w:type="dxa"/>
            <w:tcBorders>
              <w:top w:val="single" w:sz="4" w:space="0" w:color="auto"/>
              <w:left w:val="nil"/>
              <w:bottom w:val="single" w:sz="4" w:space="0" w:color="auto"/>
              <w:right w:val="nil"/>
            </w:tcBorders>
            <w:shd w:val="clear" w:color="auto" w:fill="auto"/>
            <w:noWrap/>
            <w:vAlign w:val="bottom"/>
            <w:hideMark/>
          </w:tcPr>
          <w:p w14:paraId="1469E3C5"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 </w:t>
            </w:r>
          </w:p>
        </w:tc>
        <w:tc>
          <w:tcPr>
            <w:tcW w:w="367" w:type="dxa"/>
            <w:tcBorders>
              <w:top w:val="single" w:sz="4" w:space="0" w:color="auto"/>
              <w:left w:val="nil"/>
              <w:bottom w:val="single" w:sz="4" w:space="0" w:color="auto"/>
              <w:right w:val="nil"/>
            </w:tcBorders>
            <w:shd w:val="clear" w:color="auto" w:fill="auto"/>
            <w:noWrap/>
            <w:vAlign w:val="bottom"/>
            <w:hideMark/>
          </w:tcPr>
          <w:p w14:paraId="3D53CB2B"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3089" w:type="dxa"/>
            <w:gridSpan w:val="3"/>
            <w:tcBorders>
              <w:top w:val="single" w:sz="4" w:space="0" w:color="auto"/>
              <w:left w:val="nil"/>
              <w:bottom w:val="single" w:sz="4" w:space="0" w:color="auto"/>
              <w:right w:val="nil"/>
            </w:tcBorders>
            <w:shd w:val="clear" w:color="auto" w:fill="auto"/>
            <w:noWrap/>
            <w:vAlign w:val="bottom"/>
            <w:hideMark/>
          </w:tcPr>
          <w:p w14:paraId="52A5F8DA"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Full Sample</w:t>
            </w:r>
          </w:p>
        </w:tc>
        <w:tc>
          <w:tcPr>
            <w:tcW w:w="367" w:type="dxa"/>
            <w:tcBorders>
              <w:top w:val="single" w:sz="4" w:space="0" w:color="auto"/>
              <w:left w:val="nil"/>
              <w:bottom w:val="single" w:sz="4" w:space="0" w:color="auto"/>
              <w:right w:val="nil"/>
            </w:tcBorders>
            <w:shd w:val="clear" w:color="auto" w:fill="auto"/>
            <w:noWrap/>
            <w:vAlign w:val="bottom"/>
            <w:hideMark/>
          </w:tcPr>
          <w:p w14:paraId="4448A0EE"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3154" w:type="dxa"/>
            <w:gridSpan w:val="3"/>
            <w:tcBorders>
              <w:top w:val="single" w:sz="4" w:space="0" w:color="auto"/>
              <w:left w:val="nil"/>
              <w:bottom w:val="single" w:sz="4" w:space="0" w:color="auto"/>
              <w:right w:val="nil"/>
            </w:tcBorders>
            <w:shd w:val="clear" w:color="auto" w:fill="auto"/>
            <w:noWrap/>
            <w:vAlign w:val="bottom"/>
            <w:hideMark/>
          </w:tcPr>
          <w:p w14:paraId="3152AD38"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Propensity Matched Sample</w:t>
            </w:r>
          </w:p>
        </w:tc>
      </w:tr>
      <w:tr w:rsidR="004F1EC0" w:rsidRPr="0003281F" w14:paraId="7852C383"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6C329F51"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 </w:t>
            </w:r>
          </w:p>
        </w:tc>
        <w:tc>
          <w:tcPr>
            <w:tcW w:w="367" w:type="dxa"/>
            <w:tcBorders>
              <w:top w:val="nil"/>
              <w:left w:val="nil"/>
              <w:bottom w:val="nil"/>
              <w:right w:val="nil"/>
            </w:tcBorders>
            <w:shd w:val="clear" w:color="auto" w:fill="auto"/>
            <w:noWrap/>
            <w:vAlign w:val="bottom"/>
            <w:hideMark/>
          </w:tcPr>
          <w:p w14:paraId="6D16E13B"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288" w:type="dxa"/>
            <w:tcBorders>
              <w:top w:val="nil"/>
              <w:left w:val="nil"/>
              <w:bottom w:val="nil"/>
              <w:right w:val="nil"/>
            </w:tcBorders>
            <w:shd w:val="clear" w:color="auto" w:fill="auto"/>
            <w:noWrap/>
            <w:vAlign w:val="bottom"/>
            <w:hideMark/>
          </w:tcPr>
          <w:p w14:paraId="21CB898C"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(1)</w:t>
            </w:r>
          </w:p>
        </w:tc>
        <w:tc>
          <w:tcPr>
            <w:tcW w:w="366" w:type="dxa"/>
            <w:tcBorders>
              <w:top w:val="nil"/>
              <w:left w:val="nil"/>
              <w:bottom w:val="nil"/>
              <w:right w:val="nil"/>
            </w:tcBorders>
            <w:shd w:val="clear" w:color="auto" w:fill="auto"/>
            <w:noWrap/>
            <w:vAlign w:val="bottom"/>
            <w:hideMark/>
          </w:tcPr>
          <w:p w14:paraId="1868961B"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435" w:type="dxa"/>
            <w:tcBorders>
              <w:top w:val="nil"/>
              <w:left w:val="nil"/>
              <w:bottom w:val="nil"/>
              <w:right w:val="nil"/>
            </w:tcBorders>
            <w:shd w:val="clear" w:color="auto" w:fill="auto"/>
            <w:noWrap/>
            <w:vAlign w:val="bottom"/>
            <w:hideMark/>
          </w:tcPr>
          <w:p w14:paraId="7F533FE7"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(2)</w:t>
            </w:r>
          </w:p>
        </w:tc>
        <w:tc>
          <w:tcPr>
            <w:tcW w:w="367" w:type="dxa"/>
            <w:tcBorders>
              <w:top w:val="nil"/>
              <w:left w:val="nil"/>
              <w:bottom w:val="nil"/>
              <w:right w:val="nil"/>
            </w:tcBorders>
            <w:shd w:val="clear" w:color="auto" w:fill="auto"/>
            <w:noWrap/>
            <w:vAlign w:val="bottom"/>
            <w:hideMark/>
          </w:tcPr>
          <w:p w14:paraId="37C786AA"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232" w:type="dxa"/>
            <w:tcBorders>
              <w:top w:val="nil"/>
              <w:left w:val="nil"/>
              <w:bottom w:val="nil"/>
              <w:right w:val="nil"/>
            </w:tcBorders>
            <w:shd w:val="clear" w:color="auto" w:fill="auto"/>
            <w:noWrap/>
            <w:vAlign w:val="bottom"/>
            <w:hideMark/>
          </w:tcPr>
          <w:p w14:paraId="7C860A6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(3)</w:t>
            </w:r>
          </w:p>
        </w:tc>
        <w:tc>
          <w:tcPr>
            <w:tcW w:w="366" w:type="dxa"/>
            <w:tcBorders>
              <w:top w:val="nil"/>
              <w:left w:val="nil"/>
              <w:bottom w:val="nil"/>
              <w:right w:val="nil"/>
            </w:tcBorders>
            <w:shd w:val="clear" w:color="auto" w:fill="auto"/>
            <w:noWrap/>
            <w:vAlign w:val="bottom"/>
            <w:hideMark/>
          </w:tcPr>
          <w:p w14:paraId="3D4B4CFE"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556" w:type="dxa"/>
            <w:tcBorders>
              <w:top w:val="nil"/>
              <w:left w:val="nil"/>
              <w:bottom w:val="nil"/>
              <w:right w:val="nil"/>
            </w:tcBorders>
            <w:shd w:val="clear" w:color="auto" w:fill="auto"/>
            <w:noWrap/>
            <w:vAlign w:val="bottom"/>
            <w:hideMark/>
          </w:tcPr>
          <w:p w14:paraId="0CD5921B"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(4)</w:t>
            </w:r>
          </w:p>
        </w:tc>
      </w:tr>
      <w:tr w:rsidR="004F1EC0" w:rsidRPr="0003281F" w14:paraId="4BEB4541"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1A237127"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VARIABLES</w:t>
            </w:r>
          </w:p>
        </w:tc>
        <w:tc>
          <w:tcPr>
            <w:tcW w:w="367" w:type="dxa"/>
            <w:tcBorders>
              <w:top w:val="nil"/>
              <w:left w:val="nil"/>
              <w:bottom w:val="nil"/>
              <w:right w:val="nil"/>
            </w:tcBorders>
            <w:shd w:val="clear" w:color="auto" w:fill="auto"/>
            <w:noWrap/>
            <w:vAlign w:val="bottom"/>
            <w:hideMark/>
          </w:tcPr>
          <w:p w14:paraId="5CB8A2AF"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3245F24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AVOL</w:t>
            </w:r>
          </w:p>
        </w:tc>
        <w:tc>
          <w:tcPr>
            <w:tcW w:w="366" w:type="dxa"/>
            <w:tcBorders>
              <w:top w:val="nil"/>
              <w:left w:val="nil"/>
              <w:bottom w:val="nil"/>
              <w:right w:val="nil"/>
            </w:tcBorders>
            <w:shd w:val="clear" w:color="auto" w:fill="auto"/>
            <w:noWrap/>
            <w:vAlign w:val="bottom"/>
            <w:hideMark/>
          </w:tcPr>
          <w:p w14:paraId="406CA4C6"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22FA19F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ASPREAD</w:t>
            </w:r>
          </w:p>
        </w:tc>
        <w:tc>
          <w:tcPr>
            <w:tcW w:w="367" w:type="dxa"/>
            <w:tcBorders>
              <w:top w:val="nil"/>
              <w:left w:val="nil"/>
              <w:bottom w:val="nil"/>
              <w:right w:val="nil"/>
            </w:tcBorders>
            <w:shd w:val="clear" w:color="auto" w:fill="auto"/>
            <w:noWrap/>
            <w:vAlign w:val="bottom"/>
            <w:hideMark/>
          </w:tcPr>
          <w:p w14:paraId="6FC40BD9"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4F07773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AVOL</w:t>
            </w:r>
          </w:p>
        </w:tc>
        <w:tc>
          <w:tcPr>
            <w:tcW w:w="366" w:type="dxa"/>
            <w:tcBorders>
              <w:top w:val="nil"/>
              <w:left w:val="nil"/>
              <w:bottom w:val="nil"/>
              <w:right w:val="nil"/>
            </w:tcBorders>
            <w:shd w:val="clear" w:color="auto" w:fill="auto"/>
            <w:noWrap/>
            <w:vAlign w:val="bottom"/>
            <w:hideMark/>
          </w:tcPr>
          <w:p w14:paraId="6C75950E"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75E421A2"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ASPREAD</w:t>
            </w:r>
          </w:p>
        </w:tc>
      </w:tr>
      <w:tr w:rsidR="004F1EC0" w:rsidRPr="0003281F" w14:paraId="0AE7D658" w14:textId="77777777" w:rsidTr="009A2F67">
        <w:trPr>
          <w:trHeight w:val="271"/>
          <w:jc w:val="center"/>
        </w:trPr>
        <w:tc>
          <w:tcPr>
            <w:tcW w:w="2393" w:type="dxa"/>
            <w:tcBorders>
              <w:top w:val="single" w:sz="4" w:space="0" w:color="auto"/>
              <w:left w:val="nil"/>
              <w:bottom w:val="nil"/>
              <w:right w:val="nil"/>
            </w:tcBorders>
            <w:shd w:val="clear" w:color="auto" w:fill="auto"/>
            <w:noWrap/>
            <w:vAlign w:val="bottom"/>
            <w:hideMark/>
          </w:tcPr>
          <w:p w14:paraId="1BCC9CC4"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 </w:t>
            </w:r>
          </w:p>
        </w:tc>
        <w:tc>
          <w:tcPr>
            <w:tcW w:w="367" w:type="dxa"/>
            <w:tcBorders>
              <w:top w:val="single" w:sz="4" w:space="0" w:color="auto"/>
              <w:left w:val="nil"/>
              <w:bottom w:val="nil"/>
              <w:right w:val="nil"/>
            </w:tcBorders>
            <w:shd w:val="clear" w:color="auto" w:fill="auto"/>
            <w:noWrap/>
            <w:vAlign w:val="bottom"/>
            <w:hideMark/>
          </w:tcPr>
          <w:p w14:paraId="13A6CFFE"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288" w:type="dxa"/>
            <w:tcBorders>
              <w:top w:val="single" w:sz="4" w:space="0" w:color="auto"/>
              <w:left w:val="nil"/>
              <w:bottom w:val="nil"/>
              <w:right w:val="nil"/>
            </w:tcBorders>
            <w:shd w:val="clear" w:color="auto" w:fill="auto"/>
            <w:noWrap/>
            <w:vAlign w:val="bottom"/>
            <w:hideMark/>
          </w:tcPr>
          <w:p w14:paraId="0185ED03"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366" w:type="dxa"/>
            <w:tcBorders>
              <w:top w:val="single" w:sz="4" w:space="0" w:color="auto"/>
              <w:left w:val="nil"/>
              <w:bottom w:val="nil"/>
              <w:right w:val="nil"/>
            </w:tcBorders>
            <w:shd w:val="clear" w:color="auto" w:fill="auto"/>
            <w:noWrap/>
            <w:vAlign w:val="bottom"/>
            <w:hideMark/>
          </w:tcPr>
          <w:p w14:paraId="09E2463D"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435" w:type="dxa"/>
            <w:tcBorders>
              <w:top w:val="single" w:sz="4" w:space="0" w:color="auto"/>
              <w:left w:val="nil"/>
              <w:bottom w:val="nil"/>
              <w:right w:val="nil"/>
            </w:tcBorders>
            <w:shd w:val="clear" w:color="auto" w:fill="auto"/>
            <w:noWrap/>
            <w:vAlign w:val="bottom"/>
            <w:hideMark/>
          </w:tcPr>
          <w:p w14:paraId="48AD43D7"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367" w:type="dxa"/>
            <w:tcBorders>
              <w:top w:val="single" w:sz="4" w:space="0" w:color="auto"/>
              <w:left w:val="nil"/>
              <w:bottom w:val="nil"/>
              <w:right w:val="nil"/>
            </w:tcBorders>
            <w:shd w:val="clear" w:color="auto" w:fill="auto"/>
            <w:noWrap/>
            <w:vAlign w:val="bottom"/>
            <w:hideMark/>
          </w:tcPr>
          <w:p w14:paraId="3A105E7E"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232" w:type="dxa"/>
            <w:tcBorders>
              <w:top w:val="single" w:sz="4" w:space="0" w:color="auto"/>
              <w:left w:val="nil"/>
              <w:bottom w:val="nil"/>
              <w:right w:val="nil"/>
            </w:tcBorders>
            <w:shd w:val="clear" w:color="auto" w:fill="auto"/>
            <w:noWrap/>
            <w:vAlign w:val="bottom"/>
            <w:hideMark/>
          </w:tcPr>
          <w:p w14:paraId="2105DF97"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366" w:type="dxa"/>
            <w:tcBorders>
              <w:top w:val="single" w:sz="4" w:space="0" w:color="auto"/>
              <w:left w:val="nil"/>
              <w:bottom w:val="nil"/>
              <w:right w:val="nil"/>
            </w:tcBorders>
            <w:shd w:val="clear" w:color="auto" w:fill="auto"/>
            <w:noWrap/>
            <w:vAlign w:val="bottom"/>
            <w:hideMark/>
          </w:tcPr>
          <w:p w14:paraId="795F7932"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556" w:type="dxa"/>
            <w:tcBorders>
              <w:top w:val="single" w:sz="4" w:space="0" w:color="auto"/>
              <w:left w:val="nil"/>
              <w:bottom w:val="nil"/>
              <w:right w:val="nil"/>
            </w:tcBorders>
            <w:shd w:val="clear" w:color="auto" w:fill="auto"/>
            <w:noWrap/>
            <w:vAlign w:val="bottom"/>
            <w:hideMark/>
          </w:tcPr>
          <w:p w14:paraId="5EB96F18"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r>
      <w:tr w:rsidR="004F1EC0" w:rsidRPr="0003281F" w14:paraId="7AC07527"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7B16B3A6"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POST</w:t>
            </w:r>
          </w:p>
        </w:tc>
        <w:tc>
          <w:tcPr>
            <w:tcW w:w="367" w:type="dxa"/>
            <w:tcBorders>
              <w:top w:val="nil"/>
              <w:left w:val="nil"/>
              <w:bottom w:val="nil"/>
              <w:right w:val="nil"/>
            </w:tcBorders>
            <w:shd w:val="clear" w:color="auto" w:fill="auto"/>
            <w:noWrap/>
            <w:vAlign w:val="bottom"/>
            <w:hideMark/>
          </w:tcPr>
          <w:p w14:paraId="30F6E4A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88" w:type="dxa"/>
            <w:tcBorders>
              <w:top w:val="nil"/>
              <w:left w:val="nil"/>
              <w:bottom w:val="nil"/>
              <w:right w:val="nil"/>
            </w:tcBorders>
            <w:shd w:val="clear" w:color="auto" w:fill="auto"/>
            <w:noWrap/>
            <w:vAlign w:val="bottom"/>
            <w:hideMark/>
          </w:tcPr>
          <w:p w14:paraId="0AAEFCE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0.038</w:t>
            </w:r>
          </w:p>
        </w:tc>
        <w:tc>
          <w:tcPr>
            <w:tcW w:w="366" w:type="dxa"/>
            <w:tcBorders>
              <w:top w:val="nil"/>
              <w:left w:val="nil"/>
              <w:bottom w:val="nil"/>
              <w:right w:val="nil"/>
            </w:tcBorders>
            <w:shd w:val="clear" w:color="auto" w:fill="auto"/>
            <w:noWrap/>
            <w:vAlign w:val="bottom"/>
            <w:hideMark/>
          </w:tcPr>
          <w:p w14:paraId="762873F7"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35" w:type="dxa"/>
            <w:tcBorders>
              <w:top w:val="nil"/>
              <w:left w:val="nil"/>
              <w:bottom w:val="nil"/>
              <w:right w:val="nil"/>
            </w:tcBorders>
            <w:shd w:val="clear" w:color="auto" w:fill="auto"/>
            <w:noWrap/>
            <w:vAlign w:val="bottom"/>
            <w:hideMark/>
          </w:tcPr>
          <w:p w14:paraId="08F5D35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0.074*</w:t>
            </w:r>
          </w:p>
        </w:tc>
        <w:tc>
          <w:tcPr>
            <w:tcW w:w="367" w:type="dxa"/>
            <w:tcBorders>
              <w:top w:val="nil"/>
              <w:left w:val="nil"/>
              <w:bottom w:val="nil"/>
              <w:right w:val="nil"/>
            </w:tcBorders>
            <w:shd w:val="clear" w:color="auto" w:fill="auto"/>
            <w:noWrap/>
            <w:vAlign w:val="bottom"/>
            <w:hideMark/>
          </w:tcPr>
          <w:p w14:paraId="59B8F61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32" w:type="dxa"/>
            <w:tcBorders>
              <w:top w:val="nil"/>
              <w:left w:val="nil"/>
              <w:bottom w:val="nil"/>
              <w:right w:val="nil"/>
            </w:tcBorders>
            <w:shd w:val="clear" w:color="auto" w:fill="auto"/>
            <w:noWrap/>
            <w:vAlign w:val="bottom"/>
            <w:hideMark/>
          </w:tcPr>
          <w:p w14:paraId="27C58927"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0.046</w:t>
            </w:r>
          </w:p>
        </w:tc>
        <w:tc>
          <w:tcPr>
            <w:tcW w:w="366" w:type="dxa"/>
            <w:tcBorders>
              <w:top w:val="nil"/>
              <w:left w:val="nil"/>
              <w:bottom w:val="nil"/>
              <w:right w:val="nil"/>
            </w:tcBorders>
            <w:shd w:val="clear" w:color="auto" w:fill="auto"/>
            <w:noWrap/>
            <w:vAlign w:val="bottom"/>
            <w:hideMark/>
          </w:tcPr>
          <w:p w14:paraId="602B6ADE"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556" w:type="dxa"/>
            <w:tcBorders>
              <w:top w:val="nil"/>
              <w:left w:val="nil"/>
              <w:bottom w:val="nil"/>
              <w:right w:val="nil"/>
            </w:tcBorders>
            <w:shd w:val="clear" w:color="auto" w:fill="auto"/>
            <w:noWrap/>
            <w:vAlign w:val="bottom"/>
            <w:hideMark/>
          </w:tcPr>
          <w:p w14:paraId="7CAFAE5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0.147</w:t>
            </w:r>
          </w:p>
        </w:tc>
      </w:tr>
      <w:tr w:rsidR="004F1EC0" w:rsidRPr="0003281F" w14:paraId="1DB1606D"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445B5DDE" w14:textId="77777777" w:rsidR="004F1EC0" w:rsidRPr="0003281F" w:rsidRDefault="004F1EC0" w:rsidP="001853E3">
            <w:pPr>
              <w:widowControl w:val="0"/>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002CDB81"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53ED8CC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(0.102)</w:t>
            </w:r>
          </w:p>
        </w:tc>
        <w:tc>
          <w:tcPr>
            <w:tcW w:w="366" w:type="dxa"/>
            <w:tcBorders>
              <w:top w:val="nil"/>
              <w:left w:val="nil"/>
              <w:bottom w:val="nil"/>
              <w:right w:val="nil"/>
            </w:tcBorders>
            <w:shd w:val="clear" w:color="auto" w:fill="auto"/>
            <w:noWrap/>
            <w:vAlign w:val="bottom"/>
            <w:hideMark/>
          </w:tcPr>
          <w:p w14:paraId="5B3E6883"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043C56FD"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(0.099)</w:t>
            </w:r>
          </w:p>
        </w:tc>
        <w:tc>
          <w:tcPr>
            <w:tcW w:w="367" w:type="dxa"/>
            <w:tcBorders>
              <w:top w:val="nil"/>
              <w:left w:val="nil"/>
              <w:bottom w:val="nil"/>
              <w:right w:val="nil"/>
            </w:tcBorders>
            <w:shd w:val="clear" w:color="auto" w:fill="auto"/>
            <w:noWrap/>
            <w:vAlign w:val="bottom"/>
            <w:hideMark/>
          </w:tcPr>
          <w:p w14:paraId="19E1E2E2"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09C9A9B5"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(0.503)</w:t>
            </w:r>
          </w:p>
        </w:tc>
        <w:tc>
          <w:tcPr>
            <w:tcW w:w="366" w:type="dxa"/>
            <w:tcBorders>
              <w:top w:val="nil"/>
              <w:left w:val="nil"/>
              <w:bottom w:val="nil"/>
              <w:right w:val="nil"/>
            </w:tcBorders>
            <w:shd w:val="clear" w:color="auto" w:fill="auto"/>
            <w:noWrap/>
            <w:vAlign w:val="bottom"/>
            <w:hideMark/>
          </w:tcPr>
          <w:p w14:paraId="188041AC"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0B6430D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(0.320)</w:t>
            </w:r>
          </w:p>
        </w:tc>
      </w:tr>
      <w:tr w:rsidR="004F1EC0" w:rsidRPr="0003281F" w14:paraId="76282DA3"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38CCE64D"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UK</w:t>
            </w:r>
          </w:p>
        </w:tc>
        <w:tc>
          <w:tcPr>
            <w:tcW w:w="367" w:type="dxa"/>
            <w:tcBorders>
              <w:top w:val="nil"/>
              <w:left w:val="nil"/>
              <w:bottom w:val="nil"/>
              <w:right w:val="nil"/>
            </w:tcBorders>
            <w:shd w:val="clear" w:color="auto" w:fill="auto"/>
            <w:noWrap/>
            <w:vAlign w:val="bottom"/>
            <w:hideMark/>
          </w:tcPr>
          <w:p w14:paraId="27ABF45C"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88" w:type="dxa"/>
            <w:tcBorders>
              <w:top w:val="nil"/>
              <w:left w:val="nil"/>
              <w:bottom w:val="nil"/>
              <w:right w:val="nil"/>
            </w:tcBorders>
            <w:shd w:val="clear" w:color="auto" w:fill="auto"/>
            <w:noWrap/>
            <w:vAlign w:val="bottom"/>
            <w:hideMark/>
          </w:tcPr>
          <w:p w14:paraId="0ACA45D7"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-0.152**</w:t>
            </w:r>
          </w:p>
        </w:tc>
        <w:tc>
          <w:tcPr>
            <w:tcW w:w="366" w:type="dxa"/>
            <w:tcBorders>
              <w:top w:val="nil"/>
              <w:left w:val="nil"/>
              <w:bottom w:val="nil"/>
              <w:right w:val="nil"/>
            </w:tcBorders>
            <w:shd w:val="clear" w:color="auto" w:fill="auto"/>
            <w:noWrap/>
            <w:vAlign w:val="bottom"/>
            <w:hideMark/>
          </w:tcPr>
          <w:p w14:paraId="0CE6097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35" w:type="dxa"/>
            <w:tcBorders>
              <w:top w:val="nil"/>
              <w:left w:val="nil"/>
              <w:bottom w:val="nil"/>
              <w:right w:val="nil"/>
            </w:tcBorders>
            <w:shd w:val="clear" w:color="auto" w:fill="auto"/>
            <w:noWrap/>
            <w:vAlign w:val="bottom"/>
            <w:hideMark/>
          </w:tcPr>
          <w:p w14:paraId="70061B8E"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0.001</w:t>
            </w:r>
          </w:p>
        </w:tc>
        <w:tc>
          <w:tcPr>
            <w:tcW w:w="367" w:type="dxa"/>
            <w:tcBorders>
              <w:top w:val="nil"/>
              <w:left w:val="nil"/>
              <w:bottom w:val="nil"/>
              <w:right w:val="nil"/>
            </w:tcBorders>
            <w:shd w:val="clear" w:color="auto" w:fill="auto"/>
            <w:noWrap/>
            <w:vAlign w:val="bottom"/>
            <w:hideMark/>
          </w:tcPr>
          <w:p w14:paraId="355C040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32" w:type="dxa"/>
            <w:tcBorders>
              <w:top w:val="nil"/>
              <w:left w:val="nil"/>
              <w:bottom w:val="nil"/>
              <w:right w:val="nil"/>
            </w:tcBorders>
            <w:shd w:val="clear" w:color="auto" w:fill="auto"/>
            <w:noWrap/>
            <w:vAlign w:val="bottom"/>
            <w:hideMark/>
          </w:tcPr>
          <w:p w14:paraId="26147577"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-0.209**</w:t>
            </w:r>
          </w:p>
        </w:tc>
        <w:tc>
          <w:tcPr>
            <w:tcW w:w="366" w:type="dxa"/>
            <w:tcBorders>
              <w:top w:val="nil"/>
              <w:left w:val="nil"/>
              <w:bottom w:val="nil"/>
              <w:right w:val="nil"/>
            </w:tcBorders>
            <w:shd w:val="clear" w:color="auto" w:fill="auto"/>
            <w:noWrap/>
            <w:vAlign w:val="bottom"/>
            <w:hideMark/>
          </w:tcPr>
          <w:p w14:paraId="79EB0AAD"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556" w:type="dxa"/>
            <w:tcBorders>
              <w:top w:val="nil"/>
              <w:left w:val="nil"/>
              <w:bottom w:val="nil"/>
              <w:right w:val="nil"/>
            </w:tcBorders>
            <w:shd w:val="clear" w:color="auto" w:fill="auto"/>
            <w:noWrap/>
            <w:vAlign w:val="bottom"/>
            <w:hideMark/>
          </w:tcPr>
          <w:p w14:paraId="490594B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0.043</w:t>
            </w:r>
          </w:p>
        </w:tc>
      </w:tr>
      <w:tr w:rsidR="004F1EC0" w:rsidRPr="0003281F" w14:paraId="7E67541A"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7E6BC6A3" w14:textId="77777777" w:rsidR="004F1EC0" w:rsidRPr="0003281F" w:rsidRDefault="004F1EC0" w:rsidP="001853E3">
            <w:pPr>
              <w:widowControl w:val="0"/>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07B0684F"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159E536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(0.017)</w:t>
            </w:r>
          </w:p>
        </w:tc>
        <w:tc>
          <w:tcPr>
            <w:tcW w:w="366" w:type="dxa"/>
            <w:tcBorders>
              <w:top w:val="nil"/>
              <w:left w:val="nil"/>
              <w:bottom w:val="nil"/>
              <w:right w:val="nil"/>
            </w:tcBorders>
            <w:shd w:val="clear" w:color="auto" w:fill="auto"/>
            <w:noWrap/>
            <w:vAlign w:val="bottom"/>
            <w:hideMark/>
          </w:tcPr>
          <w:p w14:paraId="75F157F3"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46C7E975"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(0.982)</w:t>
            </w:r>
          </w:p>
        </w:tc>
        <w:tc>
          <w:tcPr>
            <w:tcW w:w="367" w:type="dxa"/>
            <w:tcBorders>
              <w:top w:val="nil"/>
              <w:left w:val="nil"/>
              <w:bottom w:val="nil"/>
              <w:right w:val="nil"/>
            </w:tcBorders>
            <w:shd w:val="clear" w:color="auto" w:fill="auto"/>
            <w:noWrap/>
            <w:vAlign w:val="bottom"/>
            <w:hideMark/>
          </w:tcPr>
          <w:p w14:paraId="7E5401CB"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77D5D635"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(0.029)</w:t>
            </w:r>
          </w:p>
        </w:tc>
        <w:tc>
          <w:tcPr>
            <w:tcW w:w="366" w:type="dxa"/>
            <w:tcBorders>
              <w:top w:val="nil"/>
              <w:left w:val="nil"/>
              <w:bottom w:val="nil"/>
              <w:right w:val="nil"/>
            </w:tcBorders>
            <w:shd w:val="clear" w:color="auto" w:fill="auto"/>
            <w:noWrap/>
            <w:vAlign w:val="bottom"/>
            <w:hideMark/>
          </w:tcPr>
          <w:p w14:paraId="6187AD0F"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2D06F16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(0.597)</w:t>
            </w:r>
          </w:p>
        </w:tc>
      </w:tr>
      <w:tr w:rsidR="004F1EC0" w:rsidRPr="0003281F" w14:paraId="47C3ABE8"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5D127449" w14:textId="77777777" w:rsidR="004F1EC0" w:rsidRPr="0003281F" w:rsidRDefault="004F1EC0" w:rsidP="001853E3">
            <w:pPr>
              <w:widowControl w:val="0"/>
              <w:rPr>
                <w:rFonts w:eastAsia="Times New Roman"/>
                <w:b/>
                <w:bCs/>
                <w:color w:val="000000"/>
                <w:sz w:val="22"/>
                <w:szCs w:val="22"/>
              </w:rPr>
            </w:pPr>
            <w:r w:rsidRPr="0003281F">
              <w:rPr>
                <w:rFonts w:eastAsia="Times New Roman"/>
                <w:b/>
                <w:bCs/>
                <w:color w:val="000000"/>
                <w:sz w:val="22"/>
                <w:szCs w:val="22"/>
              </w:rPr>
              <w:t>POST x UK</w:t>
            </w:r>
          </w:p>
        </w:tc>
        <w:tc>
          <w:tcPr>
            <w:tcW w:w="367" w:type="dxa"/>
            <w:tcBorders>
              <w:top w:val="nil"/>
              <w:left w:val="nil"/>
              <w:bottom w:val="nil"/>
              <w:right w:val="nil"/>
            </w:tcBorders>
            <w:shd w:val="clear" w:color="auto" w:fill="auto"/>
            <w:noWrap/>
            <w:vAlign w:val="bottom"/>
            <w:hideMark/>
          </w:tcPr>
          <w:p w14:paraId="280404B0"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w:t>
            </w:r>
          </w:p>
        </w:tc>
        <w:tc>
          <w:tcPr>
            <w:tcW w:w="1288" w:type="dxa"/>
            <w:tcBorders>
              <w:top w:val="nil"/>
              <w:left w:val="nil"/>
              <w:bottom w:val="nil"/>
              <w:right w:val="nil"/>
            </w:tcBorders>
            <w:shd w:val="clear" w:color="auto" w:fill="auto"/>
            <w:noWrap/>
            <w:vAlign w:val="bottom"/>
            <w:hideMark/>
          </w:tcPr>
          <w:p w14:paraId="3D34AA8E"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0.103*</w:t>
            </w:r>
          </w:p>
        </w:tc>
        <w:tc>
          <w:tcPr>
            <w:tcW w:w="366" w:type="dxa"/>
            <w:tcBorders>
              <w:top w:val="nil"/>
              <w:left w:val="nil"/>
              <w:bottom w:val="nil"/>
              <w:right w:val="nil"/>
            </w:tcBorders>
            <w:shd w:val="clear" w:color="auto" w:fill="auto"/>
            <w:noWrap/>
            <w:vAlign w:val="bottom"/>
            <w:hideMark/>
          </w:tcPr>
          <w:p w14:paraId="287FE287"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w:t>
            </w:r>
          </w:p>
        </w:tc>
        <w:tc>
          <w:tcPr>
            <w:tcW w:w="1435" w:type="dxa"/>
            <w:tcBorders>
              <w:top w:val="nil"/>
              <w:left w:val="nil"/>
              <w:bottom w:val="nil"/>
              <w:right w:val="nil"/>
            </w:tcBorders>
            <w:shd w:val="clear" w:color="auto" w:fill="auto"/>
            <w:noWrap/>
            <w:vAlign w:val="bottom"/>
            <w:hideMark/>
          </w:tcPr>
          <w:p w14:paraId="4D221FD2"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-0.193***</w:t>
            </w:r>
          </w:p>
        </w:tc>
        <w:tc>
          <w:tcPr>
            <w:tcW w:w="367" w:type="dxa"/>
            <w:tcBorders>
              <w:top w:val="nil"/>
              <w:left w:val="nil"/>
              <w:bottom w:val="nil"/>
              <w:right w:val="nil"/>
            </w:tcBorders>
            <w:shd w:val="clear" w:color="auto" w:fill="auto"/>
            <w:noWrap/>
            <w:vAlign w:val="bottom"/>
            <w:hideMark/>
          </w:tcPr>
          <w:p w14:paraId="312B9FC5"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w:t>
            </w:r>
          </w:p>
        </w:tc>
        <w:tc>
          <w:tcPr>
            <w:tcW w:w="1232" w:type="dxa"/>
            <w:tcBorders>
              <w:top w:val="nil"/>
              <w:left w:val="nil"/>
              <w:bottom w:val="nil"/>
              <w:right w:val="nil"/>
            </w:tcBorders>
            <w:shd w:val="clear" w:color="auto" w:fill="auto"/>
            <w:noWrap/>
            <w:vAlign w:val="bottom"/>
            <w:hideMark/>
          </w:tcPr>
          <w:p w14:paraId="719D124B"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0.296**</w:t>
            </w:r>
          </w:p>
        </w:tc>
        <w:tc>
          <w:tcPr>
            <w:tcW w:w="366" w:type="dxa"/>
            <w:tcBorders>
              <w:top w:val="nil"/>
              <w:left w:val="nil"/>
              <w:bottom w:val="nil"/>
              <w:right w:val="nil"/>
            </w:tcBorders>
            <w:shd w:val="clear" w:color="auto" w:fill="auto"/>
            <w:noWrap/>
            <w:vAlign w:val="bottom"/>
            <w:hideMark/>
          </w:tcPr>
          <w:p w14:paraId="31D3BD42"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w:t>
            </w:r>
          </w:p>
        </w:tc>
        <w:tc>
          <w:tcPr>
            <w:tcW w:w="1556" w:type="dxa"/>
            <w:tcBorders>
              <w:top w:val="nil"/>
              <w:left w:val="nil"/>
              <w:bottom w:val="nil"/>
              <w:right w:val="nil"/>
            </w:tcBorders>
            <w:shd w:val="clear" w:color="auto" w:fill="auto"/>
            <w:noWrap/>
            <w:vAlign w:val="bottom"/>
            <w:hideMark/>
          </w:tcPr>
          <w:p w14:paraId="23106A1D"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-0.299**</w:t>
            </w:r>
          </w:p>
        </w:tc>
      </w:tr>
      <w:tr w:rsidR="004F1EC0" w:rsidRPr="0003281F" w14:paraId="784318C8"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38A6C729" w14:textId="77777777" w:rsidR="004F1EC0" w:rsidRPr="0003281F" w:rsidRDefault="004F1EC0" w:rsidP="001853E3">
            <w:pPr>
              <w:widowControl w:val="0"/>
              <w:rPr>
                <w:rFonts w:eastAsia="Times New Roman"/>
                <w:b/>
                <w:bCs/>
                <w:color w:val="000000"/>
                <w:sz w:val="22"/>
                <w:szCs w:val="22"/>
              </w:rPr>
            </w:pPr>
          </w:p>
        </w:tc>
        <w:tc>
          <w:tcPr>
            <w:tcW w:w="367" w:type="dxa"/>
            <w:tcBorders>
              <w:top w:val="nil"/>
              <w:left w:val="nil"/>
              <w:bottom w:val="nil"/>
              <w:right w:val="nil"/>
            </w:tcBorders>
            <w:shd w:val="clear" w:color="auto" w:fill="auto"/>
            <w:noWrap/>
            <w:vAlign w:val="bottom"/>
            <w:hideMark/>
          </w:tcPr>
          <w:p w14:paraId="71334E9A" w14:textId="77777777" w:rsidR="004F1EC0" w:rsidRPr="0003281F" w:rsidRDefault="004F1EC0" w:rsidP="001853E3">
            <w:pPr>
              <w:widowControl w:val="0"/>
              <w:jc w:val="center"/>
              <w:rPr>
                <w:rFonts w:eastAsia="Times New Roman"/>
                <w:b/>
                <w:bCs/>
                <w:color w:val="000000"/>
                <w:sz w:val="22"/>
                <w:szCs w:val="22"/>
              </w:rPr>
            </w:pPr>
          </w:p>
        </w:tc>
        <w:tc>
          <w:tcPr>
            <w:tcW w:w="1288" w:type="dxa"/>
            <w:tcBorders>
              <w:top w:val="nil"/>
              <w:left w:val="nil"/>
              <w:bottom w:val="nil"/>
              <w:right w:val="nil"/>
            </w:tcBorders>
            <w:shd w:val="clear" w:color="auto" w:fill="auto"/>
            <w:noWrap/>
            <w:vAlign w:val="bottom"/>
            <w:hideMark/>
          </w:tcPr>
          <w:p w14:paraId="585B5A90"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(0.090)</w:t>
            </w:r>
          </w:p>
        </w:tc>
        <w:tc>
          <w:tcPr>
            <w:tcW w:w="366" w:type="dxa"/>
            <w:tcBorders>
              <w:top w:val="nil"/>
              <w:left w:val="nil"/>
              <w:bottom w:val="nil"/>
              <w:right w:val="nil"/>
            </w:tcBorders>
            <w:shd w:val="clear" w:color="auto" w:fill="auto"/>
            <w:noWrap/>
            <w:vAlign w:val="bottom"/>
            <w:hideMark/>
          </w:tcPr>
          <w:p w14:paraId="43AE2074" w14:textId="77777777" w:rsidR="004F1EC0" w:rsidRPr="0003281F" w:rsidRDefault="004F1EC0" w:rsidP="001853E3">
            <w:pPr>
              <w:widowControl w:val="0"/>
              <w:jc w:val="center"/>
              <w:rPr>
                <w:rFonts w:eastAsia="Times New Roman"/>
                <w:b/>
                <w:bCs/>
                <w:color w:val="000000"/>
                <w:sz w:val="22"/>
                <w:szCs w:val="22"/>
              </w:rPr>
            </w:pPr>
          </w:p>
        </w:tc>
        <w:tc>
          <w:tcPr>
            <w:tcW w:w="1435" w:type="dxa"/>
            <w:tcBorders>
              <w:top w:val="nil"/>
              <w:left w:val="nil"/>
              <w:bottom w:val="nil"/>
              <w:right w:val="nil"/>
            </w:tcBorders>
            <w:shd w:val="clear" w:color="auto" w:fill="auto"/>
            <w:noWrap/>
            <w:vAlign w:val="bottom"/>
            <w:hideMark/>
          </w:tcPr>
          <w:p w14:paraId="0A1FC953"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(0.004)</w:t>
            </w:r>
          </w:p>
        </w:tc>
        <w:tc>
          <w:tcPr>
            <w:tcW w:w="367" w:type="dxa"/>
            <w:tcBorders>
              <w:top w:val="nil"/>
              <w:left w:val="nil"/>
              <w:bottom w:val="nil"/>
              <w:right w:val="nil"/>
            </w:tcBorders>
            <w:shd w:val="clear" w:color="auto" w:fill="auto"/>
            <w:noWrap/>
            <w:vAlign w:val="bottom"/>
            <w:hideMark/>
          </w:tcPr>
          <w:p w14:paraId="007B3E10" w14:textId="77777777" w:rsidR="004F1EC0" w:rsidRPr="0003281F" w:rsidRDefault="004F1EC0" w:rsidP="001853E3">
            <w:pPr>
              <w:widowControl w:val="0"/>
              <w:jc w:val="center"/>
              <w:rPr>
                <w:rFonts w:eastAsia="Times New Roman"/>
                <w:b/>
                <w:bCs/>
                <w:color w:val="000000"/>
                <w:sz w:val="22"/>
                <w:szCs w:val="22"/>
              </w:rPr>
            </w:pPr>
          </w:p>
        </w:tc>
        <w:tc>
          <w:tcPr>
            <w:tcW w:w="1232" w:type="dxa"/>
            <w:tcBorders>
              <w:top w:val="nil"/>
              <w:left w:val="nil"/>
              <w:bottom w:val="nil"/>
              <w:right w:val="nil"/>
            </w:tcBorders>
            <w:shd w:val="clear" w:color="auto" w:fill="auto"/>
            <w:noWrap/>
            <w:vAlign w:val="bottom"/>
            <w:hideMark/>
          </w:tcPr>
          <w:p w14:paraId="1308952D"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(0.011)</w:t>
            </w:r>
          </w:p>
        </w:tc>
        <w:tc>
          <w:tcPr>
            <w:tcW w:w="366" w:type="dxa"/>
            <w:tcBorders>
              <w:top w:val="nil"/>
              <w:left w:val="nil"/>
              <w:bottom w:val="nil"/>
              <w:right w:val="nil"/>
            </w:tcBorders>
            <w:shd w:val="clear" w:color="auto" w:fill="auto"/>
            <w:noWrap/>
            <w:vAlign w:val="bottom"/>
            <w:hideMark/>
          </w:tcPr>
          <w:p w14:paraId="4B4F9D04" w14:textId="77777777" w:rsidR="004F1EC0" w:rsidRPr="0003281F" w:rsidRDefault="004F1EC0" w:rsidP="001853E3">
            <w:pPr>
              <w:widowControl w:val="0"/>
              <w:jc w:val="center"/>
              <w:rPr>
                <w:rFonts w:eastAsia="Times New Roman"/>
                <w:b/>
                <w:bCs/>
                <w:color w:val="000000"/>
                <w:sz w:val="22"/>
                <w:szCs w:val="22"/>
              </w:rPr>
            </w:pPr>
          </w:p>
        </w:tc>
        <w:tc>
          <w:tcPr>
            <w:tcW w:w="1556" w:type="dxa"/>
            <w:tcBorders>
              <w:top w:val="nil"/>
              <w:left w:val="nil"/>
              <w:bottom w:val="nil"/>
              <w:right w:val="nil"/>
            </w:tcBorders>
            <w:shd w:val="clear" w:color="auto" w:fill="auto"/>
            <w:noWrap/>
            <w:vAlign w:val="bottom"/>
            <w:hideMark/>
          </w:tcPr>
          <w:p w14:paraId="4847743D" w14:textId="77777777" w:rsidR="004F1EC0" w:rsidRPr="0003281F" w:rsidRDefault="004F1EC0" w:rsidP="001853E3">
            <w:pPr>
              <w:widowControl w:val="0"/>
              <w:jc w:val="center"/>
              <w:rPr>
                <w:rFonts w:eastAsia="Times New Roman"/>
                <w:b/>
                <w:bCs/>
                <w:color w:val="000000"/>
                <w:sz w:val="22"/>
                <w:szCs w:val="22"/>
              </w:rPr>
            </w:pPr>
            <w:r w:rsidRPr="0003281F">
              <w:rPr>
                <w:rFonts w:eastAsia="Times New Roman"/>
                <w:b/>
                <w:bCs/>
                <w:color w:val="000000"/>
                <w:sz w:val="22"/>
                <w:szCs w:val="22"/>
              </w:rPr>
              <w:t>(0.044)</w:t>
            </w:r>
          </w:p>
        </w:tc>
      </w:tr>
      <w:tr w:rsidR="004F1EC0" w:rsidRPr="0003281F" w14:paraId="5C235EE1"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411A9B94"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LN_MVE</w:t>
            </w:r>
          </w:p>
        </w:tc>
        <w:tc>
          <w:tcPr>
            <w:tcW w:w="367" w:type="dxa"/>
            <w:tcBorders>
              <w:top w:val="nil"/>
              <w:left w:val="nil"/>
              <w:bottom w:val="nil"/>
              <w:right w:val="nil"/>
            </w:tcBorders>
            <w:shd w:val="clear" w:color="auto" w:fill="auto"/>
            <w:noWrap/>
            <w:vAlign w:val="bottom"/>
            <w:hideMark/>
          </w:tcPr>
          <w:p w14:paraId="34CF5E6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88" w:type="dxa"/>
            <w:tcBorders>
              <w:top w:val="nil"/>
              <w:left w:val="nil"/>
              <w:bottom w:val="nil"/>
              <w:right w:val="nil"/>
            </w:tcBorders>
            <w:shd w:val="clear" w:color="auto" w:fill="auto"/>
            <w:noWrap/>
            <w:vAlign w:val="bottom"/>
            <w:hideMark/>
          </w:tcPr>
          <w:p w14:paraId="12653C8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-0.008</w:t>
            </w:r>
          </w:p>
        </w:tc>
        <w:tc>
          <w:tcPr>
            <w:tcW w:w="366" w:type="dxa"/>
            <w:tcBorders>
              <w:top w:val="nil"/>
              <w:left w:val="nil"/>
              <w:bottom w:val="nil"/>
              <w:right w:val="nil"/>
            </w:tcBorders>
            <w:shd w:val="clear" w:color="auto" w:fill="auto"/>
            <w:noWrap/>
            <w:vAlign w:val="bottom"/>
            <w:hideMark/>
          </w:tcPr>
          <w:p w14:paraId="50D0003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35" w:type="dxa"/>
            <w:tcBorders>
              <w:top w:val="nil"/>
              <w:left w:val="nil"/>
              <w:bottom w:val="nil"/>
              <w:right w:val="nil"/>
            </w:tcBorders>
            <w:shd w:val="clear" w:color="auto" w:fill="auto"/>
            <w:noWrap/>
            <w:vAlign w:val="bottom"/>
            <w:hideMark/>
          </w:tcPr>
          <w:p w14:paraId="56A499B7"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-0.097***</w:t>
            </w:r>
          </w:p>
        </w:tc>
        <w:tc>
          <w:tcPr>
            <w:tcW w:w="367" w:type="dxa"/>
            <w:tcBorders>
              <w:top w:val="nil"/>
              <w:left w:val="nil"/>
              <w:bottom w:val="nil"/>
              <w:right w:val="nil"/>
            </w:tcBorders>
            <w:shd w:val="clear" w:color="auto" w:fill="auto"/>
            <w:noWrap/>
            <w:vAlign w:val="bottom"/>
            <w:hideMark/>
          </w:tcPr>
          <w:p w14:paraId="03A9DE9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32" w:type="dxa"/>
            <w:tcBorders>
              <w:top w:val="nil"/>
              <w:left w:val="nil"/>
              <w:bottom w:val="nil"/>
              <w:right w:val="nil"/>
            </w:tcBorders>
            <w:shd w:val="clear" w:color="auto" w:fill="auto"/>
            <w:noWrap/>
            <w:vAlign w:val="bottom"/>
            <w:hideMark/>
          </w:tcPr>
          <w:p w14:paraId="26CE24C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-0.003</w:t>
            </w:r>
          </w:p>
        </w:tc>
        <w:tc>
          <w:tcPr>
            <w:tcW w:w="366" w:type="dxa"/>
            <w:tcBorders>
              <w:top w:val="nil"/>
              <w:left w:val="nil"/>
              <w:bottom w:val="nil"/>
              <w:right w:val="nil"/>
            </w:tcBorders>
            <w:shd w:val="clear" w:color="auto" w:fill="auto"/>
            <w:noWrap/>
            <w:vAlign w:val="bottom"/>
            <w:hideMark/>
          </w:tcPr>
          <w:p w14:paraId="4D657D72"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556" w:type="dxa"/>
            <w:tcBorders>
              <w:top w:val="nil"/>
              <w:left w:val="nil"/>
              <w:bottom w:val="nil"/>
              <w:right w:val="nil"/>
            </w:tcBorders>
            <w:shd w:val="clear" w:color="auto" w:fill="auto"/>
            <w:noWrap/>
            <w:vAlign w:val="bottom"/>
            <w:hideMark/>
          </w:tcPr>
          <w:p w14:paraId="498A5D2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-0.068</w:t>
            </w:r>
          </w:p>
        </w:tc>
      </w:tr>
      <w:tr w:rsidR="004F1EC0" w:rsidRPr="0003281F" w14:paraId="16F63D5F"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53FBB7CD" w14:textId="77777777" w:rsidR="004F1EC0" w:rsidRPr="0003281F" w:rsidRDefault="004F1EC0" w:rsidP="001853E3">
            <w:pPr>
              <w:widowControl w:val="0"/>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7AC71A0C"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433F31C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(0.567)</w:t>
            </w:r>
          </w:p>
        </w:tc>
        <w:tc>
          <w:tcPr>
            <w:tcW w:w="366" w:type="dxa"/>
            <w:tcBorders>
              <w:top w:val="nil"/>
              <w:left w:val="nil"/>
              <w:bottom w:val="nil"/>
              <w:right w:val="nil"/>
            </w:tcBorders>
            <w:shd w:val="clear" w:color="auto" w:fill="auto"/>
            <w:noWrap/>
            <w:vAlign w:val="bottom"/>
            <w:hideMark/>
          </w:tcPr>
          <w:p w14:paraId="6A646219"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281440A2"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(0.000)</w:t>
            </w:r>
          </w:p>
        </w:tc>
        <w:tc>
          <w:tcPr>
            <w:tcW w:w="367" w:type="dxa"/>
            <w:tcBorders>
              <w:top w:val="nil"/>
              <w:left w:val="nil"/>
              <w:bottom w:val="nil"/>
              <w:right w:val="nil"/>
            </w:tcBorders>
            <w:shd w:val="clear" w:color="auto" w:fill="auto"/>
            <w:noWrap/>
            <w:vAlign w:val="bottom"/>
            <w:hideMark/>
          </w:tcPr>
          <w:p w14:paraId="2C0061BE"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25B2762A"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(0.932)</w:t>
            </w:r>
          </w:p>
        </w:tc>
        <w:tc>
          <w:tcPr>
            <w:tcW w:w="366" w:type="dxa"/>
            <w:tcBorders>
              <w:top w:val="nil"/>
              <w:left w:val="nil"/>
              <w:bottom w:val="nil"/>
              <w:right w:val="nil"/>
            </w:tcBorders>
            <w:shd w:val="clear" w:color="auto" w:fill="auto"/>
            <w:noWrap/>
            <w:vAlign w:val="bottom"/>
            <w:hideMark/>
          </w:tcPr>
          <w:p w14:paraId="4A6BEF51"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29C8C9E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(0.111)</w:t>
            </w:r>
          </w:p>
        </w:tc>
      </w:tr>
      <w:tr w:rsidR="004F1EC0" w:rsidRPr="0003281F" w14:paraId="40B82636"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7F9D1D8E"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NUM_ANALYST</w:t>
            </w:r>
          </w:p>
        </w:tc>
        <w:tc>
          <w:tcPr>
            <w:tcW w:w="367" w:type="dxa"/>
            <w:tcBorders>
              <w:top w:val="nil"/>
              <w:left w:val="nil"/>
              <w:bottom w:val="nil"/>
              <w:right w:val="nil"/>
            </w:tcBorders>
            <w:shd w:val="clear" w:color="auto" w:fill="auto"/>
            <w:noWrap/>
            <w:vAlign w:val="bottom"/>
            <w:hideMark/>
          </w:tcPr>
          <w:p w14:paraId="4983CBB1"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88" w:type="dxa"/>
            <w:tcBorders>
              <w:top w:val="nil"/>
              <w:left w:val="nil"/>
              <w:bottom w:val="nil"/>
              <w:right w:val="nil"/>
            </w:tcBorders>
            <w:shd w:val="clear" w:color="auto" w:fill="auto"/>
            <w:noWrap/>
            <w:vAlign w:val="bottom"/>
            <w:hideMark/>
          </w:tcPr>
          <w:p w14:paraId="602A2FEC"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0.004*</w:t>
            </w:r>
          </w:p>
        </w:tc>
        <w:tc>
          <w:tcPr>
            <w:tcW w:w="366" w:type="dxa"/>
            <w:tcBorders>
              <w:top w:val="nil"/>
              <w:left w:val="nil"/>
              <w:bottom w:val="nil"/>
              <w:right w:val="nil"/>
            </w:tcBorders>
            <w:shd w:val="clear" w:color="auto" w:fill="auto"/>
            <w:noWrap/>
            <w:vAlign w:val="bottom"/>
            <w:hideMark/>
          </w:tcPr>
          <w:p w14:paraId="4D7D5CC8"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35" w:type="dxa"/>
            <w:tcBorders>
              <w:top w:val="nil"/>
              <w:left w:val="nil"/>
              <w:bottom w:val="nil"/>
              <w:right w:val="nil"/>
            </w:tcBorders>
            <w:shd w:val="clear" w:color="auto" w:fill="auto"/>
            <w:noWrap/>
            <w:vAlign w:val="bottom"/>
            <w:hideMark/>
          </w:tcPr>
          <w:p w14:paraId="5D5D3BA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-0.001</w:t>
            </w:r>
          </w:p>
        </w:tc>
        <w:tc>
          <w:tcPr>
            <w:tcW w:w="367" w:type="dxa"/>
            <w:tcBorders>
              <w:top w:val="nil"/>
              <w:left w:val="nil"/>
              <w:bottom w:val="nil"/>
              <w:right w:val="nil"/>
            </w:tcBorders>
            <w:shd w:val="clear" w:color="auto" w:fill="auto"/>
            <w:noWrap/>
            <w:vAlign w:val="bottom"/>
            <w:hideMark/>
          </w:tcPr>
          <w:p w14:paraId="5CC624B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32" w:type="dxa"/>
            <w:tcBorders>
              <w:top w:val="nil"/>
              <w:left w:val="nil"/>
              <w:bottom w:val="nil"/>
              <w:right w:val="nil"/>
            </w:tcBorders>
            <w:shd w:val="clear" w:color="auto" w:fill="auto"/>
            <w:noWrap/>
            <w:vAlign w:val="bottom"/>
            <w:hideMark/>
          </w:tcPr>
          <w:p w14:paraId="387BA9B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0.013**</w:t>
            </w:r>
          </w:p>
        </w:tc>
        <w:tc>
          <w:tcPr>
            <w:tcW w:w="366" w:type="dxa"/>
            <w:tcBorders>
              <w:top w:val="nil"/>
              <w:left w:val="nil"/>
              <w:bottom w:val="nil"/>
              <w:right w:val="nil"/>
            </w:tcBorders>
            <w:shd w:val="clear" w:color="auto" w:fill="auto"/>
            <w:noWrap/>
            <w:vAlign w:val="bottom"/>
            <w:hideMark/>
          </w:tcPr>
          <w:p w14:paraId="7B2BC45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556" w:type="dxa"/>
            <w:tcBorders>
              <w:top w:val="nil"/>
              <w:left w:val="nil"/>
              <w:bottom w:val="nil"/>
              <w:right w:val="nil"/>
            </w:tcBorders>
            <w:shd w:val="clear" w:color="auto" w:fill="auto"/>
            <w:noWrap/>
            <w:vAlign w:val="bottom"/>
            <w:hideMark/>
          </w:tcPr>
          <w:p w14:paraId="5919755C"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0.002</w:t>
            </w:r>
          </w:p>
        </w:tc>
      </w:tr>
      <w:tr w:rsidR="004F1EC0" w:rsidRPr="0003281F" w14:paraId="65AA3A37"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739EACA5" w14:textId="77777777" w:rsidR="004F1EC0" w:rsidRPr="0003281F" w:rsidRDefault="004F1EC0" w:rsidP="001853E3">
            <w:pPr>
              <w:widowControl w:val="0"/>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29523DA3"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53136E41"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(0.065)</w:t>
            </w:r>
          </w:p>
        </w:tc>
        <w:tc>
          <w:tcPr>
            <w:tcW w:w="366" w:type="dxa"/>
            <w:tcBorders>
              <w:top w:val="nil"/>
              <w:left w:val="nil"/>
              <w:bottom w:val="nil"/>
              <w:right w:val="nil"/>
            </w:tcBorders>
            <w:shd w:val="clear" w:color="auto" w:fill="auto"/>
            <w:noWrap/>
            <w:vAlign w:val="bottom"/>
            <w:hideMark/>
          </w:tcPr>
          <w:p w14:paraId="2B799DDD"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73A9F07D"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(0.251)</w:t>
            </w:r>
          </w:p>
        </w:tc>
        <w:tc>
          <w:tcPr>
            <w:tcW w:w="367" w:type="dxa"/>
            <w:tcBorders>
              <w:top w:val="nil"/>
              <w:left w:val="nil"/>
              <w:bottom w:val="nil"/>
              <w:right w:val="nil"/>
            </w:tcBorders>
            <w:shd w:val="clear" w:color="auto" w:fill="auto"/>
            <w:noWrap/>
            <w:vAlign w:val="bottom"/>
            <w:hideMark/>
          </w:tcPr>
          <w:p w14:paraId="597BD702"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7EF43B45"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(0.028)</w:t>
            </w:r>
          </w:p>
        </w:tc>
        <w:tc>
          <w:tcPr>
            <w:tcW w:w="366" w:type="dxa"/>
            <w:tcBorders>
              <w:top w:val="nil"/>
              <w:left w:val="nil"/>
              <w:bottom w:val="nil"/>
              <w:right w:val="nil"/>
            </w:tcBorders>
            <w:shd w:val="clear" w:color="auto" w:fill="auto"/>
            <w:noWrap/>
            <w:vAlign w:val="bottom"/>
            <w:hideMark/>
          </w:tcPr>
          <w:p w14:paraId="7A92B435"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6918560E"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(0.348)</w:t>
            </w:r>
          </w:p>
        </w:tc>
      </w:tr>
      <w:tr w:rsidR="004F1EC0" w:rsidRPr="0003281F" w14:paraId="13C5C016"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4E8835BC"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LAG</w:t>
            </w:r>
          </w:p>
        </w:tc>
        <w:tc>
          <w:tcPr>
            <w:tcW w:w="367" w:type="dxa"/>
            <w:tcBorders>
              <w:top w:val="nil"/>
              <w:left w:val="nil"/>
              <w:bottom w:val="nil"/>
              <w:right w:val="nil"/>
            </w:tcBorders>
            <w:shd w:val="clear" w:color="auto" w:fill="auto"/>
            <w:noWrap/>
            <w:vAlign w:val="bottom"/>
            <w:hideMark/>
          </w:tcPr>
          <w:p w14:paraId="5A823A6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88" w:type="dxa"/>
            <w:tcBorders>
              <w:top w:val="nil"/>
              <w:left w:val="nil"/>
              <w:bottom w:val="nil"/>
              <w:right w:val="nil"/>
            </w:tcBorders>
            <w:shd w:val="clear" w:color="auto" w:fill="auto"/>
            <w:noWrap/>
            <w:vAlign w:val="bottom"/>
            <w:hideMark/>
          </w:tcPr>
          <w:p w14:paraId="5107315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-0.011***</w:t>
            </w:r>
          </w:p>
        </w:tc>
        <w:tc>
          <w:tcPr>
            <w:tcW w:w="366" w:type="dxa"/>
            <w:tcBorders>
              <w:top w:val="nil"/>
              <w:left w:val="nil"/>
              <w:bottom w:val="nil"/>
              <w:right w:val="nil"/>
            </w:tcBorders>
            <w:shd w:val="clear" w:color="auto" w:fill="auto"/>
            <w:noWrap/>
            <w:vAlign w:val="bottom"/>
            <w:hideMark/>
          </w:tcPr>
          <w:p w14:paraId="1BFDECF2"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35" w:type="dxa"/>
            <w:tcBorders>
              <w:top w:val="nil"/>
              <w:left w:val="nil"/>
              <w:bottom w:val="nil"/>
              <w:right w:val="nil"/>
            </w:tcBorders>
            <w:shd w:val="clear" w:color="auto" w:fill="auto"/>
            <w:noWrap/>
            <w:vAlign w:val="bottom"/>
            <w:hideMark/>
          </w:tcPr>
          <w:p w14:paraId="7777B4C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0.005**</w:t>
            </w:r>
          </w:p>
        </w:tc>
        <w:tc>
          <w:tcPr>
            <w:tcW w:w="367" w:type="dxa"/>
            <w:tcBorders>
              <w:top w:val="nil"/>
              <w:left w:val="nil"/>
              <w:bottom w:val="nil"/>
              <w:right w:val="nil"/>
            </w:tcBorders>
            <w:shd w:val="clear" w:color="auto" w:fill="auto"/>
            <w:noWrap/>
            <w:vAlign w:val="bottom"/>
            <w:hideMark/>
          </w:tcPr>
          <w:p w14:paraId="4660728B"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32" w:type="dxa"/>
            <w:tcBorders>
              <w:top w:val="nil"/>
              <w:left w:val="nil"/>
              <w:bottom w:val="nil"/>
              <w:right w:val="nil"/>
            </w:tcBorders>
            <w:shd w:val="clear" w:color="auto" w:fill="auto"/>
            <w:noWrap/>
            <w:vAlign w:val="bottom"/>
            <w:hideMark/>
          </w:tcPr>
          <w:p w14:paraId="7D171662"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-0.001</w:t>
            </w:r>
          </w:p>
        </w:tc>
        <w:tc>
          <w:tcPr>
            <w:tcW w:w="366" w:type="dxa"/>
            <w:tcBorders>
              <w:top w:val="nil"/>
              <w:left w:val="nil"/>
              <w:bottom w:val="nil"/>
              <w:right w:val="nil"/>
            </w:tcBorders>
            <w:shd w:val="clear" w:color="auto" w:fill="auto"/>
            <w:noWrap/>
            <w:vAlign w:val="bottom"/>
            <w:hideMark/>
          </w:tcPr>
          <w:p w14:paraId="79C2B04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556" w:type="dxa"/>
            <w:tcBorders>
              <w:top w:val="nil"/>
              <w:left w:val="nil"/>
              <w:bottom w:val="nil"/>
              <w:right w:val="nil"/>
            </w:tcBorders>
            <w:shd w:val="clear" w:color="auto" w:fill="auto"/>
            <w:noWrap/>
            <w:vAlign w:val="bottom"/>
            <w:hideMark/>
          </w:tcPr>
          <w:p w14:paraId="3CF1653E"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0.001</w:t>
            </w:r>
          </w:p>
        </w:tc>
      </w:tr>
      <w:tr w:rsidR="004F1EC0" w:rsidRPr="0003281F" w14:paraId="6F90573C"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2466C730" w14:textId="77777777" w:rsidR="004F1EC0" w:rsidRPr="0003281F" w:rsidRDefault="004F1EC0" w:rsidP="001853E3">
            <w:pPr>
              <w:widowControl w:val="0"/>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15F442F3"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56B914D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(0.000)</w:t>
            </w:r>
          </w:p>
        </w:tc>
        <w:tc>
          <w:tcPr>
            <w:tcW w:w="366" w:type="dxa"/>
            <w:tcBorders>
              <w:top w:val="nil"/>
              <w:left w:val="nil"/>
              <w:bottom w:val="nil"/>
              <w:right w:val="nil"/>
            </w:tcBorders>
            <w:shd w:val="clear" w:color="auto" w:fill="auto"/>
            <w:noWrap/>
            <w:vAlign w:val="bottom"/>
            <w:hideMark/>
          </w:tcPr>
          <w:p w14:paraId="1560FDD5"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44F68EAC"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(0.012)</w:t>
            </w:r>
          </w:p>
        </w:tc>
        <w:tc>
          <w:tcPr>
            <w:tcW w:w="367" w:type="dxa"/>
            <w:tcBorders>
              <w:top w:val="nil"/>
              <w:left w:val="nil"/>
              <w:bottom w:val="nil"/>
              <w:right w:val="nil"/>
            </w:tcBorders>
            <w:shd w:val="clear" w:color="auto" w:fill="auto"/>
            <w:noWrap/>
            <w:vAlign w:val="bottom"/>
            <w:hideMark/>
          </w:tcPr>
          <w:p w14:paraId="41CC4276"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541E8AD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(0.306)</w:t>
            </w:r>
          </w:p>
        </w:tc>
        <w:tc>
          <w:tcPr>
            <w:tcW w:w="366" w:type="dxa"/>
            <w:tcBorders>
              <w:top w:val="nil"/>
              <w:left w:val="nil"/>
              <w:bottom w:val="nil"/>
              <w:right w:val="nil"/>
            </w:tcBorders>
            <w:shd w:val="clear" w:color="auto" w:fill="auto"/>
            <w:noWrap/>
            <w:vAlign w:val="bottom"/>
            <w:hideMark/>
          </w:tcPr>
          <w:p w14:paraId="32C27D55"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6A4EE411"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(0.434)</w:t>
            </w:r>
          </w:p>
        </w:tc>
      </w:tr>
      <w:tr w:rsidR="004F1EC0" w:rsidRPr="0003281F" w14:paraId="0C7691E1"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0F6F8AB1"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DISP</w:t>
            </w:r>
          </w:p>
        </w:tc>
        <w:tc>
          <w:tcPr>
            <w:tcW w:w="367" w:type="dxa"/>
            <w:tcBorders>
              <w:top w:val="nil"/>
              <w:left w:val="nil"/>
              <w:bottom w:val="nil"/>
              <w:right w:val="nil"/>
            </w:tcBorders>
            <w:shd w:val="clear" w:color="auto" w:fill="auto"/>
            <w:noWrap/>
            <w:vAlign w:val="bottom"/>
            <w:hideMark/>
          </w:tcPr>
          <w:p w14:paraId="45285F6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88" w:type="dxa"/>
            <w:tcBorders>
              <w:top w:val="nil"/>
              <w:left w:val="nil"/>
              <w:bottom w:val="nil"/>
              <w:right w:val="nil"/>
            </w:tcBorders>
            <w:shd w:val="clear" w:color="auto" w:fill="auto"/>
            <w:noWrap/>
            <w:vAlign w:val="bottom"/>
            <w:hideMark/>
          </w:tcPr>
          <w:p w14:paraId="38DFACC2"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-1.956</w:t>
            </w:r>
          </w:p>
        </w:tc>
        <w:tc>
          <w:tcPr>
            <w:tcW w:w="366" w:type="dxa"/>
            <w:tcBorders>
              <w:top w:val="nil"/>
              <w:left w:val="nil"/>
              <w:bottom w:val="nil"/>
              <w:right w:val="nil"/>
            </w:tcBorders>
            <w:shd w:val="clear" w:color="auto" w:fill="auto"/>
            <w:noWrap/>
            <w:vAlign w:val="bottom"/>
            <w:hideMark/>
          </w:tcPr>
          <w:p w14:paraId="77F361DE"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35" w:type="dxa"/>
            <w:tcBorders>
              <w:top w:val="nil"/>
              <w:left w:val="nil"/>
              <w:bottom w:val="nil"/>
              <w:right w:val="nil"/>
            </w:tcBorders>
            <w:shd w:val="clear" w:color="auto" w:fill="auto"/>
            <w:noWrap/>
            <w:vAlign w:val="bottom"/>
            <w:hideMark/>
          </w:tcPr>
          <w:p w14:paraId="4EFE8838"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-2.501</w:t>
            </w:r>
          </w:p>
        </w:tc>
        <w:tc>
          <w:tcPr>
            <w:tcW w:w="367" w:type="dxa"/>
            <w:tcBorders>
              <w:top w:val="nil"/>
              <w:left w:val="nil"/>
              <w:bottom w:val="nil"/>
              <w:right w:val="nil"/>
            </w:tcBorders>
            <w:shd w:val="clear" w:color="auto" w:fill="auto"/>
            <w:noWrap/>
            <w:vAlign w:val="bottom"/>
            <w:hideMark/>
          </w:tcPr>
          <w:p w14:paraId="15BCAEE1"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32" w:type="dxa"/>
            <w:tcBorders>
              <w:top w:val="nil"/>
              <w:left w:val="nil"/>
              <w:bottom w:val="nil"/>
              <w:right w:val="nil"/>
            </w:tcBorders>
            <w:shd w:val="clear" w:color="auto" w:fill="auto"/>
            <w:noWrap/>
            <w:vAlign w:val="bottom"/>
            <w:hideMark/>
          </w:tcPr>
          <w:p w14:paraId="028D9BC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9.778**</w:t>
            </w:r>
          </w:p>
        </w:tc>
        <w:tc>
          <w:tcPr>
            <w:tcW w:w="366" w:type="dxa"/>
            <w:tcBorders>
              <w:top w:val="nil"/>
              <w:left w:val="nil"/>
              <w:bottom w:val="nil"/>
              <w:right w:val="nil"/>
            </w:tcBorders>
            <w:shd w:val="clear" w:color="auto" w:fill="auto"/>
            <w:noWrap/>
            <w:vAlign w:val="bottom"/>
            <w:hideMark/>
          </w:tcPr>
          <w:p w14:paraId="0D9CB61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556" w:type="dxa"/>
            <w:tcBorders>
              <w:top w:val="nil"/>
              <w:left w:val="nil"/>
              <w:bottom w:val="nil"/>
              <w:right w:val="nil"/>
            </w:tcBorders>
            <w:shd w:val="clear" w:color="auto" w:fill="auto"/>
            <w:noWrap/>
            <w:vAlign w:val="bottom"/>
            <w:hideMark/>
          </w:tcPr>
          <w:p w14:paraId="50028A0A"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3.079</w:t>
            </w:r>
          </w:p>
        </w:tc>
      </w:tr>
      <w:tr w:rsidR="004F1EC0" w:rsidRPr="0003281F" w14:paraId="0753AF02"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3BC71BF6" w14:textId="77777777" w:rsidR="004F1EC0" w:rsidRPr="0003281F" w:rsidRDefault="004F1EC0" w:rsidP="001853E3">
            <w:pPr>
              <w:widowControl w:val="0"/>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6088812F"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6FD0D997"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(0.369)</w:t>
            </w:r>
          </w:p>
        </w:tc>
        <w:tc>
          <w:tcPr>
            <w:tcW w:w="366" w:type="dxa"/>
            <w:tcBorders>
              <w:top w:val="nil"/>
              <w:left w:val="nil"/>
              <w:bottom w:val="nil"/>
              <w:right w:val="nil"/>
            </w:tcBorders>
            <w:shd w:val="clear" w:color="auto" w:fill="auto"/>
            <w:noWrap/>
            <w:vAlign w:val="bottom"/>
            <w:hideMark/>
          </w:tcPr>
          <w:p w14:paraId="3A3856D0"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1E67453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(0.409)</w:t>
            </w:r>
          </w:p>
        </w:tc>
        <w:tc>
          <w:tcPr>
            <w:tcW w:w="367" w:type="dxa"/>
            <w:tcBorders>
              <w:top w:val="nil"/>
              <w:left w:val="nil"/>
              <w:bottom w:val="nil"/>
              <w:right w:val="nil"/>
            </w:tcBorders>
            <w:shd w:val="clear" w:color="auto" w:fill="auto"/>
            <w:noWrap/>
            <w:vAlign w:val="bottom"/>
            <w:hideMark/>
          </w:tcPr>
          <w:p w14:paraId="7AD694FC"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151E712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(0.045)</w:t>
            </w:r>
          </w:p>
        </w:tc>
        <w:tc>
          <w:tcPr>
            <w:tcW w:w="366" w:type="dxa"/>
            <w:tcBorders>
              <w:top w:val="nil"/>
              <w:left w:val="nil"/>
              <w:bottom w:val="nil"/>
              <w:right w:val="nil"/>
            </w:tcBorders>
            <w:shd w:val="clear" w:color="auto" w:fill="auto"/>
            <w:noWrap/>
            <w:vAlign w:val="bottom"/>
            <w:hideMark/>
          </w:tcPr>
          <w:p w14:paraId="4BE6898E"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6637D783"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(0.506)</w:t>
            </w:r>
          </w:p>
        </w:tc>
      </w:tr>
      <w:tr w:rsidR="004F1EC0" w:rsidRPr="0003281F" w14:paraId="661CC22B"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306DA137"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LOSS</w:t>
            </w:r>
          </w:p>
        </w:tc>
        <w:tc>
          <w:tcPr>
            <w:tcW w:w="367" w:type="dxa"/>
            <w:tcBorders>
              <w:top w:val="nil"/>
              <w:left w:val="nil"/>
              <w:bottom w:val="nil"/>
              <w:right w:val="nil"/>
            </w:tcBorders>
            <w:shd w:val="clear" w:color="auto" w:fill="auto"/>
            <w:noWrap/>
            <w:vAlign w:val="bottom"/>
            <w:hideMark/>
          </w:tcPr>
          <w:p w14:paraId="78CE8B6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88" w:type="dxa"/>
            <w:tcBorders>
              <w:top w:val="nil"/>
              <w:left w:val="nil"/>
              <w:bottom w:val="nil"/>
              <w:right w:val="nil"/>
            </w:tcBorders>
            <w:shd w:val="clear" w:color="auto" w:fill="auto"/>
            <w:noWrap/>
            <w:vAlign w:val="bottom"/>
            <w:hideMark/>
          </w:tcPr>
          <w:p w14:paraId="26C5DE42"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0.007</w:t>
            </w:r>
          </w:p>
        </w:tc>
        <w:tc>
          <w:tcPr>
            <w:tcW w:w="366" w:type="dxa"/>
            <w:tcBorders>
              <w:top w:val="nil"/>
              <w:left w:val="nil"/>
              <w:bottom w:val="nil"/>
              <w:right w:val="nil"/>
            </w:tcBorders>
            <w:shd w:val="clear" w:color="auto" w:fill="auto"/>
            <w:noWrap/>
            <w:vAlign w:val="bottom"/>
            <w:hideMark/>
          </w:tcPr>
          <w:p w14:paraId="0FEC518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35" w:type="dxa"/>
            <w:tcBorders>
              <w:top w:val="nil"/>
              <w:left w:val="nil"/>
              <w:bottom w:val="nil"/>
              <w:right w:val="nil"/>
            </w:tcBorders>
            <w:shd w:val="clear" w:color="auto" w:fill="auto"/>
            <w:noWrap/>
            <w:vAlign w:val="bottom"/>
            <w:hideMark/>
          </w:tcPr>
          <w:p w14:paraId="7800BA2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-0.115*</w:t>
            </w:r>
          </w:p>
        </w:tc>
        <w:tc>
          <w:tcPr>
            <w:tcW w:w="367" w:type="dxa"/>
            <w:tcBorders>
              <w:top w:val="nil"/>
              <w:left w:val="nil"/>
              <w:bottom w:val="nil"/>
              <w:right w:val="nil"/>
            </w:tcBorders>
            <w:shd w:val="clear" w:color="auto" w:fill="auto"/>
            <w:noWrap/>
            <w:vAlign w:val="bottom"/>
            <w:hideMark/>
          </w:tcPr>
          <w:p w14:paraId="4EF24BA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32" w:type="dxa"/>
            <w:tcBorders>
              <w:top w:val="nil"/>
              <w:left w:val="nil"/>
              <w:bottom w:val="nil"/>
              <w:right w:val="nil"/>
            </w:tcBorders>
            <w:shd w:val="clear" w:color="auto" w:fill="auto"/>
            <w:noWrap/>
            <w:vAlign w:val="bottom"/>
            <w:hideMark/>
          </w:tcPr>
          <w:p w14:paraId="404D0548"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-0.107</w:t>
            </w:r>
          </w:p>
        </w:tc>
        <w:tc>
          <w:tcPr>
            <w:tcW w:w="366" w:type="dxa"/>
            <w:tcBorders>
              <w:top w:val="nil"/>
              <w:left w:val="nil"/>
              <w:bottom w:val="nil"/>
              <w:right w:val="nil"/>
            </w:tcBorders>
            <w:shd w:val="clear" w:color="auto" w:fill="auto"/>
            <w:noWrap/>
            <w:vAlign w:val="bottom"/>
            <w:hideMark/>
          </w:tcPr>
          <w:p w14:paraId="65D07D2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556" w:type="dxa"/>
            <w:tcBorders>
              <w:top w:val="nil"/>
              <w:left w:val="nil"/>
              <w:bottom w:val="nil"/>
              <w:right w:val="nil"/>
            </w:tcBorders>
            <w:shd w:val="clear" w:color="auto" w:fill="auto"/>
            <w:noWrap/>
            <w:vAlign w:val="bottom"/>
            <w:hideMark/>
          </w:tcPr>
          <w:p w14:paraId="0A5E7E37"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-0.237</w:t>
            </w:r>
          </w:p>
        </w:tc>
      </w:tr>
      <w:tr w:rsidR="004F1EC0" w:rsidRPr="0003281F" w14:paraId="71CCF0CD"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7851E2AE" w14:textId="77777777" w:rsidR="004F1EC0" w:rsidRPr="0003281F" w:rsidRDefault="004F1EC0" w:rsidP="001853E3">
            <w:pPr>
              <w:widowControl w:val="0"/>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78721F19"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4D2005E1"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(0.439)</w:t>
            </w:r>
          </w:p>
        </w:tc>
        <w:tc>
          <w:tcPr>
            <w:tcW w:w="366" w:type="dxa"/>
            <w:tcBorders>
              <w:top w:val="nil"/>
              <w:left w:val="nil"/>
              <w:bottom w:val="nil"/>
              <w:right w:val="nil"/>
            </w:tcBorders>
            <w:shd w:val="clear" w:color="auto" w:fill="auto"/>
            <w:noWrap/>
            <w:vAlign w:val="bottom"/>
            <w:hideMark/>
          </w:tcPr>
          <w:p w14:paraId="608E760F"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5453F7D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(0.051)</w:t>
            </w:r>
          </w:p>
        </w:tc>
        <w:tc>
          <w:tcPr>
            <w:tcW w:w="367" w:type="dxa"/>
            <w:tcBorders>
              <w:top w:val="nil"/>
              <w:left w:val="nil"/>
              <w:bottom w:val="nil"/>
              <w:right w:val="nil"/>
            </w:tcBorders>
            <w:shd w:val="clear" w:color="auto" w:fill="auto"/>
            <w:noWrap/>
            <w:vAlign w:val="bottom"/>
            <w:hideMark/>
          </w:tcPr>
          <w:p w14:paraId="3456C2A7"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7F763D35"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(0.210)</w:t>
            </w:r>
          </w:p>
        </w:tc>
        <w:tc>
          <w:tcPr>
            <w:tcW w:w="366" w:type="dxa"/>
            <w:tcBorders>
              <w:top w:val="nil"/>
              <w:left w:val="nil"/>
              <w:bottom w:val="nil"/>
              <w:right w:val="nil"/>
            </w:tcBorders>
            <w:shd w:val="clear" w:color="auto" w:fill="auto"/>
            <w:noWrap/>
            <w:vAlign w:val="bottom"/>
            <w:hideMark/>
          </w:tcPr>
          <w:p w14:paraId="76171176"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6E05DBC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(0.905)</w:t>
            </w:r>
          </w:p>
        </w:tc>
      </w:tr>
      <w:tr w:rsidR="004F1EC0" w:rsidRPr="0003281F" w14:paraId="0CE5CC37"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5E3ED963"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UE</w:t>
            </w:r>
          </w:p>
        </w:tc>
        <w:tc>
          <w:tcPr>
            <w:tcW w:w="367" w:type="dxa"/>
            <w:tcBorders>
              <w:top w:val="nil"/>
              <w:left w:val="nil"/>
              <w:bottom w:val="nil"/>
              <w:right w:val="nil"/>
            </w:tcBorders>
            <w:shd w:val="clear" w:color="auto" w:fill="auto"/>
            <w:noWrap/>
            <w:vAlign w:val="bottom"/>
            <w:hideMark/>
          </w:tcPr>
          <w:p w14:paraId="2C26A0FA"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88" w:type="dxa"/>
            <w:tcBorders>
              <w:top w:val="nil"/>
              <w:left w:val="nil"/>
              <w:bottom w:val="nil"/>
              <w:right w:val="nil"/>
            </w:tcBorders>
            <w:shd w:val="clear" w:color="auto" w:fill="auto"/>
            <w:noWrap/>
            <w:vAlign w:val="bottom"/>
            <w:hideMark/>
          </w:tcPr>
          <w:p w14:paraId="60FA73E1"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0.884</w:t>
            </w:r>
          </w:p>
        </w:tc>
        <w:tc>
          <w:tcPr>
            <w:tcW w:w="366" w:type="dxa"/>
            <w:tcBorders>
              <w:top w:val="nil"/>
              <w:left w:val="nil"/>
              <w:bottom w:val="nil"/>
              <w:right w:val="nil"/>
            </w:tcBorders>
            <w:shd w:val="clear" w:color="auto" w:fill="auto"/>
            <w:noWrap/>
            <w:vAlign w:val="bottom"/>
            <w:hideMark/>
          </w:tcPr>
          <w:p w14:paraId="033C6F82"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35" w:type="dxa"/>
            <w:tcBorders>
              <w:top w:val="nil"/>
              <w:left w:val="nil"/>
              <w:bottom w:val="nil"/>
              <w:right w:val="nil"/>
            </w:tcBorders>
            <w:shd w:val="clear" w:color="auto" w:fill="auto"/>
            <w:noWrap/>
            <w:vAlign w:val="bottom"/>
            <w:hideMark/>
          </w:tcPr>
          <w:p w14:paraId="408E8FDD"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0.017</w:t>
            </w:r>
          </w:p>
        </w:tc>
        <w:tc>
          <w:tcPr>
            <w:tcW w:w="367" w:type="dxa"/>
            <w:tcBorders>
              <w:top w:val="nil"/>
              <w:left w:val="nil"/>
              <w:bottom w:val="nil"/>
              <w:right w:val="nil"/>
            </w:tcBorders>
            <w:shd w:val="clear" w:color="auto" w:fill="auto"/>
            <w:noWrap/>
            <w:vAlign w:val="bottom"/>
            <w:hideMark/>
          </w:tcPr>
          <w:p w14:paraId="3831EF9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32" w:type="dxa"/>
            <w:tcBorders>
              <w:top w:val="nil"/>
              <w:left w:val="nil"/>
              <w:bottom w:val="nil"/>
              <w:right w:val="nil"/>
            </w:tcBorders>
            <w:shd w:val="clear" w:color="auto" w:fill="auto"/>
            <w:noWrap/>
            <w:vAlign w:val="bottom"/>
            <w:hideMark/>
          </w:tcPr>
          <w:p w14:paraId="6EC28B8A"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-2.660**</w:t>
            </w:r>
          </w:p>
        </w:tc>
        <w:tc>
          <w:tcPr>
            <w:tcW w:w="366" w:type="dxa"/>
            <w:tcBorders>
              <w:top w:val="nil"/>
              <w:left w:val="nil"/>
              <w:bottom w:val="nil"/>
              <w:right w:val="nil"/>
            </w:tcBorders>
            <w:shd w:val="clear" w:color="auto" w:fill="auto"/>
            <w:noWrap/>
            <w:vAlign w:val="bottom"/>
            <w:hideMark/>
          </w:tcPr>
          <w:p w14:paraId="387012BD"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556" w:type="dxa"/>
            <w:tcBorders>
              <w:top w:val="nil"/>
              <w:left w:val="nil"/>
              <w:bottom w:val="nil"/>
              <w:right w:val="nil"/>
            </w:tcBorders>
            <w:shd w:val="clear" w:color="auto" w:fill="auto"/>
            <w:noWrap/>
            <w:vAlign w:val="bottom"/>
            <w:hideMark/>
          </w:tcPr>
          <w:p w14:paraId="3E8B9BD3"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4.402**</w:t>
            </w:r>
          </w:p>
        </w:tc>
      </w:tr>
      <w:tr w:rsidR="004F1EC0" w:rsidRPr="0003281F" w14:paraId="5BF808CB"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66D8164C" w14:textId="77777777" w:rsidR="004F1EC0" w:rsidRPr="0003281F" w:rsidRDefault="004F1EC0" w:rsidP="001853E3">
            <w:pPr>
              <w:widowControl w:val="0"/>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0ADC43EB"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3F264DD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(0.381)</w:t>
            </w:r>
          </w:p>
        </w:tc>
        <w:tc>
          <w:tcPr>
            <w:tcW w:w="366" w:type="dxa"/>
            <w:tcBorders>
              <w:top w:val="nil"/>
              <w:left w:val="nil"/>
              <w:bottom w:val="nil"/>
              <w:right w:val="nil"/>
            </w:tcBorders>
            <w:shd w:val="clear" w:color="auto" w:fill="auto"/>
            <w:noWrap/>
            <w:vAlign w:val="bottom"/>
            <w:hideMark/>
          </w:tcPr>
          <w:p w14:paraId="3B84DED0"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7364A3C2"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(0.987)</w:t>
            </w:r>
          </w:p>
        </w:tc>
        <w:tc>
          <w:tcPr>
            <w:tcW w:w="367" w:type="dxa"/>
            <w:tcBorders>
              <w:top w:val="nil"/>
              <w:left w:val="nil"/>
              <w:bottom w:val="nil"/>
              <w:right w:val="nil"/>
            </w:tcBorders>
            <w:shd w:val="clear" w:color="auto" w:fill="auto"/>
            <w:noWrap/>
            <w:vAlign w:val="bottom"/>
            <w:hideMark/>
          </w:tcPr>
          <w:p w14:paraId="76EB2D47"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3734FAE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(0.050)</w:t>
            </w:r>
          </w:p>
        </w:tc>
        <w:tc>
          <w:tcPr>
            <w:tcW w:w="366" w:type="dxa"/>
            <w:tcBorders>
              <w:top w:val="nil"/>
              <w:left w:val="nil"/>
              <w:bottom w:val="nil"/>
              <w:right w:val="nil"/>
            </w:tcBorders>
            <w:shd w:val="clear" w:color="auto" w:fill="auto"/>
            <w:noWrap/>
            <w:vAlign w:val="bottom"/>
            <w:hideMark/>
          </w:tcPr>
          <w:p w14:paraId="068A1802"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7AC7BF0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(0.028)</w:t>
            </w:r>
          </w:p>
        </w:tc>
      </w:tr>
      <w:tr w:rsidR="004F1EC0" w:rsidRPr="0003281F" w14:paraId="57B69D46"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557635D4"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SD_CFO</w:t>
            </w:r>
          </w:p>
        </w:tc>
        <w:tc>
          <w:tcPr>
            <w:tcW w:w="367" w:type="dxa"/>
            <w:tcBorders>
              <w:top w:val="nil"/>
              <w:left w:val="nil"/>
              <w:bottom w:val="nil"/>
              <w:right w:val="nil"/>
            </w:tcBorders>
            <w:shd w:val="clear" w:color="auto" w:fill="auto"/>
            <w:noWrap/>
            <w:vAlign w:val="bottom"/>
            <w:hideMark/>
          </w:tcPr>
          <w:p w14:paraId="32FBD6F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88" w:type="dxa"/>
            <w:tcBorders>
              <w:top w:val="nil"/>
              <w:left w:val="nil"/>
              <w:bottom w:val="nil"/>
              <w:right w:val="nil"/>
            </w:tcBorders>
            <w:shd w:val="clear" w:color="auto" w:fill="auto"/>
            <w:noWrap/>
            <w:vAlign w:val="bottom"/>
            <w:hideMark/>
          </w:tcPr>
          <w:p w14:paraId="027195A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-0.077</w:t>
            </w:r>
          </w:p>
        </w:tc>
        <w:tc>
          <w:tcPr>
            <w:tcW w:w="366" w:type="dxa"/>
            <w:tcBorders>
              <w:top w:val="nil"/>
              <w:left w:val="nil"/>
              <w:bottom w:val="nil"/>
              <w:right w:val="nil"/>
            </w:tcBorders>
            <w:shd w:val="clear" w:color="auto" w:fill="auto"/>
            <w:noWrap/>
            <w:vAlign w:val="bottom"/>
            <w:hideMark/>
          </w:tcPr>
          <w:p w14:paraId="5A85C5D5"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35" w:type="dxa"/>
            <w:tcBorders>
              <w:top w:val="nil"/>
              <w:left w:val="nil"/>
              <w:bottom w:val="nil"/>
              <w:right w:val="nil"/>
            </w:tcBorders>
            <w:shd w:val="clear" w:color="auto" w:fill="auto"/>
            <w:noWrap/>
            <w:vAlign w:val="bottom"/>
            <w:hideMark/>
          </w:tcPr>
          <w:p w14:paraId="59036AC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0.310</w:t>
            </w:r>
          </w:p>
        </w:tc>
        <w:tc>
          <w:tcPr>
            <w:tcW w:w="367" w:type="dxa"/>
            <w:tcBorders>
              <w:top w:val="nil"/>
              <w:left w:val="nil"/>
              <w:bottom w:val="nil"/>
              <w:right w:val="nil"/>
            </w:tcBorders>
            <w:shd w:val="clear" w:color="auto" w:fill="auto"/>
            <w:noWrap/>
            <w:vAlign w:val="bottom"/>
            <w:hideMark/>
          </w:tcPr>
          <w:p w14:paraId="73232795"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32" w:type="dxa"/>
            <w:tcBorders>
              <w:top w:val="nil"/>
              <w:left w:val="nil"/>
              <w:bottom w:val="nil"/>
              <w:right w:val="nil"/>
            </w:tcBorders>
            <w:shd w:val="clear" w:color="auto" w:fill="auto"/>
            <w:noWrap/>
            <w:vAlign w:val="bottom"/>
            <w:hideMark/>
          </w:tcPr>
          <w:p w14:paraId="26B2652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-1.020</w:t>
            </w:r>
          </w:p>
        </w:tc>
        <w:tc>
          <w:tcPr>
            <w:tcW w:w="366" w:type="dxa"/>
            <w:tcBorders>
              <w:top w:val="nil"/>
              <w:left w:val="nil"/>
              <w:bottom w:val="nil"/>
              <w:right w:val="nil"/>
            </w:tcBorders>
            <w:shd w:val="clear" w:color="auto" w:fill="auto"/>
            <w:noWrap/>
            <w:vAlign w:val="bottom"/>
            <w:hideMark/>
          </w:tcPr>
          <w:p w14:paraId="24E07ED6"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556" w:type="dxa"/>
            <w:tcBorders>
              <w:top w:val="nil"/>
              <w:left w:val="nil"/>
              <w:bottom w:val="nil"/>
              <w:right w:val="nil"/>
            </w:tcBorders>
            <w:shd w:val="clear" w:color="auto" w:fill="auto"/>
            <w:noWrap/>
            <w:vAlign w:val="bottom"/>
            <w:hideMark/>
          </w:tcPr>
          <w:p w14:paraId="536EAB83"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0.347</w:t>
            </w:r>
          </w:p>
        </w:tc>
      </w:tr>
      <w:tr w:rsidR="004F1EC0" w:rsidRPr="0003281F" w14:paraId="500E4230"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13BC7AB9" w14:textId="77777777" w:rsidR="004F1EC0" w:rsidRPr="0003281F" w:rsidRDefault="004F1EC0" w:rsidP="001853E3">
            <w:pPr>
              <w:widowControl w:val="0"/>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40BCBB16"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23621775"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(0.863)</w:t>
            </w:r>
          </w:p>
        </w:tc>
        <w:tc>
          <w:tcPr>
            <w:tcW w:w="366" w:type="dxa"/>
            <w:tcBorders>
              <w:top w:val="nil"/>
              <w:left w:val="nil"/>
              <w:bottom w:val="nil"/>
              <w:right w:val="nil"/>
            </w:tcBorders>
            <w:shd w:val="clear" w:color="auto" w:fill="auto"/>
            <w:noWrap/>
            <w:vAlign w:val="bottom"/>
            <w:hideMark/>
          </w:tcPr>
          <w:p w14:paraId="052A9C87"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4EC3A34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(0.630)</w:t>
            </w:r>
          </w:p>
        </w:tc>
        <w:tc>
          <w:tcPr>
            <w:tcW w:w="367" w:type="dxa"/>
            <w:tcBorders>
              <w:top w:val="nil"/>
              <w:left w:val="nil"/>
              <w:bottom w:val="nil"/>
              <w:right w:val="nil"/>
            </w:tcBorders>
            <w:shd w:val="clear" w:color="auto" w:fill="auto"/>
            <w:noWrap/>
            <w:vAlign w:val="bottom"/>
            <w:hideMark/>
          </w:tcPr>
          <w:p w14:paraId="425C02DB"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5EE67581"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(0.208)</w:t>
            </w:r>
          </w:p>
        </w:tc>
        <w:tc>
          <w:tcPr>
            <w:tcW w:w="366" w:type="dxa"/>
            <w:tcBorders>
              <w:top w:val="nil"/>
              <w:left w:val="nil"/>
              <w:bottom w:val="nil"/>
              <w:right w:val="nil"/>
            </w:tcBorders>
            <w:shd w:val="clear" w:color="auto" w:fill="auto"/>
            <w:noWrap/>
            <w:vAlign w:val="bottom"/>
            <w:hideMark/>
          </w:tcPr>
          <w:p w14:paraId="4A36CFEC"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33D3667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(0.798)</w:t>
            </w:r>
          </w:p>
        </w:tc>
      </w:tr>
      <w:tr w:rsidR="004F1EC0" w:rsidRPr="0003281F" w14:paraId="784AFE0D"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4E0E014E"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Constant</w:t>
            </w:r>
          </w:p>
        </w:tc>
        <w:tc>
          <w:tcPr>
            <w:tcW w:w="367" w:type="dxa"/>
            <w:tcBorders>
              <w:top w:val="nil"/>
              <w:left w:val="nil"/>
              <w:bottom w:val="nil"/>
              <w:right w:val="nil"/>
            </w:tcBorders>
            <w:shd w:val="clear" w:color="auto" w:fill="auto"/>
            <w:noWrap/>
            <w:vAlign w:val="bottom"/>
            <w:hideMark/>
          </w:tcPr>
          <w:p w14:paraId="0A54ED53"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88" w:type="dxa"/>
            <w:tcBorders>
              <w:top w:val="nil"/>
              <w:left w:val="nil"/>
              <w:bottom w:val="nil"/>
              <w:right w:val="nil"/>
            </w:tcBorders>
            <w:shd w:val="clear" w:color="auto" w:fill="auto"/>
            <w:noWrap/>
            <w:vAlign w:val="bottom"/>
            <w:hideMark/>
          </w:tcPr>
          <w:p w14:paraId="7721306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0.371</w:t>
            </w:r>
          </w:p>
        </w:tc>
        <w:tc>
          <w:tcPr>
            <w:tcW w:w="366" w:type="dxa"/>
            <w:tcBorders>
              <w:top w:val="nil"/>
              <w:left w:val="nil"/>
              <w:bottom w:val="nil"/>
              <w:right w:val="nil"/>
            </w:tcBorders>
            <w:shd w:val="clear" w:color="auto" w:fill="auto"/>
            <w:noWrap/>
            <w:vAlign w:val="bottom"/>
            <w:hideMark/>
          </w:tcPr>
          <w:p w14:paraId="4F4B333D"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35" w:type="dxa"/>
            <w:tcBorders>
              <w:top w:val="nil"/>
              <w:left w:val="nil"/>
              <w:bottom w:val="nil"/>
              <w:right w:val="nil"/>
            </w:tcBorders>
            <w:shd w:val="clear" w:color="auto" w:fill="auto"/>
            <w:noWrap/>
            <w:vAlign w:val="bottom"/>
            <w:hideMark/>
          </w:tcPr>
          <w:p w14:paraId="12F9982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1.445***</w:t>
            </w:r>
          </w:p>
        </w:tc>
        <w:tc>
          <w:tcPr>
            <w:tcW w:w="367" w:type="dxa"/>
            <w:tcBorders>
              <w:top w:val="nil"/>
              <w:left w:val="nil"/>
              <w:bottom w:val="nil"/>
              <w:right w:val="nil"/>
            </w:tcBorders>
            <w:shd w:val="clear" w:color="auto" w:fill="auto"/>
            <w:noWrap/>
            <w:vAlign w:val="bottom"/>
            <w:hideMark/>
          </w:tcPr>
          <w:p w14:paraId="0C500191"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232" w:type="dxa"/>
            <w:tcBorders>
              <w:top w:val="nil"/>
              <w:left w:val="nil"/>
              <w:bottom w:val="nil"/>
              <w:right w:val="nil"/>
            </w:tcBorders>
            <w:shd w:val="clear" w:color="auto" w:fill="auto"/>
            <w:noWrap/>
            <w:vAlign w:val="bottom"/>
            <w:hideMark/>
          </w:tcPr>
          <w:p w14:paraId="7458DDE1"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0.279</w:t>
            </w:r>
          </w:p>
        </w:tc>
        <w:tc>
          <w:tcPr>
            <w:tcW w:w="366" w:type="dxa"/>
            <w:tcBorders>
              <w:top w:val="nil"/>
              <w:left w:val="nil"/>
              <w:bottom w:val="nil"/>
              <w:right w:val="nil"/>
            </w:tcBorders>
            <w:shd w:val="clear" w:color="auto" w:fill="auto"/>
            <w:noWrap/>
            <w:vAlign w:val="bottom"/>
            <w:hideMark/>
          </w:tcPr>
          <w:p w14:paraId="10450883"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556" w:type="dxa"/>
            <w:tcBorders>
              <w:top w:val="nil"/>
              <w:left w:val="nil"/>
              <w:bottom w:val="nil"/>
              <w:right w:val="nil"/>
            </w:tcBorders>
            <w:shd w:val="clear" w:color="auto" w:fill="auto"/>
            <w:noWrap/>
            <w:vAlign w:val="bottom"/>
            <w:hideMark/>
          </w:tcPr>
          <w:p w14:paraId="4364422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0.936</w:t>
            </w:r>
          </w:p>
        </w:tc>
      </w:tr>
      <w:tr w:rsidR="004F1EC0" w:rsidRPr="0003281F" w14:paraId="6589730D"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70012CC9" w14:textId="77777777" w:rsidR="004F1EC0" w:rsidRPr="0003281F" w:rsidRDefault="004F1EC0" w:rsidP="001853E3">
            <w:pPr>
              <w:widowControl w:val="0"/>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782002CB"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7F18159C"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(0.165)</w:t>
            </w:r>
          </w:p>
        </w:tc>
        <w:tc>
          <w:tcPr>
            <w:tcW w:w="366" w:type="dxa"/>
            <w:tcBorders>
              <w:top w:val="nil"/>
              <w:left w:val="nil"/>
              <w:bottom w:val="nil"/>
              <w:right w:val="nil"/>
            </w:tcBorders>
            <w:shd w:val="clear" w:color="auto" w:fill="auto"/>
            <w:noWrap/>
            <w:vAlign w:val="bottom"/>
            <w:hideMark/>
          </w:tcPr>
          <w:p w14:paraId="5A020937"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1B287373"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(0.000)</w:t>
            </w:r>
          </w:p>
        </w:tc>
        <w:tc>
          <w:tcPr>
            <w:tcW w:w="367" w:type="dxa"/>
            <w:tcBorders>
              <w:top w:val="nil"/>
              <w:left w:val="nil"/>
              <w:bottom w:val="nil"/>
              <w:right w:val="nil"/>
            </w:tcBorders>
            <w:shd w:val="clear" w:color="auto" w:fill="auto"/>
            <w:noWrap/>
            <w:vAlign w:val="bottom"/>
            <w:hideMark/>
          </w:tcPr>
          <w:p w14:paraId="79E1CEE7"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66CB62BC"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(0.581)</w:t>
            </w:r>
          </w:p>
        </w:tc>
        <w:tc>
          <w:tcPr>
            <w:tcW w:w="366" w:type="dxa"/>
            <w:tcBorders>
              <w:top w:val="nil"/>
              <w:left w:val="nil"/>
              <w:bottom w:val="nil"/>
              <w:right w:val="nil"/>
            </w:tcBorders>
            <w:shd w:val="clear" w:color="auto" w:fill="auto"/>
            <w:noWrap/>
            <w:vAlign w:val="bottom"/>
            <w:hideMark/>
          </w:tcPr>
          <w:p w14:paraId="2397B904"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0EA1857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(0.147)</w:t>
            </w:r>
          </w:p>
        </w:tc>
      </w:tr>
      <w:tr w:rsidR="004F1EC0" w:rsidRPr="0003281F" w14:paraId="398212A9"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650FB79A" w14:textId="77777777" w:rsidR="004F1EC0" w:rsidRPr="0003281F" w:rsidRDefault="004F1EC0" w:rsidP="001853E3">
            <w:pPr>
              <w:widowControl w:val="0"/>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27036EC8"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49BDAE58" w14:textId="77777777" w:rsidR="004F1EC0" w:rsidRPr="0003281F" w:rsidRDefault="004F1EC0" w:rsidP="001853E3">
            <w:pPr>
              <w:widowControl w:val="0"/>
              <w:jc w:val="center"/>
              <w:rPr>
                <w:rFonts w:eastAsia="Times New Roman"/>
                <w:color w:val="000000"/>
                <w:sz w:val="22"/>
                <w:szCs w:val="22"/>
              </w:rPr>
            </w:pPr>
          </w:p>
        </w:tc>
        <w:tc>
          <w:tcPr>
            <w:tcW w:w="366" w:type="dxa"/>
            <w:tcBorders>
              <w:top w:val="nil"/>
              <w:left w:val="nil"/>
              <w:bottom w:val="nil"/>
              <w:right w:val="nil"/>
            </w:tcBorders>
            <w:shd w:val="clear" w:color="auto" w:fill="auto"/>
            <w:noWrap/>
            <w:vAlign w:val="bottom"/>
            <w:hideMark/>
          </w:tcPr>
          <w:p w14:paraId="0CD64EF2"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149F5FC0" w14:textId="77777777" w:rsidR="004F1EC0" w:rsidRPr="0003281F" w:rsidRDefault="004F1EC0" w:rsidP="001853E3">
            <w:pPr>
              <w:widowControl w:val="0"/>
              <w:jc w:val="center"/>
              <w:rPr>
                <w:rFonts w:eastAsia="Times New Roman"/>
                <w:color w:val="000000"/>
                <w:sz w:val="22"/>
                <w:szCs w:val="22"/>
              </w:rPr>
            </w:pPr>
          </w:p>
        </w:tc>
        <w:tc>
          <w:tcPr>
            <w:tcW w:w="367" w:type="dxa"/>
            <w:tcBorders>
              <w:top w:val="nil"/>
              <w:left w:val="nil"/>
              <w:bottom w:val="nil"/>
              <w:right w:val="nil"/>
            </w:tcBorders>
            <w:shd w:val="clear" w:color="auto" w:fill="auto"/>
            <w:noWrap/>
            <w:vAlign w:val="bottom"/>
            <w:hideMark/>
          </w:tcPr>
          <w:p w14:paraId="41290751"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5E0A7B9A" w14:textId="77777777" w:rsidR="004F1EC0" w:rsidRPr="0003281F" w:rsidRDefault="004F1EC0" w:rsidP="001853E3">
            <w:pPr>
              <w:widowControl w:val="0"/>
              <w:jc w:val="center"/>
              <w:rPr>
                <w:rFonts w:eastAsia="Times New Roman"/>
                <w:color w:val="000000"/>
                <w:sz w:val="22"/>
                <w:szCs w:val="22"/>
              </w:rPr>
            </w:pPr>
          </w:p>
        </w:tc>
        <w:tc>
          <w:tcPr>
            <w:tcW w:w="366" w:type="dxa"/>
            <w:tcBorders>
              <w:top w:val="nil"/>
              <w:left w:val="nil"/>
              <w:bottom w:val="nil"/>
              <w:right w:val="nil"/>
            </w:tcBorders>
            <w:shd w:val="clear" w:color="auto" w:fill="auto"/>
            <w:noWrap/>
            <w:vAlign w:val="bottom"/>
            <w:hideMark/>
          </w:tcPr>
          <w:p w14:paraId="5334A03B"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24F3D6BF" w14:textId="77777777" w:rsidR="004F1EC0" w:rsidRPr="0003281F" w:rsidRDefault="004F1EC0" w:rsidP="001853E3">
            <w:pPr>
              <w:widowControl w:val="0"/>
              <w:jc w:val="center"/>
              <w:rPr>
                <w:rFonts w:eastAsia="Times New Roman"/>
                <w:color w:val="000000"/>
                <w:sz w:val="22"/>
                <w:szCs w:val="22"/>
              </w:rPr>
            </w:pPr>
          </w:p>
        </w:tc>
      </w:tr>
      <w:tr w:rsidR="004F1EC0" w:rsidRPr="0003281F" w14:paraId="1752A4D6"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4E12BCDA"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Industry Fixed Effects</w:t>
            </w:r>
          </w:p>
        </w:tc>
        <w:tc>
          <w:tcPr>
            <w:tcW w:w="367" w:type="dxa"/>
            <w:tcBorders>
              <w:top w:val="nil"/>
              <w:left w:val="nil"/>
              <w:bottom w:val="nil"/>
              <w:right w:val="nil"/>
            </w:tcBorders>
            <w:shd w:val="clear" w:color="auto" w:fill="auto"/>
            <w:noWrap/>
            <w:vAlign w:val="bottom"/>
            <w:hideMark/>
          </w:tcPr>
          <w:p w14:paraId="3FE3E0C5"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2432BCC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Yes</w:t>
            </w:r>
          </w:p>
        </w:tc>
        <w:tc>
          <w:tcPr>
            <w:tcW w:w="366" w:type="dxa"/>
            <w:tcBorders>
              <w:top w:val="nil"/>
              <w:left w:val="nil"/>
              <w:bottom w:val="nil"/>
              <w:right w:val="nil"/>
            </w:tcBorders>
            <w:shd w:val="clear" w:color="auto" w:fill="auto"/>
            <w:noWrap/>
            <w:vAlign w:val="bottom"/>
            <w:hideMark/>
          </w:tcPr>
          <w:p w14:paraId="49812EFB"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7BF4235B"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Yes</w:t>
            </w:r>
          </w:p>
        </w:tc>
        <w:tc>
          <w:tcPr>
            <w:tcW w:w="367" w:type="dxa"/>
            <w:tcBorders>
              <w:top w:val="nil"/>
              <w:left w:val="nil"/>
              <w:bottom w:val="nil"/>
              <w:right w:val="nil"/>
            </w:tcBorders>
            <w:shd w:val="clear" w:color="auto" w:fill="auto"/>
            <w:noWrap/>
            <w:vAlign w:val="bottom"/>
            <w:hideMark/>
          </w:tcPr>
          <w:p w14:paraId="5FFD4188"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11C7F8C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Yes</w:t>
            </w:r>
          </w:p>
        </w:tc>
        <w:tc>
          <w:tcPr>
            <w:tcW w:w="366" w:type="dxa"/>
            <w:tcBorders>
              <w:top w:val="nil"/>
              <w:left w:val="nil"/>
              <w:bottom w:val="nil"/>
              <w:right w:val="nil"/>
            </w:tcBorders>
            <w:shd w:val="clear" w:color="auto" w:fill="auto"/>
            <w:noWrap/>
            <w:vAlign w:val="bottom"/>
            <w:hideMark/>
          </w:tcPr>
          <w:p w14:paraId="3F9F426E"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5BC45DE3"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Yes</w:t>
            </w:r>
          </w:p>
        </w:tc>
      </w:tr>
      <w:tr w:rsidR="004F1EC0" w:rsidRPr="0003281F" w14:paraId="0477D7D0"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588A5146"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Total Observations</w:t>
            </w:r>
          </w:p>
        </w:tc>
        <w:tc>
          <w:tcPr>
            <w:tcW w:w="367" w:type="dxa"/>
            <w:tcBorders>
              <w:top w:val="nil"/>
              <w:left w:val="nil"/>
              <w:bottom w:val="nil"/>
              <w:right w:val="nil"/>
            </w:tcBorders>
            <w:shd w:val="clear" w:color="auto" w:fill="auto"/>
            <w:noWrap/>
            <w:vAlign w:val="bottom"/>
            <w:hideMark/>
          </w:tcPr>
          <w:p w14:paraId="4D5CD8B9"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7DF3196E"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2,342</w:t>
            </w:r>
          </w:p>
        </w:tc>
        <w:tc>
          <w:tcPr>
            <w:tcW w:w="366" w:type="dxa"/>
            <w:tcBorders>
              <w:top w:val="nil"/>
              <w:left w:val="nil"/>
              <w:bottom w:val="nil"/>
              <w:right w:val="nil"/>
            </w:tcBorders>
            <w:shd w:val="clear" w:color="auto" w:fill="auto"/>
            <w:noWrap/>
            <w:vAlign w:val="bottom"/>
            <w:hideMark/>
          </w:tcPr>
          <w:p w14:paraId="72238433"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5793807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2,342</w:t>
            </w:r>
          </w:p>
        </w:tc>
        <w:tc>
          <w:tcPr>
            <w:tcW w:w="367" w:type="dxa"/>
            <w:tcBorders>
              <w:top w:val="nil"/>
              <w:left w:val="nil"/>
              <w:bottom w:val="nil"/>
              <w:right w:val="nil"/>
            </w:tcBorders>
            <w:shd w:val="clear" w:color="auto" w:fill="auto"/>
            <w:noWrap/>
            <w:vAlign w:val="bottom"/>
            <w:hideMark/>
          </w:tcPr>
          <w:p w14:paraId="50B3B995"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19E361FF"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468</w:t>
            </w:r>
          </w:p>
        </w:tc>
        <w:tc>
          <w:tcPr>
            <w:tcW w:w="366" w:type="dxa"/>
            <w:tcBorders>
              <w:top w:val="nil"/>
              <w:left w:val="nil"/>
              <w:bottom w:val="nil"/>
              <w:right w:val="nil"/>
            </w:tcBorders>
            <w:shd w:val="clear" w:color="auto" w:fill="auto"/>
            <w:noWrap/>
            <w:vAlign w:val="bottom"/>
            <w:hideMark/>
          </w:tcPr>
          <w:p w14:paraId="43333772"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1EE2F90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468</w:t>
            </w:r>
          </w:p>
        </w:tc>
      </w:tr>
      <w:tr w:rsidR="004F1EC0" w:rsidRPr="0003281F" w14:paraId="5CB8453F"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049EF360" w14:textId="77777777" w:rsidR="004F1EC0" w:rsidRPr="0003281F" w:rsidRDefault="004F1EC0" w:rsidP="001853E3">
            <w:pPr>
              <w:widowControl w:val="0"/>
              <w:jc w:val="right"/>
              <w:rPr>
                <w:rFonts w:eastAsia="Times New Roman"/>
                <w:color w:val="000000"/>
                <w:sz w:val="22"/>
                <w:szCs w:val="22"/>
              </w:rPr>
            </w:pPr>
            <w:r w:rsidRPr="0003281F">
              <w:rPr>
                <w:rFonts w:eastAsia="Times New Roman"/>
                <w:color w:val="000000"/>
                <w:sz w:val="22"/>
                <w:szCs w:val="22"/>
              </w:rPr>
              <w:t>UK Observations</w:t>
            </w:r>
          </w:p>
        </w:tc>
        <w:tc>
          <w:tcPr>
            <w:tcW w:w="367" w:type="dxa"/>
            <w:tcBorders>
              <w:top w:val="nil"/>
              <w:left w:val="nil"/>
              <w:bottom w:val="nil"/>
              <w:right w:val="nil"/>
            </w:tcBorders>
            <w:shd w:val="clear" w:color="auto" w:fill="auto"/>
            <w:noWrap/>
            <w:vAlign w:val="bottom"/>
            <w:hideMark/>
          </w:tcPr>
          <w:p w14:paraId="60EB4ED0" w14:textId="77777777" w:rsidR="004F1EC0" w:rsidRPr="0003281F" w:rsidRDefault="004F1EC0"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3E3B7075" w14:textId="7A6A7F53" w:rsidR="004F1EC0" w:rsidRPr="0003281F" w:rsidRDefault="00A35C25" w:rsidP="00A35C25">
            <w:pPr>
              <w:widowControl w:val="0"/>
              <w:jc w:val="center"/>
              <w:rPr>
                <w:rFonts w:eastAsia="Times New Roman"/>
                <w:color w:val="000000"/>
                <w:sz w:val="22"/>
                <w:szCs w:val="22"/>
              </w:rPr>
            </w:pPr>
            <w:r w:rsidRPr="0003281F">
              <w:rPr>
                <w:rFonts w:eastAsia="Times New Roman"/>
                <w:color w:val="000000"/>
                <w:sz w:val="22"/>
                <w:szCs w:val="22"/>
              </w:rPr>
              <w:t>582</w:t>
            </w:r>
          </w:p>
        </w:tc>
        <w:tc>
          <w:tcPr>
            <w:tcW w:w="366" w:type="dxa"/>
            <w:tcBorders>
              <w:top w:val="nil"/>
              <w:left w:val="nil"/>
              <w:bottom w:val="nil"/>
              <w:right w:val="nil"/>
            </w:tcBorders>
            <w:shd w:val="clear" w:color="auto" w:fill="auto"/>
            <w:noWrap/>
            <w:vAlign w:val="bottom"/>
            <w:hideMark/>
          </w:tcPr>
          <w:p w14:paraId="09560BC1" w14:textId="77777777" w:rsidR="004F1EC0" w:rsidRPr="0003281F" w:rsidRDefault="004F1EC0"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450D9705" w14:textId="37C92246" w:rsidR="004F1EC0" w:rsidRPr="0003281F" w:rsidRDefault="00A35C25" w:rsidP="001853E3">
            <w:pPr>
              <w:widowControl w:val="0"/>
              <w:jc w:val="center"/>
              <w:rPr>
                <w:rFonts w:eastAsia="Times New Roman"/>
                <w:color w:val="000000"/>
                <w:sz w:val="22"/>
                <w:szCs w:val="22"/>
              </w:rPr>
            </w:pPr>
            <w:r w:rsidRPr="0003281F">
              <w:rPr>
                <w:rFonts w:eastAsia="Times New Roman"/>
                <w:color w:val="000000"/>
                <w:sz w:val="22"/>
                <w:szCs w:val="22"/>
              </w:rPr>
              <w:t>582</w:t>
            </w:r>
          </w:p>
        </w:tc>
        <w:tc>
          <w:tcPr>
            <w:tcW w:w="367" w:type="dxa"/>
            <w:tcBorders>
              <w:top w:val="nil"/>
              <w:left w:val="nil"/>
              <w:bottom w:val="nil"/>
              <w:right w:val="nil"/>
            </w:tcBorders>
            <w:shd w:val="clear" w:color="auto" w:fill="auto"/>
            <w:noWrap/>
            <w:vAlign w:val="bottom"/>
            <w:hideMark/>
          </w:tcPr>
          <w:p w14:paraId="35678597" w14:textId="77777777" w:rsidR="004F1EC0" w:rsidRPr="0003281F" w:rsidRDefault="004F1EC0"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5F7CC579"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234</w:t>
            </w:r>
          </w:p>
        </w:tc>
        <w:tc>
          <w:tcPr>
            <w:tcW w:w="366" w:type="dxa"/>
            <w:tcBorders>
              <w:top w:val="nil"/>
              <w:left w:val="nil"/>
              <w:bottom w:val="nil"/>
              <w:right w:val="nil"/>
            </w:tcBorders>
            <w:shd w:val="clear" w:color="auto" w:fill="auto"/>
            <w:noWrap/>
            <w:vAlign w:val="bottom"/>
            <w:hideMark/>
          </w:tcPr>
          <w:p w14:paraId="50B0A812" w14:textId="77777777" w:rsidR="004F1EC0" w:rsidRPr="0003281F" w:rsidRDefault="004F1EC0"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242C90B5"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234</w:t>
            </w:r>
          </w:p>
        </w:tc>
      </w:tr>
      <w:tr w:rsidR="00A35C25" w:rsidRPr="0003281F" w14:paraId="27424B7A" w14:textId="77777777" w:rsidTr="009A2F67">
        <w:trPr>
          <w:trHeight w:val="271"/>
          <w:jc w:val="center"/>
        </w:trPr>
        <w:tc>
          <w:tcPr>
            <w:tcW w:w="2393" w:type="dxa"/>
            <w:tcBorders>
              <w:top w:val="nil"/>
              <w:left w:val="nil"/>
              <w:bottom w:val="nil"/>
              <w:right w:val="nil"/>
            </w:tcBorders>
            <w:shd w:val="clear" w:color="auto" w:fill="auto"/>
            <w:noWrap/>
            <w:vAlign w:val="bottom"/>
            <w:hideMark/>
          </w:tcPr>
          <w:p w14:paraId="24456565" w14:textId="77777777" w:rsidR="00A35C25" w:rsidRPr="0003281F" w:rsidRDefault="00A35C25" w:rsidP="001853E3">
            <w:pPr>
              <w:widowControl w:val="0"/>
              <w:jc w:val="right"/>
              <w:rPr>
                <w:rFonts w:eastAsia="Times New Roman"/>
                <w:color w:val="000000"/>
                <w:sz w:val="22"/>
                <w:szCs w:val="22"/>
              </w:rPr>
            </w:pPr>
            <w:r w:rsidRPr="0003281F">
              <w:rPr>
                <w:rFonts w:eastAsia="Times New Roman"/>
                <w:color w:val="000000"/>
                <w:sz w:val="22"/>
                <w:szCs w:val="22"/>
              </w:rPr>
              <w:t>US Observations</w:t>
            </w:r>
          </w:p>
        </w:tc>
        <w:tc>
          <w:tcPr>
            <w:tcW w:w="367" w:type="dxa"/>
            <w:tcBorders>
              <w:top w:val="nil"/>
              <w:left w:val="nil"/>
              <w:bottom w:val="nil"/>
              <w:right w:val="nil"/>
            </w:tcBorders>
            <w:shd w:val="clear" w:color="auto" w:fill="auto"/>
            <w:noWrap/>
            <w:vAlign w:val="bottom"/>
            <w:hideMark/>
          </w:tcPr>
          <w:p w14:paraId="154F8F90" w14:textId="77777777" w:rsidR="00A35C25" w:rsidRPr="0003281F" w:rsidRDefault="00A35C25" w:rsidP="001853E3">
            <w:pPr>
              <w:widowControl w:val="0"/>
              <w:jc w:val="center"/>
              <w:rPr>
                <w:rFonts w:eastAsia="Times New Roman"/>
                <w:color w:val="000000"/>
                <w:sz w:val="22"/>
                <w:szCs w:val="22"/>
              </w:rPr>
            </w:pPr>
          </w:p>
        </w:tc>
        <w:tc>
          <w:tcPr>
            <w:tcW w:w="1288" w:type="dxa"/>
            <w:tcBorders>
              <w:top w:val="nil"/>
              <w:left w:val="nil"/>
              <w:bottom w:val="nil"/>
              <w:right w:val="nil"/>
            </w:tcBorders>
            <w:shd w:val="clear" w:color="auto" w:fill="auto"/>
            <w:noWrap/>
            <w:vAlign w:val="bottom"/>
            <w:hideMark/>
          </w:tcPr>
          <w:p w14:paraId="28433FCF" w14:textId="5559D2C1" w:rsidR="00A35C25" w:rsidRPr="0003281F" w:rsidRDefault="00A35C25" w:rsidP="001853E3">
            <w:pPr>
              <w:widowControl w:val="0"/>
              <w:jc w:val="center"/>
              <w:rPr>
                <w:rFonts w:eastAsia="Times New Roman"/>
                <w:color w:val="000000"/>
                <w:sz w:val="22"/>
                <w:szCs w:val="22"/>
              </w:rPr>
            </w:pPr>
            <w:r w:rsidRPr="0003281F">
              <w:rPr>
                <w:rFonts w:eastAsia="Times New Roman"/>
                <w:color w:val="000000"/>
                <w:sz w:val="22"/>
                <w:szCs w:val="22"/>
              </w:rPr>
              <w:t>1,760</w:t>
            </w:r>
          </w:p>
        </w:tc>
        <w:tc>
          <w:tcPr>
            <w:tcW w:w="366" w:type="dxa"/>
            <w:tcBorders>
              <w:top w:val="nil"/>
              <w:left w:val="nil"/>
              <w:bottom w:val="nil"/>
              <w:right w:val="nil"/>
            </w:tcBorders>
            <w:shd w:val="clear" w:color="auto" w:fill="auto"/>
            <w:noWrap/>
            <w:vAlign w:val="bottom"/>
            <w:hideMark/>
          </w:tcPr>
          <w:p w14:paraId="36F3C064" w14:textId="77777777" w:rsidR="00A35C25" w:rsidRPr="0003281F" w:rsidRDefault="00A35C25" w:rsidP="001853E3">
            <w:pPr>
              <w:widowControl w:val="0"/>
              <w:jc w:val="center"/>
              <w:rPr>
                <w:rFonts w:eastAsia="Times New Roman"/>
                <w:color w:val="000000"/>
                <w:sz w:val="22"/>
                <w:szCs w:val="22"/>
              </w:rPr>
            </w:pPr>
          </w:p>
        </w:tc>
        <w:tc>
          <w:tcPr>
            <w:tcW w:w="1435" w:type="dxa"/>
            <w:tcBorders>
              <w:top w:val="nil"/>
              <w:left w:val="nil"/>
              <w:bottom w:val="nil"/>
              <w:right w:val="nil"/>
            </w:tcBorders>
            <w:shd w:val="clear" w:color="auto" w:fill="auto"/>
            <w:noWrap/>
            <w:vAlign w:val="bottom"/>
            <w:hideMark/>
          </w:tcPr>
          <w:p w14:paraId="40288E26" w14:textId="2F4E2840" w:rsidR="00A35C25" w:rsidRPr="0003281F" w:rsidRDefault="00A35C25" w:rsidP="001853E3">
            <w:pPr>
              <w:widowControl w:val="0"/>
              <w:jc w:val="center"/>
              <w:rPr>
                <w:rFonts w:eastAsia="Times New Roman"/>
                <w:color w:val="000000"/>
                <w:sz w:val="22"/>
                <w:szCs w:val="22"/>
              </w:rPr>
            </w:pPr>
            <w:r w:rsidRPr="0003281F">
              <w:rPr>
                <w:rFonts w:eastAsia="Times New Roman"/>
                <w:color w:val="000000"/>
                <w:sz w:val="22"/>
                <w:szCs w:val="22"/>
              </w:rPr>
              <w:t>1,760</w:t>
            </w:r>
          </w:p>
        </w:tc>
        <w:tc>
          <w:tcPr>
            <w:tcW w:w="367" w:type="dxa"/>
            <w:tcBorders>
              <w:top w:val="nil"/>
              <w:left w:val="nil"/>
              <w:bottom w:val="nil"/>
              <w:right w:val="nil"/>
            </w:tcBorders>
            <w:shd w:val="clear" w:color="auto" w:fill="auto"/>
            <w:noWrap/>
            <w:vAlign w:val="bottom"/>
            <w:hideMark/>
          </w:tcPr>
          <w:p w14:paraId="6EE22F21" w14:textId="77777777" w:rsidR="00A35C25" w:rsidRPr="0003281F" w:rsidRDefault="00A35C25" w:rsidP="001853E3">
            <w:pPr>
              <w:widowControl w:val="0"/>
              <w:jc w:val="center"/>
              <w:rPr>
                <w:rFonts w:eastAsia="Times New Roman"/>
                <w:color w:val="000000"/>
                <w:sz w:val="22"/>
                <w:szCs w:val="22"/>
              </w:rPr>
            </w:pPr>
          </w:p>
        </w:tc>
        <w:tc>
          <w:tcPr>
            <w:tcW w:w="1232" w:type="dxa"/>
            <w:tcBorders>
              <w:top w:val="nil"/>
              <w:left w:val="nil"/>
              <w:bottom w:val="nil"/>
              <w:right w:val="nil"/>
            </w:tcBorders>
            <w:shd w:val="clear" w:color="auto" w:fill="auto"/>
            <w:noWrap/>
            <w:vAlign w:val="bottom"/>
            <w:hideMark/>
          </w:tcPr>
          <w:p w14:paraId="7636F155" w14:textId="77B1AFB6" w:rsidR="00A35C25" w:rsidRPr="0003281F" w:rsidRDefault="00A35C25" w:rsidP="001853E3">
            <w:pPr>
              <w:widowControl w:val="0"/>
              <w:jc w:val="center"/>
              <w:rPr>
                <w:rFonts w:eastAsia="Times New Roman"/>
                <w:color w:val="000000"/>
                <w:sz w:val="22"/>
                <w:szCs w:val="22"/>
              </w:rPr>
            </w:pPr>
            <w:r w:rsidRPr="0003281F">
              <w:rPr>
                <w:rFonts w:eastAsia="Times New Roman"/>
                <w:color w:val="000000"/>
                <w:sz w:val="22"/>
                <w:szCs w:val="22"/>
              </w:rPr>
              <w:t>234</w:t>
            </w:r>
          </w:p>
        </w:tc>
        <w:tc>
          <w:tcPr>
            <w:tcW w:w="366" w:type="dxa"/>
            <w:tcBorders>
              <w:top w:val="nil"/>
              <w:left w:val="nil"/>
              <w:bottom w:val="nil"/>
              <w:right w:val="nil"/>
            </w:tcBorders>
            <w:shd w:val="clear" w:color="auto" w:fill="auto"/>
            <w:noWrap/>
            <w:vAlign w:val="bottom"/>
            <w:hideMark/>
          </w:tcPr>
          <w:p w14:paraId="34D53CE5" w14:textId="77777777" w:rsidR="00A35C25" w:rsidRPr="0003281F" w:rsidRDefault="00A35C25" w:rsidP="001853E3">
            <w:pPr>
              <w:widowControl w:val="0"/>
              <w:jc w:val="center"/>
              <w:rPr>
                <w:rFonts w:eastAsia="Times New Roman"/>
                <w:color w:val="000000"/>
                <w:sz w:val="22"/>
                <w:szCs w:val="22"/>
              </w:rPr>
            </w:pPr>
          </w:p>
        </w:tc>
        <w:tc>
          <w:tcPr>
            <w:tcW w:w="1556" w:type="dxa"/>
            <w:tcBorders>
              <w:top w:val="nil"/>
              <w:left w:val="nil"/>
              <w:bottom w:val="nil"/>
              <w:right w:val="nil"/>
            </w:tcBorders>
            <w:shd w:val="clear" w:color="auto" w:fill="auto"/>
            <w:noWrap/>
            <w:vAlign w:val="bottom"/>
            <w:hideMark/>
          </w:tcPr>
          <w:p w14:paraId="738DF022" w14:textId="2E499FBA" w:rsidR="00A35C25" w:rsidRPr="0003281F" w:rsidRDefault="00A35C25" w:rsidP="001853E3">
            <w:pPr>
              <w:widowControl w:val="0"/>
              <w:jc w:val="center"/>
              <w:rPr>
                <w:rFonts w:eastAsia="Times New Roman"/>
                <w:color w:val="000000"/>
                <w:sz w:val="22"/>
                <w:szCs w:val="22"/>
              </w:rPr>
            </w:pPr>
            <w:r w:rsidRPr="0003281F">
              <w:rPr>
                <w:rFonts w:eastAsia="Times New Roman"/>
                <w:color w:val="000000"/>
                <w:sz w:val="22"/>
                <w:szCs w:val="22"/>
              </w:rPr>
              <w:t>234</w:t>
            </w:r>
          </w:p>
        </w:tc>
      </w:tr>
      <w:tr w:rsidR="004F1EC0" w:rsidRPr="0003281F" w14:paraId="388BFF45" w14:textId="77777777" w:rsidTr="009A2F67">
        <w:trPr>
          <w:trHeight w:val="271"/>
          <w:jc w:val="center"/>
        </w:trPr>
        <w:tc>
          <w:tcPr>
            <w:tcW w:w="2393" w:type="dxa"/>
            <w:tcBorders>
              <w:top w:val="nil"/>
              <w:left w:val="nil"/>
              <w:bottom w:val="single" w:sz="4" w:space="0" w:color="auto"/>
              <w:right w:val="nil"/>
            </w:tcBorders>
            <w:shd w:val="clear" w:color="auto" w:fill="auto"/>
            <w:noWrap/>
            <w:vAlign w:val="bottom"/>
            <w:hideMark/>
          </w:tcPr>
          <w:p w14:paraId="35565C5D" w14:textId="77777777" w:rsidR="004F1EC0" w:rsidRPr="0003281F" w:rsidRDefault="004F1EC0" w:rsidP="001853E3">
            <w:pPr>
              <w:widowControl w:val="0"/>
              <w:rPr>
                <w:rFonts w:eastAsia="Times New Roman"/>
                <w:color w:val="000000"/>
                <w:sz w:val="22"/>
                <w:szCs w:val="22"/>
              </w:rPr>
            </w:pPr>
            <w:r w:rsidRPr="0003281F">
              <w:rPr>
                <w:rFonts w:eastAsia="Times New Roman"/>
                <w:color w:val="000000"/>
                <w:sz w:val="22"/>
                <w:szCs w:val="22"/>
              </w:rPr>
              <w:t>R-squared</w:t>
            </w:r>
          </w:p>
        </w:tc>
        <w:tc>
          <w:tcPr>
            <w:tcW w:w="367" w:type="dxa"/>
            <w:tcBorders>
              <w:top w:val="nil"/>
              <w:left w:val="nil"/>
              <w:bottom w:val="single" w:sz="4" w:space="0" w:color="auto"/>
              <w:right w:val="nil"/>
            </w:tcBorders>
            <w:shd w:val="clear" w:color="auto" w:fill="auto"/>
            <w:noWrap/>
            <w:vAlign w:val="bottom"/>
            <w:hideMark/>
          </w:tcPr>
          <w:p w14:paraId="4D223BD8"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288" w:type="dxa"/>
            <w:tcBorders>
              <w:top w:val="nil"/>
              <w:left w:val="nil"/>
              <w:bottom w:val="single" w:sz="4" w:space="0" w:color="auto"/>
              <w:right w:val="nil"/>
            </w:tcBorders>
            <w:shd w:val="clear" w:color="auto" w:fill="auto"/>
            <w:noWrap/>
            <w:vAlign w:val="bottom"/>
            <w:hideMark/>
          </w:tcPr>
          <w:p w14:paraId="355EA210"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0.100</w:t>
            </w:r>
          </w:p>
        </w:tc>
        <w:tc>
          <w:tcPr>
            <w:tcW w:w="366" w:type="dxa"/>
            <w:tcBorders>
              <w:top w:val="nil"/>
              <w:left w:val="nil"/>
              <w:bottom w:val="single" w:sz="4" w:space="0" w:color="auto"/>
              <w:right w:val="nil"/>
            </w:tcBorders>
            <w:shd w:val="clear" w:color="auto" w:fill="auto"/>
            <w:noWrap/>
            <w:vAlign w:val="bottom"/>
            <w:hideMark/>
          </w:tcPr>
          <w:p w14:paraId="0A7C1C6D"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435" w:type="dxa"/>
            <w:tcBorders>
              <w:top w:val="nil"/>
              <w:left w:val="nil"/>
              <w:bottom w:val="single" w:sz="4" w:space="0" w:color="auto"/>
              <w:right w:val="nil"/>
            </w:tcBorders>
            <w:shd w:val="clear" w:color="auto" w:fill="auto"/>
            <w:noWrap/>
            <w:vAlign w:val="bottom"/>
            <w:hideMark/>
          </w:tcPr>
          <w:p w14:paraId="565B488E"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0.035</w:t>
            </w:r>
          </w:p>
        </w:tc>
        <w:tc>
          <w:tcPr>
            <w:tcW w:w="367" w:type="dxa"/>
            <w:tcBorders>
              <w:top w:val="nil"/>
              <w:left w:val="nil"/>
              <w:bottom w:val="single" w:sz="4" w:space="0" w:color="auto"/>
              <w:right w:val="nil"/>
            </w:tcBorders>
            <w:shd w:val="clear" w:color="auto" w:fill="auto"/>
            <w:noWrap/>
            <w:vAlign w:val="bottom"/>
            <w:hideMark/>
          </w:tcPr>
          <w:p w14:paraId="06FB49F4"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232" w:type="dxa"/>
            <w:tcBorders>
              <w:top w:val="nil"/>
              <w:left w:val="nil"/>
              <w:bottom w:val="single" w:sz="4" w:space="0" w:color="auto"/>
              <w:right w:val="nil"/>
            </w:tcBorders>
            <w:shd w:val="clear" w:color="auto" w:fill="auto"/>
            <w:noWrap/>
            <w:vAlign w:val="bottom"/>
            <w:hideMark/>
          </w:tcPr>
          <w:p w14:paraId="7150CB5D"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0.106</w:t>
            </w:r>
          </w:p>
        </w:tc>
        <w:tc>
          <w:tcPr>
            <w:tcW w:w="366" w:type="dxa"/>
            <w:tcBorders>
              <w:top w:val="nil"/>
              <w:left w:val="nil"/>
              <w:bottom w:val="single" w:sz="4" w:space="0" w:color="auto"/>
              <w:right w:val="nil"/>
            </w:tcBorders>
            <w:shd w:val="clear" w:color="auto" w:fill="auto"/>
            <w:noWrap/>
            <w:vAlign w:val="bottom"/>
            <w:hideMark/>
          </w:tcPr>
          <w:p w14:paraId="439691B1"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556" w:type="dxa"/>
            <w:tcBorders>
              <w:top w:val="nil"/>
              <w:left w:val="nil"/>
              <w:bottom w:val="single" w:sz="4" w:space="0" w:color="auto"/>
              <w:right w:val="nil"/>
            </w:tcBorders>
            <w:shd w:val="clear" w:color="auto" w:fill="auto"/>
            <w:noWrap/>
            <w:vAlign w:val="bottom"/>
            <w:hideMark/>
          </w:tcPr>
          <w:p w14:paraId="02600427" w14:textId="77777777" w:rsidR="004F1EC0" w:rsidRPr="0003281F" w:rsidRDefault="004F1EC0" w:rsidP="001853E3">
            <w:pPr>
              <w:widowControl w:val="0"/>
              <w:jc w:val="center"/>
              <w:rPr>
                <w:rFonts w:eastAsia="Times New Roman"/>
                <w:color w:val="000000"/>
                <w:sz w:val="22"/>
                <w:szCs w:val="22"/>
              </w:rPr>
            </w:pPr>
            <w:r w:rsidRPr="0003281F">
              <w:rPr>
                <w:rFonts w:eastAsia="Times New Roman"/>
                <w:color w:val="000000"/>
                <w:sz w:val="22"/>
                <w:szCs w:val="22"/>
              </w:rPr>
              <w:t>0.073</w:t>
            </w:r>
          </w:p>
        </w:tc>
      </w:tr>
    </w:tbl>
    <w:p w14:paraId="79C4FC64" w14:textId="750B0F0B" w:rsidR="00A54CB4" w:rsidRPr="00E26D55" w:rsidRDefault="00A54CB4" w:rsidP="001853E3">
      <w:pPr>
        <w:widowControl w:val="0"/>
      </w:pPr>
    </w:p>
    <w:p w14:paraId="2D57C3DE" w14:textId="77777777" w:rsidR="005E0441" w:rsidRDefault="005E0441">
      <w:pPr>
        <w:rPr>
          <w:b/>
        </w:rPr>
      </w:pPr>
      <w:r>
        <w:br w:type="page"/>
      </w:r>
    </w:p>
    <w:p w14:paraId="1513811E" w14:textId="4BBD0438" w:rsidR="00A54CB4" w:rsidRPr="00E26D55" w:rsidRDefault="00FC3706" w:rsidP="005E0441">
      <w:pPr>
        <w:pStyle w:val="Table"/>
      </w:pPr>
      <w:bookmarkStart w:id="106" w:name="_Toc286595539"/>
      <w:r>
        <w:t>Table 6</w:t>
      </w:r>
      <w:r w:rsidR="00A54CB4" w:rsidRPr="00E26D55">
        <w:t>: Change Analysis</w:t>
      </w:r>
      <w:bookmarkEnd w:id="106"/>
    </w:p>
    <w:p w14:paraId="284D07E2" w14:textId="77777777" w:rsidR="00A54CB4" w:rsidRPr="00E26D55" w:rsidRDefault="00A54CB4" w:rsidP="001853E3">
      <w:pPr>
        <w:widowControl w:val="0"/>
        <w:jc w:val="both"/>
      </w:pPr>
    </w:p>
    <w:p w14:paraId="2E34347B" w14:textId="77777777" w:rsidR="00A54CB4" w:rsidRPr="00E26D55" w:rsidRDefault="00A54CB4" w:rsidP="001853E3">
      <w:pPr>
        <w:widowControl w:val="0"/>
        <w:jc w:val="both"/>
      </w:pPr>
    </w:p>
    <w:p w14:paraId="23CE222F" w14:textId="2550CF53" w:rsidR="00A54CB4" w:rsidRPr="0003281F" w:rsidRDefault="00FC3706" w:rsidP="001853E3">
      <w:pPr>
        <w:widowControl w:val="0"/>
        <w:jc w:val="both"/>
        <w:rPr>
          <w:sz w:val="22"/>
          <w:szCs w:val="22"/>
        </w:rPr>
      </w:pPr>
      <w:r w:rsidRPr="0003281F">
        <w:rPr>
          <w:sz w:val="22"/>
          <w:szCs w:val="22"/>
        </w:rPr>
        <w:t>Table 6</w:t>
      </w:r>
      <w:r w:rsidR="00A54CB4" w:rsidRPr="0003281F">
        <w:rPr>
          <w:sz w:val="22"/>
          <w:szCs w:val="22"/>
        </w:rPr>
        <w:t xml:space="preserve"> </w:t>
      </w:r>
      <w:r w:rsidR="00110223" w:rsidRPr="0003281F">
        <w:rPr>
          <w:sz w:val="22"/>
          <w:szCs w:val="22"/>
        </w:rPr>
        <w:t>presents the</w:t>
      </w:r>
      <w:r w:rsidR="00A54CB4" w:rsidRPr="0003281F">
        <w:rPr>
          <w:sz w:val="22"/>
          <w:szCs w:val="22"/>
        </w:rPr>
        <w:t xml:space="preserve"> results for the estimation of equations (1) and (2)</w:t>
      </w:r>
      <w:r w:rsidR="008815FE" w:rsidRPr="0003281F">
        <w:rPr>
          <w:sz w:val="22"/>
          <w:szCs w:val="22"/>
        </w:rPr>
        <w:t xml:space="preserve"> using a strict change analysis</w:t>
      </w:r>
      <w:r w:rsidR="00A54CB4" w:rsidRPr="0003281F">
        <w:rPr>
          <w:sz w:val="22"/>
          <w:szCs w:val="22"/>
        </w:rPr>
        <w:t xml:space="preserve">. </w:t>
      </w:r>
      <w:r w:rsidR="00FF5A23" w:rsidRPr="0003281F">
        <w:rPr>
          <w:i/>
          <w:sz w:val="22"/>
          <w:szCs w:val="22"/>
        </w:rPr>
        <w:t>CHG_POST</w:t>
      </w:r>
      <w:r w:rsidR="00FF5A23" w:rsidRPr="0003281F">
        <w:rPr>
          <w:sz w:val="22"/>
          <w:szCs w:val="22"/>
        </w:rPr>
        <w:t xml:space="preserve"> equals one for observations associated with changes from year </w:t>
      </w:r>
      <w:r w:rsidR="00FF5A23" w:rsidRPr="0003281F">
        <w:rPr>
          <w:i/>
          <w:sz w:val="22"/>
          <w:szCs w:val="22"/>
        </w:rPr>
        <w:t>t-1</w:t>
      </w:r>
      <w:r w:rsidR="00FF5A23" w:rsidRPr="0003281F">
        <w:rPr>
          <w:sz w:val="22"/>
          <w:szCs w:val="22"/>
        </w:rPr>
        <w:t xml:space="preserve"> to year </w:t>
      </w:r>
      <w:r w:rsidR="00FF5A23" w:rsidRPr="0003281F">
        <w:rPr>
          <w:i/>
          <w:sz w:val="22"/>
          <w:szCs w:val="22"/>
        </w:rPr>
        <w:t>t</w:t>
      </w:r>
      <w:r w:rsidR="00FF5A23" w:rsidRPr="0003281F">
        <w:rPr>
          <w:sz w:val="22"/>
          <w:szCs w:val="22"/>
        </w:rPr>
        <w:t xml:space="preserve"> (where </w:t>
      </w:r>
      <w:r w:rsidR="00FF5A23" w:rsidRPr="0003281F">
        <w:rPr>
          <w:i/>
          <w:sz w:val="22"/>
          <w:szCs w:val="22"/>
        </w:rPr>
        <w:t>t</w:t>
      </w:r>
      <w:r w:rsidR="00FF5A23" w:rsidRPr="0003281F">
        <w:rPr>
          <w:sz w:val="22"/>
          <w:szCs w:val="22"/>
        </w:rPr>
        <w:t xml:space="preserve"> represents the year the new reporting regime is implemented). All other variables, including the dependent variables, are also transformed to yearly change variables</w:t>
      </w:r>
      <w:r w:rsidR="00A54CB4" w:rsidRPr="0003281F">
        <w:rPr>
          <w:sz w:val="22"/>
          <w:szCs w:val="22"/>
        </w:rPr>
        <w:t>. Robust p-values adjusted for firm clustering effects are presented in parentheses below the coefficients.</w:t>
      </w:r>
      <w:r w:rsidR="004555F9" w:rsidRPr="0003281F">
        <w:rPr>
          <w:sz w:val="22"/>
          <w:szCs w:val="22"/>
        </w:rPr>
        <w:t xml:space="preserve"> **</w:t>
      </w:r>
      <w:r w:rsidR="00A54CB4" w:rsidRPr="0003281F">
        <w:rPr>
          <w:sz w:val="22"/>
          <w:szCs w:val="22"/>
        </w:rPr>
        <w:t xml:space="preserve"> and *** indicate significance at the </w:t>
      </w:r>
      <w:r w:rsidR="004555F9" w:rsidRPr="0003281F">
        <w:rPr>
          <w:sz w:val="22"/>
          <w:szCs w:val="22"/>
        </w:rPr>
        <w:t>0.05</w:t>
      </w:r>
      <w:r w:rsidR="00A54CB4" w:rsidRPr="0003281F">
        <w:rPr>
          <w:sz w:val="22"/>
          <w:szCs w:val="22"/>
        </w:rPr>
        <w:t xml:space="preserve"> and 0.01 levels, respectively (based on one-tailed tests when a direction is predicted, two-tailed otherwise). </w:t>
      </w:r>
    </w:p>
    <w:p w14:paraId="2FBC43BA" w14:textId="77777777" w:rsidR="004F1EC0" w:rsidRPr="00E26D55" w:rsidRDefault="004F1EC0" w:rsidP="001853E3">
      <w:pPr>
        <w:widowControl w:val="0"/>
      </w:pPr>
    </w:p>
    <w:p w14:paraId="53261255" w14:textId="77777777" w:rsidR="00B721F1" w:rsidRPr="00E26D55" w:rsidRDefault="00B721F1" w:rsidP="001853E3">
      <w:pPr>
        <w:widowControl w:val="0"/>
      </w:pPr>
    </w:p>
    <w:tbl>
      <w:tblPr>
        <w:tblW w:w="6380" w:type="dxa"/>
        <w:jc w:val="center"/>
        <w:tblInd w:w="93" w:type="dxa"/>
        <w:tblLook w:val="04A0" w:firstRow="1" w:lastRow="0" w:firstColumn="1" w:lastColumn="0" w:noHBand="0" w:noVBand="1"/>
      </w:tblPr>
      <w:tblGrid>
        <w:gridCol w:w="2560"/>
        <w:gridCol w:w="342"/>
        <w:gridCol w:w="1402"/>
        <w:gridCol w:w="341"/>
        <w:gridCol w:w="1860"/>
      </w:tblGrid>
      <w:tr w:rsidR="00B721F1" w:rsidRPr="0003281F" w14:paraId="267A4DB5" w14:textId="77777777" w:rsidTr="00B721F1">
        <w:trPr>
          <w:trHeight w:val="300"/>
          <w:jc w:val="center"/>
        </w:trPr>
        <w:tc>
          <w:tcPr>
            <w:tcW w:w="2560" w:type="dxa"/>
            <w:tcBorders>
              <w:top w:val="single" w:sz="4" w:space="0" w:color="auto"/>
              <w:left w:val="nil"/>
              <w:bottom w:val="nil"/>
              <w:right w:val="nil"/>
            </w:tcBorders>
            <w:shd w:val="clear" w:color="auto" w:fill="auto"/>
            <w:noWrap/>
            <w:vAlign w:val="bottom"/>
            <w:hideMark/>
          </w:tcPr>
          <w:p w14:paraId="3312090E"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 </w:t>
            </w:r>
          </w:p>
        </w:tc>
        <w:tc>
          <w:tcPr>
            <w:tcW w:w="280" w:type="dxa"/>
            <w:tcBorders>
              <w:top w:val="single" w:sz="4" w:space="0" w:color="auto"/>
              <w:left w:val="nil"/>
              <w:bottom w:val="nil"/>
              <w:right w:val="nil"/>
            </w:tcBorders>
            <w:shd w:val="clear" w:color="auto" w:fill="auto"/>
            <w:noWrap/>
            <w:vAlign w:val="bottom"/>
            <w:hideMark/>
          </w:tcPr>
          <w:p w14:paraId="55F22FE8"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 </w:t>
            </w:r>
          </w:p>
        </w:tc>
        <w:tc>
          <w:tcPr>
            <w:tcW w:w="1400" w:type="dxa"/>
            <w:tcBorders>
              <w:top w:val="single" w:sz="4" w:space="0" w:color="auto"/>
              <w:left w:val="nil"/>
              <w:bottom w:val="nil"/>
              <w:right w:val="nil"/>
            </w:tcBorders>
            <w:shd w:val="clear" w:color="auto" w:fill="auto"/>
            <w:noWrap/>
            <w:vAlign w:val="bottom"/>
            <w:hideMark/>
          </w:tcPr>
          <w:p w14:paraId="4724BE9B"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(1)</w:t>
            </w:r>
          </w:p>
        </w:tc>
        <w:tc>
          <w:tcPr>
            <w:tcW w:w="280" w:type="dxa"/>
            <w:tcBorders>
              <w:top w:val="single" w:sz="4" w:space="0" w:color="auto"/>
              <w:left w:val="nil"/>
              <w:bottom w:val="nil"/>
              <w:right w:val="nil"/>
            </w:tcBorders>
            <w:shd w:val="clear" w:color="auto" w:fill="auto"/>
            <w:noWrap/>
            <w:vAlign w:val="bottom"/>
            <w:hideMark/>
          </w:tcPr>
          <w:p w14:paraId="67B12CA7"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860" w:type="dxa"/>
            <w:tcBorders>
              <w:top w:val="single" w:sz="4" w:space="0" w:color="auto"/>
              <w:left w:val="nil"/>
              <w:bottom w:val="nil"/>
              <w:right w:val="nil"/>
            </w:tcBorders>
            <w:shd w:val="clear" w:color="auto" w:fill="auto"/>
            <w:noWrap/>
            <w:vAlign w:val="bottom"/>
            <w:hideMark/>
          </w:tcPr>
          <w:p w14:paraId="130AF589"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(2)</w:t>
            </w:r>
          </w:p>
        </w:tc>
      </w:tr>
      <w:tr w:rsidR="00B721F1" w:rsidRPr="0003281F" w14:paraId="4553FE63"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3D03D06D"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VARIABLES</w:t>
            </w:r>
          </w:p>
        </w:tc>
        <w:tc>
          <w:tcPr>
            <w:tcW w:w="280" w:type="dxa"/>
            <w:tcBorders>
              <w:top w:val="nil"/>
              <w:left w:val="nil"/>
              <w:bottom w:val="nil"/>
              <w:right w:val="nil"/>
            </w:tcBorders>
            <w:shd w:val="clear" w:color="auto" w:fill="auto"/>
            <w:noWrap/>
            <w:vAlign w:val="bottom"/>
            <w:hideMark/>
          </w:tcPr>
          <w:p w14:paraId="565FBDDD" w14:textId="77777777" w:rsidR="00B721F1" w:rsidRPr="0003281F" w:rsidRDefault="00B721F1" w:rsidP="001853E3">
            <w:pPr>
              <w:widowControl w:val="0"/>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3203A014"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CHG_AVOL</w:t>
            </w:r>
          </w:p>
        </w:tc>
        <w:tc>
          <w:tcPr>
            <w:tcW w:w="280" w:type="dxa"/>
            <w:tcBorders>
              <w:top w:val="nil"/>
              <w:left w:val="nil"/>
              <w:bottom w:val="nil"/>
              <w:right w:val="nil"/>
            </w:tcBorders>
            <w:shd w:val="clear" w:color="auto" w:fill="auto"/>
            <w:noWrap/>
            <w:vAlign w:val="bottom"/>
            <w:hideMark/>
          </w:tcPr>
          <w:p w14:paraId="5020DC1B"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17A8E488"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CHG_ASPREAD</w:t>
            </w:r>
          </w:p>
        </w:tc>
      </w:tr>
      <w:tr w:rsidR="00B721F1" w:rsidRPr="0003281F" w14:paraId="335F2AD0" w14:textId="77777777" w:rsidTr="00B721F1">
        <w:trPr>
          <w:trHeight w:val="300"/>
          <w:jc w:val="center"/>
        </w:trPr>
        <w:tc>
          <w:tcPr>
            <w:tcW w:w="2560" w:type="dxa"/>
            <w:tcBorders>
              <w:top w:val="single" w:sz="4" w:space="0" w:color="auto"/>
              <w:left w:val="nil"/>
              <w:bottom w:val="nil"/>
              <w:right w:val="nil"/>
            </w:tcBorders>
            <w:shd w:val="clear" w:color="auto" w:fill="auto"/>
            <w:noWrap/>
            <w:vAlign w:val="bottom"/>
            <w:hideMark/>
          </w:tcPr>
          <w:p w14:paraId="4252F2A8"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 </w:t>
            </w:r>
          </w:p>
        </w:tc>
        <w:tc>
          <w:tcPr>
            <w:tcW w:w="280" w:type="dxa"/>
            <w:tcBorders>
              <w:top w:val="single" w:sz="4" w:space="0" w:color="auto"/>
              <w:left w:val="nil"/>
              <w:bottom w:val="nil"/>
              <w:right w:val="nil"/>
            </w:tcBorders>
            <w:shd w:val="clear" w:color="auto" w:fill="auto"/>
            <w:noWrap/>
            <w:vAlign w:val="bottom"/>
            <w:hideMark/>
          </w:tcPr>
          <w:p w14:paraId="0333F6F2"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 </w:t>
            </w:r>
          </w:p>
        </w:tc>
        <w:tc>
          <w:tcPr>
            <w:tcW w:w="1400" w:type="dxa"/>
            <w:tcBorders>
              <w:top w:val="single" w:sz="4" w:space="0" w:color="auto"/>
              <w:left w:val="nil"/>
              <w:bottom w:val="nil"/>
              <w:right w:val="nil"/>
            </w:tcBorders>
            <w:shd w:val="clear" w:color="auto" w:fill="auto"/>
            <w:noWrap/>
            <w:vAlign w:val="bottom"/>
            <w:hideMark/>
          </w:tcPr>
          <w:p w14:paraId="7B954234"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280" w:type="dxa"/>
            <w:tcBorders>
              <w:top w:val="single" w:sz="4" w:space="0" w:color="auto"/>
              <w:left w:val="nil"/>
              <w:bottom w:val="nil"/>
              <w:right w:val="nil"/>
            </w:tcBorders>
            <w:shd w:val="clear" w:color="auto" w:fill="auto"/>
            <w:noWrap/>
            <w:vAlign w:val="bottom"/>
            <w:hideMark/>
          </w:tcPr>
          <w:p w14:paraId="2819D01D"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860" w:type="dxa"/>
            <w:tcBorders>
              <w:top w:val="single" w:sz="4" w:space="0" w:color="auto"/>
              <w:left w:val="nil"/>
              <w:bottom w:val="nil"/>
              <w:right w:val="nil"/>
            </w:tcBorders>
            <w:shd w:val="clear" w:color="auto" w:fill="auto"/>
            <w:noWrap/>
            <w:vAlign w:val="bottom"/>
            <w:hideMark/>
          </w:tcPr>
          <w:p w14:paraId="01519F76"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 </w:t>
            </w:r>
          </w:p>
        </w:tc>
      </w:tr>
      <w:tr w:rsidR="00B721F1" w:rsidRPr="0003281F" w14:paraId="55E2F44E"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64FA4933" w14:textId="77777777" w:rsidR="00B721F1" w:rsidRPr="0003281F" w:rsidRDefault="00B721F1" w:rsidP="001853E3">
            <w:pPr>
              <w:widowControl w:val="0"/>
              <w:rPr>
                <w:rFonts w:eastAsia="Times New Roman"/>
                <w:b/>
                <w:bCs/>
                <w:color w:val="000000"/>
                <w:sz w:val="22"/>
                <w:szCs w:val="22"/>
              </w:rPr>
            </w:pPr>
            <w:r w:rsidRPr="0003281F">
              <w:rPr>
                <w:rFonts w:eastAsia="Times New Roman"/>
                <w:b/>
                <w:bCs/>
                <w:color w:val="000000"/>
                <w:sz w:val="22"/>
                <w:szCs w:val="22"/>
              </w:rPr>
              <w:t>CHG_POST</w:t>
            </w:r>
          </w:p>
        </w:tc>
        <w:tc>
          <w:tcPr>
            <w:tcW w:w="280" w:type="dxa"/>
            <w:tcBorders>
              <w:top w:val="nil"/>
              <w:left w:val="nil"/>
              <w:bottom w:val="nil"/>
              <w:right w:val="nil"/>
            </w:tcBorders>
            <w:shd w:val="clear" w:color="auto" w:fill="auto"/>
            <w:noWrap/>
            <w:vAlign w:val="bottom"/>
            <w:hideMark/>
          </w:tcPr>
          <w:p w14:paraId="70D7147C" w14:textId="77777777" w:rsidR="00B721F1" w:rsidRPr="0003281F" w:rsidRDefault="00B721F1" w:rsidP="001853E3">
            <w:pPr>
              <w:widowControl w:val="0"/>
              <w:jc w:val="center"/>
              <w:rPr>
                <w:rFonts w:eastAsia="Times New Roman"/>
                <w:b/>
                <w:bCs/>
                <w:color w:val="000000"/>
                <w:sz w:val="22"/>
                <w:szCs w:val="22"/>
              </w:rPr>
            </w:pPr>
            <w:r w:rsidRPr="0003281F">
              <w:rPr>
                <w:rFonts w:eastAsia="Times New Roman"/>
                <w:b/>
                <w:bCs/>
                <w:color w:val="000000"/>
                <w:sz w:val="22"/>
                <w:szCs w:val="22"/>
              </w:rPr>
              <w:t>+</w:t>
            </w:r>
          </w:p>
        </w:tc>
        <w:tc>
          <w:tcPr>
            <w:tcW w:w="1400" w:type="dxa"/>
            <w:tcBorders>
              <w:top w:val="nil"/>
              <w:left w:val="nil"/>
              <w:bottom w:val="nil"/>
              <w:right w:val="nil"/>
            </w:tcBorders>
            <w:shd w:val="clear" w:color="auto" w:fill="auto"/>
            <w:noWrap/>
            <w:vAlign w:val="bottom"/>
            <w:hideMark/>
          </w:tcPr>
          <w:p w14:paraId="0639D13C" w14:textId="77777777" w:rsidR="00B721F1" w:rsidRPr="0003281F" w:rsidRDefault="00B721F1" w:rsidP="001853E3">
            <w:pPr>
              <w:widowControl w:val="0"/>
              <w:jc w:val="center"/>
              <w:rPr>
                <w:rFonts w:eastAsia="Times New Roman"/>
                <w:b/>
                <w:bCs/>
                <w:color w:val="000000"/>
                <w:sz w:val="22"/>
                <w:szCs w:val="22"/>
              </w:rPr>
            </w:pPr>
            <w:r w:rsidRPr="0003281F">
              <w:rPr>
                <w:rFonts w:eastAsia="Times New Roman"/>
                <w:b/>
                <w:bCs/>
                <w:color w:val="000000"/>
                <w:sz w:val="22"/>
                <w:szCs w:val="22"/>
              </w:rPr>
              <w:t>0.362***</w:t>
            </w:r>
          </w:p>
        </w:tc>
        <w:tc>
          <w:tcPr>
            <w:tcW w:w="280" w:type="dxa"/>
            <w:tcBorders>
              <w:top w:val="nil"/>
              <w:left w:val="nil"/>
              <w:bottom w:val="nil"/>
              <w:right w:val="nil"/>
            </w:tcBorders>
            <w:shd w:val="clear" w:color="auto" w:fill="auto"/>
            <w:noWrap/>
            <w:vAlign w:val="bottom"/>
            <w:hideMark/>
          </w:tcPr>
          <w:p w14:paraId="731CABC2" w14:textId="77777777" w:rsidR="00B721F1" w:rsidRPr="0003281F" w:rsidRDefault="00B721F1" w:rsidP="001853E3">
            <w:pPr>
              <w:widowControl w:val="0"/>
              <w:jc w:val="center"/>
              <w:rPr>
                <w:rFonts w:eastAsia="Times New Roman"/>
                <w:b/>
                <w:bCs/>
                <w:color w:val="000000"/>
                <w:sz w:val="22"/>
                <w:szCs w:val="22"/>
              </w:rPr>
            </w:pPr>
            <w:r w:rsidRPr="0003281F">
              <w:rPr>
                <w:rFonts w:eastAsia="Times New Roman"/>
                <w:b/>
                <w:bCs/>
                <w:color w:val="000000"/>
                <w:sz w:val="22"/>
                <w:szCs w:val="22"/>
              </w:rPr>
              <w:t>-</w:t>
            </w:r>
          </w:p>
        </w:tc>
        <w:tc>
          <w:tcPr>
            <w:tcW w:w="1860" w:type="dxa"/>
            <w:tcBorders>
              <w:top w:val="nil"/>
              <w:left w:val="nil"/>
              <w:bottom w:val="nil"/>
              <w:right w:val="nil"/>
            </w:tcBorders>
            <w:shd w:val="clear" w:color="auto" w:fill="auto"/>
            <w:noWrap/>
            <w:vAlign w:val="bottom"/>
            <w:hideMark/>
          </w:tcPr>
          <w:p w14:paraId="2DF61DD3" w14:textId="77777777" w:rsidR="00B721F1" w:rsidRPr="0003281F" w:rsidRDefault="00B721F1" w:rsidP="001853E3">
            <w:pPr>
              <w:widowControl w:val="0"/>
              <w:jc w:val="center"/>
              <w:rPr>
                <w:rFonts w:eastAsia="Times New Roman"/>
                <w:b/>
                <w:bCs/>
                <w:color w:val="000000"/>
                <w:sz w:val="22"/>
                <w:szCs w:val="22"/>
              </w:rPr>
            </w:pPr>
            <w:r w:rsidRPr="0003281F">
              <w:rPr>
                <w:rFonts w:eastAsia="Times New Roman"/>
                <w:b/>
                <w:bCs/>
                <w:color w:val="000000"/>
                <w:sz w:val="22"/>
                <w:szCs w:val="22"/>
              </w:rPr>
              <w:t>-0.225**</w:t>
            </w:r>
          </w:p>
        </w:tc>
      </w:tr>
      <w:tr w:rsidR="00B721F1" w:rsidRPr="0003281F" w14:paraId="13B2C292"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7EC32734" w14:textId="77777777" w:rsidR="00B721F1" w:rsidRPr="0003281F" w:rsidRDefault="00B721F1" w:rsidP="001853E3">
            <w:pPr>
              <w:widowControl w:val="0"/>
              <w:rPr>
                <w:rFonts w:eastAsia="Times New Roman"/>
                <w:b/>
                <w:bCs/>
                <w:color w:val="000000"/>
                <w:sz w:val="22"/>
                <w:szCs w:val="22"/>
              </w:rPr>
            </w:pPr>
          </w:p>
        </w:tc>
        <w:tc>
          <w:tcPr>
            <w:tcW w:w="280" w:type="dxa"/>
            <w:tcBorders>
              <w:top w:val="nil"/>
              <w:left w:val="nil"/>
              <w:bottom w:val="nil"/>
              <w:right w:val="nil"/>
            </w:tcBorders>
            <w:shd w:val="clear" w:color="auto" w:fill="auto"/>
            <w:noWrap/>
            <w:vAlign w:val="bottom"/>
            <w:hideMark/>
          </w:tcPr>
          <w:p w14:paraId="1FC3F20D" w14:textId="77777777" w:rsidR="00B721F1" w:rsidRPr="0003281F" w:rsidRDefault="00B721F1" w:rsidP="001853E3">
            <w:pPr>
              <w:widowControl w:val="0"/>
              <w:jc w:val="center"/>
              <w:rPr>
                <w:rFonts w:eastAsia="Times New Roman"/>
                <w:b/>
                <w:bCs/>
                <w:color w:val="000000"/>
                <w:sz w:val="22"/>
                <w:szCs w:val="22"/>
              </w:rPr>
            </w:pPr>
          </w:p>
        </w:tc>
        <w:tc>
          <w:tcPr>
            <w:tcW w:w="1400" w:type="dxa"/>
            <w:tcBorders>
              <w:top w:val="nil"/>
              <w:left w:val="nil"/>
              <w:bottom w:val="nil"/>
              <w:right w:val="nil"/>
            </w:tcBorders>
            <w:shd w:val="clear" w:color="auto" w:fill="auto"/>
            <w:noWrap/>
            <w:vAlign w:val="bottom"/>
            <w:hideMark/>
          </w:tcPr>
          <w:p w14:paraId="3B298F73" w14:textId="77777777" w:rsidR="00B721F1" w:rsidRPr="0003281F" w:rsidRDefault="00B721F1" w:rsidP="001853E3">
            <w:pPr>
              <w:widowControl w:val="0"/>
              <w:jc w:val="center"/>
              <w:rPr>
                <w:rFonts w:eastAsia="Times New Roman"/>
                <w:b/>
                <w:bCs/>
                <w:color w:val="000000"/>
                <w:sz w:val="22"/>
                <w:szCs w:val="22"/>
              </w:rPr>
            </w:pPr>
            <w:r w:rsidRPr="0003281F">
              <w:rPr>
                <w:rFonts w:eastAsia="Times New Roman"/>
                <w:b/>
                <w:bCs/>
                <w:color w:val="000000"/>
                <w:sz w:val="22"/>
                <w:szCs w:val="22"/>
              </w:rPr>
              <w:t>(0.008)</w:t>
            </w:r>
          </w:p>
        </w:tc>
        <w:tc>
          <w:tcPr>
            <w:tcW w:w="280" w:type="dxa"/>
            <w:tcBorders>
              <w:top w:val="nil"/>
              <w:left w:val="nil"/>
              <w:bottom w:val="nil"/>
              <w:right w:val="nil"/>
            </w:tcBorders>
            <w:shd w:val="clear" w:color="auto" w:fill="auto"/>
            <w:noWrap/>
            <w:vAlign w:val="bottom"/>
            <w:hideMark/>
          </w:tcPr>
          <w:p w14:paraId="4471077E" w14:textId="77777777" w:rsidR="00B721F1" w:rsidRPr="0003281F" w:rsidRDefault="00B721F1" w:rsidP="001853E3">
            <w:pPr>
              <w:widowControl w:val="0"/>
              <w:jc w:val="center"/>
              <w:rPr>
                <w:rFonts w:eastAsia="Times New Roman"/>
                <w:b/>
                <w:bCs/>
                <w:color w:val="000000"/>
                <w:sz w:val="22"/>
                <w:szCs w:val="22"/>
              </w:rPr>
            </w:pPr>
          </w:p>
        </w:tc>
        <w:tc>
          <w:tcPr>
            <w:tcW w:w="1860" w:type="dxa"/>
            <w:tcBorders>
              <w:top w:val="nil"/>
              <w:left w:val="nil"/>
              <w:bottom w:val="nil"/>
              <w:right w:val="nil"/>
            </w:tcBorders>
            <w:shd w:val="clear" w:color="auto" w:fill="auto"/>
            <w:noWrap/>
            <w:vAlign w:val="bottom"/>
            <w:hideMark/>
          </w:tcPr>
          <w:p w14:paraId="3F394903" w14:textId="77777777" w:rsidR="00B721F1" w:rsidRPr="0003281F" w:rsidRDefault="00B721F1" w:rsidP="001853E3">
            <w:pPr>
              <w:widowControl w:val="0"/>
              <w:jc w:val="center"/>
              <w:rPr>
                <w:rFonts w:eastAsia="Times New Roman"/>
                <w:b/>
                <w:bCs/>
                <w:color w:val="000000"/>
                <w:sz w:val="22"/>
                <w:szCs w:val="22"/>
              </w:rPr>
            </w:pPr>
            <w:r w:rsidRPr="0003281F">
              <w:rPr>
                <w:rFonts w:eastAsia="Times New Roman"/>
                <w:b/>
                <w:bCs/>
                <w:color w:val="000000"/>
                <w:sz w:val="22"/>
                <w:szCs w:val="22"/>
              </w:rPr>
              <w:t>(0.030)</w:t>
            </w:r>
          </w:p>
        </w:tc>
      </w:tr>
      <w:tr w:rsidR="00B721F1" w:rsidRPr="0003281F" w14:paraId="0BE8C892"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4BDF23A5"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CHG_LN_MVE</w:t>
            </w:r>
          </w:p>
        </w:tc>
        <w:tc>
          <w:tcPr>
            <w:tcW w:w="280" w:type="dxa"/>
            <w:tcBorders>
              <w:top w:val="nil"/>
              <w:left w:val="nil"/>
              <w:bottom w:val="nil"/>
              <w:right w:val="nil"/>
            </w:tcBorders>
            <w:shd w:val="clear" w:color="auto" w:fill="auto"/>
            <w:noWrap/>
            <w:vAlign w:val="bottom"/>
            <w:hideMark/>
          </w:tcPr>
          <w:p w14:paraId="4A674B28"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00" w:type="dxa"/>
            <w:tcBorders>
              <w:top w:val="nil"/>
              <w:left w:val="nil"/>
              <w:bottom w:val="nil"/>
              <w:right w:val="nil"/>
            </w:tcBorders>
            <w:shd w:val="clear" w:color="auto" w:fill="auto"/>
            <w:noWrap/>
            <w:vAlign w:val="bottom"/>
            <w:hideMark/>
          </w:tcPr>
          <w:p w14:paraId="77BB0BAE"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-0.084</w:t>
            </w:r>
          </w:p>
        </w:tc>
        <w:tc>
          <w:tcPr>
            <w:tcW w:w="280" w:type="dxa"/>
            <w:tcBorders>
              <w:top w:val="nil"/>
              <w:left w:val="nil"/>
              <w:bottom w:val="nil"/>
              <w:right w:val="nil"/>
            </w:tcBorders>
            <w:shd w:val="clear" w:color="auto" w:fill="auto"/>
            <w:noWrap/>
            <w:vAlign w:val="bottom"/>
            <w:hideMark/>
          </w:tcPr>
          <w:p w14:paraId="5DBBFD5B"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860" w:type="dxa"/>
            <w:tcBorders>
              <w:top w:val="nil"/>
              <w:left w:val="nil"/>
              <w:bottom w:val="nil"/>
              <w:right w:val="nil"/>
            </w:tcBorders>
            <w:shd w:val="clear" w:color="auto" w:fill="auto"/>
            <w:noWrap/>
            <w:vAlign w:val="bottom"/>
            <w:hideMark/>
          </w:tcPr>
          <w:p w14:paraId="0FF382AC"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0.159</w:t>
            </w:r>
          </w:p>
        </w:tc>
      </w:tr>
      <w:tr w:rsidR="00B721F1" w:rsidRPr="0003281F" w14:paraId="25DCE5BF"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7C633279" w14:textId="77777777" w:rsidR="00B721F1" w:rsidRPr="0003281F" w:rsidRDefault="00B721F1" w:rsidP="001853E3">
            <w:pPr>
              <w:widowControl w:val="0"/>
              <w:rPr>
                <w:rFonts w:eastAsia="Times New Roman"/>
                <w:color w:val="000000"/>
                <w:sz w:val="22"/>
                <w:szCs w:val="22"/>
              </w:rPr>
            </w:pPr>
          </w:p>
        </w:tc>
        <w:tc>
          <w:tcPr>
            <w:tcW w:w="280" w:type="dxa"/>
            <w:tcBorders>
              <w:top w:val="nil"/>
              <w:left w:val="nil"/>
              <w:bottom w:val="nil"/>
              <w:right w:val="nil"/>
            </w:tcBorders>
            <w:shd w:val="clear" w:color="auto" w:fill="auto"/>
            <w:noWrap/>
            <w:vAlign w:val="bottom"/>
            <w:hideMark/>
          </w:tcPr>
          <w:p w14:paraId="049436F5" w14:textId="77777777" w:rsidR="00B721F1" w:rsidRPr="0003281F" w:rsidRDefault="00B721F1" w:rsidP="001853E3">
            <w:pPr>
              <w:widowControl w:val="0"/>
              <w:jc w:val="center"/>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450D172A"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(0.694)</w:t>
            </w:r>
          </w:p>
        </w:tc>
        <w:tc>
          <w:tcPr>
            <w:tcW w:w="280" w:type="dxa"/>
            <w:tcBorders>
              <w:top w:val="nil"/>
              <w:left w:val="nil"/>
              <w:bottom w:val="nil"/>
              <w:right w:val="nil"/>
            </w:tcBorders>
            <w:shd w:val="clear" w:color="auto" w:fill="auto"/>
            <w:noWrap/>
            <w:vAlign w:val="bottom"/>
            <w:hideMark/>
          </w:tcPr>
          <w:p w14:paraId="223E8F02"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55011704"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(0.396)</w:t>
            </w:r>
          </w:p>
        </w:tc>
      </w:tr>
      <w:tr w:rsidR="00B721F1" w:rsidRPr="0003281F" w14:paraId="33560DFE"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26669C71"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CHG_NUM_ANALYST</w:t>
            </w:r>
          </w:p>
        </w:tc>
        <w:tc>
          <w:tcPr>
            <w:tcW w:w="280" w:type="dxa"/>
            <w:tcBorders>
              <w:top w:val="nil"/>
              <w:left w:val="nil"/>
              <w:bottom w:val="nil"/>
              <w:right w:val="nil"/>
            </w:tcBorders>
            <w:shd w:val="clear" w:color="auto" w:fill="auto"/>
            <w:noWrap/>
            <w:vAlign w:val="bottom"/>
            <w:hideMark/>
          </w:tcPr>
          <w:p w14:paraId="498C5C8A"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00" w:type="dxa"/>
            <w:tcBorders>
              <w:top w:val="nil"/>
              <w:left w:val="nil"/>
              <w:bottom w:val="nil"/>
              <w:right w:val="nil"/>
            </w:tcBorders>
            <w:shd w:val="clear" w:color="auto" w:fill="auto"/>
            <w:noWrap/>
            <w:vAlign w:val="bottom"/>
            <w:hideMark/>
          </w:tcPr>
          <w:p w14:paraId="28C6EA88"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-0.005</w:t>
            </w:r>
          </w:p>
        </w:tc>
        <w:tc>
          <w:tcPr>
            <w:tcW w:w="280" w:type="dxa"/>
            <w:tcBorders>
              <w:top w:val="nil"/>
              <w:left w:val="nil"/>
              <w:bottom w:val="nil"/>
              <w:right w:val="nil"/>
            </w:tcBorders>
            <w:shd w:val="clear" w:color="auto" w:fill="auto"/>
            <w:noWrap/>
            <w:vAlign w:val="bottom"/>
            <w:hideMark/>
          </w:tcPr>
          <w:p w14:paraId="7220396C"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860" w:type="dxa"/>
            <w:tcBorders>
              <w:top w:val="nil"/>
              <w:left w:val="nil"/>
              <w:bottom w:val="nil"/>
              <w:right w:val="nil"/>
            </w:tcBorders>
            <w:shd w:val="clear" w:color="auto" w:fill="auto"/>
            <w:noWrap/>
            <w:vAlign w:val="bottom"/>
            <w:hideMark/>
          </w:tcPr>
          <w:p w14:paraId="5947D227"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-0.005</w:t>
            </w:r>
          </w:p>
        </w:tc>
      </w:tr>
      <w:tr w:rsidR="00B721F1" w:rsidRPr="0003281F" w14:paraId="74786982"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07638B5D" w14:textId="77777777" w:rsidR="00B721F1" w:rsidRPr="0003281F" w:rsidRDefault="00B721F1" w:rsidP="001853E3">
            <w:pPr>
              <w:widowControl w:val="0"/>
              <w:rPr>
                <w:rFonts w:eastAsia="Times New Roman"/>
                <w:color w:val="000000"/>
                <w:sz w:val="22"/>
                <w:szCs w:val="22"/>
              </w:rPr>
            </w:pPr>
          </w:p>
        </w:tc>
        <w:tc>
          <w:tcPr>
            <w:tcW w:w="280" w:type="dxa"/>
            <w:tcBorders>
              <w:top w:val="nil"/>
              <w:left w:val="nil"/>
              <w:bottom w:val="nil"/>
              <w:right w:val="nil"/>
            </w:tcBorders>
            <w:shd w:val="clear" w:color="auto" w:fill="auto"/>
            <w:noWrap/>
            <w:vAlign w:val="bottom"/>
            <w:hideMark/>
          </w:tcPr>
          <w:p w14:paraId="10E62A35" w14:textId="77777777" w:rsidR="00B721F1" w:rsidRPr="0003281F" w:rsidRDefault="00B721F1" w:rsidP="001853E3">
            <w:pPr>
              <w:widowControl w:val="0"/>
              <w:jc w:val="center"/>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68EDE84D"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(0.429)</w:t>
            </w:r>
          </w:p>
        </w:tc>
        <w:tc>
          <w:tcPr>
            <w:tcW w:w="280" w:type="dxa"/>
            <w:tcBorders>
              <w:top w:val="nil"/>
              <w:left w:val="nil"/>
              <w:bottom w:val="nil"/>
              <w:right w:val="nil"/>
            </w:tcBorders>
            <w:shd w:val="clear" w:color="auto" w:fill="auto"/>
            <w:noWrap/>
            <w:vAlign w:val="bottom"/>
            <w:hideMark/>
          </w:tcPr>
          <w:p w14:paraId="09F5C2E5"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34427467"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(0.404)</w:t>
            </w:r>
          </w:p>
        </w:tc>
      </w:tr>
      <w:tr w:rsidR="00B721F1" w:rsidRPr="0003281F" w14:paraId="12249FC1"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4A74951D"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CHG_LAG</w:t>
            </w:r>
          </w:p>
        </w:tc>
        <w:tc>
          <w:tcPr>
            <w:tcW w:w="280" w:type="dxa"/>
            <w:tcBorders>
              <w:top w:val="nil"/>
              <w:left w:val="nil"/>
              <w:bottom w:val="nil"/>
              <w:right w:val="nil"/>
            </w:tcBorders>
            <w:shd w:val="clear" w:color="auto" w:fill="auto"/>
            <w:noWrap/>
            <w:vAlign w:val="bottom"/>
            <w:hideMark/>
          </w:tcPr>
          <w:p w14:paraId="75896128"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00" w:type="dxa"/>
            <w:tcBorders>
              <w:top w:val="nil"/>
              <w:left w:val="nil"/>
              <w:bottom w:val="nil"/>
              <w:right w:val="nil"/>
            </w:tcBorders>
            <w:shd w:val="clear" w:color="auto" w:fill="auto"/>
            <w:noWrap/>
            <w:vAlign w:val="bottom"/>
            <w:hideMark/>
          </w:tcPr>
          <w:p w14:paraId="326143C1"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-0.004</w:t>
            </w:r>
          </w:p>
        </w:tc>
        <w:tc>
          <w:tcPr>
            <w:tcW w:w="280" w:type="dxa"/>
            <w:tcBorders>
              <w:top w:val="nil"/>
              <w:left w:val="nil"/>
              <w:bottom w:val="nil"/>
              <w:right w:val="nil"/>
            </w:tcBorders>
            <w:shd w:val="clear" w:color="auto" w:fill="auto"/>
            <w:noWrap/>
            <w:vAlign w:val="bottom"/>
            <w:hideMark/>
          </w:tcPr>
          <w:p w14:paraId="5870FF48"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860" w:type="dxa"/>
            <w:tcBorders>
              <w:top w:val="nil"/>
              <w:left w:val="nil"/>
              <w:bottom w:val="nil"/>
              <w:right w:val="nil"/>
            </w:tcBorders>
            <w:shd w:val="clear" w:color="auto" w:fill="auto"/>
            <w:noWrap/>
            <w:vAlign w:val="bottom"/>
            <w:hideMark/>
          </w:tcPr>
          <w:p w14:paraId="01FE4188"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-0.000</w:t>
            </w:r>
          </w:p>
        </w:tc>
      </w:tr>
      <w:tr w:rsidR="00B721F1" w:rsidRPr="0003281F" w14:paraId="5D9EA838"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22115C13" w14:textId="77777777" w:rsidR="00B721F1" w:rsidRPr="0003281F" w:rsidRDefault="00B721F1" w:rsidP="001853E3">
            <w:pPr>
              <w:widowControl w:val="0"/>
              <w:rPr>
                <w:rFonts w:eastAsia="Times New Roman"/>
                <w:color w:val="000000"/>
                <w:sz w:val="22"/>
                <w:szCs w:val="22"/>
              </w:rPr>
            </w:pPr>
          </w:p>
        </w:tc>
        <w:tc>
          <w:tcPr>
            <w:tcW w:w="280" w:type="dxa"/>
            <w:tcBorders>
              <w:top w:val="nil"/>
              <w:left w:val="nil"/>
              <w:bottom w:val="nil"/>
              <w:right w:val="nil"/>
            </w:tcBorders>
            <w:shd w:val="clear" w:color="auto" w:fill="auto"/>
            <w:noWrap/>
            <w:vAlign w:val="bottom"/>
            <w:hideMark/>
          </w:tcPr>
          <w:p w14:paraId="0F060EC9" w14:textId="77777777" w:rsidR="00B721F1" w:rsidRPr="0003281F" w:rsidRDefault="00B721F1" w:rsidP="001853E3">
            <w:pPr>
              <w:widowControl w:val="0"/>
              <w:jc w:val="center"/>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7671EC3D"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(0.146)</w:t>
            </w:r>
          </w:p>
        </w:tc>
        <w:tc>
          <w:tcPr>
            <w:tcW w:w="280" w:type="dxa"/>
            <w:tcBorders>
              <w:top w:val="nil"/>
              <w:left w:val="nil"/>
              <w:bottom w:val="nil"/>
              <w:right w:val="nil"/>
            </w:tcBorders>
            <w:shd w:val="clear" w:color="auto" w:fill="auto"/>
            <w:noWrap/>
            <w:vAlign w:val="bottom"/>
            <w:hideMark/>
          </w:tcPr>
          <w:p w14:paraId="0B80DB59"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696B8A1F"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(0.470)</w:t>
            </w:r>
          </w:p>
        </w:tc>
      </w:tr>
      <w:tr w:rsidR="00B721F1" w:rsidRPr="0003281F" w14:paraId="4A6B3288"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2AA847D5"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CHG_DISP</w:t>
            </w:r>
          </w:p>
        </w:tc>
        <w:tc>
          <w:tcPr>
            <w:tcW w:w="280" w:type="dxa"/>
            <w:tcBorders>
              <w:top w:val="nil"/>
              <w:left w:val="nil"/>
              <w:bottom w:val="nil"/>
              <w:right w:val="nil"/>
            </w:tcBorders>
            <w:shd w:val="clear" w:color="auto" w:fill="auto"/>
            <w:noWrap/>
            <w:vAlign w:val="bottom"/>
            <w:hideMark/>
          </w:tcPr>
          <w:p w14:paraId="14D887E7"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00" w:type="dxa"/>
            <w:tcBorders>
              <w:top w:val="nil"/>
              <w:left w:val="nil"/>
              <w:bottom w:val="nil"/>
              <w:right w:val="nil"/>
            </w:tcBorders>
            <w:shd w:val="clear" w:color="auto" w:fill="auto"/>
            <w:noWrap/>
            <w:vAlign w:val="bottom"/>
            <w:hideMark/>
          </w:tcPr>
          <w:p w14:paraId="51E2745F"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-7.337**</w:t>
            </w:r>
          </w:p>
        </w:tc>
        <w:tc>
          <w:tcPr>
            <w:tcW w:w="280" w:type="dxa"/>
            <w:tcBorders>
              <w:top w:val="nil"/>
              <w:left w:val="nil"/>
              <w:bottom w:val="nil"/>
              <w:right w:val="nil"/>
            </w:tcBorders>
            <w:shd w:val="clear" w:color="auto" w:fill="auto"/>
            <w:noWrap/>
            <w:vAlign w:val="bottom"/>
            <w:hideMark/>
          </w:tcPr>
          <w:p w14:paraId="779736FA"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860" w:type="dxa"/>
            <w:tcBorders>
              <w:top w:val="nil"/>
              <w:left w:val="nil"/>
              <w:bottom w:val="nil"/>
              <w:right w:val="nil"/>
            </w:tcBorders>
            <w:shd w:val="clear" w:color="auto" w:fill="auto"/>
            <w:noWrap/>
            <w:vAlign w:val="bottom"/>
            <w:hideMark/>
          </w:tcPr>
          <w:p w14:paraId="7F25062F"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5.682</w:t>
            </w:r>
          </w:p>
        </w:tc>
      </w:tr>
      <w:tr w:rsidR="00B721F1" w:rsidRPr="0003281F" w14:paraId="67D3052F"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0D7E762F" w14:textId="77777777" w:rsidR="00B721F1" w:rsidRPr="0003281F" w:rsidRDefault="00B721F1" w:rsidP="001853E3">
            <w:pPr>
              <w:widowControl w:val="0"/>
              <w:rPr>
                <w:rFonts w:eastAsia="Times New Roman"/>
                <w:color w:val="000000"/>
                <w:sz w:val="22"/>
                <w:szCs w:val="22"/>
              </w:rPr>
            </w:pPr>
          </w:p>
        </w:tc>
        <w:tc>
          <w:tcPr>
            <w:tcW w:w="280" w:type="dxa"/>
            <w:tcBorders>
              <w:top w:val="nil"/>
              <w:left w:val="nil"/>
              <w:bottom w:val="nil"/>
              <w:right w:val="nil"/>
            </w:tcBorders>
            <w:shd w:val="clear" w:color="auto" w:fill="auto"/>
            <w:noWrap/>
            <w:vAlign w:val="bottom"/>
            <w:hideMark/>
          </w:tcPr>
          <w:p w14:paraId="47889655" w14:textId="77777777" w:rsidR="00B721F1" w:rsidRPr="0003281F" w:rsidRDefault="00B721F1" w:rsidP="001853E3">
            <w:pPr>
              <w:widowControl w:val="0"/>
              <w:jc w:val="center"/>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5DFC09A1"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(0.020)</w:t>
            </w:r>
          </w:p>
        </w:tc>
        <w:tc>
          <w:tcPr>
            <w:tcW w:w="280" w:type="dxa"/>
            <w:tcBorders>
              <w:top w:val="nil"/>
              <w:left w:val="nil"/>
              <w:bottom w:val="nil"/>
              <w:right w:val="nil"/>
            </w:tcBorders>
            <w:shd w:val="clear" w:color="auto" w:fill="auto"/>
            <w:noWrap/>
            <w:vAlign w:val="bottom"/>
            <w:hideMark/>
          </w:tcPr>
          <w:p w14:paraId="290A3BA8"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089F7187"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(0.531)</w:t>
            </w:r>
          </w:p>
        </w:tc>
      </w:tr>
      <w:tr w:rsidR="00B721F1" w:rsidRPr="0003281F" w14:paraId="579DE60C"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257ABE4F"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CHG_LOSS</w:t>
            </w:r>
          </w:p>
        </w:tc>
        <w:tc>
          <w:tcPr>
            <w:tcW w:w="280" w:type="dxa"/>
            <w:tcBorders>
              <w:top w:val="nil"/>
              <w:left w:val="nil"/>
              <w:bottom w:val="nil"/>
              <w:right w:val="nil"/>
            </w:tcBorders>
            <w:shd w:val="clear" w:color="auto" w:fill="auto"/>
            <w:noWrap/>
            <w:vAlign w:val="bottom"/>
            <w:hideMark/>
          </w:tcPr>
          <w:p w14:paraId="70E39531"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00" w:type="dxa"/>
            <w:tcBorders>
              <w:top w:val="nil"/>
              <w:left w:val="nil"/>
              <w:bottom w:val="nil"/>
              <w:right w:val="nil"/>
            </w:tcBorders>
            <w:shd w:val="clear" w:color="auto" w:fill="auto"/>
            <w:noWrap/>
            <w:vAlign w:val="bottom"/>
            <w:hideMark/>
          </w:tcPr>
          <w:p w14:paraId="65DF775A"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-0.085</w:t>
            </w:r>
          </w:p>
        </w:tc>
        <w:tc>
          <w:tcPr>
            <w:tcW w:w="280" w:type="dxa"/>
            <w:tcBorders>
              <w:top w:val="nil"/>
              <w:left w:val="nil"/>
              <w:bottom w:val="nil"/>
              <w:right w:val="nil"/>
            </w:tcBorders>
            <w:shd w:val="clear" w:color="auto" w:fill="auto"/>
            <w:noWrap/>
            <w:vAlign w:val="bottom"/>
            <w:hideMark/>
          </w:tcPr>
          <w:p w14:paraId="48F2AFF4"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860" w:type="dxa"/>
            <w:tcBorders>
              <w:top w:val="nil"/>
              <w:left w:val="nil"/>
              <w:bottom w:val="nil"/>
              <w:right w:val="nil"/>
            </w:tcBorders>
            <w:shd w:val="clear" w:color="auto" w:fill="auto"/>
            <w:noWrap/>
            <w:vAlign w:val="bottom"/>
            <w:hideMark/>
          </w:tcPr>
          <w:p w14:paraId="215511F0"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0.012</w:t>
            </w:r>
          </w:p>
        </w:tc>
      </w:tr>
      <w:tr w:rsidR="00B721F1" w:rsidRPr="0003281F" w14:paraId="4C595581"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5F8F4D99" w14:textId="77777777" w:rsidR="00B721F1" w:rsidRPr="0003281F" w:rsidRDefault="00B721F1" w:rsidP="001853E3">
            <w:pPr>
              <w:widowControl w:val="0"/>
              <w:rPr>
                <w:rFonts w:eastAsia="Times New Roman"/>
                <w:color w:val="000000"/>
                <w:sz w:val="22"/>
                <w:szCs w:val="22"/>
              </w:rPr>
            </w:pPr>
          </w:p>
        </w:tc>
        <w:tc>
          <w:tcPr>
            <w:tcW w:w="280" w:type="dxa"/>
            <w:tcBorders>
              <w:top w:val="nil"/>
              <w:left w:val="nil"/>
              <w:bottom w:val="nil"/>
              <w:right w:val="nil"/>
            </w:tcBorders>
            <w:shd w:val="clear" w:color="auto" w:fill="auto"/>
            <w:noWrap/>
            <w:vAlign w:val="bottom"/>
            <w:hideMark/>
          </w:tcPr>
          <w:p w14:paraId="17A0CE5C" w14:textId="77777777" w:rsidR="00B721F1" w:rsidRPr="0003281F" w:rsidRDefault="00B721F1" w:rsidP="001853E3">
            <w:pPr>
              <w:widowControl w:val="0"/>
              <w:jc w:val="center"/>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0F1968DB"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(0.323)</w:t>
            </w:r>
          </w:p>
        </w:tc>
        <w:tc>
          <w:tcPr>
            <w:tcW w:w="280" w:type="dxa"/>
            <w:tcBorders>
              <w:top w:val="nil"/>
              <w:left w:val="nil"/>
              <w:bottom w:val="nil"/>
              <w:right w:val="nil"/>
            </w:tcBorders>
            <w:shd w:val="clear" w:color="auto" w:fill="auto"/>
            <w:noWrap/>
            <w:vAlign w:val="bottom"/>
            <w:hideMark/>
          </w:tcPr>
          <w:p w14:paraId="5CD84D55"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711BA36C"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(0.477)</w:t>
            </w:r>
          </w:p>
        </w:tc>
      </w:tr>
      <w:tr w:rsidR="00B721F1" w:rsidRPr="0003281F" w14:paraId="5C0DA92E"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1A3205AA"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CHG_UE</w:t>
            </w:r>
          </w:p>
        </w:tc>
        <w:tc>
          <w:tcPr>
            <w:tcW w:w="280" w:type="dxa"/>
            <w:tcBorders>
              <w:top w:val="nil"/>
              <w:left w:val="nil"/>
              <w:bottom w:val="nil"/>
              <w:right w:val="nil"/>
            </w:tcBorders>
            <w:shd w:val="clear" w:color="auto" w:fill="auto"/>
            <w:noWrap/>
            <w:vAlign w:val="bottom"/>
            <w:hideMark/>
          </w:tcPr>
          <w:p w14:paraId="0C100F65"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00" w:type="dxa"/>
            <w:tcBorders>
              <w:top w:val="nil"/>
              <w:left w:val="nil"/>
              <w:bottom w:val="nil"/>
              <w:right w:val="nil"/>
            </w:tcBorders>
            <w:shd w:val="clear" w:color="auto" w:fill="auto"/>
            <w:noWrap/>
            <w:vAlign w:val="bottom"/>
            <w:hideMark/>
          </w:tcPr>
          <w:p w14:paraId="5F2B57DA"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2.279</w:t>
            </w:r>
          </w:p>
        </w:tc>
        <w:tc>
          <w:tcPr>
            <w:tcW w:w="280" w:type="dxa"/>
            <w:tcBorders>
              <w:top w:val="nil"/>
              <w:left w:val="nil"/>
              <w:bottom w:val="nil"/>
              <w:right w:val="nil"/>
            </w:tcBorders>
            <w:shd w:val="clear" w:color="auto" w:fill="auto"/>
            <w:noWrap/>
            <w:vAlign w:val="bottom"/>
            <w:hideMark/>
          </w:tcPr>
          <w:p w14:paraId="1CD62EF3"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860" w:type="dxa"/>
            <w:tcBorders>
              <w:top w:val="nil"/>
              <w:left w:val="nil"/>
              <w:bottom w:val="nil"/>
              <w:right w:val="nil"/>
            </w:tcBorders>
            <w:shd w:val="clear" w:color="auto" w:fill="auto"/>
            <w:noWrap/>
            <w:vAlign w:val="bottom"/>
            <w:hideMark/>
          </w:tcPr>
          <w:p w14:paraId="5FD3D134"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-1.905</w:t>
            </w:r>
          </w:p>
        </w:tc>
      </w:tr>
      <w:tr w:rsidR="00B721F1" w:rsidRPr="0003281F" w14:paraId="661423ED"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13203C21" w14:textId="77777777" w:rsidR="00B721F1" w:rsidRPr="0003281F" w:rsidRDefault="00B721F1" w:rsidP="001853E3">
            <w:pPr>
              <w:widowControl w:val="0"/>
              <w:rPr>
                <w:rFonts w:eastAsia="Times New Roman"/>
                <w:color w:val="000000"/>
                <w:sz w:val="22"/>
                <w:szCs w:val="22"/>
              </w:rPr>
            </w:pPr>
          </w:p>
        </w:tc>
        <w:tc>
          <w:tcPr>
            <w:tcW w:w="280" w:type="dxa"/>
            <w:tcBorders>
              <w:top w:val="nil"/>
              <w:left w:val="nil"/>
              <w:bottom w:val="nil"/>
              <w:right w:val="nil"/>
            </w:tcBorders>
            <w:shd w:val="clear" w:color="auto" w:fill="auto"/>
            <w:noWrap/>
            <w:vAlign w:val="bottom"/>
            <w:hideMark/>
          </w:tcPr>
          <w:p w14:paraId="56AF7F79" w14:textId="77777777" w:rsidR="00B721F1" w:rsidRPr="0003281F" w:rsidRDefault="00B721F1" w:rsidP="001853E3">
            <w:pPr>
              <w:widowControl w:val="0"/>
              <w:jc w:val="center"/>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25BA3BB8"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(0.139)</w:t>
            </w:r>
          </w:p>
        </w:tc>
        <w:tc>
          <w:tcPr>
            <w:tcW w:w="280" w:type="dxa"/>
            <w:tcBorders>
              <w:top w:val="nil"/>
              <w:left w:val="nil"/>
              <w:bottom w:val="nil"/>
              <w:right w:val="nil"/>
            </w:tcBorders>
            <w:shd w:val="clear" w:color="auto" w:fill="auto"/>
            <w:noWrap/>
            <w:vAlign w:val="bottom"/>
            <w:hideMark/>
          </w:tcPr>
          <w:p w14:paraId="7491D7DC"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1A1300D8"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(0.625)</w:t>
            </w:r>
          </w:p>
        </w:tc>
      </w:tr>
      <w:tr w:rsidR="00B721F1" w:rsidRPr="0003281F" w14:paraId="008B8DF4"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2DB3238D"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CHG_SD_CFO</w:t>
            </w:r>
          </w:p>
        </w:tc>
        <w:tc>
          <w:tcPr>
            <w:tcW w:w="280" w:type="dxa"/>
            <w:tcBorders>
              <w:top w:val="nil"/>
              <w:left w:val="nil"/>
              <w:bottom w:val="nil"/>
              <w:right w:val="nil"/>
            </w:tcBorders>
            <w:shd w:val="clear" w:color="auto" w:fill="auto"/>
            <w:noWrap/>
            <w:vAlign w:val="bottom"/>
            <w:hideMark/>
          </w:tcPr>
          <w:p w14:paraId="4C6793A4"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00" w:type="dxa"/>
            <w:tcBorders>
              <w:top w:val="nil"/>
              <w:left w:val="nil"/>
              <w:bottom w:val="nil"/>
              <w:right w:val="nil"/>
            </w:tcBorders>
            <w:shd w:val="clear" w:color="auto" w:fill="auto"/>
            <w:noWrap/>
            <w:vAlign w:val="bottom"/>
            <w:hideMark/>
          </w:tcPr>
          <w:p w14:paraId="3C97D5FE"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-0.838</w:t>
            </w:r>
          </w:p>
        </w:tc>
        <w:tc>
          <w:tcPr>
            <w:tcW w:w="280" w:type="dxa"/>
            <w:tcBorders>
              <w:top w:val="nil"/>
              <w:left w:val="nil"/>
              <w:bottom w:val="nil"/>
              <w:right w:val="nil"/>
            </w:tcBorders>
            <w:shd w:val="clear" w:color="auto" w:fill="auto"/>
            <w:noWrap/>
            <w:vAlign w:val="bottom"/>
            <w:hideMark/>
          </w:tcPr>
          <w:p w14:paraId="27F93BD4"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860" w:type="dxa"/>
            <w:tcBorders>
              <w:top w:val="nil"/>
              <w:left w:val="nil"/>
              <w:bottom w:val="nil"/>
              <w:right w:val="nil"/>
            </w:tcBorders>
            <w:shd w:val="clear" w:color="auto" w:fill="auto"/>
            <w:noWrap/>
            <w:vAlign w:val="bottom"/>
            <w:hideMark/>
          </w:tcPr>
          <w:p w14:paraId="1F790397"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-1.446</w:t>
            </w:r>
          </w:p>
        </w:tc>
      </w:tr>
      <w:tr w:rsidR="00B721F1" w:rsidRPr="0003281F" w14:paraId="13C4AE1D"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04D171CE" w14:textId="77777777" w:rsidR="00B721F1" w:rsidRPr="0003281F" w:rsidRDefault="00B721F1" w:rsidP="001853E3">
            <w:pPr>
              <w:widowControl w:val="0"/>
              <w:rPr>
                <w:rFonts w:eastAsia="Times New Roman"/>
                <w:color w:val="000000"/>
                <w:sz w:val="22"/>
                <w:szCs w:val="22"/>
              </w:rPr>
            </w:pPr>
          </w:p>
        </w:tc>
        <w:tc>
          <w:tcPr>
            <w:tcW w:w="280" w:type="dxa"/>
            <w:tcBorders>
              <w:top w:val="nil"/>
              <w:left w:val="nil"/>
              <w:bottom w:val="nil"/>
              <w:right w:val="nil"/>
            </w:tcBorders>
            <w:shd w:val="clear" w:color="auto" w:fill="auto"/>
            <w:noWrap/>
            <w:vAlign w:val="bottom"/>
            <w:hideMark/>
          </w:tcPr>
          <w:p w14:paraId="7207AD19" w14:textId="77777777" w:rsidR="00B721F1" w:rsidRPr="0003281F" w:rsidRDefault="00B721F1" w:rsidP="001853E3">
            <w:pPr>
              <w:widowControl w:val="0"/>
              <w:jc w:val="center"/>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2B888570"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(0.601)</w:t>
            </w:r>
          </w:p>
        </w:tc>
        <w:tc>
          <w:tcPr>
            <w:tcW w:w="280" w:type="dxa"/>
            <w:tcBorders>
              <w:top w:val="nil"/>
              <w:left w:val="nil"/>
              <w:bottom w:val="nil"/>
              <w:right w:val="nil"/>
            </w:tcBorders>
            <w:shd w:val="clear" w:color="auto" w:fill="auto"/>
            <w:noWrap/>
            <w:vAlign w:val="bottom"/>
            <w:hideMark/>
          </w:tcPr>
          <w:p w14:paraId="2F73DCC0"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0AE87B09"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(0.418)</w:t>
            </w:r>
          </w:p>
        </w:tc>
      </w:tr>
      <w:tr w:rsidR="00B721F1" w:rsidRPr="0003281F" w14:paraId="36CDBA4A"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7B583798"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Constant</w:t>
            </w:r>
          </w:p>
        </w:tc>
        <w:tc>
          <w:tcPr>
            <w:tcW w:w="280" w:type="dxa"/>
            <w:tcBorders>
              <w:top w:val="nil"/>
              <w:left w:val="nil"/>
              <w:bottom w:val="nil"/>
              <w:right w:val="nil"/>
            </w:tcBorders>
            <w:shd w:val="clear" w:color="auto" w:fill="auto"/>
            <w:noWrap/>
            <w:vAlign w:val="bottom"/>
            <w:hideMark/>
          </w:tcPr>
          <w:p w14:paraId="0259B0BE"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400" w:type="dxa"/>
            <w:tcBorders>
              <w:top w:val="nil"/>
              <w:left w:val="nil"/>
              <w:bottom w:val="nil"/>
              <w:right w:val="nil"/>
            </w:tcBorders>
            <w:shd w:val="clear" w:color="auto" w:fill="auto"/>
            <w:noWrap/>
            <w:vAlign w:val="bottom"/>
            <w:hideMark/>
          </w:tcPr>
          <w:p w14:paraId="45DE1981"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-0.237</w:t>
            </w:r>
          </w:p>
        </w:tc>
        <w:tc>
          <w:tcPr>
            <w:tcW w:w="280" w:type="dxa"/>
            <w:tcBorders>
              <w:top w:val="nil"/>
              <w:left w:val="nil"/>
              <w:bottom w:val="nil"/>
              <w:right w:val="nil"/>
            </w:tcBorders>
            <w:shd w:val="clear" w:color="auto" w:fill="auto"/>
            <w:noWrap/>
            <w:vAlign w:val="bottom"/>
            <w:hideMark/>
          </w:tcPr>
          <w:p w14:paraId="74853158"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w:t>
            </w:r>
          </w:p>
        </w:tc>
        <w:tc>
          <w:tcPr>
            <w:tcW w:w="1860" w:type="dxa"/>
            <w:tcBorders>
              <w:top w:val="nil"/>
              <w:left w:val="nil"/>
              <w:bottom w:val="nil"/>
              <w:right w:val="nil"/>
            </w:tcBorders>
            <w:shd w:val="clear" w:color="auto" w:fill="auto"/>
            <w:noWrap/>
            <w:vAlign w:val="bottom"/>
            <w:hideMark/>
          </w:tcPr>
          <w:p w14:paraId="34C2F8C0"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0.078</w:t>
            </w:r>
          </w:p>
        </w:tc>
      </w:tr>
      <w:tr w:rsidR="00B721F1" w:rsidRPr="0003281F" w14:paraId="2F758B80"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0D7068E0" w14:textId="77777777" w:rsidR="00B721F1" w:rsidRPr="0003281F" w:rsidRDefault="00B721F1" w:rsidP="001853E3">
            <w:pPr>
              <w:widowControl w:val="0"/>
              <w:rPr>
                <w:rFonts w:eastAsia="Times New Roman"/>
                <w:color w:val="000000"/>
                <w:sz w:val="22"/>
                <w:szCs w:val="22"/>
              </w:rPr>
            </w:pPr>
          </w:p>
        </w:tc>
        <w:tc>
          <w:tcPr>
            <w:tcW w:w="280" w:type="dxa"/>
            <w:tcBorders>
              <w:top w:val="nil"/>
              <w:left w:val="nil"/>
              <w:bottom w:val="nil"/>
              <w:right w:val="nil"/>
            </w:tcBorders>
            <w:shd w:val="clear" w:color="auto" w:fill="auto"/>
            <w:noWrap/>
            <w:vAlign w:val="bottom"/>
            <w:hideMark/>
          </w:tcPr>
          <w:p w14:paraId="2C74117F" w14:textId="77777777" w:rsidR="00B721F1" w:rsidRPr="0003281F" w:rsidRDefault="00B721F1" w:rsidP="001853E3">
            <w:pPr>
              <w:widowControl w:val="0"/>
              <w:jc w:val="center"/>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7BD010D8"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(0.534)</w:t>
            </w:r>
          </w:p>
        </w:tc>
        <w:tc>
          <w:tcPr>
            <w:tcW w:w="280" w:type="dxa"/>
            <w:tcBorders>
              <w:top w:val="nil"/>
              <w:left w:val="nil"/>
              <w:bottom w:val="nil"/>
              <w:right w:val="nil"/>
            </w:tcBorders>
            <w:shd w:val="clear" w:color="auto" w:fill="auto"/>
            <w:noWrap/>
            <w:vAlign w:val="bottom"/>
            <w:hideMark/>
          </w:tcPr>
          <w:p w14:paraId="78233B42"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7AA53880"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(0.880)</w:t>
            </w:r>
          </w:p>
        </w:tc>
      </w:tr>
      <w:tr w:rsidR="00B721F1" w:rsidRPr="0003281F" w14:paraId="33202682"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4B7570DC" w14:textId="77777777" w:rsidR="00B721F1" w:rsidRPr="0003281F" w:rsidRDefault="00B721F1" w:rsidP="001853E3">
            <w:pPr>
              <w:widowControl w:val="0"/>
              <w:rPr>
                <w:rFonts w:eastAsia="Times New Roman"/>
                <w:color w:val="000000"/>
                <w:sz w:val="22"/>
                <w:szCs w:val="22"/>
              </w:rPr>
            </w:pPr>
          </w:p>
        </w:tc>
        <w:tc>
          <w:tcPr>
            <w:tcW w:w="280" w:type="dxa"/>
            <w:tcBorders>
              <w:top w:val="nil"/>
              <w:left w:val="nil"/>
              <w:bottom w:val="nil"/>
              <w:right w:val="nil"/>
            </w:tcBorders>
            <w:shd w:val="clear" w:color="auto" w:fill="auto"/>
            <w:noWrap/>
            <w:vAlign w:val="bottom"/>
            <w:hideMark/>
          </w:tcPr>
          <w:p w14:paraId="73778D12" w14:textId="77777777" w:rsidR="00B721F1" w:rsidRPr="0003281F" w:rsidRDefault="00B721F1" w:rsidP="001853E3">
            <w:pPr>
              <w:widowControl w:val="0"/>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4C6BF3FC" w14:textId="77777777" w:rsidR="00B721F1" w:rsidRPr="0003281F" w:rsidRDefault="00B721F1" w:rsidP="001853E3">
            <w:pPr>
              <w:widowControl w:val="0"/>
              <w:jc w:val="center"/>
              <w:rPr>
                <w:rFonts w:eastAsia="Times New Roman"/>
                <w:color w:val="000000"/>
                <w:sz w:val="22"/>
                <w:szCs w:val="22"/>
              </w:rPr>
            </w:pPr>
          </w:p>
        </w:tc>
        <w:tc>
          <w:tcPr>
            <w:tcW w:w="280" w:type="dxa"/>
            <w:tcBorders>
              <w:top w:val="nil"/>
              <w:left w:val="nil"/>
              <w:bottom w:val="nil"/>
              <w:right w:val="nil"/>
            </w:tcBorders>
            <w:shd w:val="clear" w:color="auto" w:fill="auto"/>
            <w:noWrap/>
            <w:vAlign w:val="bottom"/>
            <w:hideMark/>
          </w:tcPr>
          <w:p w14:paraId="647BDB8B"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7EA24AE5" w14:textId="77777777" w:rsidR="00B721F1" w:rsidRPr="0003281F" w:rsidRDefault="00B721F1" w:rsidP="001853E3">
            <w:pPr>
              <w:widowControl w:val="0"/>
              <w:jc w:val="center"/>
              <w:rPr>
                <w:rFonts w:eastAsia="Times New Roman"/>
                <w:color w:val="000000"/>
                <w:sz w:val="22"/>
                <w:szCs w:val="22"/>
              </w:rPr>
            </w:pPr>
          </w:p>
        </w:tc>
      </w:tr>
      <w:tr w:rsidR="00B721F1" w:rsidRPr="0003281F" w14:paraId="0E874FE6"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737211AE"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Industry Fixed Effects</w:t>
            </w:r>
          </w:p>
        </w:tc>
        <w:tc>
          <w:tcPr>
            <w:tcW w:w="280" w:type="dxa"/>
            <w:tcBorders>
              <w:top w:val="nil"/>
              <w:left w:val="nil"/>
              <w:bottom w:val="nil"/>
              <w:right w:val="nil"/>
            </w:tcBorders>
            <w:shd w:val="clear" w:color="auto" w:fill="auto"/>
            <w:noWrap/>
            <w:vAlign w:val="bottom"/>
            <w:hideMark/>
          </w:tcPr>
          <w:p w14:paraId="7A1D32D9" w14:textId="77777777" w:rsidR="00B721F1" w:rsidRPr="0003281F" w:rsidRDefault="00B721F1" w:rsidP="001853E3">
            <w:pPr>
              <w:widowControl w:val="0"/>
              <w:jc w:val="center"/>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4D34ABBD"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Yes</w:t>
            </w:r>
          </w:p>
        </w:tc>
        <w:tc>
          <w:tcPr>
            <w:tcW w:w="280" w:type="dxa"/>
            <w:tcBorders>
              <w:top w:val="nil"/>
              <w:left w:val="nil"/>
              <w:bottom w:val="nil"/>
              <w:right w:val="nil"/>
            </w:tcBorders>
            <w:shd w:val="clear" w:color="auto" w:fill="auto"/>
            <w:noWrap/>
            <w:vAlign w:val="bottom"/>
            <w:hideMark/>
          </w:tcPr>
          <w:p w14:paraId="78AD43B4"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2A0B4CA0"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Yes</w:t>
            </w:r>
          </w:p>
        </w:tc>
      </w:tr>
      <w:tr w:rsidR="00B721F1" w:rsidRPr="0003281F" w14:paraId="5DF3B576" w14:textId="77777777" w:rsidTr="00B721F1">
        <w:trPr>
          <w:trHeight w:val="300"/>
          <w:jc w:val="center"/>
        </w:trPr>
        <w:tc>
          <w:tcPr>
            <w:tcW w:w="2560" w:type="dxa"/>
            <w:tcBorders>
              <w:top w:val="nil"/>
              <w:left w:val="nil"/>
              <w:bottom w:val="nil"/>
              <w:right w:val="nil"/>
            </w:tcBorders>
            <w:shd w:val="clear" w:color="auto" w:fill="auto"/>
            <w:noWrap/>
            <w:vAlign w:val="bottom"/>
            <w:hideMark/>
          </w:tcPr>
          <w:p w14:paraId="7810DFC0"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Observations</w:t>
            </w:r>
          </w:p>
        </w:tc>
        <w:tc>
          <w:tcPr>
            <w:tcW w:w="280" w:type="dxa"/>
            <w:tcBorders>
              <w:top w:val="nil"/>
              <w:left w:val="nil"/>
              <w:bottom w:val="nil"/>
              <w:right w:val="nil"/>
            </w:tcBorders>
            <w:shd w:val="clear" w:color="auto" w:fill="auto"/>
            <w:noWrap/>
            <w:vAlign w:val="bottom"/>
            <w:hideMark/>
          </w:tcPr>
          <w:p w14:paraId="3A64C79B" w14:textId="77777777" w:rsidR="00B721F1" w:rsidRPr="0003281F" w:rsidRDefault="00B721F1" w:rsidP="001853E3">
            <w:pPr>
              <w:widowControl w:val="0"/>
              <w:rPr>
                <w:rFonts w:eastAsia="Times New Roman"/>
                <w:color w:val="000000"/>
                <w:sz w:val="22"/>
                <w:szCs w:val="22"/>
              </w:rPr>
            </w:pPr>
          </w:p>
        </w:tc>
        <w:tc>
          <w:tcPr>
            <w:tcW w:w="1400" w:type="dxa"/>
            <w:tcBorders>
              <w:top w:val="nil"/>
              <w:left w:val="nil"/>
              <w:bottom w:val="nil"/>
              <w:right w:val="nil"/>
            </w:tcBorders>
            <w:shd w:val="clear" w:color="auto" w:fill="auto"/>
            <w:noWrap/>
            <w:vAlign w:val="bottom"/>
            <w:hideMark/>
          </w:tcPr>
          <w:p w14:paraId="474A4CB7"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450</w:t>
            </w:r>
          </w:p>
        </w:tc>
        <w:tc>
          <w:tcPr>
            <w:tcW w:w="280" w:type="dxa"/>
            <w:tcBorders>
              <w:top w:val="nil"/>
              <w:left w:val="nil"/>
              <w:bottom w:val="nil"/>
              <w:right w:val="nil"/>
            </w:tcBorders>
            <w:shd w:val="clear" w:color="auto" w:fill="auto"/>
            <w:noWrap/>
            <w:vAlign w:val="bottom"/>
            <w:hideMark/>
          </w:tcPr>
          <w:p w14:paraId="086DE64B" w14:textId="77777777" w:rsidR="00B721F1" w:rsidRPr="0003281F" w:rsidRDefault="00B721F1" w:rsidP="001853E3">
            <w:pPr>
              <w:widowControl w:val="0"/>
              <w:jc w:val="center"/>
              <w:rPr>
                <w:rFonts w:eastAsia="Times New Roman"/>
                <w:color w:val="000000"/>
                <w:sz w:val="22"/>
                <w:szCs w:val="22"/>
              </w:rPr>
            </w:pPr>
          </w:p>
        </w:tc>
        <w:tc>
          <w:tcPr>
            <w:tcW w:w="1860" w:type="dxa"/>
            <w:tcBorders>
              <w:top w:val="nil"/>
              <w:left w:val="nil"/>
              <w:bottom w:val="nil"/>
              <w:right w:val="nil"/>
            </w:tcBorders>
            <w:shd w:val="clear" w:color="auto" w:fill="auto"/>
            <w:noWrap/>
            <w:vAlign w:val="bottom"/>
            <w:hideMark/>
          </w:tcPr>
          <w:p w14:paraId="7B288E9A"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450</w:t>
            </w:r>
          </w:p>
        </w:tc>
      </w:tr>
      <w:tr w:rsidR="00B721F1" w:rsidRPr="0003281F" w14:paraId="2AA56318" w14:textId="77777777" w:rsidTr="00B721F1">
        <w:trPr>
          <w:trHeight w:val="300"/>
          <w:jc w:val="center"/>
        </w:trPr>
        <w:tc>
          <w:tcPr>
            <w:tcW w:w="2560" w:type="dxa"/>
            <w:tcBorders>
              <w:top w:val="nil"/>
              <w:left w:val="nil"/>
              <w:bottom w:val="single" w:sz="4" w:space="0" w:color="auto"/>
              <w:right w:val="nil"/>
            </w:tcBorders>
            <w:shd w:val="clear" w:color="auto" w:fill="auto"/>
            <w:noWrap/>
            <w:vAlign w:val="bottom"/>
            <w:hideMark/>
          </w:tcPr>
          <w:p w14:paraId="69855219"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R-squared</w:t>
            </w:r>
          </w:p>
        </w:tc>
        <w:tc>
          <w:tcPr>
            <w:tcW w:w="280" w:type="dxa"/>
            <w:tcBorders>
              <w:top w:val="nil"/>
              <w:left w:val="nil"/>
              <w:bottom w:val="single" w:sz="4" w:space="0" w:color="auto"/>
              <w:right w:val="nil"/>
            </w:tcBorders>
            <w:shd w:val="clear" w:color="auto" w:fill="auto"/>
            <w:noWrap/>
            <w:vAlign w:val="bottom"/>
            <w:hideMark/>
          </w:tcPr>
          <w:p w14:paraId="3AAB67F1" w14:textId="77777777" w:rsidR="00B721F1" w:rsidRPr="0003281F" w:rsidRDefault="00B721F1" w:rsidP="001853E3">
            <w:pPr>
              <w:widowControl w:val="0"/>
              <w:rPr>
                <w:rFonts w:eastAsia="Times New Roman"/>
                <w:color w:val="000000"/>
                <w:sz w:val="22"/>
                <w:szCs w:val="22"/>
              </w:rPr>
            </w:pPr>
            <w:r w:rsidRPr="0003281F">
              <w:rPr>
                <w:rFonts w:eastAsia="Times New Roman"/>
                <w:color w:val="000000"/>
                <w:sz w:val="22"/>
                <w:szCs w:val="22"/>
              </w:rPr>
              <w:t> </w:t>
            </w:r>
          </w:p>
        </w:tc>
        <w:tc>
          <w:tcPr>
            <w:tcW w:w="1400" w:type="dxa"/>
            <w:tcBorders>
              <w:top w:val="nil"/>
              <w:left w:val="nil"/>
              <w:bottom w:val="single" w:sz="4" w:space="0" w:color="auto"/>
              <w:right w:val="nil"/>
            </w:tcBorders>
            <w:shd w:val="clear" w:color="auto" w:fill="auto"/>
            <w:noWrap/>
            <w:vAlign w:val="bottom"/>
            <w:hideMark/>
          </w:tcPr>
          <w:p w14:paraId="5CBF60BD"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0.052</w:t>
            </w:r>
          </w:p>
        </w:tc>
        <w:tc>
          <w:tcPr>
            <w:tcW w:w="280" w:type="dxa"/>
            <w:tcBorders>
              <w:top w:val="nil"/>
              <w:left w:val="nil"/>
              <w:bottom w:val="single" w:sz="4" w:space="0" w:color="auto"/>
              <w:right w:val="nil"/>
            </w:tcBorders>
            <w:shd w:val="clear" w:color="auto" w:fill="auto"/>
            <w:noWrap/>
            <w:vAlign w:val="bottom"/>
            <w:hideMark/>
          </w:tcPr>
          <w:p w14:paraId="34EF2AD9"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 </w:t>
            </w:r>
          </w:p>
        </w:tc>
        <w:tc>
          <w:tcPr>
            <w:tcW w:w="1860" w:type="dxa"/>
            <w:tcBorders>
              <w:top w:val="nil"/>
              <w:left w:val="nil"/>
              <w:bottom w:val="single" w:sz="4" w:space="0" w:color="auto"/>
              <w:right w:val="nil"/>
            </w:tcBorders>
            <w:shd w:val="clear" w:color="auto" w:fill="auto"/>
            <w:noWrap/>
            <w:vAlign w:val="bottom"/>
            <w:hideMark/>
          </w:tcPr>
          <w:p w14:paraId="564B87CB" w14:textId="77777777" w:rsidR="00B721F1" w:rsidRPr="0003281F" w:rsidRDefault="00B721F1" w:rsidP="001853E3">
            <w:pPr>
              <w:widowControl w:val="0"/>
              <w:jc w:val="center"/>
              <w:rPr>
                <w:rFonts w:eastAsia="Times New Roman"/>
                <w:color w:val="000000"/>
                <w:sz w:val="22"/>
                <w:szCs w:val="22"/>
              </w:rPr>
            </w:pPr>
            <w:r w:rsidRPr="0003281F">
              <w:rPr>
                <w:rFonts w:eastAsia="Times New Roman"/>
                <w:color w:val="000000"/>
                <w:sz w:val="22"/>
                <w:szCs w:val="22"/>
              </w:rPr>
              <w:t>0.060</w:t>
            </w:r>
          </w:p>
        </w:tc>
      </w:tr>
    </w:tbl>
    <w:p w14:paraId="769A2F8D" w14:textId="7D892496" w:rsidR="00FD45AC" w:rsidRPr="00E26D55" w:rsidRDefault="00FD45AC" w:rsidP="001853E3">
      <w:pPr>
        <w:widowControl w:val="0"/>
      </w:pPr>
    </w:p>
    <w:p w14:paraId="114D85EE" w14:textId="77777777" w:rsidR="00FD45AC" w:rsidRPr="00E26D55" w:rsidRDefault="00FD45AC" w:rsidP="001853E3">
      <w:pPr>
        <w:widowControl w:val="0"/>
      </w:pPr>
      <w:r w:rsidRPr="00E26D55">
        <w:br w:type="page"/>
      </w:r>
    </w:p>
    <w:p w14:paraId="6617C39D" w14:textId="34AFD543" w:rsidR="00FD45AC" w:rsidRPr="00E26D55" w:rsidRDefault="006A749C" w:rsidP="006A749C">
      <w:pPr>
        <w:pStyle w:val="Heading2"/>
        <w:jc w:val="center"/>
      </w:pPr>
      <w:bookmarkStart w:id="107" w:name="_Toc286596285"/>
      <w:r>
        <w:t>Appendix B</w:t>
      </w:r>
      <w:r w:rsidR="00FD45AC" w:rsidRPr="00E26D55">
        <w:t>: Variable Descriptions</w:t>
      </w:r>
      <w:bookmarkEnd w:id="107"/>
    </w:p>
    <w:tbl>
      <w:tblPr>
        <w:tblW w:w="0" w:type="auto"/>
        <w:jc w:val="center"/>
        <w:tblLook w:val="04A0" w:firstRow="1" w:lastRow="0" w:firstColumn="1" w:lastColumn="0" w:noHBand="0" w:noVBand="1"/>
      </w:tblPr>
      <w:tblGrid>
        <w:gridCol w:w="2591"/>
        <w:gridCol w:w="6265"/>
      </w:tblGrid>
      <w:tr w:rsidR="00FD45AC" w:rsidRPr="00E26D55" w14:paraId="7C74E27A" w14:textId="77777777" w:rsidTr="00FE3F7C">
        <w:trPr>
          <w:jc w:val="center"/>
        </w:trPr>
        <w:tc>
          <w:tcPr>
            <w:tcW w:w="8856" w:type="dxa"/>
            <w:gridSpan w:val="2"/>
          </w:tcPr>
          <w:p w14:paraId="38B85B2B" w14:textId="77777777" w:rsidR="00FD45AC" w:rsidRPr="00E26D55" w:rsidRDefault="00FD45AC" w:rsidP="001853E3">
            <w:pPr>
              <w:widowControl w:val="0"/>
              <w:tabs>
                <w:tab w:val="left" w:pos="2610"/>
                <w:tab w:val="left" w:pos="2790"/>
              </w:tabs>
              <w:jc w:val="both"/>
              <w:rPr>
                <w:rFonts w:eastAsia="Times New Roman"/>
                <w:b/>
              </w:rPr>
            </w:pPr>
          </w:p>
          <w:p w14:paraId="138E4123" w14:textId="77777777" w:rsidR="00FD45AC" w:rsidRPr="00E26D55" w:rsidRDefault="00FD45AC" w:rsidP="001853E3">
            <w:pPr>
              <w:widowControl w:val="0"/>
              <w:tabs>
                <w:tab w:val="left" w:pos="2610"/>
                <w:tab w:val="left" w:pos="2790"/>
              </w:tabs>
              <w:jc w:val="both"/>
              <w:rPr>
                <w:rFonts w:eastAsia="Times New Roman"/>
                <w:b/>
              </w:rPr>
            </w:pPr>
            <w:r w:rsidRPr="00E26D55">
              <w:rPr>
                <w:rFonts w:eastAsia="Times New Roman"/>
                <w:b/>
              </w:rPr>
              <w:t>Main analysis dependent and test variables</w:t>
            </w:r>
          </w:p>
          <w:p w14:paraId="53659E40" w14:textId="77777777" w:rsidR="00FD45AC" w:rsidRPr="00E26D55" w:rsidRDefault="00FD45AC" w:rsidP="001853E3">
            <w:pPr>
              <w:widowControl w:val="0"/>
              <w:tabs>
                <w:tab w:val="left" w:pos="2610"/>
                <w:tab w:val="left" w:pos="2790"/>
              </w:tabs>
              <w:jc w:val="both"/>
            </w:pPr>
          </w:p>
        </w:tc>
      </w:tr>
      <w:tr w:rsidR="00FD45AC" w:rsidRPr="00E26D55" w14:paraId="5DC9C59C" w14:textId="77777777" w:rsidTr="00FE3F7C">
        <w:trPr>
          <w:jc w:val="center"/>
        </w:trPr>
        <w:tc>
          <w:tcPr>
            <w:tcW w:w="2591" w:type="dxa"/>
          </w:tcPr>
          <w:p w14:paraId="2B214B5F" w14:textId="77777777" w:rsidR="00FD45AC" w:rsidRPr="00E26D55" w:rsidRDefault="00FD45AC" w:rsidP="001853E3">
            <w:pPr>
              <w:widowControl w:val="0"/>
              <w:tabs>
                <w:tab w:val="left" w:pos="2610"/>
                <w:tab w:val="left" w:pos="2790"/>
              </w:tabs>
              <w:jc w:val="both"/>
              <w:rPr>
                <w:i/>
              </w:rPr>
            </w:pPr>
            <w:r w:rsidRPr="00E26D55">
              <w:rPr>
                <w:i/>
              </w:rPr>
              <w:t>AVOL</w:t>
            </w:r>
          </w:p>
        </w:tc>
        <w:tc>
          <w:tcPr>
            <w:tcW w:w="6265" w:type="dxa"/>
          </w:tcPr>
          <w:p w14:paraId="37554877" w14:textId="2A197417" w:rsidR="00FD45AC" w:rsidRPr="00E26D55" w:rsidRDefault="00FD45AC" w:rsidP="006A749C">
            <w:pPr>
              <w:widowControl w:val="0"/>
              <w:tabs>
                <w:tab w:val="left" w:pos="2610"/>
                <w:tab w:val="left" w:pos="2790"/>
              </w:tabs>
              <w:jc w:val="both"/>
            </w:pPr>
            <w:r w:rsidRPr="00E26D55">
              <w:t xml:space="preserve">The natural logarithm of the ratio of a firm’s mean event-period volume to the firm’s average estimation-period volume </w:t>
            </w:r>
            <w:r w:rsidRPr="00E26D55">
              <w:fldChar w:fldCharType="begin">
                <w:fldData xml:space="preserve">PEVuZE5vdGU+PENpdGU+PEF1dGhvcj5EZUZvbmQ8L0F1dGhvcj48WWVhcj4yMDA3PC9ZZWFyPjxS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</w:fldData>
              </w:fldChar>
            </w:r>
            <w:r w:rsidRPr="00E26D55">
              <w:instrText xml:space="preserve"> ADDIN EN.CITE </w:instrText>
            </w:r>
            <w:r w:rsidRPr="00E26D55">
              <w:fldChar w:fldCharType="begin">
                <w:fldData xml:space="preserve">PEVuZE5vdGU+PENpdGU+PEF1dGhvcj5EZUZvbmQ8L0F1dGhvcj48WWVhcj4yMDA3PC9ZZWFyPjxS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</w:fldData>
              </w:fldChar>
            </w:r>
            <w:r w:rsidRPr="00E26D55">
              <w:instrText xml:space="preserve"> ADDIN EN.CITE.DATA </w:instrText>
            </w:r>
            <w:r w:rsidRPr="00E26D55">
              <w:fldChar w:fldCharType="end"/>
            </w:r>
            <w:r w:rsidRPr="00E26D55">
              <w:fldChar w:fldCharType="separate"/>
            </w:r>
            <w:r w:rsidRPr="00E26D55">
              <w:rPr>
                <w:noProof/>
              </w:rPr>
              <w:t>(</w:t>
            </w:r>
            <w:hyperlink w:anchor="_ENREF_31" w:tooltip="DeFond, 2007 #102" w:history="1">
              <w:r w:rsidR="006A749C" w:rsidRPr="00E26D55">
                <w:rPr>
                  <w:noProof/>
                </w:rPr>
                <w:t>DeFond et al. 2007</w:t>
              </w:r>
            </w:hyperlink>
            <w:r w:rsidRPr="00E26D55">
              <w:rPr>
                <w:noProof/>
              </w:rPr>
              <w:t xml:space="preserve">; </w:t>
            </w:r>
            <w:hyperlink w:anchor="_ENREF_52" w:tooltip="Landsman, 2012 #99" w:history="1">
              <w:r w:rsidR="006A749C" w:rsidRPr="00E26D55">
                <w:rPr>
                  <w:noProof/>
                </w:rPr>
                <w:t>Landsman et al. 2012</w:t>
              </w:r>
            </w:hyperlink>
            <w:r w:rsidRPr="00E26D55">
              <w:rPr>
                <w:noProof/>
              </w:rPr>
              <w:t>)</w:t>
            </w:r>
            <w:r w:rsidRPr="00E26D55">
              <w:fldChar w:fldCharType="end"/>
            </w:r>
            <w:r w:rsidRPr="00E26D55">
              <w:t>. Daily trading volume obtained from Datastream.</w:t>
            </w:r>
          </w:p>
        </w:tc>
      </w:tr>
      <w:tr w:rsidR="00FD45AC" w:rsidRPr="00E26D55" w14:paraId="76857FB4" w14:textId="77777777" w:rsidTr="00FE3F7C">
        <w:trPr>
          <w:jc w:val="center"/>
        </w:trPr>
        <w:tc>
          <w:tcPr>
            <w:tcW w:w="2591" w:type="dxa"/>
          </w:tcPr>
          <w:p w14:paraId="20AEDD59" w14:textId="77777777" w:rsidR="00FD45AC" w:rsidRPr="00E26D55" w:rsidRDefault="00FD45AC" w:rsidP="001853E3">
            <w:pPr>
              <w:widowControl w:val="0"/>
              <w:tabs>
                <w:tab w:val="left" w:pos="2610"/>
                <w:tab w:val="left" w:pos="2790"/>
              </w:tabs>
              <w:jc w:val="both"/>
              <w:rPr>
                <w:i/>
              </w:rPr>
            </w:pPr>
            <w:r w:rsidRPr="00E26D55">
              <w:rPr>
                <w:i/>
              </w:rPr>
              <w:t>ASPREAD</w:t>
            </w:r>
          </w:p>
        </w:tc>
        <w:tc>
          <w:tcPr>
            <w:tcW w:w="6265" w:type="dxa"/>
          </w:tcPr>
          <w:p w14:paraId="6F6E537B" w14:textId="414C435A" w:rsidR="00FD45AC" w:rsidRPr="00E26D55" w:rsidRDefault="00FD45AC" w:rsidP="006A749C">
            <w:pPr>
              <w:widowControl w:val="0"/>
              <w:tabs>
                <w:tab w:val="left" w:pos="2610"/>
                <w:tab w:val="left" w:pos="2790"/>
              </w:tabs>
              <w:jc w:val="both"/>
            </w:pPr>
            <w:r w:rsidRPr="00E26D55">
              <w:t xml:space="preserve">The firm’s mean event-period spread minus the firm’s average estimation-period spread </w:t>
            </w:r>
            <w:r w:rsidRPr="00E26D55">
              <w:fldChar w:fldCharType="begin">
                <w:fldData xml:space="preserve">PEVuZE5vdGU+PENpdGU+PEF1dGhvcj5CbGFua2VzcG9vcjwvQXV0aG9yPjxZZWFyPjIwMTQ8L1ll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</w:fldData>
              </w:fldChar>
            </w:r>
            <w:r w:rsidR="00E248F5">
              <w:instrText xml:space="preserve"> ADDIN EN.CITE </w:instrText>
            </w:r>
            <w:r w:rsidR="00E248F5">
              <w:fldChar w:fldCharType="begin">
                <w:fldData xml:space="preserve">PEVuZE5vdGU+PENpdGU+PEF1dGhvcj5CbGFua2VzcG9vcjwvQXV0aG9yPjxZZWFyPjIwMTQ8L1ll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</w:fldData>
              </w:fldChar>
            </w:r>
            <w:r w:rsidR="00E248F5">
              <w:instrText xml:space="preserve"> ADDIN EN.CITE.DATA </w:instrText>
            </w:r>
            <w:r w:rsidR="00E248F5">
              <w:fldChar w:fldCharType="end"/>
            </w:r>
            <w:r w:rsidRPr="00E26D55">
              <w:fldChar w:fldCharType="separate"/>
            </w:r>
            <w:r w:rsidR="00E248F5">
              <w:rPr>
                <w:noProof/>
              </w:rPr>
              <w:t>(</w:t>
            </w:r>
            <w:hyperlink w:anchor="_ENREF_9" w:tooltip="Blankespoor, 2014 #342" w:history="1">
              <w:r w:rsidR="006A749C">
                <w:rPr>
                  <w:noProof/>
                </w:rPr>
                <w:t>Blankespoor et al. 2014</w:t>
              </w:r>
            </w:hyperlink>
            <w:r w:rsidR="00E248F5">
              <w:rPr>
                <w:noProof/>
              </w:rPr>
              <w:t xml:space="preserve">; </w:t>
            </w:r>
            <w:hyperlink w:anchor="_ENREF_12" w:tooltip="Bushee, 2010 #343" w:history="1">
              <w:r w:rsidR="006A749C">
                <w:rPr>
                  <w:noProof/>
                </w:rPr>
                <w:t>Bushee et al. 2010</w:t>
              </w:r>
            </w:hyperlink>
            <w:r w:rsidR="00E248F5">
              <w:rPr>
                <w:noProof/>
              </w:rPr>
              <w:t>)</w:t>
            </w:r>
            <w:r w:rsidRPr="00E26D55">
              <w:fldChar w:fldCharType="end"/>
            </w:r>
            <w:r w:rsidRPr="00E26D55">
              <w:t>. Daily bid and ask prices obtained from Datastream.</w:t>
            </w:r>
          </w:p>
        </w:tc>
      </w:tr>
      <w:tr w:rsidR="00FD45AC" w:rsidRPr="00E26D55" w14:paraId="50080EDA" w14:textId="77777777" w:rsidTr="00FE3F7C">
        <w:trPr>
          <w:jc w:val="center"/>
        </w:trPr>
        <w:tc>
          <w:tcPr>
            <w:tcW w:w="2591" w:type="dxa"/>
          </w:tcPr>
          <w:p w14:paraId="7A811D7D" w14:textId="77777777" w:rsidR="00FD45AC" w:rsidRPr="00E26D55" w:rsidRDefault="00FD45AC" w:rsidP="001853E3">
            <w:pPr>
              <w:widowControl w:val="0"/>
              <w:tabs>
                <w:tab w:val="left" w:pos="2610"/>
                <w:tab w:val="left" w:pos="2790"/>
              </w:tabs>
              <w:jc w:val="both"/>
              <w:rPr>
                <w:rFonts w:eastAsia="Times New Roman"/>
                <w:i/>
              </w:rPr>
            </w:pPr>
            <w:r w:rsidRPr="00E26D55">
              <w:rPr>
                <w:rFonts w:eastAsia="Times New Roman"/>
                <w:i/>
              </w:rPr>
              <w:t>POST</w:t>
            </w:r>
          </w:p>
        </w:tc>
        <w:tc>
          <w:tcPr>
            <w:tcW w:w="6265" w:type="dxa"/>
          </w:tcPr>
          <w:p w14:paraId="4655436A" w14:textId="77777777" w:rsidR="00FD45AC" w:rsidRPr="00E26D55" w:rsidRDefault="00FD45AC" w:rsidP="001853E3">
            <w:pPr>
              <w:widowControl w:val="0"/>
              <w:tabs>
                <w:tab w:val="left" w:pos="2610"/>
                <w:tab w:val="left" w:pos="2790"/>
              </w:tabs>
              <w:jc w:val="both"/>
            </w:pPr>
            <w:r w:rsidRPr="00E26D55">
              <w:t>Indicator variable equal to 1 if the fiscal year is the first year of the new reporting regime, 0 otherwise.</w:t>
            </w:r>
          </w:p>
        </w:tc>
      </w:tr>
      <w:tr w:rsidR="00FD45AC" w:rsidRPr="00E26D55" w14:paraId="0DEB582D" w14:textId="77777777" w:rsidTr="00FE3F7C">
        <w:trPr>
          <w:jc w:val="center"/>
        </w:trPr>
        <w:tc>
          <w:tcPr>
            <w:tcW w:w="8856" w:type="dxa"/>
            <w:gridSpan w:val="2"/>
          </w:tcPr>
          <w:p w14:paraId="602E96C3" w14:textId="77777777" w:rsidR="00FD45AC" w:rsidRPr="00E26D55" w:rsidRDefault="00FD45AC" w:rsidP="001853E3">
            <w:pPr>
              <w:widowControl w:val="0"/>
              <w:tabs>
                <w:tab w:val="left" w:pos="2610"/>
                <w:tab w:val="left" w:pos="2790"/>
              </w:tabs>
              <w:jc w:val="both"/>
            </w:pPr>
          </w:p>
          <w:p w14:paraId="765AA14F" w14:textId="77777777" w:rsidR="00FD45AC" w:rsidRPr="00E26D55" w:rsidRDefault="00FD45AC" w:rsidP="001853E3">
            <w:pPr>
              <w:widowControl w:val="0"/>
              <w:tabs>
                <w:tab w:val="left" w:pos="2610"/>
                <w:tab w:val="left" w:pos="2790"/>
              </w:tabs>
              <w:jc w:val="both"/>
            </w:pPr>
          </w:p>
        </w:tc>
      </w:tr>
      <w:tr w:rsidR="00FD45AC" w:rsidRPr="00E26D55" w14:paraId="2CB532AC" w14:textId="77777777" w:rsidTr="00FE3F7C">
        <w:trPr>
          <w:trHeight w:val="306"/>
          <w:jc w:val="center"/>
        </w:trPr>
        <w:tc>
          <w:tcPr>
            <w:tcW w:w="8856" w:type="dxa"/>
            <w:gridSpan w:val="2"/>
          </w:tcPr>
          <w:p w14:paraId="18A26F39" w14:textId="77777777" w:rsidR="00FD45AC" w:rsidRPr="00E26D55" w:rsidRDefault="00FD45AC" w:rsidP="001853E3">
            <w:pPr>
              <w:widowControl w:val="0"/>
              <w:tabs>
                <w:tab w:val="left" w:pos="2610"/>
                <w:tab w:val="left" w:pos="2790"/>
              </w:tabs>
              <w:jc w:val="both"/>
              <w:rPr>
                <w:b/>
              </w:rPr>
            </w:pPr>
            <w:r w:rsidRPr="00E26D55">
              <w:rPr>
                <w:b/>
              </w:rPr>
              <w:t xml:space="preserve">Main analysis control variables </w:t>
            </w:r>
          </w:p>
          <w:p w14:paraId="2A918C04" w14:textId="77777777" w:rsidR="00FD45AC" w:rsidRPr="00E26D55" w:rsidRDefault="00FD45AC" w:rsidP="001853E3">
            <w:pPr>
              <w:widowControl w:val="0"/>
              <w:tabs>
                <w:tab w:val="left" w:pos="2610"/>
                <w:tab w:val="left" w:pos="2790"/>
              </w:tabs>
              <w:jc w:val="both"/>
              <w:rPr>
                <w:b/>
              </w:rPr>
            </w:pPr>
          </w:p>
        </w:tc>
      </w:tr>
      <w:tr w:rsidR="00FD45AC" w:rsidRPr="00E26D55" w14:paraId="4E9BB29C" w14:textId="77777777" w:rsidTr="00FE3F7C">
        <w:trPr>
          <w:jc w:val="center"/>
        </w:trPr>
        <w:tc>
          <w:tcPr>
            <w:tcW w:w="2591" w:type="dxa"/>
          </w:tcPr>
          <w:p w14:paraId="3E65B352" w14:textId="77777777" w:rsidR="00FD45AC" w:rsidRPr="00E26D55" w:rsidRDefault="00FD45AC" w:rsidP="001853E3">
            <w:pPr>
              <w:pStyle w:val="Default"/>
              <w:tabs>
                <w:tab w:val="left" w:pos="2610"/>
                <w:tab w:val="left" w:pos="2790"/>
              </w:tabs>
              <w:jc w:val="both"/>
              <w:rPr>
                <w:i/>
              </w:rPr>
            </w:pPr>
            <w:r w:rsidRPr="00E26D55">
              <w:rPr>
                <w:i/>
                <w:iCs/>
              </w:rPr>
              <w:t>DISP</w:t>
            </w:r>
          </w:p>
        </w:tc>
        <w:tc>
          <w:tcPr>
            <w:tcW w:w="6265" w:type="dxa"/>
          </w:tcPr>
          <w:p w14:paraId="5E9D2B87" w14:textId="77777777" w:rsidR="00FD45AC" w:rsidRPr="00E26D55" w:rsidRDefault="00FD45AC" w:rsidP="001853E3">
            <w:pPr>
              <w:widowControl w:val="0"/>
              <w:tabs>
                <w:tab w:val="left" w:pos="2610"/>
                <w:tab w:val="left" w:pos="2790"/>
              </w:tabs>
              <w:jc w:val="both"/>
            </w:pPr>
            <w:r w:rsidRPr="00E26D55">
              <w:t>The standard deviation of analysts’ earnings forecasts scaled by stock price. Analyst forecast data obtained from I/B/E/S on Datastream.</w:t>
            </w:r>
          </w:p>
        </w:tc>
      </w:tr>
      <w:tr w:rsidR="00FD45AC" w:rsidRPr="00E26D55" w14:paraId="26F4FB92" w14:textId="77777777" w:rsidTr="00FE3F7C">
        <w:trPr>
          <w:jc w:val="center"/>
        </w:trPr>
        <w:tc>
          <w:tcPr>
            <w:tcW w:w="2591" w:type="dxa"/>
          </w:tcPr>
          <w:p w14:paraId="461FD8F9" w14:textId="77777777" w:rsidR="00FD45AC" w:rsidRPr="00E26D55" w:rsidRDefault="00FD45AC" w:rsidP="001853E3">
            <w:pPr>
              <w:pStyle w:val="Default"/>
              <w:tabs>
                <w:tab w:val="left" w:pos="2610"/>
                <w:tab w:val="left" w:pos="2790"/>
              </w:tabs>
              <w:jc w:val="both"/>
              <w:rPr>
                <w:i/>
              </w:rPr>
            </w:pPr>
            <w:r w:rsidRPr="00E26D55">
              <w:rPr>
                <w:i/>
              </w:rPr>
              <w:t>IND_FE</w:t>
            </w:r>
          </w:p>
        </w:tc>
        <w:tc>
          <w:tcPr>
            <w:tcW w:w="6265" w:type="dxa"/>
          </w:tcPr>
          <w:p w14:paraId="4ED39B2D" w14:textId="4A651952" w:rsidR="00FD45AC" w:rsidRPr="00E26D55" w:rsidRDefault="00B031DE" w:rsidP="00856775">
            <w:pPr>
              <w:widowControl w:val="0"/>
              <w:tabs>
                <w:tab w:val="left" w:pos="2610"/>
                <w:tab w:val="left" w:pos="2790"/>
              </w:tabs>
              <w:jc w:val="both"/>
            </w:pPr>
            <w:r w:rsidRPr="00E26D55">
              <w:t xml:space="preserve">Industry fixed effects based on two-digit industry codes. </w:t>
            </w:r>
            <w:r w:rsidR="006758EE" w:rsidRPr="00E26D55">
              <w:t>O</w:t>
            </w:r>
            <w:r w:rsidRPr="00E26D55">
              <w:t>btained from Datastream.</w:t>
            </w:r>
          </w:p>
        </w:tc>
      </w:tr>
      <w:tr w:rsidR="00FD45AC" w:rsidRPr="00E26D55" w14:paraId="3B3876B1" w14:textId="77777777" w:rsidTr="00FE3F7C">
        <w:trPr>
          <w:jc w:val="center"/>
        </w:trPr>
        <w:tc>
          <w:tcPr>
            <w:tcW w:w="2591" w:type="dxa"/>
          </w:tcPr>
          <w:p w14:paraId="1F63CAEF" w14:textId="77777777" w:rsidR="00FD45AC" w:rsidRPr="00E26D55" w:rsidRDefault="00FD45AC" w:rsidP="001853E3">
            <w:pPr>
              <w:pStyle w:val="Default"/>
              <w:tabs>
                <w:tab w:val="left" w:pos="2610"/>
                <w:tab w:val="left" w:pos="2790"/>
              </w:tabs>
              <w:jc w:val="both"/>
              <w:rPr>
                <w:i/>
              </w:rPr>
            </w:pPr>
            <w:r w:rsidRPr="00E26D55">
              <w:rPr>
                <w:i/>
                <w:iCs/>
              </w:rPr>
              <w:t>LAG</w:t>
            </w:r>
          </w:p>
        </w:tc>
        <w:tc>
          <w:tcPr>
            <w:tcW w:w="6265" w:type="dxa"/>
          </w:tcPr>
          <w:p w14:paraId="526D03D2" w14:textId="77777777" w:rsidR="00FD45AC" w:rsidRPr="00E26D55" w:rsidRDefault="00FD45AC" w:rsidP="001853E3">
            <w:pPr>
              <w:widowControl w:val="0"/>
              <w:tabs>
                <w:tab w:val="left" w:pos="2610"/>
                <w:tab w:val="left" w:pos="2790"/>
              </w:tabs>
              <w:jc w:val="both"/>
            </w:pPr>
            <w:r w:rsidRPr="00E26D55">
              <w:t>The number of calendar days between the earnings announcement date and the annual report release date. Earnings announcement dates obtained from I/B/E/S on Datastream. Annual report dates hand collected from Bloomberg.</w:t>
            </w:r>
          </w:p>
        </w:tc>
      </w:tr>
      <w:tr w:rsidR="00FD45AC" w:rsidRPr="00E26D55" w14:paraId="1790C5F3" w14:textId="77777777" w:rsidTr="00FE3F7C">
        <w:trPr>
          <w:jc w:val="center"/>
        </w:trPr>
        <w:tc>
          <w:tcPr>
            <w:tcW w:w="2591" w:type="dxa"/>
          </w:tcPr>
          <w:p w14:paraId="002E3142" w14:textId="77777777" w:rsidR="00FD45AC" w:rsidRPr="00E26D55" w:rsidRDefault="00FD45AC" w:rsidP="001853E3">
            <w:pPr>
              <w:pStyle w:val="Default"/>
              <w:tabs>
                <w:tab w:val="left" w:pos="2610"/>
                <w:tab w:val="left" w:pos="2790"/>
              </w:tabs>
              <w:jc w:val="both"/>
              <w:rPr>
                <w:i/>
              </w:rPr>
            </w:pPr>
            <w:r w:rsidRPr="00E26D55">
              <w:rPr>
                <w:i/>
              </w:rPr>
              <w:t>LN_MVE</w:t>
            </w:r>
          </w:p>
        </w:tc>
        <w:tc>
          <w:tcPr>
            <w:tcW w:w="6265" w:type="dxa"/>
          </w:tcPr>
          <w:p w14:paraId="072452FF" w14:textId="77777777" w:rsidR="00FD45AC" w:rsidRPr="00E26D55" w:rsidRDefault="00FD45AC" w:rsidP="001853E3">
            <w:pPr>
              <w:widowControl w:val="0"/>
              <w:tabs>
                <w:tab w:val="left" w:pos="2610"/>
                <w:tab w:val="left" w:pos="2790"/>
              </w:tabs>
              <w:jc w:val="both"/>
            </w:pPr>
            <w:r w:rsidRPr="00E26D55">
              <w:t xml:space="preserve">The natural logarithm of the market value of equity measured at end of year </w:t>
            </w:r>
            <w:r w:rsidRPr="00E26D55">
              <w:rPr>
                <w:i/>
              </w:rPr>
              <w:t>t</w:t>
            </w:r>
            <w:r w:rsidRPr="00E26D55">
              <w:t>. Obtained from Datastream.</w:t>
            </w:r>
          </w:p>
        </w:tc>
      </w:tr>
      <w:tr w:rsidR="00FD45AC" w:rsidRPr="00E26D55" w14:paraId="6097F22E" w14:textId="77777777" w:rsidTr="00FE3F7C">
        <w:trPr>
          <w:jc w:val="center"/>
        </w:trPr>
        <w:tc>
          <w:tcPr>
            <w:tcW w:w="2591" w:type="dxa"/>
          </w:tcPr>
          <w:p w14:paraId="2806BDCE" w14:textId="77777777" w:rsidR="00FD45AC" w:rsidRPr="00E26D55" w:rsidRDefault="00FD45AC" w:rsidP="001853E3">
            <w:pPr>
              <w:pStyle w:val="Default"/>
              <w:tabs>
                <w:tab w:val="left" w:pos="2610"/>
                <w:tab w:val="left" w:pos="2790"/>
              </w:tabs>
              <w:jc w:val="both"/>
              <w:rPr>
                <w:i/>
              </w:rPr>
            </w:pPr>
            <w:r w:rsidRPr="00E26D55">
              <w:rPr>
                <w:i/>
              </w:rPr>
              <w:t>LOSS</w:t>
            </w:r>
          </w:p>
        </w:tc>
        <w:tc>
          <w:tcPr>
            <w:tcW w:w="6265" w:type="dxa"/>
          </w:tcPr>
          <w:p w14:paraId="25AC5DD1" w14:textId="77777777" w:rsidR="00FD45AC" w:rsidRPr="00E26D55" w:rsidRDefault="00FD45AC" w:rsidP="001853E3">
            <w:pPr>
              <w:widowControl w:val="0"/>
              <w:tabs>
                <w:tab w:val="left" w:pos="2610"/>
                <w:tab w:val="left" w:pos="2790"/>
              </w:tabs>
              <w:jc w:val="both"/>
            </w:pPr>
            <w:r w:rsidRPr="00E26D55">
              <w:t>Indicator variable equal to 1 if the company’s reported earnings per share is less than 0, 0 otherwise. Obtained from Datastream.</w:t>
            </w:r>
          </w:p>
        </w:tc>
      </w:tr>
      <w:tr w:rsidR="00FD45AC" w:rsidRPr="00E26D55" w14:paraId="2C1FE480" w14:textId="77777777" w:rsidTr="00FE3F7C">
        <w:trPr>
          <w:jc w:val="center"/>
        </w:trPr>
        <w:tc>
          <w:tcPr>
            <w:tcW w:w="2591" w:type="dxa"/>
          </w:tcPr>
          <w:p w14:paraId="4032A956" w14:textId="77777777" w:rsidR="00FD45AC" w:rsidRPr="00E26D55" w:rsidRDefault="00FD45AC" w:rsidP="001853E3">
            <w:pPr>
              <w:pStyle w:val="Default"/>
              <w:tabs>
                <w:tab w:val="left" w:pos="2610"/>
                <w:tab w:val="left" w:pos="2790"/>
              </w:tabs>
              <w:jc w:val="both"/>
              <w:rPr>
                <w:i/>
              </w:rPr>
            </w:pPr>
            <w:r w:rsidRPr="00E26D55">
              <w:rPr>
                <w:i/>
              </w:rPr>
              <w:t>NUM_ANALYST</w:t>
            </w:r>
          </w:p>
        </w:tc>
        <w:tc>
          <w:tcPr>
            <w:tcW w:w="6265" w:type="dxa"/>
          </w:tcPr>
          <w:p w14:paraId="7297297F" w14:textId="77777777" w:rsidR="00FD45AC" w:rsidRPr="00E26D55" w:rsidRDefault="00FD45AC" w:rsidP="001853E3">
            <w:pPr>
              <w:widowControl w:val="0"/>
              <w:tabs>
                <w:tab w:val="left" w:pos="2610"/>
                <w:tab w:val="left" w:pos="2790"/>
              </w:tabs>
              <w:jc w:val="both"/>
            </w:pPr>
            <w:r w:rsidRPr="00E26D55">
              <w:t>The number of analysts that follow a firm during the year of the earnings announcement. Obtained from I/B/E/S on Datastream.</w:t>
            </w:r>
          </w:p>
        </w:tc>
      </w:tr>
      <w:tr w:rsidR="00FD45AC" w:rsidRPr="00E26D55" w14:paraId="40074844" w14:textId="77777777" w:rsidTr="00FE3F7C">
        <w:trPr>
          <w:jc w:val="center"/>
        </w:trPr>
        <w:tc>
          <w:tcPr>
            <w:tcW w:w="2591" w:type="dxa"/>
          </w:tcPr>
          <w:p w14:paraId="5E8DC39C" w14:textId="77777777" w:rsidR="00FD45AC" w:rsidRPr="00E26D55" w:rsidRDefault="00FD45AC" w:rsidP="001853E3">
            <w:pPr>
              <w:pStyle w:val="Default"/>
              <w:tabs>
                <w:tab w:val="left" w:pos="2610"/>
                <w:tab w:val="left" w:pos="2790"/>
              </w:tabs>
              <w:jc w:val="both"/>
              <w:rPr>
                <w:i/>
              </w:rPr>
            </w:pPr>
            <w:r w:rsidRPr="00E26D55">
              <w:rPr>
                <w:i/>
              </w:rPr>
              <w:t>SD_CFO</w:t>
            </w:r>
          </w:p>
        </w:tc>
        <w:tc>
          <w:tcPr>
            <w:tcW w:w="6265" w:type="dxa"/>
          </w:tcPr>
          <w:p w14:paraId="7F9631F4" w14:textId="77777777" w:rsidR="00FD45AC" w:rsidRPr="00E26D55" w:rsidRDefault="00FD45AC" w:rsidP="001853E3">
            <w:pPr>
              <w:widowControl w:val="0"/>
              <w:tabs>
                <w:tab w:val="left" w:pos="2610"/>
                <w:tab w:val="left" w:pos="2790"/>
              </w:tabs>
              <w:jc w:val="both"/>
            </w:pPr>
            <w:r w:rsidRPr="00E26D55">
              <w:t>Standard deviation of a firm’s cash flow from operations over the prior five years, where cash flow from operations is scaled by total assets at the end of each year. Data obtained from Datastream.</w:t>
            </w:r>
          </w:p>
        </w:tc>
      </w:tr>
      <w:tr w:rsidR="00FD45AC" w:rsidRPr="00E26D55" w14:paraId="09170077" w14:textId="77777777" w:rsidTr="00FE3F7C">
        <w:trPr>
          <w:jc w:val="center"/>
        </w:trPr>
        <w:tc>
          <w:tcPr>
            <w:tcW w:w="2591" w:type="dxa"/>
          </w:tcPr>
          <w:p w14:paraId="726C1E75" w14:textId="77777777" w:rsidR="00FD45AC" w:rsidRPr="00E26D55" w:rsidRDefault="00FD45AC" w:rsidP="001853E3">
            <w:pPr>
              <w:widowControl w:val="0"/>
              <w:tabs>
                <w:tab w:val="left" w:pos="2610"/>
                <w:tab w:val="left" w:pos="2790"/>
              </w:tabs>
              <w:jc w:val="both"/>
              <w:rPr>
                <w:i/>
                <w:iCs/>
              </w:rPr>
            </w:pPr>
            <w:r w:rsidRPr="00E26D55">
              <w:rPr>
                <w:i/>
                <w:iCs/>
              </w:rPr>
              <w:t xml:space="preserve">UE </w:t>
            </w:r>
          </w:p>
        </w:tc>
        <w:tc>
          <w:tcPr>
            <w:tcW w:w="6265" w:type="dxa"/>
          </w:tcPr>
          <w:p w14:paraId="38D972D4" w14:textId="77777777" w:rsidR="00FD45AC" w:rsidRPr="00E26D55" w:rsidRDefault="00FD45AC" w:rsidP="001853E3">
            <w:pPr>
              <w:widowControl w:val="0"/>
              <w:tabs>
                <w:tab w:val="left" w:pos="2610"/>
                <w:tab w:val="left" w:pos="2790"/>
              </w:tabs>
              <w:autoSpaceDE w:val="0"/>
              <w:autoSpaceDN w:val="0"/>
              <w:adjustRightInd w:val="0"/>
              <w:jc w:val="both"/>
            </w:pPr>
            <w:r w:rsidRPr="00E26D55">
              <w:rPr>
                <w:iCs/>
              </w:rPr>
              <w:t xml:space="preserve">The absolute value of the difference between actual earnings per share and the most recent mean analyst estimate of earnings prior to the earnings release, scaled by the closing price at the end of year </w:t>
            </w:r>
            <w:r w:rsidRPr="00E26D55">
              <w:rPr>
                <w:i/>
                <w:iCs/>
              </w:rPr>
              <w:t>t</w:t>
            </w:r>
            <w:r w:rsidRPr="00E26D55">
              <w:rPr>
                <w:iCs/>
              </w:rPr>
              <w:t>.</w:t>
            </w:r>
            <w:r w:rsidRPr="00E26D55">
              <w:t xml:space="preserve"> Data obtained from I/B/E/S on Datastream.</w:t>
            </w:r>
          </w:p>
        </w:tc>
      </w:tr>
    </w:tbl>
    <w:p w14:paraId="66EBC248" w14:textId="793DE327" w:rsidR="006A749C" w:rsidRDefault="006A749C" w:rsidP="001853E3">
      <w:pPr>
        <w:widowControl w:val="0"/>
        <w:rPr>
          <w:sz w:val="22"/>
          <w:szCs w:val="22"/>
        </w:rPr>
      </w:pPr>
    </w:p>
    <w:p w14:paraId="564055AA" w14:textId="77777777" w:rsidR="006A749C" w:rsidRDefault="006A749C">
      <w:pPr>
        <w:rPr>
          <w:sz w:val="22"/>
          <w:szCs w:val="22"/>
        </w:rPr>
      </w:pPr>
      <w:r>
        <w:rPr>
          <w:sz w:val="22"/>
          <w:szCs w:val="22"/>
        </w:rPr>
        <w:br w:type="page"/>
      </w:r>
    </w:p>
    <w:p w14:paraId="6FC87BAF" w14:textId="7D233664" w:rsidR="00B721F1" w:rsidRDefault="006A749C" w:rsidP="006A749C">
      <w:pPr>
        <w:pStyle w:val="Heading1"/>
      </w:pPr>
      <w:bookmarkStart w:id="108" w:name="_Toc286596286"/>
      <w:r>
        <w:t>VITA</w:t>
      </w:r>
      <w:bookmarkEnd w:id="108"/>
    </w:p>
    <w:p w14:paraId="44A3A332" w14:textId="77777777" w:rsidR="005A1B78" w:rsidRDefault="005A1B78" w:rsidP="005A1B78"/>
    <w:p w14:paraId="54B888EF" w14:textId="6C4650B3" w:rsidR="005A1B78" w:rsidRPr="005A1B78" w:rsidRDefault="005A1B78" w:rsidP="005A1B78">
      <w:r>
        <w:t>To be written…</w:t>
      </w:r>
      <w:bookmarkStart w:id="109" w:name="_GoBack"/>
      <w:bookmarkEnd w:id="109"/>
    </w:p>
    <w:sectPr w:rsidR="005A1B78" w:rsidRPr="005A1B78" w:rsidSect="00653334">
      <w:footerReference w:type="default" r:id="rId21"/>
      <w:pgSz w:w="12240" w:h="15840"/>
      <w:pgMar w:top="1440" w:right="1440" w:bottom="1440" w:left="1440" w:header="720" w:footer="864"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AC70CB" w14:textId="77777777" w:rsidR="006735CB" w:rsidRDefault="006735CB" w:rsidP="00F92962">
      <w:r>
        <w:separator/>
      </w:r>
    </w:p>
  </w:endnote>
  <w:endnote w:type="continuationSeparator" w:id="0">
    <w:p w14:paraId="6518AB8A" w14:textId="77777777" w:rsidR="006735CB" w:rsidRDefault="006735CB" w:rsidP="00F92962">
      <w:r>
        <w:continuationSeparator/>
      </w:r>
    </w:p>
  </w:endnote>
  <w:endnote w:type="continuationNotice" w:id="1">
    <w:p w14:paraId="1007D45A" w14:textId="77777777" w:rsidR="006735CB" w:rsidRDefault="006735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4006AC" w14:textId="77777777" w:rsidR="00653334" w:rsidRDefault="00653334" w:rsidP="00930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42F28C" w14:textId="77777777" w:rsidR="00653334" w:rsidRDefault="00653334" w:rsidP="009301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3F4EC7" w14:textId="77777777" w:rsidR="00653334" w:rsidRDefault="00653334" w:rsidP="0065333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5FBE1A" w14:textId="77777777" w:rsidR="00653334" w:rsidRDefault="00653334" w:rsidP="006533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A1B78">
      <w:rPr>
        <w:rStyle w:val="PageNumber"/>
        <w:noProof/>
      </w:rPr>
      <w:t>vi</w:t>
    </w:r>
    <w:r>
      <w:rPr>
        <w:rStyle w:val="PageNumber"/>
      </w:rPr>
      <w:fldChar w:fldCharType="end"/>
    </w:r>
  </w:p>
  <w:p w14:paraId="08D1B6E1" w14:textId="66CF7250" w:rsidR="006735CB" w:rsidRPr="00735A8F" w:rsidRDefault="006735CB" w:rsidP="00653334">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97E322" w14:textId="157383D2" w:rsidR="006735CB" w:rsidRDefault="006735CB" w:rsidP="00F457DB">
    <w:pPr>
      <w:pStyle w:val="Footer"/>
      <w:jc w:val="cen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F8AB4" w14:textId="77777777" w:rsidR="006735CB" w:rsidRPr="00735A8F" w:rsidRDefault="006735CB" w:rsidP="00735A8F">
    <w:pPr>
      <w:pStyle w:val="Footer"/>
      <w:jc w:val="center"/>
    </w:pPr>
    <w:r w:rsidRPr="00735A8F">
      <w:rPr>
        <w:rStyle w:val="PageNumber"/>
      </w:rPr>
      <w:fldChar w:fldCharType="begin"/>
    </w:r>
    <w:r w:rsidRPr="00735A8F">
      <w:rPr>
        <w:rStyle w:val="PageNumber"/>
      </w:rPr>
      <w:instrText xml:space="preserve"> PAGE </w:instrText>
    </w:r>
    <w:r w:rsidRPr="00735A8F">
      <w:rPr>
        <w:rStyle w:val="PageNumber"/>
      </w:rPr>
      <w:fldChar w:fldCharType="separate"/>
    </w:r>
    <w:r w:rsidR="005A1B78">
      <w:rPr>
        <w:rStyle w:val="PageNumber"/>
        <w:noProof/>
      </w:rPr>
      <w:t>53</w:t>
    </w:r>
    <w:r w:rsidRPr="00735A8F">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F4BD3C" w14:textId="77777777" w:rsidR="006735CB" w:rsidRDefault="006735CB" w:rsidP="00F92962">
      <w:r>
        <w:separator/>
      </w:r>
    </w:p>
  </w:footnote>
  <w:footnote w:type="continuationSeparator" w:id="0">
    <w:p w14:paraId="79B0416A" w14:textId="77777777" w:rsidR="006735CB" w:rsidRDefault="006735CB" w:rsidP="00F92962">
      <w:r>
        <w:continuationSeparator/>
      </w:r>
    </w:p>
  </w:footnote>
  <w:footnote w:type="continuationNotice" w:id="1">
    <w:p w14:paraId="47CAC0A1" w14:textId="77777777" w:rsidR="006735CB" w:rsidRDefault="006735CB"/>
  </w:footnote>
  <w:footnote w:id="2">
    <w:p w14:paraId="035F2910" w14:textId="2EFA6852" w:rsidR="006735CB" w:rsidRPr="00A57876" w:rsidRDefault="006735CB" w:rsidP="004B1559">
      <w:pPr>
        <w:pStyle w:val="FootnoteText"/>
        <w:widowControl w:val="0"/>
        <w:jc w:val="both"/>
        <w:rPr>
          <w:sz w:val="20"/>
          <w:szCs w:val="20"/>
        </w:rPr>
      </w:pPr>
      <w:r w:rsidRPr="00235004">
        <w:rPr>
          <w:rStyle w:val="FootnoteReference"/>
          <w:sz w:val="20"/>
          <w:szCs w:val="20"/>
        </w:rPr>
        <w:footnoteRef/>
      </w:r>
      <w:r w:rsidRPr="00235004">
        <w:rPr>
          <w:sz w:val="20"/>
          <w:szCs w:val="20"/>
        </w:rPr>
        <w:t xml:space="preserve"> </w:t>
      </w:r>
      <w:r>
        <w:rPr>
          <w:sz w:val="20"/>
          <w:szCs w:val="20"/>
        </w:rPr>
        <w:t>Please refer to Section II for more information regarding the specifics of the new disclosure requirements.</w:t>
      </w:r>
    </w:p>
  </w:footnote>
  <w:footnote w:id="3">
    <w:p w14:paraId="40138DD0" w14:textId="5C9A91B6" w:rsidR="006735CB" w:rsidRPr="00C40CB8" w:rsidRDefault="006735CB" w:rsidP="00C40CB8">
      <w:pPr>
        <w:pStyle w:val="FootnoteText"/>
        <w:jc w:val="both"/>
        <w:rPr>
          <w:sz w:val="20"/>
          <w:szCs w:val="20"/>
        </w:rPr>
      </w:pPr>
      <w:r w:rsidRPr="00C40CB8">
        <w:rPr>
          <w:rStyle w:val="FootnoteReference"/>
          <w:sz w:val="20"/>
          <w:szCs w:val="20"/>
        </w:rPr>
        <w:footnoteRef/>
      </w:r>
      <w:r w:rsidRPr="00C40CB8">
        <w:rPr>
          <w:sz w:val="20"/>
          <w:szCs w:val="20"/>
        </w:rPr>
        <w:t xml:space="preserve"> </w:t>
      </w:r>
      <w:r>
        <w:rPr>
          <w:rFonts w:eastAsia="Times New Roman"/>
          <w:sz w:val="20"/>
          <w:szCs w:val="20"/>
        </w:rPr>
        <w:t>In this paper,</w:t>
      </w:r>
      <w:r w:rsidRPr="00C40CB8">
        <w:rPr>
          <w:rFonts w:eastAsia="Times New Roman"/>
          <w:sz w:val="20"/>
          <w:szCs w:val="20"/>
        </w:rPr>
        <w:t xml:space="preserve"> I use </w:t>
      </w:r>
      <w:r>
        <w:rPr>
          <w:rFonts w:eastAsia="Times New Roman"/>
          <w:sz w:val="20"/>
          <w:szCs w:val="20"/>
        </w:rPr>
        <w:t xml:space="preserve">common proxies for </w:t>
      </w:r>
      <w:r w:rsidRPr="00C40CB8">
        <w:rPr>
          <w:rFonts w:eastAsia="Times New Roman"/>
          <w:sz w:val="20"/>
          <w:szCs w:val="20"/>
        </w:rPr>
        <w:t xml:space="preserve">information asymmetry to </w:t>
      </w:r>
      <w:r>
        <w:rPr>
          <w:rFonts w:eastAsia="Times New Roman"/>
          <w:sz w:val="20"/>
          <w:szCs w:val="20"/>
        </w:rPr>
        <w:t>test</w:t>
      </w:r>
      <w:r w:rsidRPr="00C40CB8">
        <w:rPr>
          <w:rFonts w:eastAsia="Times New Roman"/>
          <w:sz w:val="20"/>
          <w:szCs w:val="20"/>
        </w:rPr>
        <w:t xml:space="preserve"> the degree to which enhanced auditor and audit committee reports provide new and u</w:t>
      </w:r>
      <w:r>
        <w:rPr>
          <w:rFonts w:eastAsia="Times New Roman"/>
          <w:sz w:val="20"/>
          <w:szCs w:val="20"/>
        </w:rPr>
        <w:t xml:space="preserve">seful information to investors. As </w:t>
      </w:r>
      <w:r w:rsidRPr="00C40CB8">
        <w:rPr>
          <w:rFonts w:eastAsia="Times New Roman"/>
          <w:sz w:val="20"/>
          <w:szCs w:val="20"/>
        </w:rPr>
        <w:t>decrease</w:t>
      </w:r>
      <w:r>
        <w:rPr>
          <w:rFonts w:eastAsia="Times New Roman"/>
          <w:sz w:val="20"/>
          <w:szCs w:val="20"/>
        </w:rPr>
        <w:t>s</w:t>
      </w:r>
      <w:r w:rsidRPr="00C40CB8">
        <w:rPr>
          <w:rFonts w:eastAsia="Times New Roman"/>
          <w:sz w:val="20"/>
          <w:szCs w:val="20"/>
        </w:rPr>
        <w:t xml:space="preserve"> in information asymmetry should result from the release of decision useful information to investors</w:t>
      </w:r>
      <w:r>
        <w:rPr>
          <w:rFonts w:eastAsia="Times New Roman"/>
          <w:sz w:val="20"/>
          <w:szCs w:val="20"/>
        </w:rPr>
        <w:t>, these proxies are appropriate to determine whether the reports contain decision useful “information content</w:t>
      </w:r>
      <w:r w:rsidRPr="00C40CB8">
        <w:rPr>
          <w:rFonts w:eastAsia="Times New Roman"/>
          <w:sz w:val="20"/>
          <w:szCs w:val="20"/>
        </w:rPr>
        <w:t>".</w:t>
      </w:r>
    </w:p>
  </w:footnote>
  <w:footnote w:id="4">
    <w:p w14:paraId="1523D495" w14:textId="1D77D844" w:rsidR="006735CB" w:rsidRPr="00D372DB" w:rsidRDefault="006735CB" w:rsidP="00F768D9">
      <w:pPr>
        <w:pStyle w:val="FootnoteText"/>
        <w:jc w:val="both"/>
        <w:rPr>
          <w:sz w:val="20"/>
          <w:szCs w:val="20"/>
        </w:rPr>
      </w:pPr>
      <w:r w:rsidRPr="00D372DB">
        <w:rPr>
          <w:rStyle w:val="FootnoteReference"/>
          <w:sz w:val="20"/>
          <w:szCs w:val="20"/>
        </w:rPr>
        <w:footnoteRef/>
      </w:r>
      <w:r w:rsidRPr="00D372DB">
        <w:rPr>
          <w:sz w:val="20"/>
          <w:szCs w:val="20"/>
        </w:rPr>
        <w:t xml:space="preserve"> </w:t>
      </w:r>
      <w:r>
        <w:rPr>
          <w:sz w:val="20"/>
          <w:szCs w:val="20"/>
        </w:rPr>
        <w:t xml:space="preserve">As discussed in </w:t>
      </w:r>
      <w:hyperlink w:anchor="_ENREF_54" w:tooltip="Leuz, 2000 #120" w:history="1">
        <w:r>
          <w:rPr>
            <w:sz w:val="20"/>
            <w:szCs w:val="20"/>
          </w:rPr>
          <w:fldChar w:fldCharType="begin"/>
        </w:r>
        <w:r>
          <w:rPr>
            <w:sz w:val="20"/>
            <w:szCs w:val="20"/>
          </w:rPr>
          <w:instrText xml:space="preserve"> ADDIN EN.CITE &lt;EndNote&gt;&lt;Cite AuthorYear="1"&gt;&lt;Author&gt;Leuz&lt;/Author&gt;&lt;Year&gt;2000&lt;/Year&gt;&lt;RecNum&gt;120&lt;/RecNum&gt;&lt;DisplayText&gt;Leuz and Verrecchia (2000)&lt;/DisplayText&gt;&lt;record&gt;&lt;rec-number&gt;120&lt;/rec-number&gt;&lt;foreign-keys&gt;&lt;key app="EN" db-id="frdsfrdx0zpts8ex5pfvfda4s9srzrvrxd9z" timestamp="1397431324"&gt;120&lt;/key&gt;&lt;/foreign-keys&gt;&lt;ref-type name="Journal Article"&gt;17&lt;/ref-type&gt;&lt;contributors&gt;&lt;authors&gt;&lt;author&gt;Leuz, Christian&lt;/author&gt;&lt;author&gt;Verrecchia, Robert E.&lt;/author&gt;&lt;/authors&gt;&lt;/contributors&gt;&lt;titles&gt;&lt;title&gt;The Economic Consequences of Increased Disclosure&lt;/title&gt;&lt;secondary-title&gt;Journal of Accounting Research&lt;/secondary-title&gt;&lt;/titles&gt;&lt;periodical&gt;&lt;full-title&gt;Journal of Accounting Research&lt;/full-title&gt;&lt;/periodical&gt;&lt;pages&gt;91-124&lt;/pages&gt;&lt;volume&gt;38&lt;/volume&gt;&lt;number&gt;3&lt;/number&gt;&lt;keywords&gt;&lt;keyword&gt;DISCLOSURE in accounting&lt;/keyword&gt;&lt;keyword&gt;ECONOMIC forecasting&lt;/keyword&gt;&lt;keyword&gt;SPREAD (Finance)&lt;/keyword&gt;&lt;keyword&gt;PROXY statements&lt;/keyword&gt;&lt;keyword&gt;INFORMATION asymmetry&lt;/keyword&gt;&lt;keyword&gt;INTERNATIONAL accounting standards&lt;/keyword&gt;&lt;keyword&gt;SUPPLY-side economics&lt;/keyword&gt;&lt;keyword&gt;CAPITAL costs&lt;/keyword&gt;&lt;keyword&gt;ACCOUNTING standards&lt;/keyword&gt;&lt;keyword&gt;STOCK exchanges&lt;/keyword&gt;&lt;keyword&gt;cost of capital&lt;/keyword&gt;&lt;keyword&gt;disclosure&lt;/keyword&gt;&lt;keyword&gt;international accounting&lt;/keyword&gt;&lt;/keywords&gt;&lt;dates&gt;&lt;year&gt;2000&lt;/year&gt;&lt;/dates&gt;&lt;publisher&gt;Wiley-Blackwell&lt;/publisher&gt;&lt;isbn&gt;00218456&lt;/isbn&gt;&lt;accession-num&gt;5191828&lt;/accession-num&gt;&lt;work-type&gt;Article&lt;/work-type&gt;&lt;urls&gt;&lt;related-urls&gt;&lt;url&gt;http://proxy.lib.utk.edu:90/login?url=http://search.ebscohost.com/login.aspx?direct=true&amp;amp;db=bth&amp;amp;AN=5191828&amp;amp;scope=site&lt;/url&gt;&lt;/related-urls&gt;&lt;/urls&gt;&lt;remote-database-name&gt;bth&lt;/remote-database-name&gt;&lt;remote-database-provider&gt;EBSCOhost&lt;/remote-database-provider&gt;&lt;/record&gt;&lt;/Cite&gt;&lt;/EndNote&gt;</w:instrText>
        </w:r>
        <w:r>
          <w:rPr>
            <w:sz w:val="20"/>
            <w:szCs w:val="20"/>
          </w:rPr>
          <w:fldChar w:fldCharType="separate"/>
        </w:r>
        <w:r>
          <w:rPr>
            <w:noProof/>
            <w:sz w:val="20"/>
            <w:szCs w:val="20"/>
          </w:rPr>
          <w:t>Leuz and Verrecchia (2000)</w:t>
        </w:r>
        <w:r>
          <w:rPr>
            <w:sz w:val="20"/>
            <w:szCs w:val="20"/>
          </w:rPr>
          <w:fldChar w:fldCharType="end"/>
        </w:r>
      </w:hyperlink>
      <w:r>
        <w:rPr>
          <w:sz w:val="20"/>
          <w:szCs w:val="20"/>
        </w:rPr>
        <w:t>, theory does not distinguish between information asymmetry that arises between a firm and its shareholders and information asymmetry that is present among investors.</w:t>
      </w:r>
    </w:p>
  </w:footnote>
  <w:footnote w:id="5">
    <w:p w14:paraId="740E46F9" w14:textId="110DE79F" w:rsidR="006735CB" w:rsidRPr="00A04834" w:rsidRDefault="006735CB" w:rsidP="00A04834">
      <w:pPr>
        <w:pStyle w:val="FootnoteText"/>
        <w:jc w:val="both"/>
        <w:rPr>
          <w:sz w:val="20"/>
          <w:szCs w:val="20"/>
        </w:rPr>
      </w:pPr>
      <w:r w:rsidRPr="00A04834">
        <w:rPr>
          <w:rStyle w:val="FootnoteReference"/>
          <w:sz w:val="20"/>
          <w:szCs w:val="20"/>
        </w:rPr>
        <w:footnoteRef/>
      </w:r>
      <w:r w:rsidRPr="00A04834">
        <w:rPr>
          <w:sz w:val="20"/>
          <w:szCs w:val="20"/>
        </w:rPr>
        <w:t xml:space="preserve"> </w:t>
      </w:r>
      <w:r>
        <w:rPr>
          <w:sz w:val="20"/>
          <w:szCs w:val="20"/>
        </w:rPr>
        <w:t xml:space="preserve">Note that </w:t>
      </w:r>
      <w:hyperlink w:anchor="_ENREF_54" w:tooltip="Leuz, 2000 #120" w:history="1">
        <w:r>
          <w:rPr>
            <w:sz w:val="20"/>
            <w:szCs w:val="20"/>
          </w:rPr>
          <w:fldChar w:fldCharType="begin"/>
        </w:r>
        <w:r>
          <w:rPr>
            <w:sz w:val="20"/>
            <w:szCs w:val="20"/>
          </w:rPr>
          <w:instrText xml:space="preserve"> ADDIN EN.CITE &lt;EndNote&gt;&lt;Cite AuthorYear="1"&gt;&lt;Author&gt;Leuz&lt;/Author&gt;&lt;Year&gt;2000&lt;/Year&gt;&lt;RecNum&gt;120&lt;/RecNum&gt;&lt;DisplayText&gt;Leuz and Verrecchia (2000)&lt;/DisplayText&gt;&lt;record&gt;&lt;rec-number&gt;120&lt;/rec-number&gt;&lt;foreign-keys&gt;&lt;key app="EN" db-id="frdsfrdx0zpts8ex5pfvfda4s9srzrvrxd9z" timestamp="1397431324"&gt;120&lt;/key&gt;&lt;/foreign-keys&gt;&lt;ref-type name="Journal Article"&gt;17&lt;/ref-type&gt;&lt;contributors&gt;&lt;authors&gt;&lt;author&gt;Leuz, Christian&lt;/author&gt;&lt;author&gt;Verrecchia, Robert E.&lt;/author&gt;&lt;/authors&gt;&lt;/contributors&gt;&lt;titles&gt;&lt;title&gt;The Economic Consequences of Increased Disclosure&lt;/title&gt;&lt;secondary-title&gt;Journal of Accounting Research&lt;/secondary-title&gt;&lt;/titles&gt;&lt;periodical&gt;&lt;full-title&gt;Journal of Accounting Research&lt;/full-title&gt;&lt;/periodical&gt;&lt;pages&gt;91-124&lt;/pages&gt;&lt;volume&gt;38&lt;/volume&gt;&lt;number&gt;3&lt;/number&gt;&lt;keywords&gt;&lt;keyword&gt;DISCLOSURE in accounting&lt;/keyword&gt;&lt;keyword&gt;ECONOMIC forecasting&lt;/keyword&gt;&lt;keyword&gt;SPREAD (Finance)&lt;/keyword&gt;&lt;keyword&gt;PROXY statements&lt;/keyword&gt;&lt;keyword&gt;INFORMATION asymmetry&lt;/keyword&gt;&lt;keyword&gt;INTERNATIONAL accounting standards&lt;/keyword&gt;&lt;keyword&gt;SUPPLY-side economics&lt;/keyword&gt;&lt;keyword&gt;CAPITAL costs&lt;/keyword&gt;&lt;keyword&gt;ACCOUNTING standards&lt;/keyword&gt;&lt;keyword&gt;STOCK exchanges&lt;/keyword&gt;&lt;keyword&gt;cost of capital&lt;/keyword&gt;&lt;keyword&gt;disclosure&lt;/keyword&gt;&lt;keyword&gt;international accounting&lt;/keyword&gt;&lt;/keywords&gt;&lt;dates&gt;&lt;year&gt;2000&lt;/year&gt;&lt;/dates&gt;&lt;publisher&gt;Wiley-Blackwell&lt;/publisher&gt;&lt;isbn&gt;00218456&lt;/isbn&gt;&lt;accession-num&gt;5191828&lt;/accession-num&gt;&lt;work-type&gt;Article&lt;/work-type&gt;&lt;urls&gt;&lt;related-urls&gt;&lt;url&gt;http://proxy.lib.utk.edu:90/login?url=http://search.ebscohost.com/login.aspx?direct=true&amp;amp;db=bth&amp;amp;AN=5191828&amp;amp;scope=site&lt;/url&gt;&lt;/related-urls&gt;&lt;/urls&gt;&lt;remote-database-name&gt;bth&lt;/remote-database-name&gt;&lt;remote-database-provider&gt;EBSCOhost&lt;/remote-database-provider&gt;&lt;/record&gt;&lt;/Cite&gt;&lt;/EndNote&gt;</w:instrText>
        </w:r>
        <w:r>
          <w:rPr>
            <w:sz w:val="20"/>
            <w:szCs w:val="20"/>
          </w:rPr>
          <w:fldChar w:fldCharType="separate"/>
        </w:r>
        <w:r>
          <w:rPr>
            <w:noProof/>
            <w:sz w:val="20"/>
            <w:szCs w:val="20"/>
          </w:rPr>
          <w:t>Leuz and Verrecchia (2000)</w:t>
        </w:r>
        <w:r>
          <w:rPr>
            <w:sz w:val="20"/>
            <w:szCs w:val="20"/>
          </w:rPr>
          <w:fldChar w:fldCharType="end"/>
        </w:r>
      </w:hyperlink>
      <w:r>
        <w:rPr>
          <w:sz w:val="20"/>
          <w:szCs w:val="20"/>
        </w:rPr>
        <w:t xml:space="preserve"> do not use an “abnormal” measure of trading volume and bid-ask spreads.</w:t>
      </w:r>
    </w:p>
  </w:footnote>
  <w:footnote w:id="6">
    <w:p w14:paraId="323A3725" w14:textId="5B512453" w:rsidR="006735CB" w:rsidRPr="00261010" w:rsidRDefault="006735CB" w:rsidP="005A1C9A">
      <w:pPr>
        <w:pStyle w:val="FootnoteText"/>
        <w:widowControl w:val="0"/>
        <w:jc w:val="both"/>
        <w:rPr>
          <w:sz w:val="20"/>
          <w:szCs w:val="20"/>
        </w:rPr>
      </w:pPr>
      <w:r w:rsidRPr="00261010">
        <w:rPr>
          <w:rStyle w:val="FootnoteReference"/>
          <w:sz w:val="20"/>
          <w:szCs w:val="20"/>
        </w:rPr>
        <w:footnoteRef/>
      </w:r>
      <w:r w:rsidRPr="00261010">
        <w:rPr>
          <w:sz w:val="20"/>
          <w:szCs w:val="20"/>
        </w:rPr>
        <w:t xml:space="preserve"> </w:t>
      </w:r>
      <w:r>
        <w:rPr>
          <w:sz w:val="20"/>
          <w:szCs w:val="20"/>
        </w:rPr>
        <w:t>Please refer to Section III for more information.</w:t>
      </w:r>
    </w:p>
  </w:footnote>
  <w:footnote w:id="7">
    <w:p w14:paraId="4BFF37E5" w14:textId="508DA2B1" w:rsidR="006735CB" w:rsidRPr="007B03DE" w:rsidRDefault="006735CB" w:rsidP="007B03DE">
      <w:pPr>
        <w:pStyle w:val="FootnoteText"/>
        <w:jc w:val="both"/>
        <w:rPr>
          <w:sz w:val="20"/>
          <w:szCs w:val="20"/>
        </w:rPr>
      </w:pPr>
      <w:r w:rsidRPr="007B03DE">
        <w:rPr>
          <w:rStyle w:val="FootnoteReference"/>
          <w:sz w:val="20"/>
          <w:szCs w:val="20"/>
        </w:rPr>
        <w:footnoteRef/>
      </w:r>
      <w:r w:rsidRPr="007B03DE">
        <w:rPr>
          <w:sz w:val="20"/>
          <w:szCs w:val="20"/>
        </w:rPr>
        <w:t xml:space="preserve"> </w:t>
      </w:r>
      <w:r>
        <w:rPr>
          <w:sz w:val="20"/>
          <w:szCs w:val="20"/>
        </w:rPr>
        <w:t>In untabulated analyses, I use firm fixed effects and my results remain quantitatively and qualitatively unchanged.</w:t>
      </w:r>
    </w:p>
  </w:footnote>
  <w:footnote w:id="8">
    <w:p w14:paraId="2C879B6D" w14:textId="72482C17" w:rsidR="006735CB" w:rsidRPr="00535B1D" w:rsidRDefault="006735CB" w:rsidP="005A1C9A">
      <w:pPr>
        <w:pStyle w:val="FootnoteText"/>
        <w:widowControl w:val="0"/>
        <w:rPr>
          <w:sz w:val="20"/>
          <w:szCs w:val="20"/>
        </w:rPr>
      </w:pPr>
      <w:r w:rsidRPr="00535B1D">
        <w:rPr>
          <w:rStyle w:val="FootnoteReference"/>
          <w:sz w:val="20"/>
          <w:szCs w:val="20"/>
        </w:rPr>
        <w:footnoteRef/>
      </w:r>
      <w:r w:rsidRPr="00535B1D">
        <w:rPr>
          <w:sz w:val="20"/>
          <w:szCs w:val="20"/>
        </w:rPr>
        <w:t xml:space="preserve"> The cross-</w:t>
      </w:r>
      <w:r>
        <w:rPr>
          <w:sz w:val="20"/>
          <w:szCs w:val="20"/>
        </w:rPr>
        <w:t xml:space="preserve">sectional analyses also help </w:t>
      </w:r>
      <w:r w:rsidRPr="00535B1D">
        <w:rPr>
          <w:sz w:val="20"/>
          <w:szCs w:val="20"/>
        </w:rPr>
        <w:t xml:space="preserve">mitigate the </w:t>
      </w:r>
      <w:r>
        <w:rPr>
          <w:sz w:val="20"/>
          <w:szCs w:val="20"/>
        </w:rPr>
        <w:t xml:space="preserve">correlated omitted variable problem because the omitted variable would need to affect the groups differently to remain a concern. </w:t>
      </w:r>
    </w:p>
  </w:footnote>
  <w:footnote w:id="9">
    <w:p w14:paraId="16CD370C" w14:textId="4340967A" w:rsidR="006735CB" w:rsidRPr="003F537E" w:rsidRDefault="006735CB" w:rsidP="005A1C9A">
      <w:pPr>
        <w:pStyle w:val="FootnoteText"/>
        <w:widowControl w:val="0"/>
        <w:jc w:val="both"/>
        <w:rPr>
          <w:sz w:val="20"/>
          <w:szCs w:val="20"/>
        </w:rPr>
      </w:pPr>
      <w:r w:rsidRPr="003F537E">
        <w:rPr>
          <w:rStyle w:val="FootnoteReference"/>
          <w:sz w:val="20"/>
          <w:szCs w:val="20"/>
        </w:rPr>
        <w:footnoteRef/>
      </w:r>
      <w:r w:rsidRPr="003F537E">
        <w:rPr>
          <w:sz w:val="20"/>
          <w:szCs w:val="20"/>
        </w:rPr>
        <w:t xml:space="preserve"> </w:t>
      </w:r>
      <w:r>
        <w:rPr>
          <w:sz w:val="20"/>
          <w:szCs w:val="20"/>
        </w:rPr>
        <w:t xml:space="preserve">The United Kingdom ranked fourth in market capitalization of all countries with over $3 trillion in market capitalization in 2012 behind the United States, China, and Japan </w:t>
      </w:r>
      <w:r>
        <w:rPr>
          <w:sz w:val="20"/>
          <w:szCs w:val="20"/>
        </w:rPr>
        <w:fldChar w:fldCharType="begin"/>
      </w:r>
      <w:r>
        <w:rPr>
          <w:sz w:val="20"/>
          <w:szCs w:val="20"/>
        </w:rPr>
        <w:instrText xml:space="preserve"> ADDIN EN.CITE &lt;EndNote&gt;&lt;Cite&gt;&lt;RecNum&gt;196&lt;/RecNum&gt;&lt;DisplayText&gt;(WorldBank 2014)&lt;/DisplayText&gt;&lt;record&gt;&lt;rec-number&gt;196&lt;/rec-number&gt;&lt;foreign-keys&gt;&lt;key app="EN" db-id="frdsfrdx0zpts8ex5pfvfda4s9srzrvrxd9z" timestamp="1398176823"&gt;196&lt;/key&gt;&lt;/foreign-keys&gt;&lt;ref-type name="Journal Article"&gt;17&lt;/ref-type&gt;&lt;contributors&gt;&lt;authors&gt;&lt;author&gt;WorldBank&lt;/author&gt;&lt;/authors&gt;&lt;/contributors&gt;&lt;titles&gt;&lt;title&gt;Market capitalization of listed companies. Available at http://data.worldbank.org/indicator/CM.MKT.LCAP.CD.&lt;/title&gt;&lt;/titles&gt;&lt;dates&gt;&lt;year&gt;2014&lt;/year&gt;&lt;/dates&gt;&lt;urls&gt;&lt;/urls&gt;&lt;/record&gt;&lt;/Cite&gt;&lt;/EndNote&gt;</w:instrText>
      </w:r>
      <w:r>
        <w:rPr>
          <w:sz w:val="20"/>
          <w:szCs w:val="20"/>
        </w:rPr>
        <w:fldChar w:fldCharType="separate"/>
      </w:r>
      <w:r>
        <w:rPr>
          <w:noProof/>
          <w:sz w:val="20"/>
          <w:szCs w:val="20"/>
        </w:rPr>
        <w:t>(</w:t>
      </w:r>
      <w:hyperlink w:anchor="_ENREF_73" w:tooltip="WorldBank, 2014 #196" w:history="1">
        <w:r>
          <w:rPr>
            <w:noProof/>
            <w:sz w:val="20"/>
            <w:szCs w:val="20"/>
          </w:rPr>
          <w:t>WorldBank 2014</w:t>
        </w:r>
      </w:hyperlink>
      <w:r>
        <w:rPr>
          <w:noProof/>
          <w:sz w:val="20"/>
          <w:szCs w:val="20"/>
        </w:rPr>
        <w:t>)</w:t>
      </w:r>
      <w:r>
        <w:rPr>
          <w:sz w:val="20"/>
          <w:szCs w:val="20"/>
        </w:rPr>
        <w:fldChar w:fldCharType="end"/>
      </w:r>
      <w:r>
        <w:rPr>
          <w:sz w:val="20"/>
          <w:szCs w:val="20"/>
        </w:rPr>
        <w:t>.</w:t>
      </w:r>
    </w:p>
  </w:footnote>
  <w:footnote w:id="10">
    <w:p w14:paraId="41533A9D" w14:textId="2319A284" w:rsidR="006735CB" w:rsidRDefault="006735CB" w:rsidP="005A1C9A">
      <w:pPr>
        <w:pStyle w:val="FootnoteText"/>
        <w:widowControl w:val="0"/>
        <w:jc w:val="both"/>
      </w:pPr>
      <w:r w:rsidRPr="00466A64">
        <w:rPr>
          <w:rStyle w:val="FootnoteReference"/>
          <w:sz w:val="20"/>
          <w:szCs w:val="20"/>
        </w:rPr>
        <w:footnoteRef/>
      </w:r>
      <w:r w:rsidRPr="00466A64">
        <w:rPr>
          <w:sz w:val="20"/>
          <w:szCs w:val="20"/>
        </w:rPr>
        <w:t xml:space="preserve"> The American Institute of Accountants (AIA) and the New York Stock Exchange worked together to improve financial reporting and out of this cooperation, published a recommended audit report format in 1934. A standard audit report, however, was not formally adopted until the AIA’s members approved the adoption of auditing standards in 1948 </w:t>
      </w:r>
      <w:r w:rsidRPr="00466A64">
        <w:rPr>
          <w:sz w:val="20"/>
          <w:szCs w:val="20"/>
        </w:rPr>
        <w:fldChar w:fldCharType="begin"/>
      </w:r>
      <w:r w:rsidRPr="00466A64">
        <w:rPr>
          <w:sz w:val="20"/>
          <w:szCs w:val="20"/>
        </w:rPr>
        <w:instrText xml:space="preserve"> ADDIN EN.CITE &lt;EndNote&gt;&lt;Cite&gt;&lt;Author&gt;Carmichael&lt;/Author&gt;&lt;Year&gt;1982&lt;/Year&gt;&lt;RecNum&gt;197&lt;/RecNum&gt;&lt;DisplayText&gt;(Carmichael and Winters 1982)&lt;/DisplayText&gt;&lt;record&gt;&lt;rec-number&gt;197&lt;/rec-number&gt;&lt;foreign-keys&gt;&lt;key app="EN" db-id="frdsfrdx0zpts8ex5pfvfda4s9srzrvrxd9z" timestamp="1398190182"&gt;197&lt;/key&gt;&lt;/foreign-keys&gt;&lt;ref-type name="Journal Article"&gt;17&lt;/ref-type&gt;&lt;contributors&gt;&lt;authors&gt;&lt;author&gt;Carmichael, Douglas R.&lt;/author&gt;&lt;author&gt;Winters, Alan J.&lt;/author&gt;&lt;/authors&gt;&lt;/contributors&gt;&lt;titles&gt;&lt;title&gt;The Evolution of Audit Reporting&lt;/title&gt;&lt;secondary-title&gt;Auditing Symposium VI: Proceedings of the 1982 Touche Ross/University of Kansas Symposium on Auditing Problems&lt;/secondary-title&gt;&lt;/titles&gt;&lt;periodical&gt;&lt;full-title&gt;Auditing Symposium VI: Proceedings of the 1982 Touche Ross/University of Kansas Symposium on Auditing Problems&lt;/full-title&gt;&lt;/periodical&gt;&lt;dates&gt;&lt;year&gt;1982&lt;/year&gt;&lt;/dates&gt;&lt;urls&gt;&lt;/urls&gt;&lt;/record&gt;&lt;/Cite&gt;&lt;/EndNote&gt;</w:instrText>
      </w:r>
      <w:r w:rsidRPr="00466A64">
        <w:rPr>
          <w:sz w:val="20"/>
          <w:szCs w:val="20"/>
        </w:rPr>
        <w:fldChar w:fldCharType="separate"/>
      </w:r>
      <w:r w:rsidRPr="00466A64">
        <w:rPr>
          <w:noProof/>
          <w:sz w:val="20"/>
          <w:szCs w:val="20"/>
        </w:rPr>
        <w:t>(</w:t>
      </w:r>
      <w:hyperlink w:anchor="_ENREF_20" w:tooltip="Carmichael, 1982 #197" w:history="1">
        <w:r w:rsidRPr="00466A64">
          <w:rPr>
            <w:noProof/>
            <w:sz w:val="20"/>
            <w:szCs w:val="20"/>
          </w:rPr>
          <w:t>Carmichael and Winters 1982</w:t>
        </w:r>
      </w:hyperlink>
      <w:r w:rsidRPr="00466A64">
        <w:rPr>
          <w:noProof/>
          <w:sz w:val="20"/>
          <w:szCs w:val="20"/>
        </w:rPr>
        <w:t>)</w:t>
      </w:r>
      <w:r w:rsidRPr="00466A64">
        <w:rPr>
          <w:sz w:val="20"/>
          <w:szCs w:val="20"/>
        </w:rPr>
        <w:fldChar w:fldCharType="end"/>
      </w:r>
      <w:r w:rsidRPr="00466A64">
        <w:rPr>
          <w:sz w:val="20"/>
          <w:szCs w:val="20"/>
        </w:rPr>
        <w:t xml:space="preserve">. </w:t>
      </w:r>
    </w:p>
  </w:footnote>
  <w:footnote w:id="11">
    <w:p w14:paraId="3026D0CF" w14:textId="7A9A5928" w:rsidR="006735CB" w:rsidRPr="001531BF" w:rsidRDefault="006735CB" w:rsidP="005A1C9A">
      <w:pPr>
        <w:pStyle w:val="FootnoteText"/>
        <w:widowControl w:val="0"/>
        <w:jc w:val="both"/>
        <w:rPr>
          <w:sz w:val="20"/>
          <w:szCs w:val="20"/>
        </w:rPr>
      </w:pPr>
      <w:r w:rsidRPr="001531BF">
        <w:rPr>
          <w:rStyle w:val="FootnoteReference"/>
          <w:sz w:val="20"/>
          <w:szCs w:val="20"/>
        </w:rPr>
        <w:footnoteRef/>
      </w:r>
      <w:r w:rsidRPr="001531BF">
        <w:rPr>
          <w:sz w:val="20"/>
          <w:szCs w:val="20"/>
        </w:rPr>
        <w:t xml:space="preserve"> </w:t>
      </w:r>
      <w:r w:rsidRPr="001531BF">
        <w:rPr>
          <w:color w:val="1A1718"/>
          <w:sz w:val="20"/>
          <w:szCs w:val="20"/>
        </w:rPr>
        <w:t xml:space="preserve">Similarly, </w:t>
      </w:r>
      <w:hyperlink w:anchor="_ENREF_67" w:tooltip="Turner, 2010 #116" w:history="1">
        <w:r w:rsidRPr="001531BF">
          <w:rPr>
            <w:color w:val="1A1718"/>
            <w:sz w:val="20"/>
            <w:szCs w:val="20"/>
          </w:rPr>
          <w:fldChar w:fldCharType="begin"/>
        </w:r>
        <w:r w:rsidRPr="001531BF">
          <w:rPr>
            <w:color w:val="1A1718"/>
            <w:sz w:val="20"/>
            <w:szCs w:val="20"/>
          </w:rPr>
          <w:instrText xml:space="preserve"> ADDIN EN.CITE &lt;EndNote&gt;&lt;Cite AuthorYear="1"&gt;&lt;Author&gt;Turner&lt;/Author&gt;&lt;Year&gt;2010&lt;/Year&gt;&lt;RecNum&gt;116&lt;/RecNum&gt;&lt;DisplayText&gt;Turner et al. (2010)&lt;/DisplayText&gt;&lt;record&gt;&lt;rec-number&gt;116&lt;/rec-number&gt;&lt;foreign-keys&gt;&lt;key app="EN" db-id="frdsfrdx0zpts8ex5pfvfda4s9srzrvrxd9z" timestamp="1397428810"&gt;116&lt;/key&gt;&lt;key app="ENWeb" db-id=""&gt;0&lt;/key&gt;&lt;/foreign-keys&gt;&lt;ref-type name="Journal Article"&gt;17&lt;/ref-type&gt;&lt;contributors&gt;&lt;authors&gt;&lt;author&gt;Turner, Jerry L.&lt;/author&gt;&lt;author&gt;Mock, Theodore J.&lt;/author&gt;&lt;author&gt;Coram, Paul J.&lt;/author&gt;&lt;author&gt;Gray, Glen L.&lt;/author&gt;&lt;/authors&gt;&lt;/contributors&gt;&lt;titles&gt;&lt;title&gt;Improving Transparency and Relevance of Auditor Communications with Financial Statement Users&lt;/title&gt;&lt;secondary-title&gt;Current Issues in Auditing&lt;/secondary-title&gt;&lt;/titles&gt;&lt;periodical&gt;&lt;full-title&gt;Current Issues in Auditing&lt;/full-title&gt;&lt;/periodical&gt;&lt;pages&gt;A1-A8&lt;/pages&gt;&lt;volume&gt;4&lt;/volume&gt;&lt;number&gt;1&lt;/number&gt;&lt;dates&gt;&lt;year&gt;2010&lt;/year&gt;&lt;/dates&gt;&lt;isbn&gt;1936-1270&lt;/isbn&gt;&lt;urls&gt;&lt;/urls&gt;&lt;electronic-resource-num&gt;10.2308/ciia.2010.4.1.A1&lt;/electronic-resource-num&gt;&lt;/record&gt;&lt;/Cite&gt;&lt;/EndNote&gt;</w:instrText>
        </w:r>
        <w:r w:rsidRPr="001531BF">
          <w:rPr>
            <w:color w:val="1A1718"/>
            <w:sz w:val="20"/>
            <w:szCs w:val="20"/>
          </w:rPr>
          <w:fldChar w:fldCharType="separate"/>
        </w:r>
        <w:r w:rsidRPr="001531BF">
          <w:rPr>
            <w:noProof/>
            <w:color w:val="1A1718"/>
            <w:sz w:val="20"/>
            <w:szCs w:val="20"/>
          </w:rPr>
          <w:t>Turner et al. (2010)</w:t>
        </w:r>
        <w:r w:rsidRPr="001531BF">
          <w:rPr>
            <w:color w:val="1A1718"/>
            <w:sz w:val="20"/>
            <w:szCs w:val="20"/>
          </w:rPr>
          <w:fldChar w:fldCharType="end"/>
        </w:r>
      </w:hyperlink>
      <w:r w:rsidRPr="001531BF">
        <w:rPr>
          <w:color w:val="1A1718"/>
          <w:sz w:val="20"/>
          <w:szCs w:val="20"/>
        </w:rPr>
        <w:t xml:space="preserve"> recommend an expanded audit report that varies from client to client and discusses several items including materiality, auditor independence, financial statement and reporting system quality, and business sustainability.</w:t>
      </w:r>
      <w:r>
        <w:rPr>
          <w:color w:val="1A1718"/>
          <w:sz w:val="20"/>
          <w:szCs w:val="20"/>
        </w:rPr>
        <w:t xml:space="preserve"> Furthermore, </w:t>
      </w:r>
      <w:hyperlink w:anchor="_ENREF_58" w:tooltip="Mock, 2013 #140" w:history="1">
        <w:r>
          <w:rPr>
            <w:color w:val="1A1718"/>
            <w:sz w:val="20"/>
            <w:szCs w:val="20"/>
          </w:rPr>
          <w:fldChar w:fldCharType="begin"/>
        </w:r>
        <w:r>
          <w:rPr>
            <w:color w:val="1A1718"/>
            <w:sz w:val="20"/>
            <w:szCs w:val="20"/>
          </w:rPr>
          <w:instrText xml:space="preserve"> ADDIN EN.CITE &lt;EndNote&gt;&lt;Cite AuthorYear="1"&gt;&lt;Author&gt;Mock&lt;/Author&gt;&lt;Year&gt;2013&lt;/Year&gt;&lt;RecNum&gt;140&lt;/RecNum&gt;&lt;DisplayText&gt;Mock et al. (2013)&lt;/DisplayText&gt;&lt;record&gt;&lt;rec-number&gt;140&lt;/rec-number&gt;&lt;foreign-keys&gt;&lt;key app="EN" db-id="frdsfrdx0zpts8ex5pfvfda4s9srzrvrxd9z" timestamp="1397436680"&gt;140&lt;/key&gt;&lt;key app="ENWeb" db-id=""&gt;0&lt;/key&gt;&lt;/foreign-keys&gt;&lt;ref-type name="Journal Article"&gt;17&lt;/ref-type&gt;&lt;contributors&gt;&lt;authors&gt;&lt;author&gt;Mock, Theodore J.&lt;/author&gt;&lt;author&gt;Bédard, Jean&lt;/author&gt;&lt;author&gt;Coram, Paul J.&lt;/author&gt;&lt;author&gt;Davis, Shawn M.&lt;/author&gt;&lt;author&gt;Espahbodi, Reza&lt;/author&gt;&lt;author&gt;Warne, Rick C.&lt;/author&gt;&lt;/authors&gt;&lt;/contributors&gt;&lt;titles&gt;&lt;title&gt;The Audit Reporting Model: Current Research Synthesis and Implications&lt;/title&gt;&lt;secondary-title&gt;Auditing: A Journal of Practice &amp;amp; Theory&lt;/secondary-title&gt;&lt;/titles&gt;&lt;periodical&gt;&lt;full-title&gt;AUDITING: A Journal of Practice &amp;amp; Theory&lt;/full-title&gt;&lt;/periodical&gt;&lt;pages&gt;323-351&lt;/pages&gt;&lt;volume&gt;32&lt;/volume&gt;&lt;number&gt;Supplement 1&lt;/number&gt;&lt;dates&gt;&lt;year&gt;2013&lt;/year&gt;&lt;/dates&gt;&lt;isbn&gt;0278-0380&amp;#xD;1558-7991&lt;/isbn&gt;&lt;urls&gt;&lt;/urls&gt;&lt;electronic-resource-num&gt;10.2308/ajpt-50294&lt;/electronic-resource-num&gt;&lt;/record&gt;&lt;/Cite&gt;&lt;/EndNote&gt;</w:instrText>
        </w:r>
        <w:r>
          <w:rPr>
            <w:color w:val="1A1718"/>
            <w:sz w:val="20"/>
            <w:szCs w:val="20"/>
          </w:rPr>
          <w:fldChar w:fldCharType="separate"/>
        </w:r>
        <w:r>
          <w:rPr>
            <w:noProof/>
            <w:color w:val="1A1718"/>
            <w:sz w:val="20"/>
            <w:szCs w:val="20"/>
          </w:rPr>
          <w:t>Mock et al. (2013)</w:t>
        </w:r>
        <w:r>
          <w:rPr>
            <w:color w:val="1A1718"/>
            <w:sz w:val="20"/>
            <w:szCs w:val="20"/>
          </w:rPr>
          <w:fldChar w:fldCharType="end"/>
        </w:r>
      </w:hyperlink>
      <w:r>
        <w:rPr>
          <w:color w:val="1A1718"/>
          <w:sz w:val="20"/>
          <w:szCs w:val="20"/>
        </w:rPr>
        <w:t xml:space="preserve"> determine that stakeholders “desire more information about the auditor, the audit, and the financial statements”. </w:t>
      </w:r>
    </w:p>
  </w:footnote>
  <w:footnote w:id="12">
    <w:p w14:paraId="31510E38" w14:textId="3B7164D8" w:rsidR="006735CB" w:rsidRPr="00B56CBA" w:rsidRDefault="006735CB" w:rsidP="005A1C9A">
      <w:pPr>
        <w:pStyle w:val="FootnoteText"/>
        <w:widowControl w:val="0"/>
        <w:jc w:val="both"/>
        <w:rPr>
          <w:sz w:val="20"/>
          <w:szCs w:val="20"/>
        </w:rPr>
      </w:pPr>
      <w:r w:rsidRPr="001531BF">
        <w:rPr>
          <w:rStyle w:val="FootnoteReference"/>
          <w:sz w:val="20"/>
          <w:szCs w:val="20"/>
        </w:rPr>
        <w:footnoteRef/>
      </w:r>
      <w:r w:rsidRPr="001531BF">
        <w:rPr>
          <w:sz w:val="20"/>
          <w:szCs w:val="20"/>
        </w:rPr>
        <w:t xml:space="preserve"> Also refer to the CFA Institute’s 2011 survey of its members. 58 percent of</w:t>
      </w:r>
      <w:r w:rsidRPr="00B56CBA">
        <w:rPr>
          <w:sz w:val="20"/>
          <w:szCs w:val="20"/>
        </w:rPr>
        <w:t xml:space="preserve"> the respondents indicated that the auditor’s report should provide more specific information about how the auditors reached their opinion</w:t>
      </w:r>
      <w:r>
        <w:rPr>
          <w:sz w:val="20"/>
          <w:szCs w:val="20"/>
        </w:rPr>
        <w:t xml:space="preserve"> </w:t>
      </w:r>
      <w:r>
        <w:rPr>
          <w:sz w:val="20"/>
          <w:szCs w:val="20"/>
        </w:rPr>
        <w:fldChar w:fldCharType="begin"/>
      </w:r>
      <w:r>
        <w:rPr>
          <w:sz w:val="20"/>
          <w:szCs w:val="20"/>
        </w:rPr>
        <w:instrText xml:space="preserve"> ADDIN EN.CITE &lt;EndNote&gt;&lt;Cite&gt;&lt;Author&gt;CFA&lt;/Author&gt;&lt;Year&gt;2011&lt;/Year&gt;&lt;RecNum&gt;198&lt;/RecNum&gt;&lt;DisplayText&gt;(CFA 2011)&lt;/DisplayText&gt;&lt;record&gt;&lt;rec-number&gt;198&lt;/rec-number&gt;&lt;foreign-keys&gt;&lt;key app="EN" db-id="frdsfrdx0zpts8ex5pfvfda4s9srzrvrxd9z" timestamp="1398191442"&gt;198&lt;/key&gt;&lt;/foreign-keys&gt;&lt;ref-type name="Journal Article"&gt;17&lt;/ref-type&gt;&lt;contributors&gt;&lt;authors&gt;&lt;author&gt;CFA&lt;/author&gt;&lt;/authors&gt;&lt;/contributors&gt;&lt;titles&gt;&lt;title&gt;Usefulness of the Independent Auditor&amp;apos;s Report: Survey to the CFA Institute Financial Reporting Survey Pool&lt;/title&gt;&lt;/titles&gt;&lt;dates&gt;&lt;year&gt;2011&lt;/year&gt;&lt;/dates&gt;&lt;urls&gt;&lt;/urls&gt;&lt;/record&gt;&lt;/Cite&gt;&lt;/EndNote&gt;</w:instrText>
      </w:r>
      <w:r>
        <w:rPr>
          <w:sz w:val="20"/>
          <w:szCs w:val="20"/>
        </w:rPr>
        <w:fldChar w:fldCharType="separate"/>
      </w:r>
      <w:r>
        <w:rPr>
          <w:noProof/>
          <w:sz w:val="20"/>
          <w:szCs w:val="20"/>
        </w:rPr>
        <w:t>(</w:t>
      </w:r>
      <w:hyperlink w:anchor="_ENREF_22" w:tooltip="CFA, 2011 #198" w:history="1">
        <w:r>
          <w:rPr>
            <w:noProof/>
            <w:sz w:val="20"/>
            <w:szCs w:val="20"/>
          </w:rPr>
          <w:t>CFA 2011</w:t>
        </w:r>
      </w:hyperlink>
      <w:r>
        <w:rPr>
          <w:noProof/>
          <w:sz w:val="20"/>
          <w:szCs w:val="20"/>
        </w:rPr>
        <w:t>)</w:t>
      </w:r>
      <w:r>
        <w:rPr>
          <w:sz w:val="20"/>
          <w:szCs w:val="20"/>
        </w:rPr>
        <w:fldChar w:fldCharType="end"/>
      </w:r>
      <w:r>
        <w:rPr>
          <w:sz w:val="20"/>
          <w:szCs w:val="20"/>
        </w:rPr>
        <w:t>.</w:t>
      </w:r>
    </w:p>
  </w:footnote>
  <w:footnote w:id="13">
    <w:p w14:paraId="4D565BD5" w14:textId="618DB22E" w:rsidR="006735CB" w:rsidRPr="00690631" w:rsidRDefault="006735CB" w:rsidP="005A1C9A">
      <w:pPr>
        <w:pStyle w:val="FootnoteText"/>
        <w:widowControl w:val="0"/>
        <w:jc w:val="both"/>
        <w:rPr>
          <w:sz w:val="20"/>
          <w:szCs w:val="20"/>
        </w:rPr>
      </w:pPr>
      <w:r w:rsidRPr="00690631">
        <w:rPr>
          <w:rStyle w:val="FootnoteReference"/>
          <w:sz w:val="20"/>
          <w:szCs w:val="20"/>
        </w:rPr>
        <w:footnoteRef/>
      </w:r>
      <w:r w:rsidRPr="00690631">
        <w:rPr>
          <w:sz w:val="20"/>
          <w:szCs w:val="20"/>
        </w:rPr>
        <w:t xml:space="preserve"> </w:t>
      </w:r>
      <w:r w:rsidRPr="00690631">
        <w:rPr>
          <w:rFonts w:eastAsia="Times New Roman"/>
          <w:sz w:val="20"/>
          <w:szCs w:val="20"/>
        </w:rPr>
        <w:t xml:space="preserve">In particular, the proposed rule defines critical audit matters as “those matters addressed during the audit that (1) involved the most difficult, subjective, or complex auditor judgments; (2) posed the most difficulty to the auditor in obtaining sufficient appropriate evidence; or (3) posed the most difficulty to the auditor in forming the opinion on the financial statements” </w:t>
      </w:r>
      <w:r w:rsidRPr="00690631">
        <w:rPr>
          <w:rFonts w:eastAsia="Times New Roman"/>
          <w:sz w:val="20"/>
          <w:szCs w:val="20"/>
        </w:rPr>
        <w:fldChar w:fldCharType="begin"/>
      </w:r>
      <w:r w:rsidRPr="00690631">
        <w:rPr>
          <w:rFonts w:eastAsia="Times New Roman"/>
          <w:sz w:val="20"/>
          <w:szCs w:val="20"/>
        </w:rPr>
        <w:instrText xml:space="preserve"> ADDIN EN.CITE &lt;EndNote&gt;&lt;Cite&gt;&lt;Author&gt;PCAOB&lt;/Author&gt;&lt;Year&gt;2013&lt;/Year&gt;&lt;RecNum&gt;155&lt;/RecNum&gt;&lt;DisplayText&gt;(PCAOB 2013)&lt;/DisplayText&gt;&lt;record&gt;&lt;rec-number&gt;155&lt;/rec-number&gt;&lt;foreign-keys&gt;&lt;key app="EN" db-id="frdsfrdx0zpts8ex5pfvfda4s9srzrvrxd9z" timestamp="1397440443"&gt;155&lt;/key&gt;&lt;key app="ENWeb" db-id=""&gt;0&lt;/key&gt;&lt;/foreign-keys&gt;&lt;ref-type name="Journal Article"&gt;17&lt;/ref-type&gt;&lt;contributors&gt;&lt;authors&gt;&lt;author&gt;PCAOB&lt;/author&gt;&lt;/authors&gt;&lt;/contributors&gt;&lt;titles&gt;&lt;title&gt;Proposed Auditing Standards: The Auditor&amp;apos;s Report on an Audit of Financial Statements When the Auditor Expresses an Unqualified Opinion&lt;/title&gt;&lt;/titles&gt;&lt;volume&gt;August 13, 2013.&lt;/volume&gt;&lt;dates&gt;&lt;year&gt;2013&lt;/year&gt;&lt;pub-dates&gt;&lt;date&gt;August 13, 2013&lt;/date&gt;&lt;/pub-dates&gt;&lt;/dates&gt;&lt;urls&gt;&lt;related-urls&gt;&lt;url&gt;http://pcaobus.org/Rules/Rulemaking/Docket034/Release_2013-005_ARM.pdf&lt;/url&gt;&lt;/related-urls&gt;&lt;/urls&gt;&lt;/record&gt;&lt;/Cite&gt;&lt;/EndNote&gt;</w:instrText>
      </w:r>
      <w:r w:rsidRPr="00690631">
        <w:rPr>
          <w:rFonts w:eastAsia="Times New Roman"/>
          <w:sz w:val="20"/>
          <w:szCs w:val="20"/>
        </w:rPr>
        <w:fldChar w:fldCharType="separate"/>
      </w:r>
      <w:r w:rsidRPr="00690631">
        <w:rPr>
          <w:rFonts w:eastAsia="Times New Roman"/>
          <w:noProof/>
          <w:sz w:val="20"/>
          <w:szCs w:val="20"/>
        </w:rPr>
        <w:t>(</w:t>
      </w:r>
      <w:hyperlink w:anchor="_ENREF_62" w:tooltip="PCAOB, 2013 #155" w:history="1">
        <w:r w:rsidRPr="00690631">
          <w:rPr>
            <w:rFonts w:eastAsia="Times New Roman"/>
            <w:noProof/>
            <w:sz w:val="20"/>
            <w:szCs w:val="20"/>
          </w:rPr>
          <w:t>PCAOB 2013</w:t>
        </w:r>
      </w:hyperlink>
      <w:r w:rsidRPr="00690631">
        <w:rPr>
          <w:rFonts w:eastAsia="Times New Roman"/>
          <w:noProof/>
          <w:sz w:val="20"/>
          <w:szCs w:val="20"/>
        </w:rPr>
        <w:t>)</w:t>
      </w:r>
      <w:r w:rsidRPr="00690631">
        <w:rPr>
          <w:rFonts w:eastAsia="Times New Roman"/>
          <w:sz w:val="20"/>
          <w:szCs w:val="20"/>
        </w:rPr>
        <w:fldChar w:fldCharType="end"/>
      </w:r>
      <w:r w:rsidRPr="00690631">
        <w:rPr>
          <w:rFonts w:eastAsia="Times New Roman"/>
          <w:sz w:val="20"/>
          <w:szCs w:val="20"/>
        </w:rPr>
        <w:t>.</w:t>
      </w:r>
    </w:p>
  </w:footnote>
  <w:footnote w:id="14">
    <w:p w14:paraId="78FA2B7F" w14:textId="7408BC75" w:rsidR="006735CB" w:rsidRPr="0035302E" w:rsidRDefault="006735CB" w:rsidP="005A1C9A">
      <w:pPr>
        <w:pStyle w:val="FootnoteText"/>
        <w:widowControl w:val="0"/>
        <w:jc w:val="both"/>
        <w:rPr>
          <w:sz w:val="20"/>
          <w:szCs w:val="20"/>
        </w:rPr>
      </w:pPr>
      <w:r w:rsidRPr="000413A5">
        <w:rPr>
          <w:rStyle w:val="FootnoteReference"/>
          <w:sz w:val="20"/>
          <w:szCs w:val="20"/>
        </w:rPr>
        <w:footnoteRef/>
      </w:r>
      <w:r w:rsidRPr="000413A5">
        <w:rPr>
          <w:sz w:val="20"/>
          <w:szCs w:val="20"/>
        </w:rPr>
        <w:t xml:space="preserve"> </w:t>
      </w:r>
      <w:r>
        <w:rPr>
          <w:sz w:val="20"/>
          <w:szCs w:val="20"/>
        </w:rPr>
        <w:t xml:space="preserve">Audit reporting changes have also been proposed by the IAASB and the European Parliament. The IAASB proposed an audit report model in July of 2013 </w:t>
      </w:r>
      <w:r w:rsidRPr="0035302E">
        <w:rPr>
          <w:sz w:val="20"/>
          <w:szCs w:val="20"/>
        </w:rPr>
        <w:t>that requires auditors to include key audit matters (“KAMs”), which are similar to the PCAOB’s “CAMs</w:t>
      </w:r>
      <w:r>
        <w:rPr>
          <w:sz w:val="20"/>
          <w:szCs w:val="20"/>
        </w:rPr>
        <w:t xml:space="preserve">” </w:t>
      </w:r>
      <w:r>
        <w:rPr>
          <w:sz w:val="20"/>
          <w:szCs w:val="20"/>
        </w:rPr>
        <w:fldChar w:fldCharType="begin"/>
      </w:r>
      <w:r>
        <w:rPr>
          <w:sz w:val="20"/>
          <w:szCs w:val="20"/>
        </w:rPr>
        <w:instrText xml:space="preserve"> ADDIN EN.CITE &lt;EndNote&gt;&lt;Cite&gt;&lt;Author&gt;IAASB&lt;/Author&gt;&lt;Year&gt;2013&lt;/Year&gt;&lt;RecNum&gt;172&lt;/RecNum&gt;&lt;DisplayText&gt;(IAASB 2013b)&lt;/DisplayText&gt;&lt;record&gt;&lt;rec-number&gt;172&lt;/rec-number&gt;&lt;foreign-keys&gt;&lt;key app="EN" db-id="frdsfrdx0zpts8ex5pfvfda4s9srzrvrxd9z" timestamp="1397499965"&gt;172&lt;/key&gt;&lt;key app="ENWeb" db-id=""&gt;0&lt;/key&gt;&lt;/foreign-keys&gt;&lt;ref-type name="Journal Article"&gt;17&lt;/ref-type&gt;&lt;contributors&gt;&lt;authors&gt;&lt;author&gt;IAASB&lt;/author&gt;&lt;/authors&gt;&lt;/contributors&gt;&lt;titles&gt;&lt;title&gt;Reporting on Audited Financial Statements: Proposed New and Revised International Standards on Auditing (ISAs)&lt;/title&gt;&lt;/titles&gt;&lt;volume&gt;Revised July 2013&lt;/volume&gt;&lt;dates&gt;&lt;year&gt;2013&lt;/year&gt;&lt;pub-dates&gt;&lt;date&gt;July 2013&lt;/date&gt;&lt;/pub-dates&gt;&lt;/dates&gt;&lt;urls&gt;&lt;related-urls&gt;&lt;url&gt;http://www.ifac.org/sites/default/files/publications/files/Complete%20ED,%20Reporting%20on%20Audited%20Financial%20Statements.pdf&lt;/url&gt;&lt;/related-urls&gt;&lt;/urls&gt;&lt;/record&gt;&lt;/Cite&gt;&lt;/EndNote&gt;</w:instrText>
      </w:r>
      <w:r>
        <w:rPr>
          <w:sz w:val="20"/>
          <w:szCs w:val="20"/>
        </w:rPr>
        <w:fldChar w:fldCharType="separate"/>
      </w:r>
      <w:r>
        <w:rPr>
          <w:noProof/>
          <w:sz w:val="20"/>
          <w:szCs w:val="20"/>
        </w:rPr>
        <w:t>(</w:t>
      </w:r>
      <w:hyperlink w:anchor="_ENREF_47" w:tooltip="IAASB, 2013 #172" w:history="1">
        <w:r>
          <w:rPr>
            <w:noProof/>
            <w:sz w:val="20"/>
            <w:szCs w:val="20"/>
          </w:rPr>
          <w:t>IAASB 2013b</w:t>
        </w:r>
      </w:hyperlink>
      <w:r>
        <w:rPr>
          <w:noProof/>
          <w:sz w:val="20"/>
          <w:szCs w:val="20"/>
        </w:rPr>
        <w:t>)</w:t>
      </w:r>
      <w:r>
        <w:rPr>
          <w:sz w:val="20"/>
          <w:szCs w:val="20"/>
        </w:rPr>
        <w:fldChar w:fldCharType="end"/>
      </w:r>
      <w:r w:rsidRPr="0035302E">
        <w:rPr>
          <w:sz w:val="20"/>
          <w:szCs w:val="20"/>
        </w:rPr>
        <w:t xml:space="preserve">. In addition, in April 2014, the European </w:t>
      </w:r>
      <w:r w:rsidRPr="0035302E">
        <w:rPr>
          <w:rFonts w:eastAsia="Times New Roman"/>
          <w:sz w:val="20"/>
          <w:szCs w:val="20"/>
        </w:rPr>
        <w:t xml:space="preserve">Parliament endorsed a draft agreement that requires audit reports to provide an assessment of the firm’s overall financial statements as well as detailed information of the audit process that allowed the auditor to appropriately make the assessment </w:t>
      </w:r>
      <w:r>
        <w:rPr>
          <w:rFonts w:eastAsia="Times New Roman"/>
          <w:sz w:val="20"/>
          <w:szCs w:val="20"/>
        </w:rPr>
        <w:fldChar w:fldCharType="begin"/>
      </w:r>
      <w:r>
        <w:rPr>
          <w:rFonts w:eastAsia="Times New Roman"/>
          <w:sz w:val="20"/>
          <w:szCs w:val="20"/>
        </w:rPr>
        <w:instrText xml:space="preserve"> ADDIN EN.CITE &lt;EndNote&gt;&lt;Cite&gt;&lt;Author&gt;Cohn&lt;/Author&gt;&lt;Year&gt;2014&lt;/Year&gt;&lt;RecNum&gt;157&lt;/RecNum&gt;&lt;DisplayText&gt;(Cohn 2014)&lt;/DisplayText&gt;&lt;record&gt;&lt;rec-number&gt;157&lt;/rec-number&gt;&lt;foreign-keys&gt;&lt;key app="EN" db-id="frdsfrdx0zpts8ex5pfvfda4s9srzrvrxd9z" timestamp="1397440894"&gt;157&lt;/key&gt;&lt;/foreign-keys&gt;&lt;ref-type name="Journal Article"&gt;17&lt;/ref-type&gt;&lt;contributors&gt;&lt;authors&gt;&lt;author&gt;Cohn, Michael&lt;/author&gt;&lt;/authors&gt;&lt;/contributors&gt;&lt;titles&gt;&lt;title&gt;European Parliament Moves Ahead on Audit Firm Reforms. Available at http://www.accountingtoday.com/news/european-parliament-moves-ahead-on-audit-firm-reforms-70226-1.html.&lt;/title&gt;&lt;/titles&gt;&lt;dates&gt;&lt;year&gt;2014&lt;/year&gt;&lt;pub-dates&gt;&lt;date&gt;April 3, 2014&lt;/date&gt;&lt;/pub-dates&gt;&lt;/dates&gt;&lt;urls&gt;&lt;related-urls&gt;&lt;url&gt;http://www.accountingtoday.com/news/european-parliament-moves-ahead-on-audit-firm-reforms-70226-1.html&lt;/url&gt;&lt;/related-urls&gt;&lt;/urls&gt;&lt;/record&gt;&lt;/Cite&gt;&lt;/EndNote&gt;</w:instrText>
      </w:r>
      <w:r>
        <w:rPr>
          <w:rFonts w:eastAsia="Times New Roman"/>
          <w:sz w:val="20"/>
          <w:szCs w:val="20"/>
        </w:rPr>
        <w:fldChar w:fldCharType="separate"/>
      </w:r>
      <w:r>
        <w:rPr>
          <w:rFonts w:eastAsia="Times New Roman"/>
          <w:noProof/>
          <w:sz w:val="20"/>
          <w:szCs w:val="20"/>
        </w:rPr>
        <w:t>(</w:t>
      </w:r>
      <w:hyperlink w:anchor="_ENREF_27" w:tooltip="Cohn, 2014 #157" w:history="1">
        <w:r>
          <w:rPr>
            <w:rFonts w:eastAsia="Times New Roman"/>
            <w:noProof/>
            <w:sz w:val="20"/>
            <w:szCs w:val="20"/>
          </w:rPr>
          <w:t>Cohn 2014</w:t>
        </w:r>
      </w:hyperlink>
      <w:r>
        <w:rPr>
          <w:rFonts w:eastAsia="Times New Roman"/>
          <w:noProof/>
          <w:sz w:val="20"/>
          <w:szCs w:val="20"/>
        </w:rPr>
        <w:t>)</w:t>
      </w:r>
      <w:r>
        <w:rPr>
          <w:rFonts w:eastAsia="Times New Roman"/>
          <w:sz w:val="20"/>
          <w:szCs w:val="20"/>
        </w:rPr>
        <w:fldChar w:fldCharType="end"/>
      </w:r>
      <w:r w:rsidRPr="0035302E">
        <w:rPr>
          <w:rFonts w:eastAsia="Times New Roman"/>
          <w:sz w:val="20"/>
          <w:szCs w:val="20"/>
        </w:rPr>
        <w:t>.</w:t>
      </w:r>
      <w:r>
        <w:rPr>
          <w:rFonts w:eastAsia="Times New Roman"/>
          <w:sz w:val="20"/>
          <w:szCs w:val="20"/>
        </w:rPr>
        <w:t xml:space="preserve"> </w:t>
      </w:r>
    </w:p>
  </w:footnote>
  <w:footnote w:id="15">
    <w:p w14:paraId="4E3A2B54" w14:textId="19E5FE6D" w:rsidR="006735CB" w:rsidRPr="00D55408" w:rsidRDefault="006735CB" w:rsidP="00D55408">
      <w:pPr>
        <w:widowControl w:val="0"/>
        <w:contextualSpacing/>
        <w:jc w:val="both"/>
        <w:rPr>
          <w:sz w:val="20"/>
          <w:szCs w:val="20"/>
        </w:rPr>
      </w:pPr>
      <w:r w:rsidRPr="00D55408">
        <w:rPr>
          <w:rStyle w:val="FootnoteReference"/>
          <w:sz w:val="20"/>
          <w:szCs w:val="20"/>
        </w:rPr>
        <w:footnoteRef/>
      </w:r>
      <w:r w:rsidRPr="00D55408">
        <w:rPr>
          <w:sz w:val="20"/>
          <w:szCs w:val="20"/>
        </w:rPr>
        <w:t xml:space="preserve"> Prior studies find that very few firms included a separate audit committee report in their annual report and, of the companies that did voluntarily provide an audit committee report, </w:t>
      </w:r>
      <w:hyperlink w:anchor="_ENREF_68" w:tooltip="Turpin, 1998 #81" w:history="1">
        <w:r w:rsidRPr="00D55408">
          <w:rPr>
            <w:sz w:val="20"/>
            <w:szCs w:val="20"/>
          </w:rPr>
          <w:fldChar w:fldCharType="begin"/>
        </w:r>
        <w:r w:rsidRPr="00D55408">
          <w:rPr>
            <w:sz w:val="20"/>
            <w:szCs w:val="20"/>
          </w:rPr>
          <w:instrText xml:space="preserve"> ADDIN EN.CITE &lt;EndNote&gt;&lt;Cite AuthorYear="1"&gt;&lt;Author&gt;Turpin&lt;/Author&gt;&lt;Year&gt;1998&lt;/Year&gt;&lt;RecNum&gt;81&lt;/RecNum&gt;&lt;DisplayText&gt;Turpin and DeZoort (1998)&lt;/DisplayText&gt;&lt;record&gt;&lt;rec-number&gt;81&lt;/rec-number&gt;&lt;foreign-keys&gt;&lt;key app="EN" db-id="frdsfrdx0zpts8ex5pfvfda4s9srzrvrxd9z" timestamp="1393523326"&gt;81&lt;/key&gt;&lt;/foreign-keys&gt;&lt;ref-type name="Journal Article"&gt;17&lt;/ref-type&gt;&lt;contributors&gt;&lt;authors&gt;&lt;author&gt;Turpin, Richard A.&lt;/author&gt;&lt;author&gt;DeZoort, F. Todd&lt;/author&gt;&lt;/authors&gt;&lt;/contributors&gt;&lt;titles&gt;&lt;title&gt;Characteristics of Firms that Include an Audit Committee Report in Their Annual Report&lt;/title&gt;&lt;secondary-title&gt;International Journal of Auditing&lt;/secondary-title&gt;&lt;/titles&gt;&lt;periodical&gt;&lt;full-title&gt;International Journal of Auditing&lt;/full-title&gt;&lt;/periodical&gt;&lt;pages&gt;35-48&lt;/pages&gt;&lt;volume&gt;2&lt;/volume&gt;&lt;number&gt;1&lt;/number&gt;&lt;keywords&gt;&lt;keyword&gt;audit committees&lt;/keyword&gt;&lt;keyword&gt;audit committee reports&lt;/keyword&gt;&lt;keyword&gt;audit committee chairman&amp;apos;s letter&lt;/keyword&gt;&lt;keyword&gt;corporate governance&lt;/keyword&gt;&lt;keyword&gt;financial disclosure strategies&lt;/keyword&gt;&lt;keyword&gt;voluntary disclosure&lt;/keyword&gt;&lt;keyword&gt;Treadway commission&lt;/keyword&gt;&lt;keyword&gt;Public Oversight Board&lt;/keyword&gt;&lt;keyword&gt;annual report&lt;/keyword&gt;&lt;keyword&gt;agency theory&lt;/keyword&gt;&lt;/keywords&gt;&lt;dates&gt;&lt;year&gt;1998&lt;/year&gt;&lt;/dates&gt;&lt;publisher&gt;Blackwell Publishing Ltd&lt;/publisher&gt;&lt;isbn&gt;1099-1123&lt;/isbn&gt;&lt;urls&gt;&lt;related-urls&gt;&lt;url&gt;http://dx.doi.org/10.1111/1099-1123.00029&lt;/url&gt;&lt;/related-urls&gt;&lt;/urls&gt;&lt;electronic-resource-num&gt;10.1111/1099-1123.00029&lt;/electronic-resource-num&gt;&lt;/record&gt;&lt;/Cite&gt;&lt;/EndNote&gt;</w:instrText>
        </w:r>
        <w:r w:rsidRPr="00D55408">
          <w:rPr>
            <w:sz w:val="20"/>
            <w:szCs w:val="20"/>
          </w:rPr>
          <w:fldChar w:fldCharType="separate"/>
        </w:r>
        <w:r w:rsidRPr="00D55408">
          <w:rPr>
            <w:noProof/>
            <w:sz w:val="20"/>
            <w:szCs w:val="20"/>
          </w:rPr>
          <w:t>Turpin and DeZoort (1998)</w:t>
        </w:r>
        <w:r w:rsidRPr="00D55408">
          <w:rPr>
            <w:sz w:val="20"/>
            <w:szCs w:val="20"/>
          </w:rPr>
          <w:fldChar w:fldCharType="end"/>
        </w:r>
      </w:hyperlink>
      <w:r w:rsidRPr="00D55408">
        <w:rPr>
          <w:sz w:val="20"/>
          <w:szCs w:val="20"/>
        </w:rPr>
        <w:t xml:space="preserve"> document that the reports were</w:t>
      </w:r>
      <w:r>
        <w:rPr>
          <w:sz w:val="20"/>
          <w:szCs w:val="20"/>
        </w:rPr>
        <w:t xml:space="preserve"> boilerplate.</w:t>
      </w:r>
      <w:r w:rsidRPr="00D55408">
        <w:rPr>
          <w:sz w:val="20"/>
          <w:szCs w:val="20"/>
        </w:rPr>
        <w:t xml:space="preserve"> </w:t>
      </w:r>
    </w:p>
    <w:p w14:paraId="5171134F" w14:textId="39CB7AFE" w:rsidR="006735CB" w:rsidRPr="00D55408" w:rsidRDefault="006735CB" w:rsidP="00D55408">
      <w:pPr>
        <w:pStyle w:val="FootnoteText"/>
        <w:jc w:val="both"/>
        <w:rPr>
          <w:sz w:val="20"/>
          <w:szCs w:val="20"/>
        </w:rPr>
      </w:pPr>
    </w:p>
  </w:footnote>
  <w:footnote w:id="16">
    <w:p w14:paraId="4A11454A" w14:textId="393D2580" w:rsidR="006735CB" w:rsidRPr="003E64DB" w:rsidRDefault="006735CB" w:rsidP="003E64DB">
      <w:pPr>
        <w:pStyle w:val="FootnoteText"/>
        <w:jc w:val="both"/>
        <w:rPr>
          <w:sz w:val="20"/>
          <w:szCs w:val="20"/>
        </w:rPr>
      </w:pPr>
      <w:r w:rsidRPr="003E64DB">
        <w:rPr>
          <w:rStyle w:val="FootnoteReference"/>
          <w:sz w:val="20"/>
          <w:szCs w:val="20"/>
        </w:rPr>
        <w:footnoteRef/>
      </w:r>
      <w:r w:rsidRPr="003E64DB">
        <w:rPr>
          <w:sz w:val="20"/>
          <w:szCs w:val="20"/>
        </w:rPr>
        <w:t xml:space="preserve"> Also, </w:t>
      </w:r>
      <w:r w:rsidRPr="003E64DB">
        <w:rPr>
          <w:rFonts w:eastAsia="Times New Roman"/>
          <w:sz w:val="20"/>
          <w:szCs w:val="20"/>
        </w:rPr>
        <w:t xml:space="preserve">in April 2013, the Council </w:t>
      </w:r>
      <w:r>
        <w:rPr>
          <w:rFonts w:eastAsia="Times New Roman"/>
          <w:sz w:val="20"/>
          <w:szCs w:val="20"/>
        </w:rPr>
        <w:t>of Institutional Investors</w:t>
      </w:r>
      <w:r w:rsidRPr="003E64DB">
        <w:rPr>
          <w:rFonts w:eastAsia="Times New Roman"/>
          <w:sz w:val="20"/>
          <w:szCs w:val="20"/>
        </w:rPr>
        <w:t xml:space="preserve"> revised its policies on audit committee reporting to include more information about the committee’s role and operations </w:t>
      </w:r>
      <w:r>
        <w:rPr>
          <w:rFonts w:eastAsia="Times New Roman"/>
          <w:sz w:val="20"/>
          <w:szCs w:val="20"/>
        </w:rPr>
        <w:fldChar w:fldCharType="begin"/>
      </w:r>
      <w:r>
        <w:rPr>
          <w:rFonts w:eastAsia="Times New Roman"/>
          <w:sz w:val="20"/>
          <w:szCs w:val="20"/>
        </w:rPr>
        <w:instrText xml:space="preserve"> ADDIN EN.CITE &lt;EndNote&gt;&lt;Cite&gt;&lt;Author&gt;CII&lt;/Author&gt;&lt;Year&gt;2013&lt;/Year&gt;&lt;RecNum&gt;173&lt;/RecNum&gt;&lt;DisplayText&gt;(CII 2013)&lt;/DisplayText&gt;&lt;record&gt;&lt;rec-number&gt;173&lt;/rec-number&gt;&lt;foreign-keys&gt;&lt;key app="EN" db-id="frdsfrdx0zpts8ex5pfvfda4s9srzrvrxd9z" timestamp="1397500490"&gt;173&lt;/key&gt;&lt;/foreign-keys&gt;&lt;ref-type name="Report"&gt;27&lt;/ref-type&gt;&lt;contributors&gt;&lt;authors&gt;&lt;author&gt;CII&lt;/author&gt;&lt;/authors&gt;&lt;/contributors&gt;&lt;titles&gt;&lt;title&gt;Policies on Corporate Governance. Section 2.13a: Audit Committee Responsibilities Regarding Independent Auditors&lt;/title&gt;&lt;/titles&gt;&lt;dates&gt;&lt;year&gt;2013&lt;/year&gt;&lt;/dates&gt;&lt;urls&gt;&lt;related-urls&gt;&lt;url&gt;http://www.cii.org/corp_gov_policies&lt;/url&gt;&lt;/related-urls&gt;&lt;/urls&gt;&lt;/record&gt;&lt;/Cite&gt;&lt;/EndNote&gt;</w:instrText>
      </w:r>
      <w:r>
        <w:rPr>
          <w:rFonts w:eastAsia="Times New Roman"/>
          <w:sz w:val="20"/>
          <w:szCs w:val="20"/>
        </w:rPr>
        <w:fldChar w:fldCharType="separate"/>
      </w:r>
      <w:r>
        <w:rPr>
          <w:rFonts w:eastAsia="Times New Roman"/>
          <w:noProof/>
          <w:sz w:val="20"/>
          <w:szCs w:val="20"/>
        </w:rPr>
        <w:t>(</w:t>
      </w:r>
      <w:hyperlink w:anchor="_ENREF_25" w:tooltip="CII, 2013 #173" w:history="1">
        <w:r>
          <w:rPr>
            <w:rFonts w:eastAsia="Times New Roman"/>
            <w:noProof/>
            <w:sz w:val="20"/>
            <w:szCs w:val="20"/>
          </w:rPr>
          <w:t>CII 2013</w:t>
        </w:r>
      </w:hyperlink>
      <w:r>
        <w:rPr>
          <w:rFonts w:eastAsia="Times New Roman"/>
          <w:noProof/>
          <w:sz w:val="20"/>
          <w:szCs w:val="20"/>
        </w:rPr>
        <w:t>)</w:t>
      </w:r>
      <w:r>
        <w:rPr>
          <w:rFonts w:eastAsia="Times New Roman"/>
          <w:sz w:val="20"/>
          <w:szCs w:val="20"/>
        </w:rPr>
        <w:fldChar w:fldCharType="end"/>
      </w:r>
      <w:r>
        <w:rPr>
          <w:rFonts w:eastAsia="Times New Roman"/>
          <w:sz w:val="20"/>
          <w:szCs w:val="20"/>
        </w:rPr>
        <w:t>.</w:t>
      </w:r>
    </w:p>
  </w:footnote>
  <w:footnote w:id="17">
    <w:p w14:paraId="3E774963" w14:textId="63AE55D2" w:rsidR="006735CB" w:rsidRPr="00CC508D" w:rsidRDefault="006735CB" w:rsidP="005A1C9A">
      <w:pPr>
        <w:pStyle w:val="FootnoteText"/>
        <w:widowControl w:val="0"/>
        <w:jc w:val="both"/>
        <w:rPr>
          <w:sz w:val="20"/>
          <w:szCs w:val="20"/>
        </w:rPr>
      </w:pPr>
      <w:r w:rsidRPr="00CC508D">
        <w:rPr>
          <w:rStyle w:val="FootnoteReference"/>
          <w:sz w:val="20"/>
          <w:szCs w:val="20"/>
        </w:rPr>
        <w:footnoteRef/>
      </w:r>
      <w:r w:rsidRPr="00CC508D">
        <w:rPr>
          <w:sz w:val="20"/>
          <w:szCs w:val="20"/>
        </w:rPr>
        <w:t xml:space="preserve"> </w:t>
      </w:r>
      <w:r>
        <w:rPr>
          <w:sz w:val="20"/>
          <w:szCs w:val="20"/>
        </w:rPr>
        <w:t>An additional piece of the regulation requires audit committees of FTSE 350 companies to retender the audit contract at least every 10 years on a “comply or explain” basis.</w:t>
      </w:r>
    </w:p>
  </w:footnote>
  <w:footnote w:id="18">
    <w:p w14:paraId="79B15EEA" w14:textId="4F79C912" w:rsidR="006735CB" w:rsidRPr="00D22377" w:rsidRDefault="006735CB" w:rsidP="005A1C9A">
      <w:pPr>
        <w:pStyle w:val="FootnoteText"/>
        <w:widowControl w:val="0"/>
        <w:jc w:val="both"/>
        <w:rPr>
          <w:sz w:val="20"/>
          <w:szCs w:val="20"/>
        </w:rPr>
      </w:pPr>
      <w:r w:rsidRPr="00D22377">
        <w:rPr>
          <w:rStyle w:val="FootnoteReference"/>
          <w:sz w:val="20"/>
          <w:szCs w:val="20"/>
        </w:rPr>
        <w:footnoteRef/>
      </w:r>
      <w:r w:rsidRPr="00D22377">
        <w:rPr>
          <w:sz w:val="20"/>
          <w:szCs w:val="20"/>
        </w:rPr>
        <w:t xml:space="preserve"> </w:t>
      </w:r>
      <w:r>
        <w:rPr>
          <w:sz w:val="20"/>
          <w:szCs w:val="20"/>
        </w:rPr>
        <w:t xml:space="preserve">For an example of the new audit committee and auditor reports, please refer to pages 44 – 46 and 130 – 135, respectively, of the Rolls-Royce 2013 annual report found at </w:t>
      </w:r>
      <w:hyperlink r:id="rId1" w:history="1">
        <w:r w:rsidRPr="00F9626A">
          <w:rPr>
            <w:rStyle w:val="Hyperlink"/>
            <w:sz w:val="20"/>
            <w:szCs w:val="20"/>
          </w:rPr>
          <w:t>http://www.rolls-royce.com/Images/RR_Full%20 Annual %20Report__tcm92-55530.pdf</w:t>
        </w:r>
      </w:hyperlink>
      <w:r>
        <w:rPr>
          <w:sz w:val="20"/>
          <w:szCs w:val="20"/>
        </w:rPr>
        <w:t xml:space="preserve">. </w:t>
      </w:r>
    </w:p>
  </w:footnote>
  <w:footnote w:id="19">
    <w:p w14:paraId="54063741" w14:textId="2CB64B1A" w:rsidR="006735CB" w:rsidRPr="004D1640" w:rsidRDefault="006735CB" w:rsidP="005A1C9A">
      <w:pPr>
        <w:pStyle w:val="FootnoteText"/>
        <w:widowControl w:val="0"/>
        <w:jc w:val="both"/>
        <w:rPr>
          <w:sz w:val="20"/>
          <w:szCs w:val="20"/>
        </w:rPr>
      </w:pPr>
      <w:r w:rsidRPr="004D1640">
        <w:rPr>
          <w:rStyle w:val="FootnoteReference"/>
          <w:sz w:val="20"/>
          <w:szCs w:val="20"/>
        </w:rPr>
        <w:footnoteRef/>
      </w:r>
      <w:r w:rsidRPr="004D1640">
        <w:rPr>
          <w:sz w:val="20"/>
          <w:szCs w:val="20"/>
        </w:rPr>
        <w:t xml:space="preserve"> </w:t>
      </w:r>
      <w:r w:rsidRPr="00B72A12">
        <w:rPr>
          <w:color w:val="1A1718"/>
          <w:sz w:val="20"/>
          <w:szCs w:val="20"/>
        </w:rPr>
        <w:t>To my knowledge, the only country that previously introduced additional language in a standard audit report is France. As part of its Financial Security Act effective August 1, 2003</w:t>
      </w:r>
      <w:r>
        <w:rPr>
          <w:color w:val="1A1718"/>
          <w:sz w:val="20"/>
          <w:szCs w:val="20"/>
        </w:rPr>
        <w:t xml:space="preserve">, </w:t>
      </w:r>
      <w:r w:rsidRPr="00B72A12">
        <w:rPr>
          <w:color w:val="1A1718"/>
          <w:sz w:val="20"/>
          <w:szCs w:val="20"/>
        </w:rPr>
        <w:t>France requires auditors to make “justifications of assessments” related to accounting policy choice, significant accounting estimates, financial statement presentation, and internal contr</w:t>
      </w:r>
      <w:r>
        <w:rPr>
          <w:color w:val="1A1718"/>
          <w:sz w:val="20"/>
          <w:szCs w:val="20"/>
        </w:rPr>
        <w:t xml:space="preserve">ols </w:t>
      </w:r>
      <w:r>
        <w:rPr>
          <w:color w:val="1A1718"/>
          <w:sz w:val="20"/>
          <w:szCs w:val="20"/>
        </w:rPr>
        <w:fldChar w:fldCharType="begin"/>
      </w:r>
      <w:r>
        <w:rPr>
          <w:color w:val="1A1718"/>
          <w:sz w:val="20"/>
          <w:szCs w:val="20"/>
        </w:rPr>
        <w:instrText xml:space="preserve"> ADDIN EN.CITE &lt;EndNote&gt;&lt;Cite&gt;&lt;Author&gt;CNCC&lt;/Author&gt;&lt;Year&gt;2011&lt;/Year&gt;&lt;RecNum&gt;150&lt;/RecNum&gt;&lt;DisplayText&gt;(CNCC 2011)&lt;/DisplayText&gt;&lt;record&gt;&lt;rec-number&gt;150&lt;/rec-number&gt;&lt;foreign-keys&gt;&lt;key app="EN" db-id="frdsfrdx0zpts8ex5pfvfda4s9srzrvrxd9z" timestamp="1397438439"&gt;150&lt;/key&gt;&lt;key app="ENWeb" db-id=""&gt;0&lt;/key&gt;&lt;/foreign-keys&gt;&lt;ref-type name="Journal Article"&gt;17&lt;/ref-type&gt;&lt;contributors&gt;&lt;authors&gt;&lt;author&gt;CNCC &lt;/author&gt;&lt;/authors&gt;&lt;/contributors&gt;&lt;titles&gt;&lt;title&gt;Footprint Consultant Study on the perception of the statutory auditor&amp;apos;s justification of assessments&lt;/title&gt;&lt;/titles&gt;&lt;dates&gt;&lt;year&gt;2011&lt;/year&gt;&lt;pub-dates&gt;&lt;date&gt;February 2011&lt;/date&gt;&lt;/pub-dates&gt;&lt;/dates&gt;&lt;urls&gt;&lt;related-urls&gt;&lt;url&gt;http://www.cncc.fr/download/footprintconsultant_reportstudy_va_cncc_fev2011.pdf&lt;/url&gt;&lt;/related-urls&gt;&lt;/urls&gt;&lt;/record&gt;&lt;/Cite&gt;&lt;/EndNote&gt;</w:instrText>
      </w:r>
      <w:r>
        <w:rPr>
          <w:color w:val="1A1718"/>
          <w:sz w:val="20"/>
          <w:szCs w:val="20"/>
        </w:rPr>
        <w:fldChar w:fldCharType="separate"/>
      </w:r>
      <w:r>
        <w:rPr>
          <w:noProof/>
          <w:color w:val="1A1718"/>
          <w:sz w:val="20"/>
          <w:szCs w:val="20"/>
        </w:rPr>
        <w:t>(</w:t>
      </w:r>
      <w:hyperlink w:anchor="_ENREF_26" w:tooltip="CNCC, 2011 #150" w:history="1">
        <w:r>
          <w:rPr>
            <w:noProof/>
            <w:color w:val="1A1718"/>
            <w:sz w:val="20"/>
            <w:szCs w:val="20"/>
          </w:rPr>
          <w:t>CNCC 2011</w:t>
        </w:r>
      </w:hyperlink>
      <w:r>
        <w:rPr>
          <w:noProof/>
          <w:color w:val="1A1718"/>
          <w:sz w:val="20"/>
          <w:szCs w:val="20"/>
        </w:rPr>
        <w:t>)</w:t>
      </w:r>
      <w:r>
        <w:rPr>
          <w:color w:val="1A1718"/>
          <w:sz w:val="20"/>
          <w:szCs w:val="20"/>
        </w:rPr>
        <w:fldChar w:fldCharType="end"/>
      </w:r>
      <w:r w:rsidRPr="00B72A12">
        <w:rPr>
          <w:color w:val="1A1718"/>
          <w:sz w:val="20"/>
          <w:szCs w:val="20"/>
        </w:rPr>
        <w:t>.</w:t>
      </w:r>
      <w:r>
        <w:rPr>
          <w:color w:val="1A1718"/>
          <w:sz w:val="20"/>
          <w:szCs w:val="20"/>
        </w:rPr>
        <w:t xml:space="preserve"> </w:t>
      </w:r>
      <w:r w:rsidRPr="00B72A12">
        <w:rPr>
          <w:sz w:val="20"/>
          <w:szCs w:val="20"/>
        </w:rPr>
        <w:t>France’s Financial Security Act is similar to the Sarbanes-Oxley Act. It was designed to improve investor confidence in the French capital markets by reinforcing investor protection, improving the supervision of financial activities, modernizing the external audit function, and improving corporate transparency. Given this broad range of issues, I do not use this regulatory change in France as a setting for testing the auditor’s report. In addition, the study of the French auditor’s report would limit the generalizability to the U.S. due to the significant differences between the two countries. For example, France operates under civil law while the U</w:t>
      </w:r>
      <w:r>
        <w:rPr>
          <w:sz w:val="20"/>
          <w:szCs w:val="20"/>
        </w:rPr>
        <w:t xml:space="preserve">.S. operates under common law </w:t>
      </w:r>
      <w:r>
        <w:rPr>
          <w:sz w:val="20"/>
          <w:szCs w:val="20"/>
        </w:rPr>
        <w:fldChar w:fldCharType="begin"/>
      </w:r>
      <w:r>
        <w:rPr>
          <w:sz w:val="20"/>
          <w:szCs w:val="20"/>
        </w:rPr>
        <w:instrText xml:space="preserve"> ADDIN EN.CITE &lt;EndNote&gt;&lt;Cite&gt;&lt;Author&gt;La Porta&lt;/Author&gt;&lt;Year&gt;1997&lt;/Year&gt;&lt;RecNum&gt;199&lt;/RecNum&gt;&lt;DisplayText&gt;(La Porta et al. 1997)&lt;/DisplayText&gt;&lt;record&gt;&lt;rec-number&gt;199&lt;/rec-number&gt;&lt;foreign-keys&gt;&lt;key app="EN" db-id="frdsfrdx0zpts8ex5pfvfda4s9srzrvrxd9z" timestamp="1398301631"&gt;199&lt;/key&gt;&lt;/foreign-keys&gt;&lt;ref-type name="Journal Article"&gt;17&lt;/ref-type&gt;&lt;contributors&gt;&lt;authors&gt;&lt;author&gt;La Porta, Rafael&lt;/author&gt;&lt;author&gt;Lopez-De-Silanes, Florencio&lt;/author&gt;&lt;author&gt;Shleifer, Andrei&lt;/author&gt;&lt;author&gt;Vishny, Robert W.&lt;/author&gt;&lt;/authors&gt;&lt;/contributors&gt;&lt;titles&gt;&lt;title&gt;Legal Determinants of External Finance&lt;/title&gt;&lt;secondary-title&gt;Journal of Finance&lt;/secondary-title&gt;&lt;/titles&gt;&lt;periodical&gt;&lt;full-title&gt;Journal of Finance&lt;/full-title&gt;&lt;/periodical&gt;&lt;pages&gt;1131-1150&lt;/pages&gt;&lt;volume&gt;52&lt;/volume&gt;&lt;number&gt;3&lt;/number&gt;&lt;keywords&gt;&lt;keyword&gt;CAPITAL market&lt;/keyword&gt;&lt;keyword&gt;TRADE regulation&lt;/keyword&gt;&lt;keyword&gt;MARKETS -- Law &amp;amp; legislation&lt;/keyword&gt;&lt;keyword&gt;CAPITALISTS &amp;amp; financiers&lt;/keyword&gt;&lt;keyword&gt;SUCCESS&lt;/keyword&gt;&lt;keyword&gt;LAW &amp;amp; legislation&lt;/keyword&gt;&lt;keyword&gt;RULES&lt;/keyword&gt;&lt;keyword&gt;ENFORCEMENT&lt;/keyword&gt;&lt;keyword&gt;CRIMES against&lt;/keyword&gt;&lt;keyword&gt;CIVIL law&lt;/keyword&gt;&lt;keyword&gt;LAW enforcement&lt;/keyword&gt;&lt;/keywords&gt;&lt;dates&gt;&lt;year&gt;1997&lt;/year&gt;&lt;/dates&gt;&lt;publisher&gt;Wiley-Blackwell&lt;/publisher&gt;&lt;isbn&gt;00221082&lt;/isbn&gt;&lt;accession-num&gt;9708152263&lt;/accession-num&gt;&lt;work-type&gt;Article&lt;/work-type&gt;&lt;urls&gt;&lt;related-urls&gt;&lt;url&gt;http://proxy.lib.utk.edu:90/login?url=http://search.ebscohost.com/login.aspx?direct=true&amp;amp;db=bth&amp;amp;AN=9708152263&amp;amp;scope=site&lt;/url&gt;&lt;/related-urls&gt;&lt;/urls&gt;&lt;remote-database-name&gt;bth&lt;/remote-database-name&gt;&lt;remote-database-provider&gt;EBSCOhost&lt;/remote-database-provider&gt;&lt;/record&gt;&lt;/Cite&gt;&lt;/EndNote&gt;</w:instrText>
      </w:r>
      <w:r>
        <w:rPr>
          <w:sz w:val="20"/>
          <w:szCs w:val="20"/>
        </w:rPr>
        <w:fldChar w:fldCharType="separate"/>
      </w:r>
      <w:r>
        <w:rPr>
          <w:noProof/>
          <w:sz w:val="20"/>
          <w:szCs w:val="20"/>
        </w:rPr>
        <w:t>(</w:t>
      </w:r>
      <w:hyperlink w:anchor="_ENREF_51" w:tooltip="La Porta, 1997 #199" w:history="1">
        <w:r>
          <w:rPr>
            <w:noProof/>
            <w:sz w:val="20"/>
            <w:szCs w:val="20"/>
          </w:rPr>
          <w:t>La Porta et al. 1997</w:t>
        </w:r>
      </w:hyperlink>
      <w:r>
        <w:rPr>
          <w:noProof/>
          <w:sz w:val="20"/>
          <w:szCs w:val="20"/>
        </w:rPr>
        <w:t>)</w:t>
      </w:r>
      <w:r>
        <w:rPr>
          <w:sz w:val="20"/>
          <w:szCs w:val="20"/>
        </w:rPr>
        <w:fldChar w:fldCharType="end"/>
      </w:r>
      <w:r>
        <w:rPr>
          <w:sz w:val="20"/>
          <w:szCs w:val="20"/>
        </w:rPr>
        <w:t xml:space="preserve">. </w:t>
      </w:r>
    </w:p>
  </w:footnote>
  <w:footnote w:id="20">
    <w:p w14:paraId="5D5254BA" w14:textId="47D4C002" w:rsidR="006735CB" w:rsidRPr="002A54FD" w:rsidRDefault="006735CB" w:rsidP="005A1C9A">
      <w:pPr>
        <w:pStyle w:val="FootnoteText"/>
        <w:widowControl w:val="0"/>
        <w:jc w:val="both"/>
        <w:rPr>
          <w:sz w:val="20"/>
          <w:szCs w:val="20"/>
        </w:rPr>
      </w:pPr>
      <w:r w:rsidRPr="005E61DF">
        <w:rPr>
          <w:rStyle w:val="FootnoteReference"/>
          <w:sz w:val="20"/>
          <w:szCs w:val="20"/>
        </w:rPr>
        <w:footnoteRef/>
      </w:r>
      <w:r w:rsidRPr="005E61DF">
        <w:rPr>
          <w:sz w:val="20"/>
          <w:szCs w:val="20"/>
        </w:rPr>
        <w:t xml:space="preserve">I randomly selected 40 companies and examined the </w:t>
      </w:r>
      <w:r>
        <w:rPr>
          <w:sz w:val="20"/>
          <w:szCs w:val="20"/>
        </w:rPr>
        <w:t>earnings releases for each. T</w:t>
      </w:r>
      <w:r w:rsidRPr="005E61DF">
        <w:rPr>
          <w:sz w:val="20"/>
          <w:szCs w:val="20"/>
        </w:rPr>
        <w:t>he documents contain an average of 42 pages with many reports over 75 pages</w:t>
      </w:r>
      <w:r>
        <w:rPr>
          <w:sz w:val="20"/>
          <w:szCs w:val="20"/>
        </w:rPr>
        <w:t xml:space="preserve"> (maximum length: 132 pages)</w:t>
      </w:r>
      <w:r w:rsidRPr="005E61DF">
        <w:rPr>
          <w:sz w:val="20"/>
          <w:szCs w:val="20"/>
        </w:rPr>
        <w:t xml:space="preserve">. Furthermore, all of them contained a discussion of the business strategy/results, financial statements, and condensed footnotes. </w:t>
      </w:r>
      <w:r>
        <w:rPr>
          <w:sz w:val="20"/>
          <w:szCs w:val="20"/>
        </w:rPr>
        <w:t>It is also important to note that earnings were announced prior to the release of the annual report for each firm-year observation included in the sample.</w:t>
      </w:r>
    </w:p>
  </w:footnote>
  <w:footnote w:id="21">
    <w:p w14:paraId="7401D7BD" w14:textId="62F47EA0" w:rsidR="006735CB" w:rsidRPr="0030423C" w:rsidRDefault="006735CB" w:rsidP="005A1C9A">
      <w:pPr>
        <w:pStyle w:val="FootnoteText"/>
        <w:widowControl w:val="0"/>
        <w:jc w:val="both"/>
        <w:rPr>
          <w:sz w:val="20"/>
          <w:szCs w:val="20"/>
        </w:rPr>
      </w:pPr>
      <w:r w:rsidRPr="0030423C">
        <w:rPr>
          <w:rStyle w:val="FootnoteReference"/>
          <w:sz w:val="20"/>
          <w:szCs w:val="20"/>
        </w:rPr>
        <w:footnoteRef/>
      </w:r>
      <w:r w:rsidRPr="0030423C">
        <w:rPr>
          <w:sz w:val="20"/>
          <w:szCs w:val="20"/>
        </w:rPr>
        <w:t xml:space="preserve"> </w:t>
      </w:r>
      <w:r>
        <w:rPr>
          <w:sz w:val="20"/>
          <w:szCs w:val="20"/>
        </w:rPr>
        <w:t xml:space="preserve">The Financial Conduct Authority (FCA) states that a preliminary statement of annual results (i.e., the earnings announcement) must show financial results consistent with the presentation to be adopted in the annual report, must include any significant additional information necessary to assess the reported results, and must give details of any likely modification of the auditor report to be included in the annual report </w:t>
      </w:r>
      <w:r>
        <w:rPr>
          <w:sz w:val="20"/>
          <w:szCs w:val="20"/>
        </w:rPr>
        <w:fldChar w:fldCharType="begin"/>
      </w:r>
      <w:r>
        <w:rPr>
          <w:sz w:val="20"/>
          <w:szCs w:val="20"/>
        </w:rPr>
        <w:instrText xml:space="preserve"> ADDIN EN.CITE &lt;EndNote&gt;&lt;Cite&gt;&lt;Author&gt;FCA&lt;/Author&gt;&lt;Year&gt;2012&lt;/Year&gt;&lt;RecNum&gt;355&lt;/RecNum&gt;&lt;DisplayText&gt;(FCA 2012)&lt;/DisplayText&gt;&lt;record&gt;&lt;rec-number&gt;355&lt;/rec-number&gt;&lt;foreign-keys&gt;&lt;key app="EN" db-id="frdsfrdx0zpts8ex5pfvfda4s9srzrvrxd9z" timestamp="1414094444"&gt;355&lt;/key&gt;&lt;/foreign-keys&gt;&lt;ref-type name="Journal Article"&gt;17&lt;/ref-type&gt;&lt;contributors&gt;&lt;authors&gt;&lt;author&gt;FCA&lt;/author&gt;&lt;/authors&gt;&lt;/contributors&gt;&lt;titles&gt;&lt;title&gt;LR 9.7A.1 Preliminary statement of annual results&lt;/title&gt;&lt;/titles&gt;&lt;dates&gt;&lt;year&gt;2012&lt;/year&gt;&lt;/dates&gt;&lt;urls&gt;&lt;/urls&gt;&lt;/record&gt;&lt;/Cite&gt;&lt;/EndNote&gt;</w:instrText>
      </w:r>
      <w:r>
        <w:rPr>
          <w:sz w:val="20"/>
          <w:szCs w:val="20"/>
        </w:rPr>
        <w:fldChar w:fldCharType="separate"/>
      </w:r>
      <w:r>
        <w:rPr>
          <w:noProof/>
          <w:sz w:val="20"/>
          <w:szCs w:val="20"/>
        </w:rPr>
        <w:t>(</w:t>
      </w:r>
      <w:hyperlink w:anchor="_ENREF_36" w:tooltip="FCA, 2012 #355" w:history="1">
        <w:r>
          <w:rPr>
            <w:noProof/>
            <w:sz w:val="20"/>
            <w:szCs w:val="20"/>
          </w:rPr>
          <w:t>FCA 2012</w:t>
        </w:r>
      </w:hyperlink>
      <w:r>
        <w:rPr>
          <w:noProof/>
          <w:sz w:val="20"/>
          <w:szCs w:val="20"/>
        </w:rPr>
        <w:t>)</w:t>
      </w:r>
      <w:r>
        <w:rPr>
          <w:sz w:val="20"/>
          <w:szCs w:val="20"/>
        </w:rPr>
        <w:fldChar w:fldCharType="end"/>
      </w:r>
      <w:r>
        <w:rPr>
          <w:sz w:val="20"/>
          <w:szCs w:val="20"/>
        </w:rPr>
        <w:t xml:space="preserve">. </w:t>
      </w:r>
    </w:p>
  </w:footnote>
  <w:footnote w:id="22">
    <w:p w14:paraId="218291AD" w14:textId="6D7EBB12" w:rsidR="006735CB" w:rsidRPr="00067FF7" w:rsidRDefault="006735CB" w:rsidP="005A1C9A">
      <w:pPr>
        <w:pStyle w:val="FootnoteText"/>
        <w:widowControl w:val="0"/>
        <w:jc w:val="both"/>
        <w:rPr>
          <w:sz w:val="20"/>
          <w:szCs w:val="20"/>
        </w:rPr>
      </w:pPr>
      <w:r w:rsidRPr="00067FF7">
        <w:rPr>
          <w:rStyle w:val="FootnoteReference"/>
          <w:sz w:val="20"/>
          <w:szCs w:val="20"/>
        </w:rPr>
        <w:footnoteRef/>
      </w:r>
      <w:r w:rsidRPr="00067FF7">
        <w:rPr>
          <w:sz w:val="20"/>
          <w:szCs w:val="20"/>
        </w:rPr>
        <w:t xml:space="preserve"> </w:t>
      </w:r>
      <w:r>
        <w:rPr>
          <w:sz w:val="20"/>
          <w:szCs w:val="20"/>
        </w:rPr>
        <w:t xml:space="preserve">Other governance reports, such as the nomination committee, ethics committee, and risk committee reports, would also be “new” information in the annual report compared to the earnings announcement. These reports, however, have not systematically changed across companies in the period examined in this study. </w:t>
      </w:r>
    </w:p>
  </w:footnote>
  <w:footnote w:id="23">
    <w:p w14:paraId="4AF6D60C" w14:textId="58CD9BB6" w:rsidR="006735CB" w:rsidRPr="00471E6F" w:rsidRDefault="006735CB" w:rsidP="005A1C9A">
      <w:pPr>
        <w:pStyle w:val="FootnoteText"/>
        <w:widowControl w:val="0"/>
        <w:jc w:val="both"/>
        <w:rPr>
          <w:sz w:val="20"/>
          <w:szCs w:val="20"/>
        </w:rPr>
      </w:pPr>
      <w:r w:rsidRPr="00471E6F">
        <w:rPr>
          <w:rStyle w:val="FootnoteReference"/>
          <w:sz w:val="20"/>
          <w:szCs w:val="20"/>
        </w:rPr>
        <w:footnoteRef/>
      </w:r>
      <w:r w:rsidRPr="00471E6F">
        <w:rPr>
          <w:sz w:val="20"/>
          <w:szCs w:val="20"/>
        </w:rPr>
        <w:t xml:space="preserve"> </w:t>
      </w:r>
      <w:r>
        <w:rPr>
          <w:sz w:val="20"/>
          <w:szCs w:val="20"/>
        </w:rPr>
        <w:t xml:space="preserve">As in Landsman et al. (2012), </w:t>
      </w:r>
      <w:r>
        <w:rPr>
          <w:i/>
          <w:sz w:val="20"/>
          <w:szCs w:val="20"/>
        </w:rPr>
        <w:t xml:space="preserve">AVOL </w:t>
      </w:r>
      <w:r>
        <w:rPr>
          <w:sz w:val="20"/>
          <w:szCs w:val="20"/>
        </w:rPr>
        <w:t xml:space="preserve">is highly skewed prior to taking the natural logarithm. The skewness coefficient before taking the natural log is 45.26 compared to a skewness coefficient of -0.29 after. </w:t>
      </w:r>
    </w:p>
  </w:footnote>
  <w:footnote w:id="24">
    <w:p w14:paraId="1A2B4B77" w14:textId="65608381" w:rsidR="006735CB" w:rsidRPr="00BA6199" w:rsidRDefault="006735CB" w:rsidP="005A1C9A">
      <w:pPr>
        <w:pStyle w:val="FootnoteText"/>
        <w:widowControl w:val="0"/>
        <w:jc w:val="both"/>
        <w:rPr>
          <w:sz w:val="20"/>
          <w:szCs w:val="20"/>
        </w:rPr>
      </w:pPr>
      <w:r w:rsidRPr="00BA6199">
        <w:rPr>
          <w:rStyle w:val="FootnoteReference"/>
          <w:sz w:val="20"/>
          <w:szCs w:val="20"/>
        </w:rPr>
        <w:footnoteRef/>
      </w:r>
      <w:r w:rsidRPr="00BA6199">
        <w:rPr>
          <w:sz w:val="20"/>
          <w:szCs w:val="20"/>
        </w:rPr>
        <w:t xml:space="preserve"> </w:t>
      </w:r>
      <w:r>
        <w:rPr>
          <w:sz w:val="20"/>
          <w:szCs w:val="20"/>
        </w:rPr>
        <w:t xml:space="preserve">Note that the estimation-period is measured relative to the earnings announcement date when calculating </w:t>
      </w:r>
      <w:r w:rsidRPr="004256D7">
        <w:rPr>
          <w:i/>
          <w:sz w:val="20"/>
          <w:szCs w:val="20"/>
        </w:rPr>
        <w:t>AVOL</w:t>
      </w:r>
      <w:r>
        <w:rPr>
          <w:sz w:val="20"/>
          <w:szCs w:val="20"/>
        </w:rPr>
        <w:t xml:space="preserve">. This is done to ensure that the estimation period for the annual report date does not include the filing of the earnings release. </w:t>
      </w:r>
    </w:p>
  </w:footnote>
  <w:footnote w:id="25">
    <w:p w14:paraId="7448F5CA" w14:textId="68BBC940" w:rsidR="006735CB" w:rsidRPr="00AA08E3" w:rsidRDefault="006735CB" w:rsidP="005A1C9A">
      <w:pPr>
        <w:pStyle w:val="FootnoteText"/>
        <w:widowControl w:val="0"/>
        <w:jc w:val="both"/>
        <w:rPr>
          <w:sz w:val="20"/>
          <w:szCs w:val="20"/>
        </w:rPr>
      </w:pPr>
      <w:r w:rsidRPr="00AA08E3">
        <w:rPr>
          <w:rStyle w:val="FootnoteReference"/>
          <w:sz w:val="20"/>
          <w:szCs w:val="20"/>
        </w:rPr>
        <w:footnoteRef/>
      </w:r>
      <w:r w:rsidRPr="00AA08E3">
        <w:rPr>
          <w:sz w:val="20"/>
          <w:szCs w:val="20"/>
        </w:rPr>
        <w:t xml:space="preserve"> </w:t>
      </w:r>
      <w:r>
        <w:rPr>
          <w:sz w:val="20"/>
          <w:szCs w:val="20"/>
        </w:rPr>
        <w:t xml:space="preserve">As in </w:t>
      </w:r>
      <w:hyperlink w:anchor="_ENREF_9" w:tooltip="Blankespoor, 2014 #342" w:history="1">
        <w:r>
          <w:rPr>
            <w:sz w:val="20"/>
            <w:szCs w:val="20"/>
          </w:rPr>
          <w:fldChar w:fldCharType="begin"/>
        </w:r>
        <w:r>
          <w:rPr>
            <w:sz w:val="20"/>
            <w:szCs w:val="20"/>
          </w:rPr>
          <w:instrText xml:space="preserve"> ADDIN EN.CITE &lt;EndNote&gt;&lt;Cite AuthorYear="1"&gt;&lt;Author&gt;Blankespoor&lt;/Author&gt;&lt;Year&gt;2014&lt;/Year&gt;&lt;RecNum&gt;342&lt;/RecNum&gt;&lt;DisplayText&gt;Blankespoor et al. (2014)&lt;/DisplayText&gt;&lt;record&gt;&lt;rec-number&gt;342&lt;/rec-number&gt;&lt;foreign-keys&gt;&lt;key app="EN" db-id="frdsfrdx0zpts8ex5pfvfda4s9srzrvrxd9z" timestamp="1412191596"&gt;342&lt;/key&gt;&lt;/foreign-keys&gt;&lt;ref-type name="Journal Article"&gt;17&lt;/ref-type&gt;&lt;contributors&gt;&lt;authors&gt;&lt;author&gt;Blankespoor, Elizabeth&lt;/author&gt;&lt;author&gt;Miller, Gregory S.&lt;/author&gt;&lt;author&gt;White, Hal D.&lt;/author&gt;&lt;/authors&gt;&lt;/contributors&gt;&lt;titles&gt;&lt;title&gt;The Role of Dissemination in Market Liquidity: Evidence from Firms&amp;apos; Use of Twitter™&lt;/title&gt;&lt;secondary-title&gt;Accounting Review&lt;/secondary-title&gt;&lt;/titles&gt;&lt;periodical&gt;&lt;full-title&gt;Accounting Review&lt;/full-title&gt;&lt;/periodical&gt;&lt;pages&gt;79-112&lt;/pages&gt;&lt;volume&gt;89&lt;/volume&gt;&lt;number&gt;1&lt;/number&gt;&lt;keywords&gt;&lt;keyword&gt;LIQUIDITY (Economics)&lt;/keyword&gt;&lt;keyword&gt;RESEARCH&lt;/keyword&gt;&lt;keyword&gt;CAPITALISTS &amp;amp; financiers&lt;/keyword&gt;&lt;keyword&gt;CAPITAL market&lt;/keyword&gt;&lt;keyword&gt;INFORMATION dissemination&lt;/keyword&gt;&lt;keyword&gt;bid-ask spread&lt;/keyword&gt;&lt;keyword&gt;disclosure&lt;/keyword&gt;&lt;keyword&gt;dissemination&lt;/keyword&gt;&lt;keyword&gt;information asymmetry&lt;/keyword&gt;&lt;keyword&gt;liquidity&lt;/keyword&gt;&lt;keyword&gt;social media&lt;/keyword&gt;&lt;keyword&gt;Twitter&lt;/keyword&gt;&lt;keyword&gt;TWITTER (Web resource) -- Research&lt;/keyword&gt;&lt;/keywords&gt;&lt;dates&gt;&lt;year&gt;2014&lt;/year&gt;&lt;/dates&gt;&lt;publisher&gt;American Accounting Association&lt;/publisher&gt;&lt;isbn&gt;00014826&lt;/isbn&gt;&lt;accession-num&gt;94250208&lt;/accession-num&gt;&lt;work-type&gt;Article&lt;/work-type&gt;&lt;urls&gt;&lt;related-urls&gt;&lt;url&gt;http://proxy.lib.utk.edu:90/login?url=http://search.ebscohost.com/login.aspx?direct=true&amp;amp;db=bth&amp;amp;AN=94250208&amp;amp;scope=site&lt;/url&gt;&lt;/related-urls&gt;&lt;/urls&gt;&lt;electronic-resource-num&gt;10.2308/accr-50576&lt;/electronic-resource-num&gt;&lt;remote-database-name&gt;bth&lt;/remote-database-name&gt;&lt;remote-database-provider&gt;EBSCOhost&lt;/remote-database-provider&gt;&lt;/record&gt;&lt;/Cite&gt;&lt;/EndNote&gt;</w:instrText>
        </w:r>
        <w:r>
          <w:rPr>
            <w:sz w:val="20"/>
            <w:szCs w:val="20"/>
          </w:rPr>
          <w:fldChar w:fldCharType="separate"/>
        </w:r>
        <w:r>
          <w:rPr>
            <w:noProof/>
            <w:sz w:val="20"/>
            <w:szCs w:val="20"/>
          </w:rPr>
          <w:t>Blankespoor et al. (2014)</w:t>
        </w:r>
        <w:r>
          <w:rPr>
            <w:sz w:val="20"/>
            <w:szCs w:val="20"/>
          </w:rPr>
          <w:fldChar w:fldCharType="end"/>
        </w:r>
      </w:hyperlink>
      <w:r>
        <w:rPr>
          <w:sz w:val="20"/>
          <w:szCs w:val="20"/>
        </w:rPr>
        <w:t xml:space="preserve">, I remove spreads greater than 90 percent of the midpoint price. Results remain quantitatively and qualitatively unchanged if this restriction is not imposed. </w:t>
      </w:r>
    </w:p>
  </w:footnote>
  <w:footnote w:id="26">
    <w:p w14:paraId="41945DA3" w14:textId="2FB11E93" w:rsidR="006735CB" w:rsidRPr="00A85F77" w:rsidRDefault="006735CB" w:rsidP="005A1C9A">
      <w:pPr>
        <w:pStyle w:val="FootnoteText"/>
        <w:widowControl w:val="0"/>
        <w:jc w:val="both"/>
        <w:rPr>
          <w:sz w:val="20"/>
          <w:szCs w:val="20"/>
        </w:rPr>
      </w:pPr>
      <w:r w:rsidRPr="00A85F77">
        <w:rPr>
          <w:rStyle w:val="FootnoteReference"/>
          <w:sz w:val="20"/>
          <w:szCs w:val="20"/>
        </w:rPr>
        <w:footnoteRef/>
      </w:r>
      <w:r w:rsidRPr="00A85F77">
        <w:rPr>
          <w:sz w:val="20"/>
          <w:szCs w:val="20"/>
        </w:rPr>
        <w:t xml:space="preserve"> </w:t>
      </w:r>
      <w:r>
        <w:rPr>
          <w:sz w:val="20"/>
          <w:szCs w:val="20"/>
        </w:rPr>
        <w:t>Following prior literature, e</w:t>
      </w:r>
      <w:r w:rsidRPr="00A85F77">
        <w:rPr>
          <w:sz w:val="20"/>
          <w:szCs w:val="20"/>
        </w:rPr>
        <w:t>quations (1) and (2) do not include a control for the type of auditor employed by the firm</w:t>
      </w:r>
      <w:r>
        <w:rPr>
          <w:sz w:val="20"/>
          <w:szCs w:val="20"/>
        </w:rPr>
        <w:t xml:space="preserve">. </w:t>
      </w:r>
      <w:r w:rsidRPr="00A85F77">
        <w:rPr>
          <w:sz w:val="20"/>
          <w:szCs w:val="20"/>
        </w:rPr>
        <w:t>In untabulated tests, the results remain quantitatively and qualitatively unchanged by the inclusion of an indicator for Big 4 auditors.</w:t>
      </w:r>
      <w:r>
        <w:rPr>
          <w:sz w:val="20"/>
          <w:szCs w:val="20"/>
        </w:rPr>
        <w:t xml:space="preserve"> I also eliminate six firms from the analysis that experienced an auditor switch and results remain unchanged in untabulated tests. Please refer to Section V for an additional analysis of auditor type. </w:t>
      </w:r>
    </w:p>
  </w:footnote>
  <w:footnote w:id="27">
    <w:p w14:paraId="42528012" w14:textId="7AA19082" w:rsidR="006735CB" w:rsidRPr="006D3A8A" w:rsidRDefault="006735CB" w:rsidP="005A1C9A">
      <w:pPr>
        <w:pStyle w:val="FootnoteText"/>
        <w:widowControl w:val="0"/>
        <w:jc w:val="both"/>
        <w:rPr>
          <w:sz w:val="20"/>
          <w:szCs w:val="20"/>
        </w:rPr>
      </w:pPr>
      <w:r w:rsidRPr="006D3A8A">
        <w:rPr>
          <w:rStyle w:val="FootnoteReference"/>
          <w:sz w:val="20"/>
          <w:szCs w:val="20"/>
        </w:rPr>
        <w:footnoteRef/>
      </w:r>
      <w:r w:rsidRPr="006D3A8A">
        <w:rPr>
          <w:sz w:val="20"/>
          <w:szCs w:val="20"/>
        </w:rPr>
        <w:t xml:space="preserve"> </w:t>
      </w:r>
      <w:r>
        <w:rPr>
          <w:sz w:val="20"/>
          <w:szCs w:val="20"/>
        </w:rPr>
        <w:t>In untabulated tests, I control for the abnormal trading volume and abnormal bid-ask spread around the firm’s earnings announcement date. Results remain quantitatively and qualitatively unchanged. Please refer to Section V for more information on earnings announcement tests.</w:t>
      </w:r>
    </w:p>
  </w:footnote>
  <w:footnote w:id="28">
    <w:p w14:paraId="77518F64" w14:textId="76DAF2A0" w:rsidR="006735CB" w:rsidRPr="00E625A1" w:rsidRDefault="006735CB" w:rsidP="005A1C9A">
      <w:pPr>
        <w:pStyle w:val="FootnoteText"/>
        <w:widowControl w:val="0"/>
        <w:jc w:val="both"/>
        <w:rPr>
          <w:sz w:val="20"/>
          <w:szCs w:val="20"/>
        </w:rPr>
      </w:pPr>
      <w:r w:rsidRPr="00E625A1">
        <w:rPr>
          <w:rStyle w:val="FootnoteReference"/>
          <w:sz w:val="20"/>
          <w:szCs w:val="20"/>
        </w:rPr>
        <w:footnoteRef/>
      </w:r>
      <w:r w:rsidRPr="00E625A1">
        <w:rPr>
          <w:sz w:val="20"/>
          <w:szCs w:val="20"/>
        </w:rPr>
        <w:t xml:space="preserve"> </w:t>
      </w:r>
      <w:r>
        <w:rPr>
          <w:sz w:val="20"/>
          <w:szCs w:val="20"/>
        </w:rPr>
        <w:t xml:space="preserve">In untabulated tests, I replace </w:t>
      </w:r>
      <w:r>
        <w:rPr>
          <w:i/>
          <w:sz w:val="20"/>
          <w:szCs w:val="20"/>
        </w:rPr>
        <w:t>LAG</w:t>
      </w:r>
      <w:r>
        <w:rPr>
          <w:sz w:val="20"/>
          <w:szCs w:val="20"/>
        </w:rPr>
        <w:t xml:space="preserve"> with (1) the time between the fiscal year-end and the earnings announcement and (2</w:t>
      </w:r>
      <w:r w:rsidRPr="00706835">
        <w:rPr>
          <w:sz w:val="20"/>
          <w:szCs w:val="20"/>
        </w:rPr>
        <w:t xml:space="preserve">) the time between the </w:t>
      </w:r>
      <w:r>
        <w:rPr>
          <w:sz w:val="20"/>
          <w:szCs w:val="20"/>
        </w:rPr>
        <w:t>fiscal year-end and the issuance of the annual report</w:t>
      </w:r>
      <w:r w:rsidRPr="00706835">
        <w:rPr>
          <w:sz w:val="20"/>
          <w:szCs w:val="20"/>
        </w:rPr>
        <w:t>.</w:t>
      </w:r>
      <w:r>
        <w:rPr>
          <w:sz w:val="20"/>
          <w:szCs w:val="20"/>
        </w:rPr>
        <w:t xml:space="preserve"> The results of the analysis are unchanged using these alternate definitions of </w:t>
      </w:r>
      <w:r w:rsidRPr="004C74AE">
        <w:rPr>
          <w:i/>
          <w:sz w:val="20"/>
          <w:szCs w:val="20"/>
        </w:rPr>
        <w:t>LAG</w:t>
      </w:r>
      <w:r>
        <w:rPr>
          <w:sz w:val="20"/>
          <w:szCs w:val="20"/>
        </w:rPr>
        <w:t xml:space="preserve">. </w:t>
      </w:r>
    </w:p>
  </w:footnote>
  <w:footnote w:id="29">
    <w:p w14:paraId="156C6CDC" w14:textId="33964833" w:rsidR="006735CB" w:rsidRPr="00441EEC" w:rsidRDefault="006735CB" w:rsidP="005A1C9A">
      <w:pPr>
        <w:pStyle w:val="FootnoteText"/>
        <w:widowControl w:val="0"/>
        <w:jc w:val="both"/>
        <w:rPr>
          <w:sz w:val="20"/>
          <w:szCs w:val="20"/>
        </w:rPr>
      </w:pPr>
      <w:r w:rsidRPr="00441EEC">
        <w:rPr>
          <w:rStyle w:val="FootnoteReference"/>
          <w:sz w:val="20"/>
          <w:szCs w:val="20"/>
        </w:rPr>
        <w:footnoteRef/>
      </w:r>
      <w:r w:rsidRPr="00441EEC">
        <w:rPr>
          <w:sz w:val="20"/>
          <w:szCs w:val="20"/>
        </w:rPr>
        <w:t xml:space="preserve"> </w:t>
      </w:r>
      <w:r>
        <w:rPr>
          <w:sz w:val="20"/>
          <w:szCs w:val="20"/>
        </w:rPr>
        <w:t xml:space="preserve">Only three companies, to my knowledge, voluntarily adopted these requirements in the prior reporting period: Vodafone Group, British Sky Broadcasting Group PLC, and Ashmore Group PLC. These observations are excluded from my analysis. In untabulated tests, I include data for these firms related to their voluntary adoption year and the prior year and the results remain quantitatively and qualitatively unchanged. </w:t>
      </w:r>
    </w:p>
  </w:footnote>
  <w:footnote w:id="30">
    <w:p w14:paraId="6A56F809" w14:textId="1A3A8A0F" w:rsidR="006735CB" w:rsidRPr="00EC5ABB" w:rsidRDefault="006735CB" w:rsidP="005A1C9A">
      <w:pPr>
        <w:pStyle w:val="FootnoteText"/>
        <w:widowControl w:val="0"/>
        <w:jc w:val="both"/>
        <w:rPr>
          <w:sz w:val="20"/>
          <w:szCs w:val="20"/>
        </w:rPr>
      </w:pPr>
      <w:r w:rsidRPr="00EC5ABB">
        <w:rPr>
          <w:rStyle w:val="FootnoteReference"/>
          <w:sz w:val="20"/>
          <w:szCs w:val="20"/>
        </w:rPr>
        <w:footnoteRef/>
      </w:r>
      <w:r w:rsidRPr="00EC5ABB">
        <w:rPr>
          <w:sz w:val="20"/>
          <w:szCs w:val="20"/>
        </w:rPr>
        <w:t xml:space="preserve"> </w:t>
      </w:r>
      <w:r>
        <w:rPr>
          <w:sz w:val="20"/>
          <w:szCs w:val="20"/>
        </w:rPr>
        <w:t xml:space="preserve">I also compute </w:t>
      </w:r>
      <w:r w:rsidRPr="00EC5ABB">
        <w:rPr>
          <w:i/>
          <w:sz w:val="20"/>
          <w:szCs w:val="20"/>
        </w:rPr>
        <w:t>AVOL</w:t>
      </w:r>
      <w:r>
        <w:rPr>
          <w:sz w:val="20"/>
          <w:szCs w:val="20"/>
        </w:rPr>
        <w:t xml:space="preserve"> without taking the natural logarithm to provide an easier interpretation of the abnormal trading volume ratio. This unlogged version has a mean of 1.45 in the pre-period and 2.07 in the post-period. The results using the unlogged version are quantitatively and qualitatively unchanged. It is also worth noting that negative means/medians of </w:t>
      </w:r>
      <w:r w:rsidRPr="00A24837">
        <w:rPr>
          <w:i/>
          <w:sz w:val="20"/>
          <w:szCs w:val="20"/>
        </w:rPr>
        <w:t>AVOL</w:t>
      </w:r>
      <w:r>
        <w:rPr>
          <w:sz w:val="20"/>
          <w:szCs w:val="20"/>
        </w:rPr>
        <w:t xml:space="preserve"> are common around annual report dates </w:t>
      </w:r>
      <w:r>
        <w:rPr>
          <w:sz w:val="20"/>
          <w:szCs w:val="20"/>
        </w:rPr>
        <w:fldChar w:fldCharType="begin">
          <w:fldData xml:space="preserve">PEVuZE5vdGU+PENpdGU+PEF1dGhvcj5Bc3RoYW5hPC9BdXRob3I+PFllYXI+MjAwNDwvWWVhcj48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</w:fldData>
        </w:fldChar>
      </w:r>
      <w:r>
        <w:rPr>
          <w:sz w:val="20"/>
          <w:szCs w:val="20"/>
        </w:rPr>
        <w:instrText xml:space="preserve"> ADDIN EN.CITE </w:instrText>
      </w:r>
      <w:r>
        <w:rPr>
          <w:sz w:val="20"/>
          <w:szCs w:val="20"/>
        </w:rPr>
        <w:fldChar w:fldCharType="begin">
          <w:fldData xml:space="preserve">PEVuZE5vdGU+PENpdGU+PEF1dGhvcj5Bc3RoYW5hPC9BdXRob3I+PFllYXI+MjAwNDwvWWVhcj48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Pr>
          <w:noProof/>
          <w:sz w:val="20"/>
          <w:szCs w:val="20"/>
        </w:rPr>
        <w:t>(</w:t>
      </w:r>
      <w:hyperlink w:anchor="_ENREF_3" w:tooltip="Asthana, 2004 #107" w:history="1">
        <w:r>
          <w:rPr>
            <w:noProof/>
            <w:sz w:val="20"/>
            <w:szCs w:val="20"/>
          </w:rPr>
          <w:t>Asthana et al. 2004</w:t>
        </w:r>
      </w:hyperlink>
      <w:r>
        <w:rPr>
          <w:noProof/>
          <w:sz w:val="20"/>
          <w:szCs w:val="20"/>
        </w:rPr>
        <w:t xml:space="preserve">; </w:t>
      </w:r>
      <w:hyperlink w:anchor="_ENREF_56" w:tooltip="Miller, 2010 #163" w:history="1">
        <w:r>
          <w:rPr>
            <w:noProof/>
            <w:sz w:val="20"/>
            <w:szCs w:val="20"/>
          </w:rPr>
          <w:t>Miller 2010</w:t>
        </w:r>
      </w:hyperlink>
      <w:r>
        <w:rPr>
          <w:noProof/>
          <w:sz w:val="20"/>
          <w:szCs w:val="20"/>
        </w:rPr>
        <w:t>)</w:t>
      </w:r>
      <w:r>
        <w:rPr>
          <w:sz w:val="20"/>
          <w:szCs w:val="20"/>
        </w:rPr>
        <w:fldChar w:fldCharType="end"/>
      </w:r>
      <w:r>
        <w:rPr>
          <w:sz w:val="20"/>
          <w:szCs w:val="20"/>
        </w:rPr>
        <w:t>.</w:t>
      </w:r>
    </w:p>
  </w:footnote>
  <w:footnote w:id="31">
    <w:p w14:paraId="58121191" w14:textId="7AE4ED2A" w:rsidR="006735CB" w:rsidRPr="00AA616D" w:rsidRDefault="006735CB" w:rsidP="00AA616D">
      <w:pPr>
        <w:pStyle w:val="FootnoteText"/>
        <w:jc w:val="both"/>
        <w:rPr>
          <w:sz w:val="20"/>
          <w:szCs w:val="20"/>
        </w:rPr>
      </w:pPr>
      <w:r w:rsidRPr="00AA616D">
        <w:rPr>
          <w:rStyle w:val="FootnoteReference"/>
          <w:sz w:val="20"/>
          <w:szCs w:val="20"/>
        </w:rPr>
        <w:footnoteRef/>
      </w:r>
      <w:r w:rsidRPr="00AA616D">
        <w:rPr>
          <w:sz w:val="20"/>
          <w:szCs w:val="20"/>
        </w:rPr>
        <w:t xml:space="preserve"> </w:t>
      </w:r>
      <w:r>
        <w:rPr>
          <w:sz w:val="20"/>
          <w:szCs w:val="20"/>
        </w:rPr>
        <w:t xml:space="preserve">The positive values for </w:t>
      </w:r>
      <w:r w:rsidRPr="005F58CE">
        <w:rPr>
          <w:i/>
          <w:sz w:val="20"/>
          <w:szCs w:val="20"/>
        </w:rPr>
        <w:t>ASPREAD</w:t>
      </w:r>
      <w:r>
        <w:rPr>
          <w:sz w:val="20"/>
          <w:szCs w:val="20"/>
        </w:rPr>
        <w:t xml:space="preserve"> indicate that on average the issuance of the annual report does not lower information asymmetry relative to the estimation period. This is similar to prior studies that reveal that </w:t>
      </w:r>
      <w:r w:rsidRPr="005F58CE">
        <w:rPr>
          <w:i/>
          <w:sz w:val="20"/>
          <w:szCs w:val="20"/>
        </w:rPr>
        <w:t>ASPREAD</w:t>
      </w:r>
      <w:r>
        <w:rPr>
          <w:sz w:val="20"/>
          <w:szCs w:val="20"/>
        </w:rPr>
        <w:t xml:space="preserve"> on average is positive around earnings announcements </w:t>
      </w:r>
      <w:r>
        <w:rPr>
          <w:sz w:val="20"/>
          <w:szCs w:val="20"/>
        </w:rPr>
        <w:fldChar w:fldCharType="begin"/>
      </w:r>
      <w:r>
        <w:rPr>
          <w:sz w:val="20"/>
          <w:szCs w:val="20"/>
        </w:rPr>
        <w:instrText xml:space="preserve"> ADDIN EN.CITE &lt;EndNote&gt;&lt;Cite&gt;&lt;Author&gt;Bushee&lt;/Author&gt;&lt;Year&gt;2010&lt;/Year&gt;&lt;RecNum&gt;343&lt;/RecNum&gt;&lt;DisplayText&gt;(Bushee et al. 2010)&lt;/DisplayText&gt;&lt;record&gt;&lt;rec-number&gt;343&lt;/rec-number&gt;&lt;foreign-keys&gt;&lt;key app="EN" db-id="frdsfrdx0zpts8ex5pfvfda4s9srzrvrxd9z" timestamp="1412191787"&gt;343&lt;/key&gt;&lt;/foreign-keys&gt;&lt;ref-type name="Journal Article"&gt;17&lt;/ref-type&gt;&lt;contributors&gt;&lt;authors&gt;&lt;author&gt;Bushee, Brian J.&lt;/author&gt;&lt;author&gt;Core, John E.&lt;/author&gt;&lt;author&gt;Guay, Wayne&lt;/author&gt;&lt;author&gt;Hamm, Sophia J. W.&lt;/author&gt;&lt;/authors&gt;&lt;/contributors&gt;&lt;titles&gt;&lt;title&gt;The Role of the Business Press as an Information Intermediary&lt;/title&gt;&lt;secondary-title&gt;Journal of Accounting Research&lt;/secondary-title&gt;&lt;/titles&gt;&lt;periodical&gt;&lt;full-title&gt;Journal of Accounting Research&lt;/full-title&gt;&lt;/periodical&gt;&lt;pages&gt;1-19&lt;/pages&gt;&lt;volume&gt;48&lt;/volume&gt;&lt;number&gt;1&lt;/number&gt;&lt;keywords&gt;&lt;keyword&gt;MASS media&lt;/keyword&gt;&lt;keyword&gt;FINANCIAL statements&lt;/keyword&gt;&lt;keyword&gt;FINANCIAL market reaction&lt;/keyword&gt;&lt;keyword&gt;INFORMATION asymmetry&lt;/keyword&gt;&lt;keyword&gt;FINANCIAL disclosure&lt;/keyword&gt;&lt;keyword&gt;JOURNALISM&lt;/keyword&gt;&lt;keyword&gt;DISCLOSURE of information&lt;/keyword&gt;&lt;keyword&gt;SECURITIES trading&lt;/keyword&gt;&lt;keyword&gt;REGRESSION analysis&lt;/keyword&gt;&lt;keyword&gt;NEWSPAPERS&lt;/keyword&gt;&lt;keyword&gt;NASDAQ Stock Market&lt;/keyword&gt;&lt;keyword&gt;WALL Street Journal, The (Newspaper)&lt;/keyword&gt;&lt;/keywords&gt;&lt;dates&gt;&lt;year&gt;2010&lt;/year&gt;&lt;/dates&gt;&lt;publisher&gt;Wiley-Blackwell&lt;/publisher&gt;&lt;isbn&gt;00218456&lt;/isbn&gt;&lt;accession-num&gt;47582320&lt;/accession-num&gt;&lt;work-type&gt;Article&lt;/work-type&gt;&lt;urls&gt;&lt;related-urls&gt;&lt;url&gt;http://proxy.lib.utk.edu:90/login?url=http://search.ebscohost.com/login.aspx?direct=true&amp;amp;db=bth&amp;amp;AN=47582320&amp;amp;scope=site&lt;/url&gt;&lt;/related-urls&gt;&lt;/urls&gt;&lt;electronic-resource-num&gt;10.1111/j.1475-679X.2009.00357.x&lt;/electronic-resource-num&gt;&lt;remote-database-name&gt;bth&lt;/remote-database-name&gt;&lt;remote-database-provider&gt;EBSCOhost&lt;/remote-database-provider&gt;&lt;/record&gt;&lt;/Cite&gt;&lt;/EndNote&gt;</w:instrText>
      </w:r>
      <w:r>
        <w:rPr>
          <w:sz w:val="20"/>
          <w:szCs w:val="20"/>
        </w:rPr>
        <w:fldChar w:fldCharType="separate"/>
      </w:r>
      <w:r>
        <w:rPr>
          <w:noProof/>
          <w:sz w:val="20"/>
          <w:szCs w:val="20"/>
        </w:rPr>
        <w:t>(</w:t>
      </w:r>
      <w:hyperlink w:anchor="_ENREF_12" w:tooltip="Bushee, 2010 #343" w:history="1">
        <w:r>
          <w:rPr>
            <w:noProof/>
            <w:sz w:val="20"/>
            <w:szCs w:val="20"/>
          </w:rPr>
          <w:t>Bushee et al. 2010</w:t>
        </w:r>
      </w:hyperlink>
      <w:r>
        <w:rPr>
          <w:noProof/>
          <w:sz w:val="20"/>
          <w:szCs w:val="20"/>
        </w:rPr>
        <w:t>)</w:t>
      </w:r>
      <w:r>
        <w:rPr>
          <w:sz w:val="20"/>
          <w:szCs w:val="20"/>
        </w:rPr>
        <w:fldChar w:fldCharType="end"/>
      </w:r>
      <w:r>
        <w:rPr>
          <w:sz w:val="20"/>
          <w:szCs w:val="20"/>
        </w:rPr>
        <w:t>.</w:t>
      </w:r>
    </w:p>
  </w:footnote>
  <w:footnote w:id="32">
    <w:p w14:paraId="3CFB3213" w14:textId="6AF7E6E3" w:rsidR="006735CB" w:rsidRPr="00080673" w:rsidRDefault="006735CB" w:rsidP="005A1C9A">
      <w:pPr>
        <w:pStyle w:val="FootnoteText"/>
        <w:widowControl w:val="0"/>
        <w:jc w:val="both"/>
        <w:rPr>
          <w:sz w:val="20"/>
          <w:szCs w:val="20"/>
        </w:rPr>
      </w:pPr>
      <w:r w:rsidRPr="00080673">
        <w:rPr>
          <w:rStyle w:val="FootnoteReference"/>
          <w:sz w:val="20"/>
          <w:szCs w:val="20"/>
        </w:rPr>
        <w:footnoteRef/>
      </w:r>
      <w:r w:rsidRPr="00080673">
        <w:rPr>
          <w:sz w:val="20"/>
          <w:szCs w:val="20"/>
        </w:rPr>
        <w:t xml:space="preserve"> </w:t>
      </w:r>
      <w:r>
        <w:rPr>
          <w:sz w:val="20"/>
          <w:szCs w:val="20"/>
        </w:rPr>
        <w:t xml:space="preserve"> The increase is calculated as the percentage change in the dependent variable from the pre-period to the post-period. This percentage change is defined as e</w:t>
      </w:r>
      <w:r>
        <w:rPr>
          <w:sz w:val="20"/>
          <w:szCs w:val="20"/>
          <w:vertAlign w:val="superscript"/>
        </w:rPr>
        <w:t>z</w:t>
      </w:r>
      <w:r>
        <w:rPr>
          <w:sz w:val="20"/>
          <w:szCs w:val="20"/>
        </w:rPr>
        <w:t xml:space="preserve"> – 1, where z is the coefficient on the independent variable.</w:t>
      </w:r>
    </w:p>
  </w:footnote>
  <w:footnote w:id="33">
    <w:p w14:paraId="6EB1FDC4" w14:textId="77777777" w:rsidR="006735CB" w:rsidRPr="00AD0AAB" w:rsidRDefault="006735CB" w:rsidP="005A1C9A">
      <w:pPr>
        <w:pStyle w:val="FootnoteText"/>
        <w:widowControl w:val="0"/>
        <w:jc w:val="both"/>
        <w:rPr>
          <w:sz w:val="20"/>
          <w:szCs w:val="20"/>
        </w:rPr>
      </w:pPr>
      <w:r w:rsidRPr="00AD0AAB">
        <w:rPr>
          <w:rStyle w:val="FootnoteReference"/>
          <w:sz w:val="20"/>
          <w:szCs w:val="20"/>
        </w:rPr>
        <w:footnoteRef/>
      </w:r>
      <w:r w:rsidRPr="00AD0AAB">
        <w:rPr>
          <w:sz w:val="20"/>
          <w:szCs w:val="20"/>
        </w:rPr>
        <w:t xml:space="preserve"> </w:t>
      </w:r>
      <w:r>
        <w:rPr>
          <w:sz w:val="20"/>
          <w:szCs w:val="20"/>
        </w:rPr>
        <w:t xml:space="preserve">While not directly tested, it is also likely like that the information disclosed in the auditor’s report influences the information contained in the audit committee report. In future tests, I will use hand collected data from both audit and audit committee reports to further explore the effects of reporting differences. </w:t>
      </w:r>
    </w:p>
  </w:footnote>
  <w:footnote w:id="34">
    <w:p w14:paraId="3D613753" w14:textId="0E239A73" w:rsidR="006735CB" w:rsidRPr="00426F2E" w:rsidRDefault="006735CB" w:rsidP="005A1C9A">
      <w:pPr>
        <w:pStyle w:val="FootnoteText"/>
        <w:widowControl w:val="0"/>
        <w:jc w:val="both"/>
        <w:rPr>
          <w:sz w:val="20"/>
          <w:szCs w:val="20"/>
        </w:rPr>
      </w:pPr>
      <w:r w:rsidRPr="004444BE">
        <w:rPr>
          <w:rStyle w:val="FootnoteReference"/>
          <w:sz w:val="20"/>
          <w:szCs w:val="20"/>
        </w:rPr>
        <w:footnoteRef/>
      </w:r>
      <w:r w:rsidRPr="004444BE">
        <w:rPr>
          <w:sz w:val="20"/>
          <w:szCs w:val="20"/>
        </w:rPr>
        <w:t xml:space="preserve"> In untabulated tests, I examine whether the impact of the auditor and audit committee report revisions on abnormal trading volume and bid-ask spreads varied between firms with a Big 4 auditor versus firms with a non-Big 4 auditor. However, since Big 4 firms audit over 92 percent of the companies in this study’s main sample, it is not surpr</w:t>
      </w:r>
      <w:r>
        <w:rPr>
          <w:sz w:val="20"/>
          <w:szCs w:val="20"/>
        </w:rPr>
        <w:t xml:space="preserve">ising that I do not document </w:t>
      </w:r>
      <w:r w:rsidRPr="004444BE">
        <w:rPr>
          <w:sz w:val="20"/>
          <w:szCs w:val="20"/>
        </w:rPr>
        <w:t>a differential impact based on whether the firm is audited by a Big 4 or non-Big 4 auditor.</w:t>
      </w:r>
    </w:p>
  </w:footnote>
  <w:footnote w:id="35">
    <w:p w14:paraId="33649D73" w14:textId="2596B68A" w:rsidR="006735CB" w:rsidRPr="00B818E4" w:rsidRDefault="006735CB" w:rsidP="005A1C9A">
      <w:pPr>
        <w:pStyle w:val="FootnoteText"/>
        <w:widowControl w:val="0"/>
        <w:jc w:val="both"/>
        <w:rPr>
          <w:sz w:val="20"/>
          <w:szCs w:val="20"/>
        </w:rPr>
      </w:pPr>
      <w:r w:rsidRPr="00DB403A">
        <w:rPr>
          <w:rStyle w:val="FootnoteReference"/>
          <w:sz w:val="20"/>
          <w:szCs w:val="20"/>
        </w:rPr>
        <w:footnoteRef/>
      </w:r>
      <w:r w:rsidRPr="00DB403A">
        <w:rPr>
          <w:sz w:val="20"/>
          <w:szCs w:val="20"/>
        </w:rPr>
        <w:t xml:space="preserve"> The Citigroup report appears to deem a report useful if the information provided is entity-specific and if there is a great degree of detail regarding risks, materiality, and scope. KPMG UK has </w:t>
      </w:r>
      <w:r>
        <w:rPr>
          <w:sz w:val="20"/>
          <w:szCs w:val="20"/>
        </w:rPr>
        <w:t xml:space="preserve">also </w:t>
      </w:r>
      <w:r w:rsidRPr="00DB403A">
        <w:rPr>
          <w:sz w:val="20"/>
          <w:szCs w:val="20"/>
        </w:rPr>
        <w:t xml:space="preserve">stated that they expect “shareholders to be more interested in matters like misstatements or disagreements with management identified during the audit and how these have been resolved” </w:t>
      </w:r>
      <w:r w:rsidRPr="00DB403A">
        <w:rPr>
          <w:sz w:val="20"/>
          <w:szCs w:val="20"/>
        </w:rPr>
        <w:fldChar w:fldCharType="begin"/>
      </w:r>
      <w:r w:rsidRPr="00DB403A">
        <w:rPr>
          <w:sz w:val="20"/>
          <w:szCs w:val="20"/>
        </w:rPr>
        <w:instrText xml:space="preserve"> ADDIN EN.CITE &lt;EndNote&gt;&lt;Cite&gt;&lt;Author&gt;Cates&lt;/Author&gt;&lt;Year&gt;2013&lt;/Year&gt;&lt;RecNum&gt;364&lt;/RecNum&gt;&lt;DisplayText&gt;(Cates 2013)&lt;/DisplayText&gt;&lt;record&gt;&lt;rec-number&gt;364&lt;/rec-number&gt;&lt;foreign-keys&gt;&lt;key app="EN" db-id="frdsfrdx0zpts8ex5pfvfda4s9srzrvrxd9z" timestamp="1416000021"&gt;364&lt;/key&gt;&lt;/foreign-keys&gt;&lt;ref-type name="Journal Article"&gt;17&lt;/ref-type&gt;&lt;contributors&gt;&lt;authors&gt;&lt;author&gt;Cates, Tony&lt;/author&gt;&lt;/authors&gt;&lt;/contributors&gt;&lt;titles&gt;&lt;title&gt;KPMG UK Comment Letter on FRC Revision to ISA (UK and Ireland) 700: Requiring the auditor&amp;apos;s report to address risks of material misstatement, materiality and a summary of audit scope&lt;/title&gt;&lt;/titles&gt;&lt;dates&gt;&lt;year&gt;2013&lt;/year&gt;&lt;/dates&gt;&lt;urls&gt;&lt;/urls&gt;&lt;/record&gt;&lt;/Cite&gt;&lt;/EndNote&gt;</w:instrText>
      </w:r>
      <w:r w:rsidRPr="00DB403A">
        <w:rPr>
          <w:sz w:val="20"/>
          <w:szCs w:val="20"/>
        </w:rPr>
        <w:fldChar w:fldCharType="separate"/>
      </w:r>
      <w:r w:rsidRPr="00DB403A">
        <w:rPr>
          <w:noProof/>
          <w:sz w:val="20"/>
          <w:szCs w:val="20"/>
        </w:rPr>
        <w:t>(</w:t>
      </w:r>
      <w:hyperlink w:anchor="_ENREF_21" w:tooltip="Cates, 2013 #364" w:history="1">
        <w:r w:rsidRPr="00DB403A">
          <w:rPr>
            <w:noProof/>
            <w:sz w:val="20"/>
            <w:szCs w:val="20"/>
          </w:rPr>
          <w:t>Cates 2013</w:t>
        </w:r>
      </w:hyperlink>
      <w:r w:rsidRPr="00DB403A">
        <w:rPr>
          <w:noProof/>
          <w:sz w:val="20"/>
          <w:szCs w:val="20"/>
        </w:rPr>
        <w:t>)</w:t>
      </w:r>
      <w:r w:rsidRPr="00DB403A">
        <w:rPr>
          <w:sz w:val="20"/>
          <w:szCs w:val="20"/>
        </w:rPr>
        <w:fldChar w:fldCharType="end"/>
      </w:r>
      <w:r w:rsidRPr="00DB403A">
        <w:rPr>
          <w:sz w:val="20"/>
          <w:szCs w:val="20"/>
        </w:rPr>
        <w:t>. In fact, KPMG UK has now formally implemented an approach to reporting that goes further than the FRC’s requiremen</w:t>
      </w:r>
      <w:r>
        <w:rPr>
          <w:sz w:val="20"/>
          <w:szCs w:val="20"/>
        </w:rPr>
        <w:t xml:space="preserve">ts </w:t>
      </w:r>
      <w:r w:rsidRPr="00DB403A">
        <w:rPr>
          <w:sz w:val="20"/>
          <w:szCs w:val="20"/>
        </w:rPr>
        <w:fldChar w:fldCharType="begin"/>
      </w:r>
      <w:r>
        <w:rPr>
          <w:sz w:val="20"/>
          <w:szCs w:val="20"/>
        </w:rPr>
        <w:instrText xml:space="preserve"> ADDIN EN.CITE &lt;EndNote&gt;&lt;Cite&gt;&lt;Author&gt;Collins&lt;/Author&gt;&lt;Year&gt;2014&lt;/Year&gt;&lt;RecNum&gt;366&lt;/RecNum&gt;&lt;DisplayText&gt;(Collins and Cates 2014)&lt;/DisplayText&gt;&lt;record&gt;&lt;rec-number&gt;366&lt;/rec-number&gt;&lt;foreign-keys&gt;&lt;key app="EN" db-id="frdsfrdx0zpts8ex5pfvfda4s9srzrvrxd9z" timestamp="1416000947"&gt;366&lt;/key&gt;&lt;/foreign-keys&gt;&lt;ref-type name="Journal Article"&gt;17&lt;/ref-type&gt;&lt;contributors&gt;&lt;authors&gt;&lt;author&gt;Collins, Simon&lt;/author&gt;&lt;author&gt;Cates, Tony&lt;/author&gt;&lt;/authors&gt;&lt;/contributors&gt;&lt;titles&gt;&lt;title&gt;KPMG UK Sharing audit insights: Our approach to reporting our findings&lt;/title&gt;&lt;/titles&gt;&lt;dates&gt;&lt;year&gt;2014&lt;/year&gt;&lt;/dates&gt;&lt;urls&gt;&lt;related-urls&gt;&lt;url&gt;http://www.kpmg.com/uk/en/issuesandinsights/articlespublications/newsreleases/pages/kpmg-announces-radical-new-approach-to-audit-reports.aspx&lt;/url&gt;&lt;/related-urls&gt;&lt;/urls&gt;&lt;/record&gt;&lt;/Cite&gt;&lt;Cite&gt;&lt;Author&gt;Collins&lt;/Author&gt;&lt;Year&gt;2014&lt;/Year&gt;&lt;RecNum&gt;366&lt;/RecNum&gt;&lt;record&gt;&lt;rec-number&gt;366&lt;/rec-number&gt;&lt;foreign-keys&gt;&lt;key app="EN" db-id="frdsfrdx0zpts8ex5pfvfda4s9srzrvrxd9z" timestamp="1416000947"&gt;366&lt;/key&gt;&lt;/foreign-keys&gt;&lt;ref-type name="Journal Article"&gt;17&lt;/ref-type&gt;&lt;contributors&gt;&lt;authors&gt;&lt;author&gt;Collins, Simon&lt;/author&gt;&lt;author&gt;Cates, Tony&lt;/author&gt;&lt;/authors&gt;&lt;/contributors&gt;&lt;titles&gt;&lt;title&gt;KPMG UK Sharing audit insights: Our approach to reporting our findings&lt;/title&gt;&lt;/titles&gt;&lt;dates&gt;&lt;year&gt;2014&lt;/year&gt;&lt;/dates&gt;&lt;urls&gt;&lt;related-urls&gt;&lt;url&gt;http://www.kpmg.com/uk/en/issuesandinsights/articlespublications/newsreleases/pages/kpmg-announces-radical-new-approach-to-audit-reports.aspx&lt;/url&gt;&lt;/related-urls&gt;&lt;/urls&gt;&lt;/record&gt;&lt;/Cite&gt;&lt;/EndNote&gt;</w:instrText>
      </w:r>
      <w:r w:rsidRPr="00DB403A">
        <w:rPr>
          <w:sz w:val="20"/>
          <w:szCs w:val="20"/>
        </w:rPr>
        <w:fldChar w:fldCharType="separate"/>
      </w:r>
      <w:r>
        <w:rPr>
          <w:noProof/>
          <w:sz w:val="20"/>
          <w:szCs w:val="20"/>
        </w:rPr>
        <w:t>(</w:t>
      </w:r>
      <w:hyperlink w:anchor="_ENREF_28" w:tooltip="Collins, 2014 #366" w:history="1">
        <w:r>
          <w:rPr>
            <w:noProof/>
            <w:sz w:val="20"/>
            <w:szCs w:val="20"/>
          </w:rPr>
          <w:t>Collins and Cates 2014</w:t>
        </w:r>
      </w:hyperlink>
      <w:r>
        <w:rPr>
          <w:noProof/>
          <w:sz w:val="20"/>
          <w:szCs w:val="20"/>
        </w:rPr>
        <w:t>)</w:t>
      </w:r>
      <w:r w:rsidRPr="00DB403A">
        <w:rPr>
          <w:sz w:val="20"/>
          <w:szCs w:val="20"/>
        </w:rPr>
        <w:fldChar w:fldCharType="end"/>
      </w:r>
      <w:r w:rsidRPr="00DB403A">
        <w:rPr>
          <w:sz w:val="20"/>
          <w:szCs w:val="20"/>
        </w:rPr>
        <w:t>.</w:t>
      </w:r>
      <w:r>
        <w:rPr>
          <w:sz w:val="20"/>
          <w:szCs w:val="20"/>
        </w:rPr>
        <w:t xml:space="preserve"> </w:t>
      </w:r>
    </w:p>
  </w:footnote>
  <w:footnote w:id="36">
    <w:p w14:paraId="0FDE6622" w14:textId="56E2DC77" w:rsidR="006735CB" w:rsidRPr="00E14EA0" w:rsidRDefault="006735CB" w:rsidP="005A1C9A">
      <w:pPr>
        <w:pStyle w:val="FootnoteText"/>
        <w:widowControl w:val="0"/>
        <w:jc w:val="both"/>
        <w:rPr>
          <w:sz w:val="20"/>
          <w:szCs w:val="20"/>
        </w:rPr>
      </w:pPr>
      <w:r w:rsidRPr="00E14EA0">
        <w:rPr>
          <w:rStyle w:val="FootnoteReference"/>
          <w:sz w:val="20"/>
          <w:szCs w:val="20"/>
        </w:rPr>
        <w:footnoteRef/>
      </w:r>
      <w:r w:rsidRPr="00E14EA0">
        <w:rPr>
          <w:sz w:val="20"/>
          <w:szCs w:val="20"/>
        </w:rPr>
        <w:t xml:space="preserve"> Note that Datastream is used to gather trading</w:t>
      </w:r>
      <w:r>
        <w:rPr>
          <w:sz w:val="20"/>
          <w:szCs w:val="20"/>
        </w:rPr>
        <w:t xml:space="preserve"> volume and bid-ask spread data</w:t>
      </w:r>
      <w:r w:rsidRPr="00E14EA0">
        <w:rPr>
          <w:sz w:val="20"/>
          <w:szCs w:val="20"/>
        </w:rPr>
        <w:t xml:space="preserve"> </w:t>
      </w:r>
      <w:r>
        <w:rPr>
          <w:sz w:val="20"/>
          <w:szCs w:val="20"/>
        </w:rPr>
        <w:t>since</w:t>
      </w:r>
      <w:r w:rsidRPr="00E14EA0">
        <w:rPr>
          <w:sz w:val="20"/>
          <w:szCs w:val="20"/>
        </w:rPr>
        <w:t xml:space="preserve"> CRSP data is only available through December 31, 2013. </w:t>
      </w:r>
    </w:p>
  </w:footnote>
  <w:footnote w:id="37">
    <w:p w14:paraId="57001AC0" w14:textId="4B9B6DCF" w:rsidR="006735CB" w:rsidRPr="00E14EA0" w:rsidRDefault="006735CB" w:rsidP="005A1C9A">
      <w:pPr>
        <w:pStyle w:val="FootnoteText"/>
        <w:widowControl w:val="0"/>
        <w:jc w:val="both"/>
        <w:rPr>
          <w:sz w:val="20"/>
          <w:szCs w:val="20"/>
        </w:rPr>
      </w:pPr>
      <w:r w:rsidRPr="006C0414">
        <w:rPr>
          <w:rStyle w:val="FootnoteReference"/>
          <w:sz w:val="20"/>
          <w:szCs w:val="20"/>
        </w:rPr>
        <w:footnoteRef/>
      </w:r>
      <w:r w:rsidRPr="006C0414">
        <w:rPr>
          <w:sz w:val="20"/>
          <w:szCs w:val="20"/>
        </w:rPr>
        <w:t xml:space="preserve"> </w:t>
      </w:r>
      <w:r>
        <w:rPr>
          <w:sz w:val="20"/>
          <w:szCs w:val="20"/>
        </w:rPr>
        <w:t xml:space="preserve">Twenty-one of the U.K. Premium equity companies in the sample are cross-listed on the NYSE. I perform two untabulated tests related to these firms. First, I exclude the cross-listed observations and the results remain quantitatively and qualitatively the same.  Second, I restrict the U.K. sample to the 21 firms cross-listed in the U.S. and find that compared to U.S. firms, the U.K. cross-listed firms have a larger decrease in abnormal bid-ask spreads (p&lt;0.05) from the pre-period to the post-period. The coefficient on </w:t>
      </w:r>
      <w:r w:rsidRPr="00FA0CAD">
        <w:rPr>
          <w:i/>
          <w:sz w:val="20"/>
          <w:szCs w:val="20"/>
        </w:rPr>
        <w:t>POST x UK</w:t>
      </w:r>
      <w:r>
        <w:rPr>
          <w:sz w:val="20"/>
          <w:szCs w:val="20"/>
        </w:rPr>
        <w:t xml:space="preserve"> in the abnormal trading volume model is positive, but insignificant using this significantly reduced sample. </w:t>
      </w:r>
    </w:p>
  </w:footnote>
  <w:footnote w:id="38">
    <w:p w14:paraId="21C0C4F8" w14:textId="4F61F112" w:rsidR="006735CB" w:rsidRPr="00E14EA0" w:rsidRDefault="006735CB" w:rsidP="005A1C9A">
      <w:pPr>
        <w:pStyle w:val="FootnoteText"/>
        <w:widowControl w:val="0"/>
        <w:jc w:val="both"/>
        <w:rPr>
          <w:sz w:val="20"/>
          <w:szCs w:val="20"/>
        </w:rPr>
      </w:pPr>
      <w:r w:rsidRPr="00E14EA0">
        <w:rPr>
          <w:rStyle w:val="FootnoteReference"/>
          <w:sz w:val="20"/>
          <w:szCs w:val="20"/>
        </w:rPr>
        <w:footnoteRef/>
      </w:r>
      <w:r w:rsidRPr="00E14EA0">
        <w:rPr>
          <w:sz w:val="20"/>
          <w:szCs w:val="20"/>
        </w:rPr>
        <w:t xml:space="preserve"> I employ a caliper of 3 percent within the matching process to ensure a reasonable level of matching. In addition, the matching process is performed without replacement – thus no observations are duplicated in the matched sample.</w:t>
      </w:r>
      <w:r>
        <w:rPr>
          <w:sz w:val="20"/>
          <w:szCs w:val="20"/>
        </w:rPr>
        <w:t xml:space="preserve"> It is important to note that untabulated tests confirm that there are no significant differences in the control variables of the U.K. and U.S. firms in the matched sample. </w:t>
      </w:r>
    </w:p>
  </w:footnote>
  <w:footnote w:id="39">
    <w:p w14:paraId="02BB9893" w14:textId="2124F5FC" w:rsidR="006735CB" w:rsidRPr="003F65B0" w:rsidRDefault="006735CB" w:rsidP="005A1C9A">
      <w:pPr>
        <w:pStyle w:val="FootnoteText"/>
        <w:widowControl w:val="0"/>
        <w:jc w:val="both"/>
        <w:rPr>
          <w:sz w:val="20"/>
          <w:szCs w:val="20"/>
        </w:rPr>
      </w:pPr>
      <w:r w:rsidRPr="003F65B0">
        <w:rPr>
          <w:rStyle w:val="FootnoteReference"/>
          <w:sz w:val="20"/>
          <w:szCs w:val="20"/>
        </w:rPr>
        <w:footnoteRef/>
      </w:r>
      <w:r w:rsidRPr="003F65B0">
        <w:rPr>
          <w:sz w:val="20"/>
          <w:szCs w:val="20"/>
        </w:rPr>
        <w:t xml:space="preserve"> Given the nature of firms listed on the AIM, the availability of data is limited for these companies, especially after imposing the balanced panel requirement.</w:t>
      </w:r>
    </w:p>
  </w:footnote>
  <w:footnote w:id="40">
    <w:p w14:paraId="2675D629" w14:textId="4CD2EFB7" w:rsidR="006735CB" w:rsidRPr="002502FB" w:rsidRDefault="006735CB" w:rsidP="005A1C9A">
      <w:pPr>
        <w:pStyle w:val="NoSpacing"/>
        <w:widowControl w:val="0"/>
        <w:contextualSpacing/>
        <w:jc w:val="both"/>
        <w:rPr>
          <w:rFonts w:ascii="Times New Roman" w:hAnsi="Times New Roman"/>
          <w:sz w:val="20"/>
          <w:szCs w:val="20"/>
        </w:rPr>
      </w:pPr>
      <w:r w:rsidRPr="002502FB">
        <w:rPr>
          <w:rStyle w:val="FootnoteReference"/>
          <w:rFonts w:ascii="Times New Roman" w:hAnsi="Times New Roman"/>
          <w:sz w:val="20"/>
          <w:szCs w:val="20"/>
        </w:rPr>
        <w:footnoteRef/>
      </w:r>
      <w:r w:rsidRPr="002502FB">
        <w:rPr>
          <w:rFonts w:ascii="Times New Roman" w:hAnsi="Times New Roman"/>
          <w:sz w:val="20"/>
          <w:szCs w:val="20"/>
        </w:rPr>
        <w:t xml:space="preserve"> In untabulated tests, I confirm these differences and find that all control variables from equations (1) and (2) are significantly different between the AIM and Premium firms at the p&lt;0.01 level except for </w:t>
      </w:r>
      <w:r w:rsidRPr="002502FB">
        <w:rPr>
          <w:rFonts w:ascii="Times New Roman" w:hAnsi="Times New Roman"/>
          <w:i/>
          <w:sz w:val="20"/>
          <w:szCs w:val="20"/>
        </w:rPr>
        <w:t>DISP</w:t>
      </w:r>
      <w:r w:rsidRPr="002502FB">
        <w:rPr>
          <w:rFonts w:ascii="Times New Roman" w:hAnsi="Times New Roman"/>
          <w:sz w:val="20"/>
          <w:szCs w:val="20"/>
        </w:rPr>
        <w:t xml:space="preserve">. </w:t>
      </w:r>
    </w:p>
  </w:footnote>
  <w:footnote w:id="41">
    <w:p w14:paraId="48846E11" w14:textId="24D0732B" w:rsidR="006735CB" w:rsidRPr="00AF0270" w:rsidRDefault="006735CB" w:rsidP="005A1C9A">
      <w:pPr>
        <w:pStyle w:val="FootnoteText"/>
        <w:widowControl w:val="0"/>
        <w:jc w:val="both"/>
        <w:rPr>
          <w:sz w:val="20"/>
          <w:szCs w:val="20"/>
        </w:rPr>
      </w:pPr>
      <w:r w:rsidRPr="00AF0270">
        <w:rPr>
          <w:rStyle w:val="FootnoteReference"/>
          <w:sz w:val="20"/>
          <w:szCs w:val="20"/>
        </w:rPr>
        <w:footnoteRef/>
      </w:r>
      <w:r w:rsidRPr="00AF0270">
        <w:rPr>
          <w:sz w:val="20"/>
          <w:szCs w:val="20"/>
        </w:rPr>
        <w:t xml:space="preserve"> </w:t>
      </w:r>
      <w:r>
        <w:rPr>
          <w:sz w:val="20"/>
          <w:szCs w:val="20"/>
        </w:rPr>
        <w:t xml:space="preserve">Note that the additional data requirements for </w:t>
      </w:r>
      <w:r w:rsidRPr="00FB3D97">
        <w:rPr>
          <w:i/>
          <w:sz w:val="20"/>
          <w:szCs w:val="20"/>
        </w:rPr>
        <w:t>t-</w:t>
      </w:r>
      <w:r>
        <w:rPr>
          <w:i/>
          <w:sz w:val="20"/>
          <w:szCs w:val="20"/>
        </w:rPr>
        <w:t>2</w:t>
      </w:r>
      <w:r>
        <w:rPr>
          <w:sz w:val="20"/>
          <w:szCs w:val="20"/>
        </w:rPr>
        <w:t xml:space="preserve"> result in the loss of 132 firm-year observations.</w:t>
      </w:r>
    </w:p>
  </w:footnote>
  <w:footnote w:id="42">
    <w:p w14:paraId="37B4F5E8" w14:textId="234D253C" w:rsidR="006735CB" w:rsidRPr="009872A9" w:rsidRDefault="006735CB" w:rsidP="005A1C9A">
      <w:pPr>
        <w:pStyle w:val="FootnoteText"/>
        <w:widowControl w:val="0"/>
        <w:jc w:val="both"/>
        <w:rPr>
          <w:sz w:val="20"/>
          <w:szCs w:val="20"/>
        </w:rPr>
      </w:pPr>
      <w:r w:rsidRPr="009872A9">
        <w:rPr>
          <w:rStyle w:val="FootnoteReference"/>
          <w:sz w:val="20"/>
          <w:szCs w:val="20"/>
        </w:rPr>
        <w:footnoteRef/>
      </w:r>
      <w:r w:rsidRPr="009872A9">
        <w:rPr>
          <w:sz w:val="20"/>
          <w:szCs w:val="20"/>
        </w:rPr>
        <w:t xml:space="preserve"> </w:t>
      </w:r>
      <w:r>
        <w:rPr>
          <w:sz w:val="20"/>
          <w:szCs w:val="20"/>
        </w:rPr>
        <w:t>While I did not expect to find changes in the abnormal trading volume and bid-ask spreads around the earnings announcement dates from the prior year to the first year of implementation of the reporting requirements, it is possible that the new audit committee and auditor report requirements could impact management’s disclosure practices around earnings releases over time. Future research could examine whether the information contained in earnings announcements change over time as a result of the auditor and audit committee reporting changes.</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16F76D3"/>
    <w:multiLevelType w:val="hybridMultilevel"/>
    <w:tmpl w:val="1B141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6B2F7F"/>
    <w:multiLevelType w:val="hybridMultilevel"/>
    <w:tmpl w:val="7E027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6F6CFE"/>
    <w:multiLevelType w:val="hybridMultilevel"/>
    <w:tmpl w:val="735E6F0E"/>
    <w:lvl w:ilvl="0" w:tplc="9B301C14">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nsid w:val="43A00776"/>
    <w:multiLevelType w:val="hybridMultilevel"/>
    <w:tmpl w:val="D9AC53AE"/>
    <w:lvl w:ilvl="0" w:tplc="A920A96A">
      <w:start w:val="2"/>
      <w:numFmt w:val="bullet"/>
      <w:lvlText w:val="-"/>
      <w:lvlJc w:val="left"/>
      <w:pPr>
        <w:ind w:left="720" w:hanging="360"/>
      </w:pPr>
      <w:rPr>
        <w:rFonts w:ascii="Cambria" w:eastAsiaTheme="minorEastAsia" w:hAnsi="Cambria" w:cstheme="minorBidi" w:hint="default"/>
        <w:sz w:val="24"/>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97D5121"/>
    <w:multiLevelType w:val="hybridMultilevel"/>
    <w:tmpl w:val="CC906B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542E5B"/>
    <w:multiLevelType w:val="hybridMultilevel"/>
    <w:tmpl w:val="B20644D0"/>
    <w:lvl w:ilvl="0" w:tplc="5FC6B974">
      <w:start w:val="1"/>
      <w:numFmt w:val="decimal"/>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5D023B6"/>
    <w:multiLevelType w:val="hybridMultilevel"/>
    <w:tmpl w:val="FD1CA7FE"/>
    <w:lvl w:ilvl="0" w:tplc="3760A796">
      <w:start w:val="2"/>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CC0A1B"/>
    <w:multiLevelType w:val="hybridMultilevel"/>
    <w:tmpl w:val="6DCE17E4"/>
    <w:lvl w:ilvl="0" w:tplc="0C86DF76">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1621405"/>
    <w:multiLevelType w:val="hybridMultilevel"/>
    <w:tmpl w:val="7828F8E0"/>
    <w:lvl w:ilvl="0" w:tplc="3290105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3"/>
  </w:num>
  <w:num w:numId="5">
    <w:abstractNumId w:val="4"/>
  </w:num>
  <w:num w:numId="6">
    <w:abstractNumId w:val="7"/>
  </w:num>
  <w:num w:numId="7">
    <w:abstractNumId w:val="8"/>
  </w:num>
  <w:num w:numId="8">
    <w:abstractNumId w:val="6"/>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0&lt;/ScanUnformatted&gt;&lt;ScanChanges&gt;1&lt;/ScanChanges&gt;&lt;Suspended&gt;0&lt;/Suspended&gt;&lt;/ENInstantFormat&gt;"/>
    <w:docVar w:name="EN.Layout" w:val="&lt;ENLayout&gt;&lt;Style&gt;Accounting Review&lt;/Style&gt;&lt;LeftDelim&gt;{&lt;/LeftDelim&gt;&lt;RightDelim&gt;}&lt;/RightDelim&gt;&lt;FontName&gt;Times New Roman&lt;/FontName&gt;&lt;FontSize&gt;12&lt;/FontSize&gt;&lt;ReflistTitle&gt;&lt;/ReflistTitle&gt;&lt;StartingRefnum&gt;0&lt;/StartingRefnum&gt;&lt;FirstLineIndent&gt;0&lt;/FirstLineIndent&gt;&lt;HangingIndent&gt;720&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Libraries&gt;"/>
  </w:docVars>
  <w:rsids>
    <w:rsidRoot w:val="003906B6"/>
    <w:rsid w:val="000002DC"/>
    <w:rsid w:val="000003D6"/>
    <w:rsid w:val="00000842"/>
    <w:rsid w:val="00000C96"/>
    <w:rsid w:val="000013B4"/>
    <w:rsid w:val="000022BB"/>
    <w:rsid w:val="00002D19"/>
    <w:rsid w:val="00002D26"/>
    <w:rsid w:val="00003C45"/>
    <w:rsid w:val="00004F5E"/>
    <w:rsid w:val="000052A0"/>
    <w:rsid w:val="00005A09"/>
    <w:rsid w:val="000060ED"/>
    <w:rsid w:val="00006465"/>
    <w:rsid w:val="000069C7"/>
    <w:rsid w:val="0000736C"/>
    <w:rsid w:val="00010504"/>
    <w:rsid w:val="00010959"/>
    <w:rsid w:val="00010A1D"/>
    <w:rsid w:val="00010E26"/>
    <w:rsid w:val="000115FF"/>
    <w:rsid w:val="00012409"/>
    <w:rsid w:val="000129FF"/>
    <w:rsid w:val="00012D6B"/>
    <w:rsid w:val="00012E15"/>
    <w:rsid w:val="000130B1"/>
    <w:rsid w:val="0001393E"/>
    <w:rsid w:val="00014CC2"/>
    <w:rsid w:val="00014CD3"/>
    <w:rsid w:val="00014FB4"/>
    <w:rsid w:val="00017D33"/>
    <w:rsid w:val="000208E1"/>
    <w:rsid w:val="00021285"/>
    <w:rsid w:val="0002169F"/>
    <w:rsid w:val="000222A0"/>
    <w:rsid w:val="00022E40"/>
    <w:rsid w:val="00023046"/>
    <w:rsid w:val="00023342"/>
    <w:rsid w:val="0002388C"/>
    <w:rsid w:val="00024169"/>
    <w:rsid w:val="0002486B"/>
    <w:rsid w:val="00024931"/>
    <w:rsid w:val="000259C9"/>
    <w:rsid w:val="00025CA5"/>
    <w:rsid w:val="00025EE7"/>
    <w:rsid w:val="000263D6"/>
    <w:rsid w:val="00026DB7"/>
    <w:rsid w:val="00030971"/>
    <w:rsid w:val="00030A76"/>
    <w:rsid w:val="0003111D"/>
    <w:rsid w:val="0003172E"/>
    <w:rsid w:val="000317AC"/>
    <w:rsid w:val="000319E5"/>
    <w:rsid w:val="0003281F"/>
    <w:rsid w:val="00032A21"/>
    <w:rsid w:val="00033340"/>
    <w:rsid w:val="000338BD"/>
    <w:rsid w:val="000338E0"/>
    <w:rsid w:val="0003410C"/>
    <w:rsid w:val="000346F6"/>
    <w:rsid w:val="0003538A"/>
    <w:rsid w:val="00035C98"/>
    <w:rsid w:val="00035DF6"/>
    <w:rsid w:val="00036062"/>
    <w:rsid w:val="000373E3"/>
    <w:rsid w:val="00037C2F"/>
    <w:rsid w:val="00037EBC"/>
    <w:rsid w:val="0004014F"/>
    <w:rsid w:val="000404F7"/>
    <w:rsid w:val="000413A5"/>
    <w:rsid w:val="000423C7"/>
    <w:rsid w:val="00042554"/>
    <w:rsid w:val="0004364D"/>
    <w:rsid w:val="00043731"/>
    <w:rsid w:val="00043FA4"/>
    <w:rsid w:val="000443D0"/>
    <w:rsid w:val="00044518"/>
    <w:rsid w:val="000454F6"/>
    <w:rsid w:val="000458E3"/>
    <w:rsid w:val="00045F87"/>
    <w:rsid w:val="0004659F"/>
    <w:rsid w:val="00046C41"/>
    <w:rsid w:val="00046C48"/>
    <w:rsid w:val="00046E63"/>
    <w:rsid w:val="0004716F"/>
    <w:rsid w:val="00047811"/>
    <w:rsid w:val="00047FC5"/>
    <w:rsid w:val="000517CB"/>
    <w:rsid w:val="00051EBF"/>
    <w:rsid w:val="00052053"/>
    <w:rsid w:val="0005210A"/>
    <w:rsid w:val="000537AD"/>
    <w:rsid w:val="0005390E"/>
    <w:rsid w:val="0005417F"/>
    <w:rsid w:val="00054ADA"/>
    <w:rsid w:val="000551C4"/>
    <w:rsid w:val="00055A34"/>
    <w:rsid w:val="00055F21"/>
    <w:rsid w:val="00056179"/>
    <w:rsid w:val="00056A30"/>
    <w:rsid w:val="00056D79"/>
    <w:rsid w:val="00057DE0"/>
    <w:rsid w:val="00057F1F"/>
    <w:rsid w:val="0006031A"/>
    <w:rsid w:val="00060441"/>
    <w:rsid w:val="0006070A"/>
    <w:rsid w:val="0006098F"/>
    <w:rsid w:val="00060EC4"/>
    <w:rsid w:val="00060EDF"/>
    <w:rsid w:val="00060F80"/>
    <w:rsid w:val="000610BA"/>
    <w:rsid w:val="000620B2"/>
    <w:rsid w:val="000624E9"/>
    <w:rsid w:val="0006286E"/>
    <w:rsid w:val="00062F16"/>
    <w:rsid w:val="00063494"/>
    <w:rsid w:val="000636EE"/>
    <w:rsid w:val="00063838"/>
    <w:rsid w:val="0006399C"/>
    <w:rsid w:val="000639CE"/>
    <w:rsid w:val="0006495F"/>
    <w:rsid w:val="00064D4D"/>
    <w:rsid w:val="0006566C"/>
    <w:rsid w:val="000658F0"/>
    <w:rsid w:val="00066935"/>
    <w:rsid w:val="00066B1E"/>
    <w:rsid w:val="00066BF7"/>
    <w:rsid w:val="000673D0"/>
    <w:rsid w:val="000673D3"/>
    <w:rsid w:val="00067B1D"/>
    <w:rsid w:val="00067FF7"/>
    <w:rsid w:val="000702DB"/>
    <w:rsid w:val="00070339"/>
    <w:rsid w:val="00070A6C"/>
    <w:rsid w:val="00070E1A"/>
    <w:rsid w:val="000712C3"/>
    <w:rsid w:val="0007150D"/>
    <w:rsid w:val="00071E77"/>
    <w:rsid w:val="00071F24"/>
    <w:rsid w:val="00072031"/>
    <w:rsid w:val="00072DF3"/>
    <w:rsid w:val="000730E1"/>
    <w:rsid w:val="000732DB"/>
    <w:rsid w:val="000738D2"/>
    <w:rsid w:val="000741EA"/>
    <w:rsid w:val="0007468B"/>
    <w:rsid w:val="0007476B"/>
    <w:rsid w:val="00075AB6"/>
    <w:rsid w:val="0007600E"/>
    <w:rsid w:val="000766BF"/>
    <w:rsid w:val="0007678B"/>
    <w:rsid w:val="000771C9"/>
    <w:rsid w:val="00080673"/>
    <w:rsid w:val="000806B6"/>
    <w:rsid w:val="00080941"/>
    <w:rsid w:val="00082445"/>
    <w:rsid w:val="00082466"/>
    <w:rsid w:val="00082686"/>
    <w:rsid w:val="00082A73"/>
    <w:rsid w:val="00082D50"/>
    <w:rsid w:val="000839B9"/>
    <w:rsid w:val="00083F47"/>
    <w:rsid w:val="000848ED"/>
    <w:rsid w:val="00084B83"/>
    <w:rsid w:val="00085346"/>
    <w:rsid w:val="000853D9"/>
    <w:rsid w:val="00085B01"/>
    <w:rsid w:val="00086236"/>
    <w:rsid w:val="00086290"/>
    <w:rsid w:val="00086AB4"/>
    <w:rsid w:val="00086AD4"/>
    <w:rsid w:val="00086C6F"/>
    <w:rsid w:val="00087988"/>
    <w:rsid w:val="00087DD6"/>
    <w:rsid w:val="0009020B"/>
    <w:rsid w:val="000907D4"/>
    <w:rsid w:val="00090D61"/>
    <w:rsid w:val="00090FCA"/>
    <w:rsid w:val="00091190"/>
    <w:rsid w:val="000929ED"/>
    <w:rsid w:val="000931FA"/>
    <w:rsid w:val="000939C7"/>
    <w:rsid w:val="0009438B"/>
    <w:rsid w:val="00094ABF"/>
    <w:rsid w:val="00094CAD"/>
    <w:rsid w:val="00094FF1"/>
    <w:rsid w:val="00095238"/>
    <w:rsid w:val="000952ED"/>
    <w:rsid w:val="000953C5"/>
    <w:rsid w:val="000954F7"/>
    <w:rsid w:val="00095A49"/>
    <w:rsid w:val="000966CB"/>
    <w:rsid w:val="00096F9D"/>
    <w:rsid w:val="00097266"/>
    <w:rsid w:val="000972D5"/>
    <w:rsid w:val="00097851"/>
    <w:rsid w:val="00097AE9"/>
    <w:rsid w:val="00097CDE"/>
    <w:rsid w:val="000A0206"/>
    <w:rsid w:val="000A03B8"/>
    <w:rsid w:val="000A05C0"/>
    <w:rsid w:val="000A0665"/>
    <w:rsid w:val="000A0815"/>
    <w:rsid w:val="000A0E64"/>
    <w:rsid w:val="000A114D"/>
    <w:rsid w:val="000A115E"/>
    <w:rsid w:val="000A1417"/>
    <w:rsid w:val="000A1D89"/>
    <w:rsid w:val="000A326B"/>
    <w:rsid w:val="000A34DA"/>
    <w:rsid w:val="000A41DD"/>
    <w:rsid w:val="000A44C9"/>
    <w:rsid w:val="000A546F"/>
    <w:rsid w:val="000A57E8"/>
    <w:rsid w:val="000A596E"/>
    <w:rsid w:val="000A5D4B"/>
    <w:rsid w:val="000A6160"/>
    <w:rsid w:val="000A66A7"/>
    <w:rsid w:val="000A66E6"/>
    <w:rsid w:val="000A6B5D"/>
    <w:rsid w:val="000A7089"/>
    <w:rsid w:val="000A7304"/>
    <w:rsid w:val="000B0B5D"/>
    <w:rsid w:val="000B0B91"/>
    <w:rsid w:val="000B1922"/>
    <w:rsid w:val="000B2604"/>
    <w:rsid w:val="000B26F5"/>
    <w:rsid w:val="000B2736"/>
    <w:rsid w:val="000B2C07"/>
    <w:rsid w:val="000B2C2A"/>
    <w:rsid w:val="000B2F0F"/>
    <w:rsid w:val="000B3179"/>
    <w:rsid w:val="000B326C"/>
    <w:rsid w:val="000B3288"/>
    <w:rsid w:val="000B44D7"/>
    <w:rsid w:val="000B4B0F"/>
    <w:rsid w:val="000B5396"/>
    <w:rsid w:val="000B593A"/>
    <w:rsid w:val="000B5C19"/>
    <w:rsid w:val="000B5DF9"/>
    <w:rsid w:val="000B630A"/>
    <w:rsid w:val="000B6E09"/>
    <w:rsid w:val="000B7008"/>
    <w:rsid w:val="000C0218"/>
    <w:rsid w:val="000C028F"/>
    <w:rsid w:val="000C09C9"/>
    <w:rsid w:val="000C12E5"/>
    <w:rsid w:val="000C29B0"/>
    <w:rsid w:val="000C30B3"/>
    <w:rsid w:val="000C3345"/>
    <w:rsid w:val="000C3AEE"/>
    <w:rsid w:val="000C3D76"/>
    <w:rsid w:val="000C4575"/>
    <w:rsid w:val="000C498D"/>
    <w:rsid w:val="000C4BD1"/>
    <w:rsid w:val="000C4BFE"/>
    <w:rsid w:val="000C4E71"/>
    <w:rsid w:val="000C507B"/>
    <w:rsid w:val="000C52D4"/>
    <w:rsid w:val="000C5422"/>
    <w:rsid w:val="000C5869"/>
    <w:rsid w:val="000C6430"/>
    <w:rsid w:val="000C64ED"/>
    <w:rsid w:val="000C6537"/>
    <w:rsid w:val="000C7266"/>
    <w:rsid w:val="000C7287"/>
    <w:rsid w:val="000C7708"/>
    <w:rsid w:val="000C79B8"/>
    <w:rsid w:val="000D0D53"/>
    <w:rsid w:val="000D0DE2"/>
    <w:rsid w:val="000D106C"/>
    <w:rsid w:val="000D1735"/>
    <w:rsid w:val="000D1CBD"/>
    <w:rsid w:val="000D1F52"/>
    <w:rsid w:val="000D2B8B"/>
    <w:rsid w:val="000D2BBD"/>
    <w:rsid w:val="000D3358"/>
    <w:rsid w:val="000D3BDC"/>
    <w:rsid w:val="000D3FA9"/>
    <w:rsid w:val="000D4F7D"/>
    <w:rsid w:val="000D5256"/>
    <w:rsid w:val="000D52FC"/>
    <w:rsid w:val="000D63BF"/>
    <w:rsid w:val="000D66B7"/>
    <w:rsid w:val="000D73CB"/>
    <w:rsid w:val="000D7F26"/>
    <w:rsid w:val="000E0A57"/>
    <w:rsid w:val="000E0CCE"/>
    <w:rsid w:val="000E0DFD"/>
    <w:rsid w:val="000E0E7D"/>
    <w:rsid w:val="000E108C"/>
    <w:rsid w:val="000E18B1"/>
    <w:rsid w:val="000E21EB"/>
    <w:rsid w:val="000E2352"/>
    <w:rsid w:val="000E2986"/>
    <w:rsid w:val="000E2B27"/>
    <w:rsid w:val="000E3340"/>
    <w:rsid w:val="000E3AB8"/>
    <w:rsid w:val="000E3B8E"/>
    <w:rsid w:val="000E45D4"/>
    <w:rsid w:val="000E4A52"/>
    <w:rsid w:val="000E4E43"/>
    <w:rsid w:val="000E50FB"/>
    <w:rsid w:val="000E522C"/>
    <w:rsid w:val="000E52D5"/>
    <w:rsid w:val="000E63C4"/>
    <w:rsid w:val="000E78EB"/>
    <w:rsid w:val="000E7913"/>
    <w:rsid w:val="000F257A"/>
    <w:rsid w:val="000F264D"/>
    <w:rsid w:val="000F281A"/>
    <w:rsid w:val="000F3514"/>
    <w:rsid w:val="000F3596"/>
    <w:rsid w:val="000F4931"/>
    <w:rsid w:val="000F499E"/>
    <w:rsid w:val="000F4AF8"/>
    <w:rsid w:val="000F4B0C"/>
    <w:rsid w:val="000F5270"/>
    <w:rsid w:val="000F58D7"/>
    <w:rsid w:val="000F63FB"/>
    <w:rsid w:val="000F667C"/>
    <w:rsid w:val="000F6B8B"/>
    <w:rsid w:val="000F6BCC"/>
    <w:rsid w:val="000F6CC5"/>
    <w:rsid w:val="000F6F13"/>
    <w:rsid w:val="000F73E5"/>
    <w:rsid w:val="00100BE4"/>
    <w:rsid w:val="00100C8E"/>
    <w:rsid w:val="001012D2"/>
    <w:rsid w:val="001012EC"/>
    <w:rsid w:val="001028AA"/>
    <w:rsid w:val="00102FF1"/>
    <w:rsid w:val="00103208"/>
    <w:rsid w:val="001034D5"/>
    <w:rsid w:val="00104A7F"/>
    <w:rsid w:val="00104A94"/>
    <w:rsid w:val="00104AD7"/>
    <w:rsid w:val="00104F98"/>
    <w:rsid w:val="0010528E"/>
    <w:rsid w:val="00105899"/>
    <w:rsid w:val="00105ADF"/>
    <w:rsid w:val="00105AFE"/>
    <w:rsid w:val="0010613D"/>
    <w:rsid w:val="001063BB"/>
    <w:rsid w:val="001064D4"/>
    <w:rsid w:val="00106581"/>
    <w:rsid w:val="00106880"/>
    <w:rsid w:val="00106AC2"/>
    <w:rsid w:val="001078A3"/>
    <w:rsid w:val="00110223"/>
    <w:rsid w:val="0011047B"/>
    <w:rsid w:val="001105AE"/>
    <w:rsid w:val="00110953"/>
    <w:rsid w:val="001110A0"/>
    <w:rsid w:val="001110FD"/>
    <w:rsid w:val="0011187E"/>
    <w:rsid w:val="00111BC3"/>
    <w:rsid w:val="00112D93"/>
    <w:rsid w:val="00113562"/>
    <w:rsid w:val="00113C1E"/>
    <w:rsid w:val="00114320"/>
    <w:rsid w:val="001144EF"/>
    <w:rsid w:val="001149DC"/>
    <w:rsid w:val="00115579"/>
    <w:rsid w:val="001155F8"/>
    <w:rsid w:val="00115BEF"/>
    <w:rsid w:val="00115E32"/>
    <w:rsid w:val="00116625"/>
    <w:rsid w:val="00116B6F"/>
    <w:rsid w:val="0011700F"/>
    <w:rsid w:val="00117764"/>
    <w:rsid w:val="00117A02"/>
    <w:rsid w:val="00117C4A"/>
    <w:rsid w:val="001202BC"/>
    <w:rsid w:val="00120902"/>
    <w:rsid w:val="00120BB7"/>
    <w:rsid w:val="001213D5"/>
    <w:rsid w:val="00122215"/>
    <w:rsid w:val="0012292C"/>
    <w:rsid w:val="00122C35"/>
    <w:rsid w:val="00122F80"/>
    <w:rsid w:val="00123591"/>
    <w:rsid w:val="00123676"/>
    <w:rsid w:val="001239CF"/>
    <w:rsid w:val="001247C7"/>
    <w:rsid w:val="0012534C"/>
    <w:rsid w:val="00125978"/>
    <w:rsid w:val="00125AFC"/>
    <w:rsid w:val="00125E0A"/>
    <w:rsid w:val="00126525"/>
    <w:rsid w:val="001265CF"/>
    <w:rsid w:val="00126827"/>
    <w:rsid w:val="0012699C"/>
    <w:rsid w:val="00126A78"/>
    <w:rsid w:val="00126AEB"/>
    <w:rsid w:val="00126B95"/>
    <w:rsid w:val="00126C19"/>
    <w:rsid w:val="00126E6C"/>
    <w:rsid w:val="00126FC9"/>
    <w:rsid w:val="00127409"/>
    <w:rsid w:val="00127C18"/>
    <w:rsid w:val="00127CD2"/>
    <w:rsid w:val="00130600"/>
    <w:rsid w:val="0013096E"/>
    <w:rsid w:val="001309C0"/>
    <w:rsid w:val="001309ED"/>
    <w:rsid w:val="001313E1"/>
    <w:rsid w:val="001315E8"/>
    <w:rsid w:val="00131DF5"/>
    <w:rsid w:val="00132164"/>
    <w:rsid w:val="001324EC"/>
    <w:rsid w:val="00133304"/>
    <w:rsid w:val="00133568"/>
    <w:rsid w:val="001339E2"/>
    <w:rsid w:val="00133ABF"/>
    <w:rsid w:val="001342C5"/>
    <w:rsid w:val="00134778"/>
    <w:rsid w:val="001349AB"/>
    <w:rsid w:val="001352D6"/>
    <w:rsid w:val="0013547D"/>
    <w:rsid w:val="00136052"/>
    <w:rsid w:val="001360BB"/>
    <w:rsid w:val="001365D1"/>
    <w:rsid w:val="001371FB"/>
    <w:rsid w:val="001377EE"/>
    <w:rsid w:val="00140106"/>
    <w:rsid w:val="00140F16"/>
    <w:rsid w:val="001410D9"/>
    <w:rsid w:val="00141AF1"/>
    <w:rsid w:val="00141EB8"/>
    <w:rsid w:val="00142136"/>
    <w:rsid w:val="001421DE"/>
    <w:rsid w:val="00142A23"/>
    <w:rsid w:val="001430A4"/>
    <w:rsid w:val="001433D3"/>
    <w:rsid w:val="0014388E"/>
    <w:rsid w:val="00143E76"/>
    <w:rsid w:val="00143EAA"/>
    <w:rsid w:val="00144337"/>
    <w:rsid w:val="0014463D"/>
    <w:rsid w:val="001447B6"/>
    <w:rsid w:val="00144919"/>
    <w:rsid w:val="00144C8B"/>
    <w:rsid w:val="00144D49"/>
    <w:rsid w:val="00144E23"/>
    <w:rsid w:val="001450CC"/>
    <w:rsid w:val="0014539F"/>
    <w:rsid w:val="001454EB"/>
    <w:rsid w:val="00146C6C"/>
    <w:rsid w:val="00147478"/>
    <w:rsid w:val="00147AB3"/>
    <w:rsid w:val="00147ABC"/>
    <w:rsid w:val="00147B3A"/>
    <w:rsid w:val="00150779"/>
    <w:rsid w:val="001507F6"/>
    <w:rsid w:val="00150B96"/>
    <w:rsid w:val="00150F63"/>
    <w:rsid w:val="00150FEA"/>
    <w:rsid w:val="001512DB"/>
    <w:rsid w:val="001513E0"/>
    <w:rsid w:val="00152BD0"/>
    <w:rsid w:val="001531BF"/>
    <w:rsid w:val="0015338B"/>
    <w:rsid w:val="00153B68"/>
    <w:rsid w:val="00153E36"/>
    <w:rsid w:val="001546EF"/>
    <w:rsid w:val="00154870"/>
    <w:rsid w:val="001549BB"/>
    <w:rsid w:val="00154B66"/>
    <w:rsid w:val="00154D8B"/>
    <w:rsid w:val="0015599B"/>
    <w:rsid w:val="0015662B"/>
    <w:rsid w:val="00156EB5"/>
    <w:rsid w:val="00157F10"/>
    <w:rsid w:val="001606DC"/>
    <w:rsid w:val="00160730"/>
    <w:rsid w:val="00160A41"/>
    <w:rsid w:val="00160A5F"/>
    <w:rsid w:val="001622FD"/>
    <w:rsid w:val="0016244B"/>
    <w:rsid w:val="00162C03"/>
    <w:rsid w:val="001634A4"/>
    <w:rsid w:val="00164243"/>
    <w:rsid w:val="00164A08"/>
    <w:rsid w:val="00164D17"/>
    <w:rsid w:val="00165D24"/>
    <w:rsid w:val="00165E9C"/>
    <w:rsid w:val="0016611D"/>
    <w:rsid w:val="001667A7"/>
    <w:rsid w:val="00166A3C"/>
    <w:rsid w:val="00167583"/>
    <w:rsid w:val="00167633"/>
    <w:rsid w:val="001700C1"/>
    <w:rsid w:val="00171213"/>
    <w:rsid w:val="0017193F"/>
    <w:rsid w:val="0017209D"/>
    <w:rsid w:val="0017219C"/>
    <w:rsid w:val="00172529"/>
    <w:rsid w:val="00172E19"/>
    <w:rsid w:val="001731CF"/>
    <w:rsid w:val="00173351"/>
    <w:rsid w:val="001734B7"/>
    <w:rsid w:val="0017398F"/>
    <w:rsid w:val="00173DC3"/>
    <w:rsid w:val="00174D43"/>
    <w:rsid w:val="00174FBD"/>
    <w:rsid w:val="00175460"/>
    <w:rsid w:val="001759A0"/>
    <w:rsid w:val="00175A37"/>
    <w:rsid w:val="00175F76"/>
    <w:rsid w:val="00177070"/>
    <w:rsid w:val="00177385"/>
    <w:rsid w:val="00177829"/>
    <w:rsid w:val="0017788D"/>
    <w:rsid w:val="00180713"/>
    <w:rsid w:val="00180A72"/>
    <w:rsid w:val="00180AAA"/>
    <w:rsid w:val="00180DED"/>
    <w:rsid w:val="0018174F"/>
    <w:rsid w:val="001817EF"/>
    <w:rsid w:val="0018181B"/>
    <w:rsid w:val="00181F8F"/>
    <w:rsid w:val="00183794"/>
    <w:rsid w:val="00183AFF"/>
    <w:rsid w:val="001844B5"/>
    <w:rsid w:val="00184DC5"/>
    <w:rsid w:val="00185022"/>
    <w:rsid w:val="001853E3"/>
    <w:rsid w:val="00185643"/>
    <w:rsid w:val="00185CC6"/>
    <w:rsid w:val="00185DF1"/>
    <w:rsid w:val="001866DF"/>
    <w:rsid w:val="00186832"/>
    <w:rsid w:val="001869FF"/>
    <w:rsid w:val="00186CB5"/>
    <w:rsid w:val="00186EEC"/>
    <w:rsid w:val="001870E5"/>
    <w:rsid w:val="001877F4"/>
    <w:rsid w:val="0019008B"/>
    <w:rsid w:val="00190BDF"/>
    <w:rsid w:val="00191185"/>
    <w:rsid w:val="00191E35"/>
    <w:rsid w:val="00191FA0"/>
    <w:rsid w:val="00191FC1"/>
    <w:rsid w:val="00192671"/>
    <w:rsid w:val="001926FC"/>
    <w:rsid w:val="00192CA0"/>
    <w:rsid w:val="00193201"/>
    <w:rsid w:val="001934AB"/>
    <w:rsid w:val="00193AE4"/>
    <w:rsid w:val="00193DE4"/>
    <w:rsid w:val="00193E0A"/>
    <w:rsid w:val="00194379"/>
    <w:rsid w:val="00194C6D"/>
    <w:rsid w:val="00195360"/>
    <w:rsid w:val="0019541B"/>
    <w:rsid w:val="001954E4"/>
    <w:rsid w:val="00196A84"/>
    <w:rsid w:val="00196B63"/>
    <w:rsid w:val="00196DC6"/>
    <w:rsid w:val="001970D7"/>
    <w:rsid w:val="001A036C"/>
    <w:rsid w:val="001A0E68"/>
    <w:rsid w:val="001A127B"/>
    <w:rsid w:val="001A18C3"/>
    <w:rsid w:val="001A1B52"/>
    <w:rsid w:val="001A1C48"/>
    <w:rsid w:val="001A1E20"/>
    <w:rsid w:val="001A21BF"/>
    <w:rsid w:val="001A2298"/>
    <w:rsid w:val="001A25F0"/>
    <w:rsid w:val="001A293B"/>
    <w:rsid w:val="001A2D84"/>
    <w:rsid w:val="001A2E3C"/>
    <w:rsid w:val="001A3285"/>
    <w:rsid w:val="001A3B6D"/>
    <w:rsid w:val="001A3EA8"/>
    <w:rsid w:val="001A434E"/>
    <w:rsid w:val="001A4594"/>
    <w:rsid w:val="001A476A"/>
    <w:rsid w:val="001A58BA"/>
    <w:rsid w:val="001A6079"/>
    <w:rsid w:val="001A674F"/>
    <w:rsid w:val="001A6831"/>
    <w:rsid w:val="001A77C5"/>
    <w:rsid w:val="001A7C75"/>
    <w:rsid w:val="001A7D41"/>
    <w:rsid w:val="001B06C9"/>
    <w:rsid w:val="001B0929"/>
    <w:rsid w:val="001B09E5"/>
    <w:rsid w:val="001B0A06"/>
    <w:rsid w:val="001B0D1D"/>
    <w:rsid w:val="001B10CA"/>
    <w:rsid w:val="001B167F"/>
    <w:rsid w:val="001B169A"/>
    <w:rsid w:val="001B17C4"/>
    <w:rsid w:val="001B1AD4"/>
    <w:rsid w:val="001B1C6C"/>
    <w:rsid w:val="001B219E"/>
    <w:rsid w:val="001B22FC"/>
    <w:rsid w:val="001B36F1"/>
    <w:rsid w:val="001B3AE4"/>
    <w:rsid w:val="001B495C"/>
    <w:rsid w:val="001B5230"/>
    <w:rsid w:val="001B5747"/>
    <w:rsid w:val="001B61CE"/>
    <w:rsid w:val="001B716E"/>
    <w:rsid w:val="001B77EB"/>
    <w:rsid w:val="001C02FA"/>
    <w:rsid w:val="001C0650"/>
    <w:rsid w:val="001C0902"/>
    <w:rsid w:val="001C0979"/>
    <w:rsid w:val="001C0C46"/>
    <w:rsid w:val="001C0F4C"/>
    <w:rsid w:val="001C12FE"/>
    <w:rsid w:val="001C1BCC"/>
    <w:rsid w:val="001C269C"/>
    <w:rsid w:val="001C2E5B"/>
    <w:rsid w:val="001C3579"/>
    <w:rsid w:val="001C37CF"/>
    <w:rsid w:val="001C395E"/>
    <w:rsid w:val="001C3971"/>
    <w:rsid w:val="001C3AEA"/>
    <w:rsid w:val="001C3B84"/>
    <w:rsid w:val="001C3F4E"/>
    <w:rsid w:val="001C427A"/>
    <w:rsid w:val="001C4FBC"/>
    <w:rsid w:val="001C58DA"/>
    <w:rsid w:val="001C591B"/>
    <w:rsid w:val="001C641E"/>
    <w:rsid w:val="001C6498"/>
    <w:rsid w:val="001C659B"/>
    <w:rsid w:val="001C7BBF"/>
    <w:rsid w:val="001D056B"/>
    <w:rsid w:val="001D0708"/>
    <w:rsid w:val="001D09EA"/>
    <w:rsid w:val="001D0DD3"/>
    <w:rsid w:val="001D153F"/>
    <w:rsid w:val="001D268C"/>
    <w:rsid w:val="001D29A8"/>
    <w:rsid w:val="001D2CE3"/>
    <w:rsid w:val="001D2D01"/>
    <w:rsid w:val="001D30E3"/>
    <w:rsid w:val="001D33A1"/>
    <w:rsid w:val="001D34D0"/>
    <w:rsid w:val="001D34ED"/>
    <w:rsid w:val="001D3925"/>
    <w:rsid w:val="001D4087"/>
    <w:rsid w:val="001D45D6"/>
    <w:rsid w:val="001D4714"/>
    <w:rsid w:val="001D4BD1"/>
    <w:rsid w:val="001D4F3D"/>
    <w:rsid w:val="001D55BD"/>
    <w:rsid w:val="001D5F6C"/>
    <w:rsid w:val="001D6384"/>
    <w:rsid w:val="001D6B0F"/>
    <w:rsid w:val="001D6D9D"/>
    <w:rsid w:val="001D6EB8"/>
    <w:rsid w:val="001D71B7"/>
    <w:rsid w:val="001D7A03"/>
    <w:rsid w:val="001E0226"/>
    <w:rsid w:val="001E053D"/>
    <w:rsid w:val="001E081E"/>
    <w:rsid w:val="001E1F0A"/>
    <w:rsid w:val="001E277B"/>
    <w:rsid w:val="001E2AD9"/>
    <w:rsid w:val="001E2C93"/>
    <w:rsid w:val="001E2D5D"/>
    <w:rsid w:val="001E2F52"/>
    <w:rsid w:val="001E32C4"/>
    <w:rsid w:val="001E3627"/>
    <w:rsid w:val="001E3961"/>
    <w:rsid w:val="001E4A72"/>
    <w:rsid w:val="001E4FE7"/>
    <w:rsid w:val="001E5019"/>
    <w:rsid w:val="001E5D81"/>
    <w:rsid w:val="001E6160"/>
    <w:rsid w:val="001E64CA"/>
    <w:rsid w:val="001E67A8"/>
    <w:rsid w:val="001E6CB0"/>
    <w:rsid w:val="001E6D82"/>
    <w:rsid w:val="001E717F"/>
    <w:rsid w:val="001E7C7B"/>
    <w:rsid w:val="001E7E55"/>
    <w:rsid w:val="001F12E3"/>
    <w:rsid w:val="001F1A1A"/>
    <w:rsid w:val="001F223C"/>
    <w:rsid w:val="001F234C"/>
    <w:rsid w:val="001F2458"/>
    <w:rsid w:val="001F26E1"/>
    <w:rsid w:val="001F4E3A"/>
    <w:rsid w:val="001F4F0C"/>
    <w:rsid w:val="001F598C"/>
    <w:rsid w:val="001F60E7"/>
    <w:rsid w:val="001F62DD"/>
    <w:rsid w:val="001F63BD"/>
    <w:rsid w:val="001F69C6"/>
    <w:rsid w:val="001F6AD2"/>
    <w:rsid w:val="001F6B92"/>
    <w:rsid w:val="001F7ADD"/>
    <w:rsid w:val="001F7F90"/>
    <w:rsid w:val="001F7FFA"/>
    <w:rsid w:val="00200743"/>
    <w:rsid w:val="0020088C"/>
    <w:rsid w:val="00200BDF"/>
    <w:rsid w:val="00200DEE"/>
    <w:rsid w:val="00200ECD"/>
    <w:rsid w:val="002013C9"/>
    <w:rsid w:val="002018CC"/>
    <w:rsid w:val="00201BFA"/>
    <w:rsid w:val="00201DCD"/>
    <w:rsid w:val="002022E6"/>
    <w:rsid w:val="00202A14"/>
    <w:rsid w:val="00202F73"/>
    <w:rsid w:val="00203493"/>
    <w:rsid w:val="002038D2"/>
    <w:rsid w:val="00203D82"/>
    <w:rsid w:val="00203DD1"/>
    <w:rsid w:val="002052F9"/>
    <w:rsid w:val="00205750"/>
    <w:rsid w:val="00205CCC"/>
    <w:rsid w:val="00205FB9"/>
    <w:rsid w:val="002060DE"/>
    <w:rsid w:val="002062FF"/>
    <w:rsid w:val="002069CB"/>
    <w:rsid w:val="00206FC5"/>
    <w:rsid w:val="00207C84"/>
    <w:rsid w:val="00210080"/>
    <w:rsid w:val="00211F1B"/>
    <w:rsid w:val="0021230C"/>
    <w:rsid w:val="0021240A"/>
    <w:rsid w:val="00212621"/>
    <w:rsid w:val="0021299B"/>
    <w:rsid w:val="00212B68"/>
    <w:rsid w:val="00212D32"/>
    <w:rsid w:val="002134F4"/>
    <w:rsid w:val="00214086"/>
    <w:rsid w:val="0021417F"/>
    <w:rsid w:val="00214514"/>
    <w:rsid w:val="002146CF"/>
    <w:rsid w:val="0021490B"/>
    <w:rsid w:val="00215676"/>
    <w:rsid w:val="0021594C"/>
    <w:rsid w:val="00215A79"/>
    <w:rsid w:val="002160FD"/>
    <w:rsid w:val="002162FD"/>
    <w:rsid w:val="00216600"/>
    <w:rsid w:val="002177B5"/>
    <w:rsid w:val="002178BC"/>
    <w:rsid w:val="00217FFB"/>
    <w:rsid w:val="00220AFF"/>
    <w:rsid w:val="00220FD9"/>
    <w:rsid w:val="002211C5"/>
    <w:rsid w:val="00221C0A"/>
    <w:rsid w:val="00221EB6"/>
    <w:rsid w:val="00222229"/>
    <w:rsid w:val="0022274B"/>
    <w:rsid w:val="00222C86"/>
    <w:rsid w:val="002232CB"/>
    <w:rsid w:val="00223E1F"/>
    <w:rsid w:val="00224352"/>
    <w:rsid w:val="002246BD"/>
    <w:rsid w:val="00224824"/>
    <w:rsid w:val="00224F2E"/>
    <w:rsid w:val="00226A3A"/>
    <w:rsid w:val="00226A84"/>
    <w:rsid w:val="00226A85"/>
    <w:rsid w:val="00226E3E"/>
    <w:rsid w:val="00227D83"/>
    <w:rsid w:val="002302B4"/>
    <w:rsid w:val="002305E5"/>
    <w:rsid w:val="00230CF9"/>
    <w:rsid w:val="00231B97"/>
    <w:rsid w:val="0023305A"/>
    <w:rsid w:val="0023340F"/>
    <w:rsid w:val="002338E2"/>
    <w:rsid w:val="00233C5A"/>
    <w:rsid w:val="00234ADD"/>
    <w:rsid w:val="00235004"/>
    <w:rsid w:val="00236334"/>
    <w:rsid w:val="00237338"/>
    <w:rsid w:val="0023743C"/>
    <w:rsid w:val="00237564"/>
    <w:rsid w:val="0023772A"/>
    <w:rsid w:val="002401B3"/>
    <w:rsid w:val="00240A8C"/>
    <w:rsid w:val="00240E30"/>
    <w:rsid w:val="00241238"/>
    <w:rsid w:val="002418D5"/>
    <w:rsid w:val="002420DF"/>
    <w:rsid w:val="0024219B"/>
    <w:rsid w:val="00242293"/>
    <w:rsid w:val="00242D1D"/>
    <w:rsid w:val="00242F73"/>
    <w:rsid w:val="00242FA9"/>
    <w:rsid w:val="002436E6"/>
    <w:rsid w:val="002439D2"/>
    <w:rsid w:val="00243B82"/>
    <w:rsid w:val="002441FA"/>
    <w:rsid w:val="00244C92"/>
    <w:rsid w:val="00245105"/>
    <w:rsid w:val="00245685"/>
    <w:rsid w:val="0024571C"/>
    <w:rsid w:val="002457A7"/>
    <w:rsid w:val="00245C67"/>
    <w:rsid w:val="00245C6B"/>
    <w:rsid w:val="0024606E"/>
    <w:rsid w:val="00246749"/>
    <w:rsid w:val="00246C9A"/>
    <w:rsid w:val="00247882"/>
    <w:rsid w:val="00247C26"/>
    <w:rsid w:val="002502FB"/>
    <w:rsid w:val="0025053A"/>
    <w:rsid w:val="00250740"/>
    <w:rsid w:val="00250BD7"/>
    <w:rsid w:val="00250E11"/>
    <w:rsid w:val="00250F7B"/>
    <w:rsid w:val="00251B77"/>
    <w:rsid w:val="002523F4"/>
    <w:rsid w:val="002528A8"/>
    <w:rsid w:val="00252916"/>
    <w:rsid w:val="00253073"/>
    <w:rsid w:val="00253156"/>
    <w:rsid w:val="00253C2F"/>
    <w:rsid w:val="00253EC9"/>
    <w:rsid w:val="00253F6C"/>
    <w:rsid w:val="002543F8"/>
    <w:rsid w:val="0025482F"/>
    <w:rsid w:val="00254B0F"/>
    <w:rsid w:val="00254D83"/>
    <w:rsid w:val="00255107"/>
    <w:rsid w:val="002557EA"/>
    <w:rsid w:val="00255B02"/>
    <w:rsid w:val="00255F33"/>
    <w:rsid w:val="00256B5F"/>
    <w:rsid w:val="00256E7B"/>
    <w:rsid w:val="0025741A"/>
    <w:rsid w:val="00257B6C"/>
    <w:rsid w:val="0026026E"/>
    <w:rsid w:val="00260706"/>
    <w:rsid w:val="00260761"/>
    <w:rsid w:val="00260870"/>
    <w:rsid w:val="00260D3E"/>
    <w:rsid w:val="00260DBE"/>
    <w:rsid w:val="00261010"/>
    <w:rsid w:val="002612CE"/>
    <w:rsid w:val="002615BB"/>
    <w:rsid w:val="00261858"/>
    <w:rsid w:val="00261BF2"/>
    <w:rsid w:val="00262A55"/>
    <w:rsid w:val="00262ADF"/>
    <w:rsid w:val="00262D54"/>
    <w:rsid w:val="00262E1C"/>
    <w:rsid w:val="00262E3B"/>
    <w:rsid w:val="0026301A"/>
    <w:rsid w:val="0026345E"/>
    <w:rsid w:val="0026356F"/>
    <w:rsid w:val="0026399F"/>
    <w:rsid w:val="00263B9D"/>
    <w:rsid w:val="0026408B"/>
    <w:rsid w:val="002645FB"/>
    <w:rsid w:val="002649ED"/>
    <w:rsid w:val="00265038"/>
    <w:rsid w:val="002654C6"/>
    <w:rsid w:val="0026590D"/>
    <w:rsid w:val="0026590E"/>
    <w:rsid w:val="00266BD8"/>
    <w:rsid w:val="00266F72"/>
    <w:rsid w:val="00266FB2"/>
    <w:rsid w:val="00270326"/>
    <w:rsid w:val="002706CE"/>
    <w:rsid w:val="00270C01"/>
    <w:rsid w:val="002716C9"/>
    <w:rsid w:val="002722E0"/>
    <w:rsid w:val="0027243F"/>
    <w:rsid w:val="002729D8"/>
    <w:rsid w:val="00272F50"/>
    <w:rsid w:val="00272FA6"/>
    <w:rsid w:val="00273715"/>
    <w:rsid w:val="00273A08"/>
    <w:rsid w:val="00274351"/>
    <w:rsid w:val="00274706"/>
    <w:rsid w:val="0027489E"/>
    <w:rsid w:val="00274C5D"/>
    <w:rsid w:val="00274F7E"/>
    <w:rsid w:val="00275331"/>
    <w:rsid w:val="002755E1"/>
    <w:rsid w:val="00276535"/>
    <w:rsid w:val="00276AB2"/>
    <w:rsid w:val="00276AF0"/>
    <w:rsid w:val="00276F0B"/>
    <w:rsid w:val="002771FE"/>
    <w:rsid w:val="002772FD"/>
    <w:rsid w:val="0027792E"/>
    <w:rsid w:val="00280738"/>
    <w:rsid w:val="0028076A"/>
    <w:rsid w:val="00280A07"/>
    <w:rsid w:val="002813A5"/>
    <w:rsid w:val="002817EB"/>
    <w:rsid w:val="00282ADE"/>
    <w:rsid w:val="00283258"/>
    <w:rsid w:val="0028330A"/>
    <w:rsid w:val="002834F3"/>
    <w:rsid w:val="00284107"/>
    <w:rsid w:val="0028486C"/>
    <w:rsid w:val="002857F2"/>
    <w:rsid w:val="00285C76"/>
    <w:rsid w:val="002861C8"/>
    <w:rsid w:val="00286242"/>
    <w:rsid w:val="002862FF"/>
    <w:rsid w:val="002863A3"/>
    <w:rsid w:val="0028675E"/>
    <w:rsid w:val="002869CE"/>
    <w:rsid w:val="0028769A"/>
    <w:rsid w:val="00287827"/>
    <w:rsid w:val="00287BE4"/>
    <w:rsid w:val="0029062E"/>
    <w:rsid w:val="002906C3"/>
    <w:rsid w:val="0029077F"/>
    <w:rsid w:val="00291795"/>
    <w:rsid w:val="002918BE"/>
    <w:rsid w:val="00291C4E"/>
    <w:rsid w:val="00291C8C"/>
    <w:rsid w:val="00291F22"/>
    <w:rsid w:val="0029266D"/>
    <w:rsid w:val="0029323C"/>
    <w:rsid w:val="002946A7"/>
    <w:rsid w:val="002947E5"/>
    <w:rsid w:val="002949D0"/>
    <w:rsid w:val="00294CB5"/>
    <w:rsid w:val="00294DF8"/>
    <w:rsid w:val="0029518C"/>
    <w:rsid w:val="002952BD"/>
    <w:rsid w:val="00295443"/>
    <w:rsid w:val="00295876"/>
    <w:rsid w:val="00295908"/>
    <w:rsid w:val="00296472"/>
    <w:rsid w:val="00296A01"/>
    <w:rsid w:val="00296C87"/>
    <w:rsid w:val="0029752F"/>
    <w:rsid w:val="002977CB"/>
    <w:rsid w:val="00297B66"/>
    <w:rsid w:val="002A1A5E"/>
    <w:rsid w:val="002A1B06"/>
    <w:rsid w:val="002A1D7A"/>
    <w:rsid w:val="002A2A96"/>
    <w:rsid w:val="002A2D76"/>
    <w:rsid w:val="002A31F0"/>
    <w:rsid w:val="002A37DB"/>
    <w:rsid w:val="002A3D22"/>
    <w:rsid w:val="002A4659"/>
    <w:rsid w:val="002A4BBA"/>
    <w:rsid w:val="002A518C"/>
    <w:rsid w:val="002A5363"/>
    <w:rsid w:val="002A54FD"/>
    <w:rsid w:val="002A5698"/>
    <w:rsid w:val="002A596F"/>
    <w:rsid w:val="002A5A04"/>
    <w:rsid w:val="002A6BE3"/>
    <w:rsid w:val="002A6DFD"/>
    <w:rsid w:val="002A6E6F"/>
    <w:rsid w:val="002A6F68"/>
    <w:rsid w:val="002A79E8"/>
    <w:rsid w:val="002B00CE"/>
    <w:rsid w:val="002B0818"/>
    <w:rsid w:val="002B098D"/>
    <w:rsid w:val="002B0C0D"/>
    <w:rsid w:val="002B0D75"/>
    <w:rsid w:val="002B1106"/>
    <w:rsid w:val="002B11D5"/>
    <w:rsid w:val="002B1339"/>
    <w:rsid w:val="002B1A31"/>
    <w:rsid w:val="002B21F6"/>
    <w:rsid w:val="002B24A8"/>
    <w:rsid w:val="002B2A59"/>
    <w:rsid w:val="002B2D98"/>
    <w:rsid w:val="002B2EDD"/>
    <w:rsid w:val="002B2F30"/>
    <w:rsid w:val="002B32BE"/>
    <w:rsid w:val="002B377E"/>
    <w:rsid w:val="002B41B5"/>
    <w:rsid w:val="002B46A0"/>
    <w:rsid w:val="002B4834"/>
    <w:rsid w:val="002B4928"/>
    <w:rsid w:val="002B4DFF"/>
    <w:rsid w:val="002B507F"/>
    <w:rsid w:val="002B524D"/>
    <w:rsid w:val="002B5BCC"/>
    <w:rsid w:val="002B710D"/>
    <w:rsid w:val="002C01FC"/>
    <w:rsid w:val="002C0B0A"/>
    <w:rsid w:val="002C1C40"/>
    <w:rsid w:val="002C21BE"/>
    <w:rsid w:val="002C2302"/>
    <w:rsid w:val="002C37C3"/>
    <w:rsid w:val="002C4119"/>
    <w:rsid w:val="002C49ED"/>
    <w:rsid w:val="002C4C66"/>
    <w:rsid w:val="002C4C73"/>
    <w:rsid w:val="002C5422"/>
    <w:rsid w:val="002C5FC7"/>
    <w:rsid w:val="002C6130"/>
    <w:rsid w:val="002C66DC"/>
    <w:rsid w:val="002D094D"/>
    <w:rsid w:val="002D096D"/>
    <w:rsid w:val="002D0AF1"/>
    <w:rsid w:val="002D0F00"/>
    <w:rsid w:val="002D0F9C"/>
    <w:rsid w:val="002D1335"/>
    <w:rsid w:val="002D1C8E"/>
    <w:rsid w:val="002D23FC"/>
    <w:rsid w:val="002D2FB8"/>
    <w:rsid w:val="002D3631"/>
    <w:rsid w:val="002D3647"/>
    <w:rsid w:val="002D554F"/>
    <w:rsid w:val="002D5FC1"/>
    <w:rsid w:val="002D7178"/>
    <w:rsid w:val="002E0949"/>
    <w:rsid w:val="002E11A2"/>
    <w:rsid w:val="002E1AB2"/>
    <w:rsid w:val="002E1BC5"/>
    <w:rsid w:val="002E2F86"/>
    <w:rsid w:val="002E3995"/>
    <w:rsid w:val="002E3AE7"/>
    <w:rsid w:val="002E3B51"/>
    <w:rsid w:val="002E4D42"/>
    <w:rsid w:val="002E5C6C"/>
    <w:rsid w:val="002E5CEA"/>
    <w:rsid w:val="002E5DE0"/>
    <w:rsid w:val="002E5E32"/>
    <w:rsid w:val="002E6D10"/>
    <w:rsid w:val="002E6E04"/>
    <w:rsid w:val="002F009A"/>
    <w:rsid w:val="002F0238"/>
    <w:rsid w:val="002F02C1"/>
    <w:rsid w:val="002F05B5"/>
    <w:rsid w:val="002F0A93"/>
    <w:rsid w:val="002F1E8A"/>
    <w:rsid w:val="002F3347"/>
    <w:rsid w:val="002F3CC3"/>
    <w:rsid w:val="002F3D9F"/>
    <w:rsid w:val="002F4347"/>
    <w:rsid w:val="002F4D0E"/>
    <w:rsid w:val="002F538F"/>
    <w:rsid w:val="002F54E4"/>
    <w:rsid w:val="002F5CAD"/>
    <w:rsid w:val="002F6838"/>
    <w:rsid w:val="002F6D37"/>
    <w:rsid w:val="002F7739"/>
    <w:rsid w:val="002F79CB"/>
    <w:rsid w:val="00300157"/>
    <w:rsid w:val="003002E4"/>
    <w:rsid w:val="00300803"/>
    <w:rsid w:val="00300FC7"/>
    <w:rsid w:val="00301423"/>
    <w:rsid w:val="003015E1"/>
    <w:rsid w:val="00301E87"/>
    <w:rsid w:val="00302071"/>
    <w:rsid w:val="003027FB"/>
    <w:rsid w:val="00302852"/>
    <w:rsid w:val="003028CC"/>
    <w:rsid w:val="00302DFF"/>
    <w:rsid w:val="00302F76"/>
    <w:rsid w:val="003037D4"/>
    <w:rsid w:val="00303815"/>
    <w:rsid w:val="00303B67"/>
    <w:rsid w:val="00303CCE"/>
    <w:rsid w:val="003040E9"/>
    <w:rsid w:val="0030423C"/>
    <w:rsid w:val="00304528"/>
    <w:rsid w:val="00304BE1"/>
    <w:rsid w:val="00304E81"/>
    <w:rsid w:val="00305938"/>
    <w:rsid w:val="00305A64"/>
    <w:rsid w:val="00305C00"/>
    <w:rsid w:val="003069C6"/>
    <w:rsid w:val="0030733A"/>
    <w:rsid w:val="00307883"/>
    <w:rsid w:val="0030794B"/>
    <w:rsid w:val="00307D6C"/>
    <w:rsid w:val="00307D89"/>
    <w:rsid w:val="003105CA"/>
    <w:rsid w:val="003108E9"/>
    <w:rsid w:val="00310C3A"/>
    <w:rsid w:val="00310E0D"/>
    <w:rsid w:val="0031121B"/>
    <w:rsid w:val="00311496"/>
    <w:rsid w:val="003117C8"/>
    <w:rsid w:val="00311C20"/>
    <w:rsid w:val="0031207B"/>
    <w:rsid w:val="0031212D"/>
    <w:rsid w:val="00312493"/>
    <w:rsid w:val="003133DD"/>
    <w:rsid w:val="0031391C"/>
    <w:rsid w:val="0031433C"/>
    <w:rsid w:val="00314978"/>
    <w:rsid w:val="00314C4A"/>
    <w:rsid w:val="00315087"/>
    <w:rsid w:val="00315774"/>
    <w:rsid w:val="00315AA5"/>
    <w:rsid w:val="00315B5A"/>
    <w:rsid w:val="00315E79"/>
    <w:rsid w:val="00316216"/>
    <w:rsid w:val="003164D6"/>
    <w:rsid w:val="003169B6"/>
    <w:rsid w:val="00316A72"/>
    <w:rsid w:val="003171F2"/>
    <w:rsid w:val="00317324"/>
    <w:rsid w:val="003203F4"/>
    <w:rsid w:val="003218EC"/>
    <w:rsid w:val="0032272B"/>
    <w:rsid w:val="003235C5"/>
    <w:rsid w:val="003242F9"/>
    <w:rsid w:val="00325627"/>
    <w:rsid w:val="00325B12"/>
    <w:rsid w:val="00325C52"/>
    <w:rsid w:val="00326189"/>
    <w:rsid w:val="003268E5"/>
    <w:rsid w:val="00326DAA"/>
    <w:rsid w:val="00326DC8"/>
    <w:rsid w:val="00327EC8"/>
    <w:rsid w:val="003300E0"/>
    <w:rsid w:val="003303E9"/>
    <w:rsid w:val="0033057E"/>
    <w:rsid w:val="00330A2E"/>
    <w:rsid w:val="00331571"/>
    <w:rsid w:val="00331A1F"/>
    <w:rsid w:val="00331EBE"/>
    <w:rsid w:val="0033200E"/>
    <w:rsid w:val="00332158"/>
    <w:rsid w:val="0033244E"/>
    <w:rsid w:val="00332D7B"/>
    <w:rsid w:val="0033325C"/>
    <w:rsid w:val="00333507"/>
    <w:rsid w:val="003336F9"/>
    <w:rsid w:val="003336FA"/>
    <w:rsid w:val="003339A3"/>
    <w:rsid w:val="00333C21"/>
    <w:rsid w:val="0033481B"/>
    <w:rsid w:val="0033484D"/>
    <w:rsid w:val="00334D8D"/>
    <w:rsid w:val="00334E8B"/>
    <w:rsid w:val="00335F4D"/>
    <w:rsid w:val="0033650D"/>
    <w:rsid w:val="00336E45"/>
    <w:rsid w:val="003375CE"/>
    <w:rsid w:val="003400FE"/>
    <w:rsid w:val="00340379"/>
    <w:rsid w:val="0034058A"/>
    <w:rsid w:val="00340637"/>
    <w:rsid w:val="00340B47"/>
    <w:rsid w:val="003412EA"/>
    <w:rsid w:val="00341704"/>
    <w:rsid w:val="0034183A"/>
    <w:rsid w:val="00341BA6"/>
    <w:rsid w:val="00342AD4"/>
    <w:rsid w:val="00343BFC"/>
    <w:rsid w:val="00343E23"/>
    <w:rsid w:val="00344E0D"/>
    <w:rsid w:val="00344EE7"/>
    <w:rsid w:val="00345F73"/>
    <w:rsid w:val="00346277"/>
    <w:rsid w:val="003462E2"/>
    <w:rsid w:val="003463AB"/>
    <w:rsid w:val="00346C53"/>
    <w:rsid w:val="003473EB"/>
    <w:rsid w:val="00347DAF"/>
    <w:rsid w:val="00347DCA"/>
    <w:rsid w:val="003503D4"/>
    <w:rsid w:val="0035097C"/>
    <w:rsid w:val="00351037"/>
    <w:rsid w:val="00351109"/>
    <w:rsid w:val="003517C4"/>
    <w:rsid w:val="00351943"/>
    <w:rsid w:val="00351E96"/>
    <w:rsid w:val="003525BF"/>
    <w:rsid w:val="00352F1F"/>
    <w:rsid w:val="0035302E"/>
    <w:rsid w:val="00353088"/>
    <w:rsid w:val="00353417"/>
    <w:rsid w:val="00353B48"/>
    <w:rsid w:val="00353DBD"/>
    <w:rsid w:val="00353EFC"/>
    <w:rsid w:val="00354819"/>
    <w:rsid w:val="00354A3F"/>
    <w:rsid w:val="00355099"/>
    <w:rsid w:val="00355663"/>
    <w:rsid w:val="003558ED"/>
    <w:rsid w:val="00356431"/>
    <w:rsid w:val="003564EB"/>
    <w:rsid w:val="00356B66"/>
    <w:rsid w:val="00356CBC"/>
    <w:rsid w:val="00357633"/>
    <w:rsid w:val="00357984"/>
    <w:rsid w:val="00360093"/>
    <w:rsid w:val="003605E9"/>
    <w:rsid w:val="00360771"/>
    <w:rsid w:val="00360DD9"/>
    <w:rsid w:val="00360FB3"/>
    <w:rsid w:val="0036158F"/>
    <w:rsid w:val="00361877"/>
    <w:rsid w:val="00361904"/>
    <w:rsid w:val="00361C99"/>
    <w:rsid w:val="00362332"/>
    <w:rsid w:val="00362402"/>
    <w:rsid w:val="00362ABA"/>
    <w:rsid w:val="00362B7B"/>
    <w:rsid w:val="00362C0D"/>
    <w:rsid w:val="00363271"/>
    <w:rsid w:val="003634C1"/>
    <w:rsid w:val="0036359C"/>
    <w:rsid w:val="003635E3"/>
    <w:rsid w:val="003637DB"/>
    <w:rsid w:val="00363BBF"/>
    <w:rsid w:val="00363E78"/>
    <w:rsid w:val="00363FE0"/>
    <w:rsid w:val="0036401C"/>
    <w:rsid w:val="00364705"/>
    <w:rsid w:val="0036470C"/>
    <w:rsid w:val="00364E85"/>
    <w:rsid w:val="0036563E"/>
    <w:rsid w:val="003658D6"/>
    <w:rsid w:val="003661D1"/>
    <w:rsid w:val="0036686B"/>
    <w:rsid w:val="00366B03"/>
    <w:rsid w:val="00370029"/>
    <w:rsid w:val="003702EC"/>
    <w:rsid w:val="00370713"/>
    <w:rsid w:val="00370C6E"/>
    <w:rsid w:val="00371A6D"/>
    <w:rsid w:val="00372316"/>
    <w:rsid w:val="00372AAB"/>
    <w:rsid w:val="00372BB5"/>
    <w:rsid w:val="00373083"/>
    <w:rsid w:val="003732F4"/>
    <w:rsid w:val="003735A9"/>
    <w:rsid w:val="0037392B"/>
    <w:rsid w:val="00373ECE"/>
    <w:rsid w:val="0037408B"/>
    <w:rsid w:val="003741EB"/>
    <w:rsid w:val="00374247"/>
    <w:rsid w:val="00374C3B"/>
    <w:rsid w:val="00374C77"/>
    <w:rsid w:val="0037545C"/>
    <w:rsid w:val="0037578F"/>
    <w:rsid w:val="003757B0"/>
    <w:rsid w:val="00375BC4"/>
    <w:rsid w:val="00375F43"/>
    <w:rsid w:val="00376123"/>
    <w:rsid w:val="00376C17"/>
    <w:rsid w:val="00376C56"/>
    <w:rsid w:val="00377612"/>
    <w:rsid w:val="0038014F"/>
    <w:rsid w:val="00380398"/>
    <w:rsid w:val="003803FE"/>
    <w:rsid w:val="00381653"/>
    <w:rsid w:val="003825CF"/>
    <w:rsid w:val="00382748"/>
    <w:rsid w:val="00382F29"/>
    <w:rsid w:val="00383315"/>
    <w:rsid w:val="0038349A"/>
    <w:rsid w:val="003839C4"/>
    <w:rsid w:val="00383F11"/>
    <w:rsid w:val="0038448E"/>
    <w:rsid w:val="003859E1"/>
    <w:rsid w:val="00385B9C"/>
    <w:rsid w:val="00385D3D"/>
    <w:rsid w:val="00385DB7"/>
    <w:rsid w:val="00385E5B"/>
    <w:rsid w:val="00386221"/>
    <w:rsid w:val="0038661B"/>
    <w:rsid w:val="00387387"/>
    <w:rsid w:val="003878C0"/>
    <w:rsid w:val="00387AFD"/>
    <w:rsid w:val="00387C7C"/>
    <w:rsid w:val="00390573"/>
    <w:rsid w:val="003906B6"/>
    <w:rsid w:val="00390803"/>
    <w:rsid w:val="003911B7"/>
    <w:rsid w:val="00392038"/>
    <w:rsid w:val="00392335"/>
    <w:rsid w:val="0039283E"/>
    <w:rsid w:val="0039325E"/>
    <w:rsid w:val="0039334E"/>
    <w:rsid w:val="00393625"/>
    <w:rsid w:val="00393A63"/>
    <w:rsid w:val="00394003"/>
    <w:rsid w:val="00394AF6"/>
    <w:rsid w:val="0039574F"/>
    <w:rsid w:val="00395F99"/>
    <w:rsid w:val="00396C47"/>
    <w:rsid w:val="00397597"/>
    <w:rsid w:val="00397AEB"/>
    <w:rsid w:val="003A0091"/>
    <w:rsid w:val="003A065A"/>
    <w:rsid w:val="003A0A4C"/>
    <w:rsid w:val="003A0D81"/>
    <w:rsid w:val="003A107B"/>
    <w:rsid w:val="003A265D"/>
    <w:rsid w:val="003A27DB"/>
    <w:rsid w:val="003A2824"/>
    <w:rsid w:val="003A2C42"/>
    <w:rsid w:val="003A2F79"/>
    <w:rsid w:val="003A3705"/>
    <w:rsid w:val="003A56E2"/>
    <w:rsid w:val="003A5918"/>
    <w:rsid w:val="003A5C54"/>
    <w:rsid w:val="003A64FC"/>
    <w:rsid w:val="003A6540"/>
    <w:rsid w:val="003A69ED"/>
    <w:rsid w:val="003A6B85"/>
    <w:rsid w:val="003A6D4A"/>
    <w:rsid w:val="003A759A"/>
    <w:rsid w:val="003A7771"/>
    <w:rsid w:val="003B00AE"/>
    <w:rsid w:val="003B0444"/>
    <w:rsid w:val="003B0BD5"/>
    <w:rsid w:val="003B109E"/>
    <w:rsid w:val="003B1876"/>
    <w:rsid w:val="003B199C"/>
    <w:rsid w:val="003B2A4E"/>
    <w:rsid w:val="003B30AC"/>
    <w:rsid w:val="003B3428"/>
    <w:rsid w:val="003B342D"/>
    <w:rsid w:val="003B377A"/>
    <w:rsid w:val="003B4D4D"/>
    <w:rsid w:val="003B58E6"/>
    <w:rsid w:val="003B6359"/>
    <w:rsid w:val="003B71CC"/>
    <w:rsid w:val="003C02D1"/>
    <w:rsid w:val="003C0609"/>
    <w:rsid w:val="003C0E64"/>
    <w:rsid w:val="003C12E3"/>
    <w:rsid w:val="003C1A9A"/>
    <w:rsid w:val="003C1BD9"/>
    <w:rsid w:val="003C2402"/>
    <w:rsid w:val="003C279E"/>
    <w:rsid w:val="003C2BE7"/>
    <w:rsid w:val="003C34CD"/>
    <w:rsid w:val="003C3929"/>
    <w:rsid w:val="003C3DE7"/>
    <w:rsid w:val="003C3F78"/>
    <w:rsid w:val="003C46D9"/>
    <w:rsid w:val="003C50F4"/>
    <w:rsid w:val="003C542B"/>
    <w:rsid w:val="003C6588"/>
    <w:rsid w:val="003C6F49"/>
    <w:rsid w:val="003C71A7"/>
    <w:rsid w:val="003C75E6"/>
    <w:rsid w:val="003C785A"/>
    <w:rsid w:val="003C7FAC"/>
    <w:rsid w:val="003D0179"/>
    <w:rsid w:val="003D023A"/>
    <w:rsid w:val="003D0535"/>
    <w:rsid w:val="003D13A5"/>
    <w:rsid w:val="003D18D6"/>
    <w:rsid w:val="003D2195"/>
    <w:rsid w:val="003D233E"/>
    <w:rsid w:val="003D28B1"/>
    <w:rsid w:val="003D2AE7"/>
    <w:rsid w:val="003D34ED"/>
    <w:rsid w:val="003D3633"/>
    <w:rsid w:val="003D388F"/>
    <w:rsid w:val="003D3CFC"/>
    <w:rsid w:val="003D50B0"/>
    <w:rsid w:val="003D55BF"/>
    <w:rsid w:val="003D56D2"/>
    <w:rsid w:val="003D5AD3"/>
    <w:rsid w:val="003D5FCF"/>
    <w:rsid w:val="003D64FE"/>
    <w:rsid w:val="003D6CE8"/>
    <w:rsid w:val="003D741A"/>
    <w:rsid w:val="003D7C14"/>
    <w:rsid w:val="003D7C57"/>
    <w:rsid w:val="003D7E8B"/>
    <w:rsid w:val="003D7EB7"/>
    <w:rsid w:val="003D7F72"/>
    <w:rsid w:val="003E0A8B"/>
    <w:rsid w:val="003E0E30"/>
    <w:rsid w:val="003E101E"/>
    <w:rsid w:val="003E10E9"/>
    <w:rsid w:val="003E19A4"/>
    <w:rsid w:val="003E23A3"/>
    <w:rsid w:val="003E2BE2"/>
    <w:rsid w:val="003E3109"/>
    <w:rsid w:val="003E327C"/>
    <w:rsid w:val="003E3383"/>
    <w:rsid w:val="003E339A"/>
    <w:rsid w:val="003E37E7"/>
    <w:rsid w:val="003E3BC2"/>
    <w:rsid w:val="003E4740"/>
    <w:rsid w:val="003E49A7"/>
    <w:rsid w:val="003E4D9A"/>
    <w:rsid w:val="003E5C5E"/>
    <w:rsid w:val="003E60FA"/>
    <w:rsid w:val="003E64DB"/>
    <w:rsid w:val="003E6575"/>
    <w:rsid w:val="003E6968"/>
    <w:rsid w:val="003E79F3"/>
    <w:rsid w:val="003E7B35"/>
    <w:rsid w:val="003E7BC2"/>
    <w:rsid w:val="003E7DBD"/>
    <w:rsid w:val="003E7EAF"/>
    <w:rsid w:val="003F0BD7"/>
    <w:rsid w:val="003F0D40"/>
    <w:rsid w:val="003F1041"/>
    <w:rsid w:val="003F1C37"/>
    <w:rsid w:val="003F1D6E"/>
    <w:rsid w:val="003F21A3"/>
    <w:rsid w:val="003F25DF"/>
    <w:rsid w:val="003F264D"/>
    <w:rsid w:val="003F2B3C"/>
    <w:rsid w:val="003F2D69"/>
    <w:rsid w:val="003F2FF3"/>
    <w:rsid w:val="003F318B"/>
    <w:rsid w:val="003F32AB"/>
    <w:rsid w:val="003F3ABB"/>
    <w:rsid w:val="003F3AE9"/>
    <w:rsid w:val="003F4104"/>
    <w:rsid w:val="003F4A5D"/>
    <w:rsid w:val="003F537E"/>
    <w:rsid w:val="003F5DCB"/>
    <w:rsid w:val="003F61DF"/>
    <w:rsid w:val="003F64B6"/>
    <w:rsid w:val="003F65B0"/>
    <w:rsid w:val="003F6955"/>
    <w:rsid w:val="003F6AF6"/>
    <w:rsid w:val="003F7284"/>
    <w:rsid w:val="003F74E6"/>
    <w:rsid w:val="003F7657"/>
    <w:rsid w:val="004006DF"/>
    <w:rsid w:val="004008E0"/>
    <w:rsid w:val="00400CEC"/>
    <w:rsid w:val="00401616"/>
    <w:rsid w:val="00401B79"/>
    <w:rsid w:val="00401BB9"/>
    <w:rsid w:val="00401E98"/>
    <w:rsid w:val="00402B31"/>
    <w:rsid w:val="00402CF0"/>
    <w:rsid w:val="00403845"/>
    <w:rsid w:val="00403FC5"/>
    <w:rsid w:val="004040EB"/>
    <w:rsid w:val="00404314"/>
    <w:rsid w:val="00404475"/>
    <w:rsid w:val="00404567"/>
    <w:rsid w:val="004048E8"/>
    <w:rsid w:val="00404AA5"/>
    <w:rsid w:val="00404E42"/>
    <w:rsid w:val="004052CD"/>
    <w:rsid w:val="0040577C"/>
    <w:rsid w:val="00405BAD"/>
    <w:rsid w:val="00405CD9"/>
    <w:rsid w:val="0040660D"/>
    <w:rsid w:val="0040688A"/>
    <w:rsid w:val="00406D20"/>
    <w:rsid w:val="00407095"/>
    <w:rsid w:val="0040734A"/>
    <w:rsid w:val="00407C44"/>
    <w:rsid w:val="00407DC4"/>
    <w:rsid w:val="004104C5"/>
    <w:rsid w:val="004105A8"/>
    <w:rsid w:val="00410C3A"/>
    <w:rsid w:val="0041155E"/>
    <w:rsid w:val="004115CA"/>
    <w:rsid w:val="00412067"/>
    <w:rsid w:val="00412573"/>
    <w:rsid w:val="00412D0A"/>
    <w:rsid w:val="00412F3C"/>
    <w:rsid w:val="004131AE"/>
    <w:rsid w:val="00413430"/>
    <w:rsid w:val="00413C15"/>
    <w:rsid w:val="00413C87"/>
    <w:rsid w:val="00414023"/>
    <w:rsid w:val="0041435C"/>
    <w:rsid w:val="004146D3"/>
    <w:rsid w:val="00414C68"/>
    <w:rsid w:val="004156F9"/>
    <w:rsid w:val="00415D92"/>
    <w:rsid w:val="00416009"/>
    <w:rsid w:val="00416061"/>
    <w:rsid w:val="0041632D"/>
    <w:rsid w:val="0041659F"/>
    <w:rsid w:val="00417094"/>
    <w:rsid w:val="004176A4"/>
    <w:rsid w:val="004177B2"/>
    <w:rsid w:val="00417CF4"/>
    <w:rsid w:val="00420787"/>
    <w:rsid w:val="0042089C"/>
    <w:rsid w:val="00420BF8"/>
    <w:rsid w:val="00420EC8"/>
    <w:rsid w:val="00421072"/>
    <w:rsid w:val="004210B8"/>
    <w:rsid w:val="00421F79"/>
    <w:rsid w:val="00422183"/>
    <w:rsid w:val="00422CE1"/>
    <w:rsid w:val="004231D3"/>
    <w:rsid w:val="004240D4"/>
    <w:rsid w:val="0042437C"/>
    <w:rsid w:val="004246AB"/>
    <w:rsid w:val="00424B85"/>
    <w:rsid w:val="00424D8B"/>
    <w:rsid w:val="00424E89"/>
    <w:rsid w:val="004256D7"/>
    <w:rsid w:val="00425A20"/>
    <w:rsid w:val="00425F25"/>
    <w:rsid w:val="004266F9"/>
    <w:rsid w:val="0042686E"/>
    <w:rsid w:val="00426F2E"/>
    <w:rsid w:val="00426F8B"/>
    <w:rsid w:val="00427E25"/>
    <w:rsid w:val="004300D8"/>
    <w:rsid w:val="00431E5D"/>
    <w:rsid w:val="00432691"/>
    <w:rsid w:val="00433367"/>
    <w:rsid w:val="0043339A"/>
    <w:rsid w:val="00433976"/>
    <w:rsid w:val="00433BFC"/>
    <w:rsid w:val="00433FA2"/>
    <w:rsid w:val="0043447E"/>
    <w:rsid w:val="00434CA5"/>
    <w:rsid w:val="00434E4D"/>
    <w:rsid w:val="00435635"/>
    <w:rsid w:val="00436740"/>
    <w:rsid w:val="004369AC"/>
    <w:rsid w:val="00436FC6"/>
    <w:rsid w:val="004373E7"/>
    <w:rsid w:val="004402F7"/>
    <w:rsid w:val="00440CCC"/>
    <w:rsid w:val="00440DC0"/>
    <w:rsid w:val="00441387"/>
    <w:rsid w:val="00441A7F"/>
    <w:rsid w:val="00441C66"/>
    <w:rsid w:val="00441D5E"/>
    <w:rsid w:val="00441EEC"/>
    <w:rsid w:val="0044280B"/>
    <w:rsid w:val="004431E7"/>
    <w:rsid w:val="0044369A"/>
    <w:rsid w:val="004438DA"/>
    <w:rsid w:val="00443C2C"/>
    <w:rsid w:val="00443F62"/>
    <w:rsid w:val="004444BE"/>
    <w:rsid w:val="004445D6"/>
    <w:rsid w:val="004447C1"/>
    <w:rsid w:val="00444D49"/>
    <w:rsid w:val="00445184"/>
    <w:rsid w:val="004452EB"/>
    <w:rsid w:val="00445C7A"/>
    <w:rsid w:val="00445EEF"/>
    <w:rsid w:val="00446C3F"/>
    <w:rsid w:val="00447DB8"/>
    <w:rsid w:val="00450045"/>
    <w:rsid w:val="00450D42"/>
    <w:rsid w:val="00450DDF"/>
    <w:rsid w:val="0045105B"/>
    <w:rsid w:val="004512C9"/>
    <w:rsid w:val="004515E6"/>
    <w:rsid w:val="0045180F"/>
    <w:rsid w:val="00451DC7"/>
    <w:rsid w:val="00454049"/>
    <w:rsid w:val="0045444A"/>
    <w:rsid w:val="004544D1"/>
    <w:rsid w:val="00454A4B"/>
    <w:rsid w:val="00455199"/>
    <w:rsid w:val="00455334"/>
    <w:rsid w:val="004555F9"/>
    <w:rsid w:val="0045560C"/>
    <w:rsid w:val="00455EB9"/>
    <w:rsid w:val="004567E6"/>
    <w:rsid w:val="004568F7"/>
    <w:rsid w:val="00456C6A"/>
    <w:rsid w:val="00457210"/>
    <w:rsid w:val="00457F65"/>
    <w:rsid w:val="00460020"/>
    <w:rsid w:val="00460190"/>
    <w:rsid w:val="00460A0A"/>
    <w:rsid w:val="00460C20"/>
    <w:rsid w:val="004615C4"/>
    <w:rsid w:val="0046214E"/>
    <w:rsid w:val="004626B9"/>
    <w:rsid w:val="0046277A"/>
    <w:rsid w:val="004628CB"/>
    <w:rsid w:val="00463575"/>
    <w:rsid w:val="0046362B"/>
    <w:rsid w:val="00463BC5"/>
    <w:rsid w:val="00463EA1"/>
    <w:rsid w:val="00463F54"/>
    <w:rsid w:val="004645EC"/>
    <w:rsid w:val="0046487A"/>
    <w:rsid w:val="00464C7B"/>
    <w:rsid w:val="00464E08"/>
    <w:rsid w:val="00464E5A"/>
    <w:rsid w:val="004651A7"/>
    <w:rsid w:val="00465960"/>
    <w:rsid w:val="00465C55"/>
    <w:rsid w:val="00465D5E"/>
    <w:rsid w:val="00465EC3"/>
    <w:rsid w:val="004667DA"/>
    <w:rsid w:val="00466A64"/>
    <w:rsid w:val="00466AD7"/>
    <w:rsid w:val="00466D2B"/>
    <w:rsid w:val="00467C42"/>
    <w:rsid w:val="00470356"/>
    <w:rsid w:val="0047072B"/>
    <w:rsid w:val="00471459"/>
    <w:rsid w:val="0047175E"/>
    <w:rsid w:val="00471A25"/>
    <w:rsid w:val="00471A8D"/>
    <w:rsid w:val="00471E34"/>
    <w:rsid w:val="00471E6F"/>
    <w:rsid w:val="0047206C"/>
    <w:rsid w:val="004728D2"/>
    <w:rsid w:val="0047340F"/>
    <w:rsid w:val="004741AA"/>
    <w:rsid w:val="00474524"/>
    <w:rsid w:val="00474A67"/>
    <w:rsid w:val="00474BC0"/>
    <w:rsid w:val="00474E47"/>
    <w:rsid w:val="0047523C"/>
    <w:rsid w:val="004754CC"/>
    <w:rsid w:val="00475526"/>
    <w:rsid w:val="00476F03"/>
    <w:rsid w:val="00476FBA"/>
    <w:rsid w:val="00477245"/>
    <w:rsid w:val="0047756F"/>
    <w:rsid w:val="004779A4"/>
    <w:rsid w:val="00480666"/>
    <w:rsid w:val="0048195D"/>
    <w:rsid w:val="00482189"/>
    <w:rsid w:val="004828AE"/>
    <w:rsid w:val="0048386C"/>
    <w:rsid w:val="00483B96"/>
    <w:rsid w:val="00484125"/>
    <w:rsid w:val="00484387"/>
    <w:rsid w:val="00484A00"/>
    <w:rsid w:val="004857CB"/>
    <w:rsid w:val="004871E2"/>
    <w:rsid w:val="00487287"/>
    <w:rsid w:val="004904D2"/>
    <w:rsid w:val="004910B7"/>
    <w:rsid w:val="00491238"/>
    <w:rsid w:val="00492097"/>
    <w:rsid w:val="0049240E"/>
    <w:rsid w:val="00493651"/>
    <w:rsid w:val="004940F7"/>
    <w:rsid w:val="004941DD"/>
    <w:rsid w:val="004942E2"/>
    <w:rsid w:val="0049440B"/>
    <w:rsid w:val="0049490F"/>
    <w:rsid w:val="00494AF6"/>
    <w:rsid w:val="00494B94"/>
    <w:rsid w:val="004953E3"/>
    <w:rsid w:val="004954F9"/>
    <w:rsid w:val="0049566F"/>
    <w:rsid w:val="004958BB"/>
    <w:rsid w:val="00495FA8"/>
    <w:rsid w:val="004964FF"/>
    <w:rsid w:val="00496964"/>
    <w:rsid w:val="00496A7A"/>
    <w:rsid w:val="00496CF2"/>
    <w:rsid w:val="00496D7A"/>
    <w:rsid w:val="00496F9B"/>
    <w:rsid w:val="00497257"/>
    <w:rsid w:val="004976E5"/>
    <w:rsid w:val="00497912"/>
    <w:rsid w:val="00497991"/>
    <w:rsid w:val="00497A84"/>
    <w:rsid w:val="00497B6D"/>
    <w:rsid w:val="004A0811"/>
    <w:rsid w:val="004A0B18"/>
    <w:rsid w:val="004A2FAE"/>
    <w:rsid w:val="004A3042"/>
    <w:rsid w:val="004A333F"/>
    <w:rsid w:val="004A37AF"/>
    <w:rsid w:val="004A3A6C"/>
    <w:rsid w:val="004A3BA2"/>
    <w:rsid w:val="004A3C71"/>
    <w:rsid w:val="004A464E"/>
    <w:rsid w:val="004A58D0"/>
    <w:rsid w:val="004A636A"/>
    <w:rsid w:val="004A787F"/>
    <w:rsid w:val="004A7B43"/>
    <w:rsid w:val="004B0198"/>
    <w:rsid w:val="004B0AB3"/>
    <w:rsid w:val="004B0ABE"/>
    <w:rsid w:val="004B0E9B"/>
    <w:rsid w:val="004B106C"/>
    <w:rsid w:val="004B1559"/>
    <w:rsid w:val="004B1670"/>
    <w:rsid w:val="004B1BAA"/>
    <w:rsid w:val="004B1E46"/>
    <w:rsid w:val="004B2008"/>
    <w:rsid w:val="004B24F7"/>
    <w:rsid w:val="004B2D4F"/>
    <w:rsid w:val="004B2D5D"/>
    <w:rsid w:val="004B32DF"/>
    <w:rsid w:val="004B33E1"/>
    <w:rsid w:val="004B354B"/>
    <w:rsid w:val="004B3611"/>
    <w:rsid w:val="004B36DF"/>
    <w:rsid w:val="004B3BC7"/>
    <w:rsid w:val="004B3C75"/>
    <w:rsid w:val="004B3CE5"/>
    <w:rsid w:val="004B4530"/>
    <w:rsid w:val="004B4877"/>
    <w:rsid w:val="004B53CA"/>
    <w:rsid w:val="004B5618"/>
    <w:rsid w:val="004B5F09"/>
    <w:rsid w:val="004B6472"/>
    <w:rsid w:val="004B654B"/>
    <w:rsid w:val="004B69E7"/>
    <w:rsid w:val="004B71EB"/>
    <w:rsid w:val="004B7AC2"/>
    <w:rsid w:val="004B7E27"/>
    <w:rsid w:val="004C05A3"/>
    <w:rsid w:val="004C08CF"/>
    <w:rsid w:val="004C0A43"/>
    <w:rsid w:val="004C0C59"/>
    <w:rsid w:val="004C0C89"/>
    <w:rsid w:val="004C1217"/>
    <w:rsid w:val="004C1354"/>
    <w:rsid w:val="004C137A"/>
    <w:rsid w:val="004C1BFE"/>
    <w:rsid w:val="004C1F55"/>
    <w:rsid w:val="004C2D41"/>
    <w:rsid w:val="004C31FE"/>
    <w:rsid w:val="004C3532"/>
    <w:rsid w:val="004C3C53"/>
    <w:rsid w:val="004C3EB0"/>
    <w:rsid w:val="004C40AB"/>
    <w:rsid w:val="004C4143"/>
    <w:rsid w:val="004C496E"/>
    <w:rsid w:val="004C4978"/>
    <w:rsid w:val="004C49B2"/>
    <w:rsid w:val="004C4B2D"/>
    <w:rsid w:val="004C50DB"/>
    <w:rsid w:val="004C573C"/>
    <w:rsid w:val="004C62AE"/>
    <w:rsid w:val="004C6B52"/>
    <w:rsid w:val="004C74AE"/>
    <w:rsid w:val="004C7A58"/>
    <w:rsid w:val="004D0CFE"/>
    <w:rsid w:val="004D151F"/>
    <w:rsid w:val="004D1640"/>
    <w:rsid w:val="004D1697"/>
    <w:rsid w:val="004D1806"/>
    <w:rsid w:val="004D1C49"/>
    <w:rsid w:val="004D1D43"/>
    <w:rsid w:val="004D2ADC"/>
    <w:rsid w:val="004D2F71"/>
    <w:rsid w:val="004D30E2"/>
    <w:rsid w:val="004D3333"/>
    <w:rsid w:val="004D3B65"/>
    <w:rsid w:val="004D3DB7"/>
    <w:rsid w:val="004D4327"/>
    <w:rsid w:val="004D51CA"/>
    <w:rsid w:val="004D57C8"/>
    <w:rsid w:val="004D5878"/>
    <w:rsid w:val="004D5D9F"/>
    <w:rsid w:val="004D6248"/>
    <w:rsid w:val="004D667C"/>
    <w:rsid w:val="004D69A4"/>
    <w:rsid w:val="004D6D24"/>
    <w:rsid w:val="004E0A10"/>
    <w:rsid w:val="004E0E48"/>
    <w:rsid w:val="004E2374"/>
    <w:rsid w:val="004E256A"/>
    <w:rsid w:val="004E2869"/>
    <w:rsid w:val="004E294E"/>
    <w:rsid w:val="004E2D8A"/>
    <w:rsid w:val="004E354E"/>
    <w:rsid w:val="004E362F"/>
    <w:rsid w:val="004E3881"/>
    <w:rsid w:val="004E406E"/>
    <w:rsid w:val="004E4072"/>
    <w:rsid w:val="004E46F3"/>
    <w:rsid w:val="004E4A4D"/>
    <w:rsid w:val="004E4B74"/>
    <w:rsid w:val="004E4BDA"/>
    <w:rsid w:val="004E53CB"/>
    <w:rsid w:val="004E5C8C"/>
    <w:rsid w:val="004E62C3"/>
    <w:rsid w:val="004E66BE"/>
    <w:rsid w:val="004E671A"/>
    <w:rsid w:val="004E701A"/>
    <w:rsid w:val="004E72EB"/>
    <w:rsid w:val="004E7F4A"/>
    <w:rsid w:val="004E7F95"/>
    <w:rsid w:val="004F0252"/>
    <w:rsid w:val="004F0C35"/>
    <w:rsid w:val="004F10B8"/>
    <w:rsid w:val="004F1EC0"/>
    <w:rsid w:val="004F2344"/>
    <w:rsid w:val="004F24C3"/>
    <w:rsid w:val="004F2B5C"/>
    <w:rsid w:val="004F2FA8"/>
    <w:rsid w:val="004F3F24"/>
    <w:rsid w:val="004F4125"/>
    <w:rsid w:val="004F4BCD"/>
    <w:rsid w:val="004F54B5"/>
    <w:rsid w:val="004F5585"/>
    <w:rsid w:val="004F6290"/>
    <w:rsid w:val="004F6407"/>
    <w:rsid w:val="004F704C"/>
    <w:rsid w:val="004F7EA4"/>
    <w:rsid w:val="005005C3"/>
    <w:rsid w:val="0050075B"/>
    <w:rsid w:val="005015CB"/>
    <w:rsid w:val="00501A6F"/>
    <w:rsid w:val="00501D8C"/>
    <w:rsid w:val="00502E7C"/>
    <w:rsid w:val="0050358B"/>
    <w:rsid w:val="005037D8"/>
    <w:rsid w:val="00503AD2"/>
    <w:rsid w:val="00504E6F"/>
    <w:rsid w:val="00505994"/>
    <w:rsid w:val="00505BF7"/>
    <w:rsid w:val="00506733"/>
    <w:rsid w:val="00506A2D"/>
    <w:rsid w:val="00506C28"/>
    <w:rsid w:val="00506E6F"/>
    <w:rsid w:val="0050730E"/>
    <w:rsid w:val="00507435"/>
    <w:rsid w:val="005079C6"/>
    <w:rsid w:val="00507A83"/>
    <w:rsid w:val="00507A8A"/>
    <w:rsid w:val="005105D7"/>
    <w:rsid w:val="00510AA6"/>
    <w:rsid w:val="00510B76"/>
    <w:rsid w:val="00510D58"/>
    <w:rsid w:val="00511412"/>
    <w:rsid w:val="00511FB1"/>
    <w:rsid w:val="00512048"/>
    <w:rsid w:val="00512119"/>
    <w:rsid w:val="00512841"/>
    <w:rsid w:val="00512A6B"/>
    <w:rsid w:val="005135F3"/>
    <w:rsid w:val="00513D47"/>
    <w:rsid w:val="00513EBA"/>
    <w:rsid w:val="00514B30"/>
    <w:rsid w:val="005152B5"/>
    <w:rsid w:val="00516F9C"/>
    <w:rsid w:val="005201CC"/>
    <w:rsid w:val="0052107A"/>
    <w:rsid w:val="005214BF"/>
    <w:rsid w:val="00522631"/>
    <w:rsid w:val="00522711"/>
    <w:rsid w:val="0052276B"/>
    <w:rsid w:val="00523258"/>
    <w:rsid w:val="00523415"/>
    <w:rsid w:val="005239D5"/>
    <w:rsid w:val="00523C8E"/>
    <w:rsid w:val="00523F0A"/>
    <w:rsid w:val="0052409B"/>
    <w:rsid w:val="005245DD"/>
    <w:rsid w:val="005251EE"/>
    <w:rsid w:val="00525984"/>
    <w:rsid w:val="00525CC6"/>
    <w:rsid w:val="00526B30"/>
    <w:rsid w:val="0052713D"/>
    <w:rsid w:val="005275EB"/>
    <w:rsid w:val="00527DE5"/>
    <w:rsid w:val="00527E18"/>
    <w:rsid w:val="00530811"/>
    <w:rsid w:val="00530C22"/>
    <w:rsid w:val="0053132A"/>
    <w:rsid w:val="00531616"/>
    <w:rsid w:val="0053178D"/>
    <w:rsid w:val="00531C14"/>
    <w:rsid w:val="005321DD"/>
    <w:rsid w:val="00532834"/>
    <w:rsid w:val="00532E74"/>
    <w:rsid w:val="00533342"/>
    <w:rsid w:val="005336EB"/>
    <w:rsid w:val="00533D98"/>
    <w:rsid w:val="00534048"/>
    <w:rsid w:val="00534204"/>
    <w:rsid w:val="00534514"/>
    <w:rsid w:val="00534516"/>
    <w:rsid w:val="005349EB"/>
    <w:rsid w:val="00534CEA"/>
    <w:rsid w:val="00535B1D"/>
    <w:rsid w:val="00536924"/>
    <w:rsid w:val="00536B92"/>
    <w:rsid w:val="0054015F"/>
    <w:rsid w:val="00540590"/>
    <w:rsid w:val="00540638"/>
    <w:rsid w:val="00540682"/>
    <w:rsid w:val="0054084F"/>
    <w:rsid w:val="0054107C"/>
    <w:rsid w:val="0054176D"/>
    <w:rsid w:val="0054185A"/>
    <w:rsid w:val="005420AE"/>
    <w:rsid w:val="005426E9"/>
    <w:rsid w:val="00542F10"/>
    <w:rsid w:val="00543BC0"/>
    <w:rsid w:val="00543BCC"/>
    <w:rsid w:val="00543C3E"/>
    <w:rsid w:val="00543FB6"/>
    <w:rsid w:val="005448DB"/>
    <w:rsid w:val="00544911"/>
    <w:rsid w:val="00545541"/>
    <w:rsid w:val="005456D4"/>
    <w:rsid w:val="005456FC"/>
    <w:rsid w:val="00545792"/>
    <w:rsid w:val="00545AD6"/>
    <w:rsid w:val="00545C24"/>
    <w:rsid w:val="00546071"/>
    <w:rsid w:val="005465E5"/>
    <w:rsid w:val="00547E10"/>
    <w:rsid w:val="00547E77"/>
    <w:rsid w:val="00550047"/>
    <w:rsid w:val="005503CA"/>
    <w:rsid w:val="00551313"/>
    <w:rsid w:val="00551394"/>
    <w:rsid w:val="005518C6"/>
    <w:rsid w:val="00551A96"/>
    <w:rsid w:val="00551C3A"/>
    <w:rsid w:val="00552F55"/>
    <w:rsid w:val="005538E2"/>
    <w:rsid w:val="00553BFC"/>
    <w:rsid w:val="00554245"/>
    <w:rsid w:val="00554620"/>
    <w:rsid w:val="005546FA"/>
    <w:rsid w:val="005549DE"/>
    <w:rsid w:val="00554CA3"/>
    <w:rsid w:val="00555063"/>
    <w:rsid w:val="005554C4"/>
    <w:rsid w:val="0055561A"/>
    <w:rsid w:val="00555623"/>
    <w:rsid w:val="00555D6A"/>
    <w:rsid w:val="005562AF"/>
    <w:rsid w:val="0055675E"/>
    <w:rsid w:val="005568A9"/>
    <w:rsid w:val="00556FCA"/>
    <w:rsid w:val="0055709F"/>
    <w:rsid w:val="005575D2"/>
    <w:rsid w:val="00557A6E"/>
    <w:rsid w:val="005603A6"/>
    <w:rsid w:val="005607B5"/>
    <w:rsid w:val="005608A8"/>
    <w:rsid w:val="005609AB"/>
    <w:rsid w:val="0056107C"/>
    <w:rsid w:val="005616BC"/>
    <w:rsid w:val="00561C71"/>
    <w:rsid w:val="00562A75"/>
    <w:rsid w:val="005630A4"/>
    <w:rsid w:val="0056362C"/>
    <w:rsid w:val="00563F4F"/>
    <w:rsid w:val="00564131"/>
    <w:rsid w:val="005643A6"/>
    <w:rsid w:val="00564594"/>
    <w:rsid w:val="00564647"/>
    <w:rsid w:val="0056491E"/>
    <w:rsid w:val="00564FCE"/>
    <w:rsid w:val="0056560C"/>
    <w:rsid w:val="005658CC"/>
    <w:rsid w:val="00565FF3"/>
    <w:rsid w:val="0056662A"/>
    <w:rsid w:val="0056665E"/>
    <w:rsid w:val="00566DEB"/>
    <w:rsid w:val="00571E20"/>
    <w:rsid w:val="00571E56"/>
    <w:rsid w:val="00572251"/>
    <w:rsid w:val="00572382"/>
    <w:rsid w:val="00572E4A"/>
    <w:rsid w:val="00572FC8"/>
    <w:rsid w:val="00573078"/>
    <w:rsid w:val="005733E8"/>
    <w:rsid w:val="0057340A"/>
    <w:rsid w:val="00573582"/>
    <w:rsid w:val="005736C7"/>
    <w:rsid w:val="0057467F"/>
    <w:rsid w:val="005768FA"/>
    <w:rsid w:val="00576D65"/>
    <w:rsid w:val="00576D9F"/>
    <w:rsid w:val="00577B8D"/>
    <w:rsid w:val="00577E0E"/>
    <w:rsid w:val="00577E2C"/>
    <w:rsid w:val="005802D9"/>
    <w:rsid w:val="005804E1"/>
    <w:rsid w:val="005806C3"/>
    <w:rsid w:val="00580EAD"/>
    <w:rsid w:val="00581243"/>
    <w:rsid w:val="00581AAA"/>
    <w:rsid w:val="00581F29"/>
    <w:rsid w:val="005823B0"/>
    <w:rsid w:val="005829AC"/>
    <w:rsid w:val="00582A75"/>
    <w:rsid w:val="0058313C"/>
    <w:rsid w:val="005832D6"/>
    <w:rsid w:val="00583D58"/>
    <w:rsid w:val="00583F08"/>
    <w:rsid w:val="0058529F"/>
    <w:rsid w:val="00585A6D"/>
    <w:rsid w:val="00585E79"/>
    <w:rsid w:val="00585E7E"/>
    <w:rsid w:val="005860F2"/>
    <w:rsid w:val="00586458"/>
    <w:rsid w:val="00586639"/>
    <w:rsid w:val="0058686A"/>
    <w:rsid w:val="005877F3"/>
    <w:rsid w:val="00587F25"/>
    <w:rsid w:val="00590740"/>
    <w:rsid w:val="00590AA2"/>
    <w:rsid w:val="00590AE9"/>
    <w:rsid w:val="00590E38"/>
    <w:rsid w:val="00591112"/>
    <w:rsid w:val="005915D6"/>
    <w:rsid w:val="00591800"/>
    <w:rsid w:val="00591A97"/>
    <w:rsid w:val="005923FE"/>
    <w:rsid w:val="00592DFB"/>
    <w:rsid w:val="00593F74"/>
    <w:rsid w:val="005947AA"/>
    <w:rsid w:val="005947B0"/>
    <w:rsid w:val="00594F1C"/>
    <w:rsid w:val="00595508"/>
    <w:rsid w:val="0059604E"/>
    <w:rsid w:val="0059702C"/>
    <w:rsid w:val="0059721C"/>
    <w:rsid w:val="0059774E"/>
    <w:rsid w:val="00597A75"/>
    <w:rsid w:val="00597BB4"/>
    <w:rsid w:val="005A08B8"/>
    <w:rsid w:val="005A115C"/>
    <w:rsid w:val="005A1B78"/>
    <w:rsid w:val="005A1C9A"/>
    <w:rsid w:val="005A2189"/>
    <w:rsid w:val="005A22BF"/>
    <w:rsid w:val="005A30D9"/>
    <w:rsid w:val="005A3360"/>
    <w:rsid w:val="005A4689"/>
    <w:rsid w:val="005A496F"/>
    <w:rsid w:val="005A4FF1"/>
    <w:rsid w:val="005A51A5"/>
    <w:rsid w:val="005A6205"/>
    <w:rsid w:val="005A6294"/>
    <w:rsid w:val="005A6DB3"/>
    <w:rsid w:val="005A6DD7"/>
    <w:rsid w:val="005A7AF3"/>
    <w:rsid w:val="005A7BBE"/>
    <w:rsid w:val="005B081A"/>
    <w:rsid w:val="005B09DB"/>
    <w:rsid w:val="005B0A7F"/>
    <w:rsid w:val="005B0D03"/>
    <w:rsid w:val="005B279B"/>
    <w:rsid w:val="005B27C7"/>
    <w:rsid w:val="005B27F2"/>
    <w:rsid w:val="005B30B0"/>
    <w:rsid w:val="005B371A"/>
    <w:rsid w:val="005B37B1"/>
    <w:rsid w:val="005B477B"/>
    <w:rsid w:val="005B4A83"/>
    <w:rsid w:val="005B4AAE"/>
    <w:rsid w:val="005B4CAB"/>
    <w:rsid w:val="005B4CFE"/>
    <w:rsid w:val="005B5269"/>
    <w:rsid w:val="005B607C"/>
    <w:rsid w:val="005B6196"/>
    <w:rsid w:val="005B6715"/>
    <w:rsid w:val="005B688F"/>
    <w:rsid w:val="005B6F13"/>
    <w:rsid w:val="005B7997"/>
    <w:rsid w:val="005C002A"/>
    <w:rsid w:val="005C0152"/>
    <w:rsid w:val="005C032E"/>
    <w:rsid w:val="005C0960"/>
    <w:rsid w:val="005C1B43"/>
    <w:rsid w:val="005C1CF2"/>
    <w:rsid w:val="005C2599"/>
    <w:rsid w:val="005C25D1"/>
    <w:rsid w:val="005C2CA7"/>
    <w:rsid w:val="005C2E9E"/>
    <w:rsid w:val="005C310A"/>
    <w:rsid w:val="005C34BF"/>
    <w:rsid w:val="005C3B2B"/>
    <w:rsid w:val="005C4332"/>
    <w:rsid w:val="005C4483"/>
    <w:rsid w:val="005C47BC"/>
    <w:rsid w:val="005C4C65"/>
    <w:rsid w:val="005C5485"/>
    <w:rsid w:val="005C5A1E"/>
    <w:rsid w:val="005C6156"/>
    <w:rsid w:val="005C679C"/>
    <w:rsid w:val="005C6D62"/>
    <w:rsid w:val="005C6E64"/>
    <w:rsid w:val="005C7531"/>
    <w:rsid w:val="005C77CF"/>
    <w:rsid w:val="005C7C2B"/>
    <w:rsid w:val="005D132E"/>
    <w:rsid w:val="005D1CCA"/>
    <w:rsid w:val="005D2EB0"/>
    <w:rsid w:val="005D3245"/>
    <w:rsid w:val="005D3D01"/>
    <w:rsid w:val="005D4263"/>
    <w:rsid w:val="005D4743"/>
    <w:rsid w:val="005D4AE7"/>
    <w:rsid w:val="005D5016"/>
    <w:rsid w:val="005D5A17"/>
    <w:rsid w:val="005D646C"/>
    <w:rsid w:val="005D7173"/>
    <w:rsid w:val="005D760A"/>
    <w:rsid w:val="005E0112"/>
    <w:rsid w:val="005E0399"/>
    <w:rsid w:val="005E0441"/>
    <w:rsid w:val="005E0A2B"/>
    <w:rsid w:val="005E0FFA"/>
    <w:rsid w:val="005E10D4"/>
    <w:rsid w:val="005E112A"/>
    <w:rsid w:val="005E16B5"/>
    <w:rsid w:val="005E2601"/>
    <w:rsid w:val="005E264F"/>
    <w:rsid w:val="005E36B0"/>
    <w:rsid w:val="005E371A"/>
    <w:rsid w:val="005E39E5"/>
    <w:rsid w:val="005E3F0E"/>
    <w:rsid w:val="005E4ECB"/>
    <w:rsid w:val="005E4F42"/>
    <w:rsid w:val="005E52AE"/>
    <w:rsid w:val="005E59A6"/>
    <w:rsid w:val="005E5DBD"/>
    <w:rsid w:val="005E5DDF"/>
    <w:rsid w:val="005E61DF"/>
    <w:rsid w:val="005E68BD"/>
    <w:rsid w:val="005E6BF0"/>
    <w:rsid w:val="005E6FFC"/>
    <w:rsid w:val="005E710C"/>
    <w:rsid w:val="005E77A2"/>
    <w:rsid w:val="005E7BB6"/>
    <w:rsid w:val="005E7D91"/>
    <w:rsid w:val="005E7DE0"/>
    <w:rsid w:val="005F0CBB"/>
    <w:rsid w:val="005F0D80"/>
    <w:rsid w:val="005F0EC6"/>
    <w:rsid w:val="005F124A"/>
    <w:rsid w:val="005F1E44"/>
    <w:rsid w:val="005F2963"/>
    <w:rsid w:val="005F2ECA"/>
    <w:rsid w:val="005F42D1"/>
    <w:rsid w:val="005F4301"/>
    <w:rsid w:val="005F47F8"/>
    <w:rsid w:val="005F4E05"/>
    <w:rsid w:val="005F507A"/>
    <w:rsid w:val="005F58CE"/>
    <w:rsid w:val="005F5B84"/>
    <w:rsid w:val="005F74EA"/>
    <w:rsid w:val="005F7A27"/>
    <w:rsid w:val="005F7F58"/>
    <w:rsid w:val="006000D0"/>
    <w:rsid w:val="0060027D"/>
    <w:rsid w:val="00600F75"/>
    <w:rsid w:val="0060192C"/>
    <w:rsid w:val="00601CD2"/>
    <w:rsid w:val="00601CF5"/>
    <w:rsid w:val="00602966"/>
    <w:rsid w:val="00602F74"/>
    <w:rsid w:val="006033B4"/>
    <w:rsid w:val="0060434A"/>
    <w:rsid w:val="0060434D"/>
    <w:rsid w:val="00604CAD"/>
    <w:rsid w:val="00605C5C"/>
    <w:rsid w:val="00606672"/>
    <w:rsid w:val="00607E83"/>
    <w:rsid w:val="00610632"/>
    <w:rsid w:val="00610B91"/>
    <w:rsid w:val="00610FEE"/>
    <w:rsid w:val="00611619"/>
    <w:rsid w:val="00611660"/>
    <w:rsid w:val="00612861"/>
    <w:rsid w:val="00612AE4"/>
    <w:rsid w:val="0061326E"/>
    <w:rsid w:val="00613411"/>
    <w:rsid w:val="00613566"/>
    <w:rsid w:val="006135B4"/>
    <w:rsid w:val="00613950"/>
    <w:rsid w:val="00613DCF"/>
    <w:rsid w:val="0061418F"/>
    <w:rsid w:val="00614205"/>
    <w:rsid w:val="006143EE"/>
    <w:rsid w:val="0061473B"/>
    <w:rsid w:val="00615D95"/>
    <w:rsid w:val="006160BE"/>
    <w:rsid w:val="006160D8"/>
    <w:rsid w:val="006162D0"/>
    <w:rsid w:val="00616C2E"/>
    <w:rsid w:val="006173AD"/>
    <w:rsid w:val="00620C10"/>
    <w:rsid w:val="00620D9A"/>
    <w:rsid w:val="00620DBA"/>
    <w:rsid w:val="00621722"/>
    <w:rsid w:val="00621887"/>
    <w:rsid w:val="00621EA0"/>
    <w:rsid w:val="006223BC"/>
    <w:rsid w:val="00622684"/>
    <w:rsid w:val="00622975"/>
    <w:rsid w:val="00622DB5"/>
    <w:rsid w:val="00622FBE"/>
    <w:rsid w:val="0062302C"/>
    <w:rsid w:val="0062317E"/>
    <w:rsid w:val="006244F0"/>
    <w:rsid w:val="00624CDB"/>
    <w:rsid w:val="00624E55"/>
    <w:rsid w:val="00625941"/>
    <w:rsid w:val="006259ED"/>
    <w:rsid w:val="0062606E"/>
    <w:rsid w:val="006277FC"/>
    <w:rsid w:val="00630124"/>
    <w:rsid w:val="00630B0C"/>
    <w:rsid w:val="00631CDA"/>
    <w:rsid w:val="0063216B"/>
    <w:rsid w:val="006325AB"/>
    <w:rsid w:val="00632943"/>
    <w:rsid w:val="00632E25"/>
    <w:rsid w:val="006331FA"/>
    <w:rsid w:val="006335B6"/>
    <w:rsid w:val="006337B1"/>
    <w:rsid w:val="00633F52"/>
    <w:rsid w:val="0063457F"/>
    <w:rsid w:val="006345C7"/>
    <w:rsid w:val="00634B21"/>
    <w:rsid w:val="00634DA0"/>
    <w:rsid w:val="0063508E"/>
    <w:rsid w:val="00635157"/>
    <w:rsid w:val="00635F01"/>
    <w:rsid w:val="00636B32"/>
    <w:rsid w:val="00636E16"/>
    <w:rsid w:val="00636E22"/>
    <w:rsid w:val="00636E47"/>
    <w:rsid w:val="00637010"/>
    <w:rsid w:val="0063722F"/>
    <w:rsid w:val="00637BAD"/>
    <w:rsid w:val="00637D9A"/>
    <w:rsid w:val="00637F08"/>
    <w:rsid w:val="0064063F"/>
    <w:rsid w:val="00640EEF"/>
    <w:rsid w:val="0064143E"/>
    <w:rsid w:val="00641C2F"/>
    <w:rsid w:val="00641EF0"/>
    <w:rsid w:val="00641F08"/>
    <w:rsid w:val="006422E9"/>
    <w:rsid w:val="00642557"/>
    <w:rsid w:val="00642F97"/>
    <w:rsid w:val="00643B4B"/>
    <w:rsid w:val="00643DEC"/>
    <w:rsid w:val="00643F35"/>
    <w:rsid w:val="0064433E"/>
    <w:rsid w:val="006443D0"/>
    <w:rsid w:val="00644527"/>
    <w:rsid w:val="0064596C"/>
    <w:rsid w:val="00645B05"/>
    <w:rsid w:val="006465AA"/>
    <w:rsid w:val="006469AA"/>
    <w:rsid w:val="00647DE3"/>
    <w:rsid w:val="006508A2"/>
    <w:rsid w:val="00650910"/>
    <w:rsid w:val="00650BF5"/>
    <w:rsid w:val="00651359"/>
    <w:rsid w:val="00651973"/>
    <w:rsid w:val="006519E3"/>
    <w:rsid w:val="00651A62"/>
    <w:rsid w:val="00651D35"/>
    <w:rsid w:val="006525B4"/>
    <w:rsid w:val="00653334"/>
    <w:rsid w:val="00653539"/>
    <w:rsid w:val="00653822"/>
    <w:rsid w:val="00653FE4"/>
    <w:rsid w:val="00654366"/>
    <w:rsid w:val="006543F6"/>
    <w:rsid w:val="0065492A"/>
    <w:rsid w:val="00654C1B"/>
    <w:rsid w:val="00655501"/>
    <w:rsid w:val="006559D9"/>
    <w:rsid w:val="00655B44"/>
    <w:rsid w:val="006572B5"/>
    <w:rsid w:val="006573E9"/>
    <w:rsid w:val="0065761E"/>
    <w:rsid w:val="006604A2"/>
    <w:rsid w:val="00661265"/>
    <w:rsid w:val="006613FE"/>
    <w:rsid w:val="00661A4A"/>
    <w:rsid w:val="00661E9D"/>
    <w:rsid w:val="00662477"/>
    <w:rsid w:val="00662575"/>
    <w:rsid w:val="006628FD"/>
    <w:rsid w:val="00662965"/>
    <w:rsid w:val="00662C37"/>
    <w:rsid w:val="00662D35"/>
    <w:rsid w:val="00662DA4"/>
    <w:rsid w:val="00662E94"/>
    <w:rsid w:val="00662EC5"/>
    <w:rsid w:val="00663555"/>
    <w:rsid w:val="00663832"/>
    <w:rsid w:val="00663A5A"/>
    <w:rsid w:val="006641F2"/>
    <w:rsid w:val="006644AA"/>
    <w:rsid w:val="0066473D"/>
    <w:rsid w:val="0066647F"/>
    <w:rsid w:val="00666578"/>
    <w:rsid w:val="00667CAC"/>
    <w:rsid w:val="006708D8"/>
    <w:rsid w:val="00670952"/>
    <w:rsid w:val="00670B0A"/>
    <w:rsid w:val="00670C0A"/>
    <w:rsid w:val="006712A8"/>
    <w:rsid w:val="00671468"/>
    <w:rsid w:val="00672203"/>
    <w:rsid w:val="0067307E"/>
    <w:rsid w:val="00673476"/>
    <w:rsid w:val="006735CB"/>
    <w:rsid w:val="00673B00"/>
    <w:rsid w:val="00673F7F"/>
    <w:rsid w:val="00674C10"/>
    <w:rsid w:val="00675720"/>
    <w:rsid w:val="006758EE"/>
    <w:rsid w:val="00675DB9"/>
    <w:rsid w:val="00675E5C"/>
    <w:rsid w:val="00680349"/>
    <w:rsid w:val="006805E6"/>
    <w:rsid w:val="00680DDA"/>
    <w:rsid w:val="0068112C"/>
    <w:rsid w:val="0068274C"/>
    <w:rsid w:val="00682AEA"/>
    <w:rsid w:val="00683B93"/>
    <w:rsid w:val="00683E58"/>
    <w:rsid w:val="0068416D"/>
    <w:rsid w:val="00684A67"/>
    <w:rsid w:val="00685AD0"/>
    <w:rsid w:val="00686B40"/>
    <w:rsid w:val="006873B2"/>
    <w:rsid w:val="0068754D"/>
    <w:rsid w:val="00690135"/>
    <w:rsid w:val="00690631"/>
    <w:rsid w:val="0069117F"/>
    <w:rsid w:val="00691812"/>
    <w:rsid w:val="006919AF"/>
    <w:rsid w:val="0069213C"/>
    <w:rsid w:val="006928EA"/>
    <w:rsid w:val="00692DA1"/>
    <w:rsid w:val="00693487"/>
    <w:rsid w:val="0069357E"/>
    <w:rsid w:val="006939C1"/>
    <w:rsid w:val="00693E95"/>
    <w:rsid w:val="0069425F"/>
    <w:rsid w:val="00695514"/>
    <w:rsid w:val="00695797"/>
    <w:rsid w:val="00695E49"/>
    <w:rsid w:val="006960F5"/>
    <w:rsid w:val="006962F7"/>
    <w:rsid w:val="00696CBC"/>
    <w:rsid w:val="006972A6"/>
    <w:rsid w:val="0069796A"/>
    <w:rsid w:val="00697E42"/>
    <w:rsid w:val="006A04A4"/>
    <w:rsid w:val="006A13FD"/>
    <w:rsid w:val="006A1462"/>
    <w:rsid w:val="006A274E"/>
    <w:rsid w:val="006A30E9"/>
    <w:rsid w:val="006A34FA"/>
    <w:rsid w:val="006A3A63"/>
    <w:rsid w:val="006A3C52"/>
    <w:rsid w:val="006A3DBC"/>
    <w:rsid w:val="006A4817"/>
    <w:rsid w:val="006A4A2A"/>
    <w:rsid w:val="006A4CF9"/>
    <w:rsid w:val="006A4D0B"/>
    <w:rsid w:val="006A4FFF"/>
    <w:rsid w:val="006A50F1"/>
    <w:rsid w:val="006A519D"/>
    <w:rsid w:val="006A571A"/>
    <w:rsid w:val="006A5861"/>
    <w:rsid w:val="006A5876"/>
    <w:rsid w:val="006A5902"/>
    <w:rsid w:val="006A591E"/>
    <w:rsid w:val="006A60FD"/>
    <w:rsid w:val="006A64C4"/>
    <w:rsid w:val="006A6532"/>
    <w:rsid w:val="006A6981"/>
    <w:rsid w:val="006A70E1"/>
    <w:rsid w:val="006A749C"/>
    <w:rsid w:val="006A74C7"/>
    <w:rsid w:val="006A759B"/>
    <w:rsid w:val="006A77C7"/>
    <w:rsid w:val="006A7925"/>
    <w:rsid w:val="006A7C9D"/>
    <w:rsid w:val="006B09DE"/>
    <w:rsid w:val="006B0C44"/>
    <w:rsid w:val="006B14E5"/>
    <w:rsid w:val="006B1E2B"/>
    <w:rsid w:val="006B1E8B"/>
    <w:rsid w:val="006B2552"/>
    <w:rsid w:val="006B2B31"/>
    <w:rsid w:val="006B3038"/>
    <w:rsid w:val="006B426D"/>
    <w:rsid w:val="006B4287"/>
    <w:rsid w:val="006B446F"/>
    <w:rsid w:val="006B498C"/>
    <w:rsid w:val="006B49CD"/>
    <w:rsid w:val="006B4A79"/>
    <w:rsid w:val="006B57C6"/>
    <w:rsid w:val="006B707C"/>
    <w:rsid w:val="006B75A8"/>
    <w:rsid w:val="006B789F"/>
    <w:rsid w:val="006C0414"/>
    <w:rsid w:val="006C080D"/>
    <w:rsid w:val="006C151E"/>
    <w:rsid w:val="006C1567"/>
    <w:rsid w:val="006C1685"/>
    <w:rsid w:val="006C1C9B"/>
    <w:rsid w:val="006C1F6E"/>
    <w:rsid w:val="006C20A1"/>
    <w:rsid w:val="006C2547"/>
    <w:rsid w:val="006C2D60"/>
    <w:rsid w:val="006C30B8"/>
    <w:rsid w:val="006C3253"/>
    <w:rsid w:val="006C3BD8"/>
    <w:rsid w:val="006C48C8"/>
    <w:rsid w:val="006C5287"/>
    <w:rsid w:val="006C6283"/>
    <w:rsid w:val="006C62E3"/>
    <w:rsid w:val="006C664B"/>
    <w:rsid w:val="006C6748"/>
    <w:rsid w:val="006C6EDF"/>
    <w:rsid w:val="006C7050"/>
    <w:rsid w:val="006C77E0"/>
    <w:rsid w:val="006C7A47"/>
    <w:rsid w:val="006C7F52"/>
    <w:rsid w:val="006C7F83"/>
    <w:rsid w:val="006D0E08"/>
    <w:rsid w:val="006D0E7D"/>
    <w:rsid w:val="006D0ED2"/>
    <w:rsid w:val="006D234F"/>
    <w:rsid w:val="006D247B"/>
    <w:rsid w:val="006D261C"/>
    <w:rsid w:val="006D286C"/>
    <w:rsid w:val="006D2B80"/>
    <w:rsid w:val="006D2ED4"/>
    <w:rsid w:val="006D32A0"/>
    <w:rsid w:val="006D32F7"/>
    <w:rsid w:val="006D3A6A"/>
    <w:rsid w:val="006D3A8A"/>
    <w:rsid w:val="006D40BB"/>
    <w:rsid w:val="006D4B1B"/>
    <w:rsid w:val="006D4D2C"/>
    <w:rsid w:val="006D5102"/>
    <w:rsid w:val="006D537E"/>
    <w:rsid w:val="006D544E"/>
    <w:rsid w:val="006D55DF"/>
    <w:rsid w:val="006D6881"/>
    <w:rsid w:val="006D69CA"/>
    <w:rsid w:val="006D6A4E"/>
    <w:rsid w:val="006E1797"/>
    <w:rsid w:val="006E1EBC"/>
    <w:rsid w:val="006E218E"/>
    <w:rsid w:val="006E28AC"/>
    <w:rsid w:val="006E2D70"/>
    <w:rsid w:val="006E2FCB"/>
    <w:rsid w:val="006E3C4F"/>
    <w:rsid w:val="006E4B67"/>
    <w:rsid w:val="006E5CCE"/>
    <w:rsid w:val="006E62F1"/>
    <w:rsid w:val="006E62F3"/>
    <w:rsid w:val="006E6614"/>
    <w:rsid w:val="006E687A"/>
    <w:rsid w:val="006E70C5"/>
    <w:rsid w:val="006F0C34"/>
    <w:rsid w:val="006F0E4D"/>
    <w:rsid w:val="006F0FEE"/>
    <w:rsid w:val="006F1450"/>
    <w:rsid w:val="006F1462"/>
    <w:rsid w:val="006F17E4"/>
    <w:rsid w:val="006F23A5"/>
    <w:rsid w:val="006F2CA9"/>
    <w:rsid w:val="006F2E56"/>
    <w:rsid w:val="006F315E"/>
    <w:rsid w:val="006F35A3"/>
    <w:rsid w:val="006F40B8"/>
    <w:rsid w:val="006F4D7B"/>
    <w:rsid w:val="006F4E86"/>
    <w:rsid w:val="006F6367"/>
    <w:rsid w:val="006F6915"/>
    <w:rsid w:val="006F6B81"/>
    <w:rsid w:val="006F710B"/>
    <w:rsid w:val="006F7201"/>
    <w:rsid w:val="00700FA5"/>
    <w:rsid w:val="00701089"/>
    <w:rsid w:val="007013AA"/>
    <w:rsid w:val="00701566"/>
    <w:rsid w:val="0070168F"/>
    <w:rsid w:val="00701D3E"/>
    <w:rsid w:val="00701E56"/>
    <w:rsid w:val="0070255A"/>
    <w:rsid w:val="00702621"/>
    <w:rsid w:val="0070283E"/>
    <w:rsid w:val="00703361"/>
    <w:rsid w:val="00703DD5"/>
    <w:rsid w:val="007042B4"/>
    <w:rsid w:val="007049F8"/>
    <w:rsid w:val="0070522F"/>
    <w:rsid w:val="007053BC"/>
    <w:rsid w:val="007057BD"/>
    <w:rsid w:val="00705FEB"/>
    <w:rsid w:val="0070629C"/>
    <w:rsid w:val="00706835"/>
    <w:rsid w:val="00710D06"/>
    <w:rsid w:val="00710E83"/>
    <w:rsid w:val="007116C9"/>
    <w:rsid w:val="007118D6"/>
    <w:rsid w:val="0071210E"/>
    <w:rsid w:val="00712854"/>
    <w:rsid w:val="00712C1D"/>
    <w:rsid w:val="00712CBB"/>
    <w:rsid w:val="0071395A"/>
    <w:rsid w:val="00713EC0"/>
    <w:rsid w:val="0071459B"/>
    <w:rsid w:val="007146FB"/>
    <w:rsid w:val="007147B2"/>
    <w:rsid w:val="00714A2A"/>
    <w:rsid w:val="007152E3"/>
    <w:rsid w:val="00715A1D"/>
    <w:rsid w:val="00716620"/>
    <w:rsid w:val="00716816"/>
    <w:rsid w:val="00716C4E"/>
    <w:rsid w:val="00716CFB"/>
    <w:rsid w:val="0071760E"/>
    <w:rsid w:val="00717A01"/>
    <w:rsid w:val="00717A5E"/>
    <w:rsid w:val="00717E3B"/>
    <w:rsid w:val="0072026E"/>
    <w:rsid w:val="0072033B"/>
    <w:rsid w:val="0072044F"/>
    <w:rsid w:val="007204EE"/>
    <w:rsid w:val="0072090E"/>
    <w:rsid w:val="0072100C"/>
    <w:rsid w:val="007212FB"/>
    <w:rsid w:val="007227A6"/>
    <w:rsid w:val="007232C5"/>
    <w:rsid w:val="00724694"/>
    <w:rsid w:val="00724ABB"/>
    <w:rsid w:val="00724FAB"/>
    <w:rsid w:val="0072544E"/>
    <w:rsid w:val="007254C7"/>
    <w:rsid w:val="00725C1E"/>
    <w:rsid w:val="0072631B"/>
    <w:rsid w:val="0072662B"/>
    <w:rsid w:val="00726F14"/>
    <w:rsid w:val="00727292"/>
    <w:rsid w:val="007303E3"/>
    <w:rsid w:val="00730557"/>
    <w:rsid w:val="007306FA"/>
    <w:rsid w:val="00730FFF"/>
    <w:rsid w:val="00731927"/>
    <w:rsid w:val="007321F3"/>
    <w:rsid w:val="007335A8"/>
    <w:rsid w:val="00733653"/>
    <w:rsid w:val="0073376C"/>
    <w:rsid w:val="00734619"/>
    <w:rsid w:val="00735A8F"/>
    <w:rsid w:val="00735CBF"/>
    <w:rsid w:val="007365E9"/>
    <w:rsid w:val="00736657"/>
    <w:rsid w:val="00736FA8"/>
    <w:rsid w:val="00737A14"/>
    <w:rsid w:val="00737A64"/>
    <w:rsid w:val="0074064E"/>
    <w:rsid w:val="00740678"/>
    <w:rsid w:val="00740C25"/>
    <w:rsid w:val="00740FB9"/>
    <w:rsid w:val="007420B1"/>
    <w:rsid w:val="00742651"/>
    <w:rsid w:val="00742A70"/>
    <w:rsid w:val="00742C32"/>
    <w:rsid w:val="00743D3F"/>
    <w:rsid w:val="007441F5"/>
    <w:rsid w:val="007445AF"/>
    <w:rsid w:val="007447E6"/>
    <w:rsid w:val="007448B0"/>
    <w:rsid w:val="00745444"/>
    <w:rsid w:val="007455A7"/>
    <w:rsid w:val="007455F8"/>
    <w:rsid w:val="00745B72"/>
    <w:rsid w:val="00745DDC"/>
    <w:rsid w:val="00746AD2"/>
    <w:rsid w:val="007476F4"/>
    <w:rsid w:val="00747821"/>
    <w:rsid w:val="007502E0"/>
    <w:rsid w:val="00750674"/>
    <w:rsid w:val="007512DC"/>
    <w:rsid w:val="0075176C"/>
    <w:rsid w:val="00751C44"/>
    <w:rsid w:val="00751E96"/>
    <w:rsid w:val="00752330"/>
    <w:rsid w:val="0075234A"/>
    <w:rsid w:val="00753577"/>
    <w:rsid w:val="00753D17"/>
    <w:rsid w:val="007541BD"/>
    <w:rsid w:val="00754837"/>
    <w:rsid w:val="00754C54"/>
    <w:rsid w:val="00754ED4"/>
    <w:rsid w:val="00754EE3"/>
    <w:rsid w:val="00755752"/>
    <w:rsid w:val="00756784"/>
    <w:rsid w:val="00756DC7"/>
    <w:rsid w:val="0075706E"/>
    <w:rsid w:val="007572F2"/>
    <w:rsid w:val="00757B2C"/>
    <w:rsid w:val="00757D3E"/>
    <w:rsid w:val="00760622"/>
    <w:rsid w:val="0076138A"/>
    <w:rsid w:val="007615D1"/>
    <w:rsid w:val="00761A98"/>
    <w:rsid w:val="00761E60"/>
    <w:rsid w:val="0076216F"/>
    <w:rsid w:val="0076225F"/>
    <w:rsid w:val="0076243B"/>
    <w:rsid w:val="00762D1E"/>
    <w:rsid w:val="00763031"/>
    <w:rsid w:val="007631A2"/>
    <w:rsid w:val="0076346E"/>
    <w:rsid w:val="00763901"/>
    <w:rsid w:val="00763EC2"/>
    <w:rsid w:val="007642A6"/>
    <w:rsid w:val="00764FD6"/>
    <w:rsid w:val="00765348"/>
    <w:rsid w:val="0076535E"/>
    <w:rsid w:val="0076626B"/>
    <w:rsid w:val="007662B0"/>
    <w:rsid w:val="00766968"/>
    <w:rsid w:val="00766B7A"/>
    <w:rsid w:val="007672B4"/>
    <w:rsid w:val="007673AA"/>
    <w:rsid w:val="00767695"/>
    <w:rsid w:val="00767A41"/>
    <w:rsid w:val="007700AC"/>
    <w:rsid w:val="00770350"/>
    <w:rsid w:val="0077046A"/>
    <w:rsid w:val="00770499"/>
    <w:rsid w:val="00770C13"/>
    <w:rsid w:val="00770E0D"/>
    <w:rsid w:val="00771181"/>
    <w:rsid w:val="007715A3"/>
    <w:rsid w:val="007717D8"/>
    <w:rsid w:val="007734B2"/>
    <w:rsid w:val="00773F87"/>
    <w:rsid w:val="0077431E"/>
    <w:rsid w:val="00774499"/>
    <w:rsid w:val="0077513B"/>
    <w:rsid w:val="0077587B"/>
    <w:rsid w:val="00775D1E"/>
    <w:rsid w:val="0077621D"/>
    <w:rsid w:val="00776336"/>
    <w:rsid w:val="007766E7"/>
    <w:rsid w:val="00776E88"/>
    <w:rsid w:val="007771B4"/>
    <w:rsid w:val="00777355"/>
    <w:rsid w:val="007773C4"/>
    <w:rsid w:val="00777DDC"/>
    <w:rsid w:val="007817EF"/>
    <w:rsid w:val="00781B6E"/>
    <w:rsid w:val="00781FD0"/>
    <w:rsid w:val="0078246E"/>
    <w:rsid w:val="007827A3"/>
    <w:rsid w:val="00782AE6"/>
    <w:rsid w:val="00783CFB"/>
    <w:rsid w:val="007854AD"/>
    <w:rsid w:val="007867CE"/>
    <w:rsid w:val="00786E62"/>
    <w:rsid w:val="007870AE"/>
    <w:rsid w:val="00787C1F"/>
    <w:rsid w:val="00790351"/>
    <w:rsid w:val="00791334"/>
    <w:rsid w:val="007924ED"/>
    <w:rsid w:val="00792720"/>
    <w:rsid w:val="00792ABB"/>
    <w:rsid w:val="00792D15"/>
    <w:rsid w:val="00793907"/>
    <w:rsid w:val="00793963"/>
    <w:rsid w:val="00793EA5"/>
    <w:rsid w:val="007940F9"/>
    <w:rsid w:val="007943C8"/>
    <w:rsid w:val="007946F0"/>
    <w:rsid w:val="00795034"/>
    <w:rsid w:val="0079592F"/>
    <w:rsid w:val="00795B49"/>
    <w:rsid w:val="00795C10"/>
    <w:rsid w:val="007962FF"/>
    <w:rsid w:val="00796590"/>
    <w:rsid w:val="00796D96"/>
    <w:rsid w:val="00797816"/>
    <w:rsid w:val="007A0311"/>
    <w:rsid w:val="007A0A6E"/>
    <w:rsid w:val="007A0D97"/>
    <w:rsid w:val="007A15BF"/>
    <w:rsid w:val="007A22FB"/>
    <w:rsid w:val="007A2A4C"/>
    <w:rsid w:val="007A2A9D"/>
    <w:rsid w:val="007A2BBF"/>
    <w:rsid w:val="007A2E4B"/>
    <w:rsid w:val="007A324C"/>
    <w:rsid w:val="007A3628"/>
    <w:rsid w:val="007A4823"/>
    <w:rsid w:val="007A4D56"/>
    <w:rsid w:val="007A523F"/>
    <w:rsid w:val="007A5261"/>
    <w:rsid w:val="007A52E2"/>
    <w:rsid w:val="007A55DB"/>
    <w:rsid w:val="007A5EEA"/>
    <w:rsid w:val="007A6810"/>
    <w:rsid w:val="007A6B3B"/>
    <w:rsid w:val="007A7603"/>
    <w:rsid w:val="007A7F58"/>
    <w:rsid w:val="007B03DE"/>
    <w:rsid w:val="007B0701"/>
    <w:rsid w:val="007B0A7E"/>
    <w:rsid w:val="007B0FA7"/>
    <w:rsid w:val="007B10A4"/>
    <w:rsid w:val="007B126E"/>
    <w:rsid w:val="007B1443"/>
    <w:rsid w:val="007B152A"/>
    <w:rsid w:val="007B242D"/>
    <w:rsid w:val="007B249A"/>
    <w:rsid w:val="007B2682"/>
    <w:rsid w:val="007B381C"/>
    <w:rsid w:val="007B464A"/>
    <w:rsid w:val="007B4E82"/>
    <w:rsid w:val="007B521A"/>
    <w:rsid w:val="007B5FA8"/>
    <w:rsid w:val="007B61BC"/>
    <w:rsid w:val="007B6345"/>
    <w:rsid w:val="007B667A"/>
    <w:rsid w:val="007B6F19"/>
    <w:rsid w:val="007B77E0"/>
    <w:rsid w:val="007C054F"/>
    <w:rsid w:val="007C0732"/>
    <w:rsid w:val="007C0BC0"/>
    <w:rsid w:val="007C0CA7"/>
    <w:rsid w:val="007C0D9A"/>
    <w:rsid w:val="007C0E8C"/>
    <w:rsid w:val="007C158B"/>
    <w:rsid w:val="007C15D8"/>
    <w:rsid w:val="007C1893"/>
    <w:rsid w:val="007C198D"/>
    <w:rsid w:val="007C1B8F"/>
    <w:rsid w:val="007C1D93"/>
    <w:rsid w:val="007C1EF1"/>
    <w:rsid w:val="007C39D7"/>
    <w:rsid w:val="007C442C"/>
    <w:rsid w:val="007C488B"/>
    <w:rsid w:val="007C4B8A"/>
    <w:rsid w:val="007C4CFC"/>
    <w:rsid w:val="007C50B1"/>
    <w:rsid w:val="007C5191"/>
    <w:rsid w:val="007C53E5"/>
    <w:rsid w:val="007C5C80"/>
    <w:rsid w:val="007C5DE5"/>
    <w:rsid w:val="007C7238"/>
    <w:rsid w:val="007C7EB3"/>
    <w:rsid w:val="007D0029"/>
    <w:rsid w:val="007D016B"/>
    <w:rsid w:val="007D0E7C"/>
    <w:rsid w:val="007D1098"/>
    <w:rsid w:val="007D1F7D"/>
    <w:rsid w:val="007D25CC"/>
    <w:rsid w:val="007D2776"/>
    <w:rsid w:val="007D2D23"/>
    <w:rsid w:val="007D333A"/>
    <w:rsid w:val="007D34A6"/>
    <w:rsid w:val="007D36E7"/>
    <w:rsid w:val="007D3714"/>
    <w:rsid w:val="007D3AF1"/>
    <w:rsid w:val="007D46EA"/>
    <w:rsid w:val="007D4CAB"/>
    <w:rsid w:val="007D5921"/>
    <w:rsid w:val="007D5E6D"/>
    <w:rsid w:val="007D5FB5"/>
    <w:rsid w:val="007D6119"/>
    <w:rsid w:val="007D6C34"/>
    <w:rsid w:val="007D744F"/>
    <w:rsid w:val="007D7681"/>
    <w:rsid w:val="007E01D1"/>
    <w:rsid w:val="007E0758"/>
    <w:rsid w:val="007E127F"/>
    <w:rsid w:val="007E174D"/>
    <w:rsid w:val="007E2565"/>
    <w:rsid w:val="007E28F1"/>
    <w:rsid w:val="007E2965"/>
    <w:rsid w:val="007E2A90"/>
    <w:rsid w:val="007E329F"/>
    <w:rsid w:val="007E4170"/>
    <w:rsid w:val="007E44FC"/>
    <w:rsid w:val="007E4A19"/>
    <w:rsid w:val="007E4AAB"/>
    <w:rsid w:val="007E527E"/>
    <w:rsid w:val="007E54B4"/>
    <w:rsid w:val="007E59E3"/>
    <w:rsid w:val="007E5BE3"/>
    <w:rsid w:val="007E61DB"/>
    <w:rsid w:val="007E6266"/>
    <w:rsid w:val="007E6C55"/>
    <w:rsid w:val="007E7256"/>
    <w:rsid w:val="007E72A5"/>
    <w:rsid w:val="007E7894"/>
    <w:rsid w:val="007E7A9A"/>
    <w:rsid w:val="007F03BA"/>
    <w:rsid w:val="007F07C0"/>
    <w:rsid w:val="007F14F1"/>
    <w:rsid w:val="007F186D"/>
    <w:rsid w:val="007F1BFB"/>
    <w:rsid w:val="007F236E"/>
    <w:rsid w:val="007F3992"/>
    <w:rsid w:val="007F39EC"/>
    <w:rsid w:val="007F3F0F"/>
    <w:rsid w:val="007F44C8"/>
    <w:rsid w:val="007F4DF2"/>
    <w:rsid w:val="007F4E11"/>
    <w:rsid w:val="007F4EE0"/>
    <w:rsid w:val="007F53F5"/>
    <w:rsid w:val="007F561E"/>
    <w:rsid w:val="007F56C5"/>
    <w:rsid w:val="007F5997"/>
    <w:rsid w:val="007F5CE1"/>
    <w:rsid w:val="007F6279"/>
    <w:rsid w:val="007F717D"/>
    <w:rsid w:val="007F76B8"/>
    <w:rsid w:val="00800AB0"/>
    <w:rsid w:val="00800C4C"/>
    <w:rsid w:val="00801858"/>
    <w:rsid w:val="00802258"/>
    <w:rsid w:val="008022D1"/>
    <w:rsid w:val="0080331D"/>
    <w:rsid w:val="008038E8"/>
    <w:rsid w:val="00803CB9"/>
    <w:rsid w:val="008042E1"/>
    <w:rsid w:val="008044C9"/>
    <w:rsid w:val="008048FB"/>
    <w:rsid w:val="00804CBC"/>
    <w:rsid w:val="00805FD3"/>
    <w:rsid w:val="00806860"/>
    <w:rsid w:val="00806D6D"/>
    <w:rsid w:val="00806EBA"/>
    <w:rsid w:val="00806F1F"/>
    <w:rsid w:val="00807771"/>
    <w:rsid w:val="00807B95"/>
    <w:rsid w:val="00807F9B"/>
    <w:rsid w:val="00810CD5"/>
    <w:rsid w:val="008116D4"/>
    <w:rsid w:val="008120AD"/>
    <w:rsid w:val="00812516"/>
    <w:rsid w:val="00812F0A"/>
    <w:rsid w:val="008140FE"/>
    <w:rsid w:val="008142F4"/>
    <w:rsid w:val="0081462E"/>
    <w:rsid w:val="00814AB6"/>
    <w:rsid w:val="00814DE3"/>
    <w:rsid w:val="008151C1"/>
    <w:rsid w:val="008158C9"/>
    <w:rsid w:val="008164F8"/>
    <w:rsid w:val="008167E1"/>
    <w:rsid w:val="00816ACF"/>
    <w:rsid w:val="00816B08"/>
    <w:rsid w:val="00816C46"/>
    <w:rsid w:val="00816E25"/>
    <w:rsid w:val="008170D5"/>
    <w:rsid w:val="00817D67"/>
    <w:rsid w:val="008200DF"/>
    <w:rsid w:val="008200E4"/>
    <w:rsid w:val="00820D68"/>
    <w:rsid w:val="00820D81"/>
    <w:rsid w:val="00820FC4"/>
    <w:rsid w:val="00821826"/>
    <w:rsid w:val="00821DC7"/>
    <w:rsid w:val="0082237E"/>
    <w:rsid w:val="0082261E"/>
    <w:rsid w:val="0082282B"/>
    <w:rsid w:val="00823BF8"/>
    <w:rsid w:val="00824A29"/>
    <w:rsid w:val="0082552E"/>
    <w:rsid w:val="008264AB"/>
    <w:rsid w:val="00826CD2"/>
    <w:rsid w:val="00826F9C"/>
    <w:rsid w:val="00827734"/>
    <w:rsid w:val="00827E7D"/>
    <w:rsid w:val="00827F33"/>
    <w:rsid w:val="00830596"/>
    <w:rsid w:val="0083185E"/>
    <w:rsid w:val="00832234"/>
    <w:rsid w:val="00832D81"/>
    <w:rsid w:val="0083317A"/>
    <w:rsid w:val="00833240"/>
    <w:rsid w:val="00833718"/>
    <w:rsid w:val="008341FD"/>
    <w:rsid w:val="008343A2"/>
    <w:rsid w:val="00834B01"/>
    <w:rsid w:val="00834BFD"/>
    <w:rsid w:val="0083549F"/>
    <w:rsid w:val="00835567"/>
    <w:rsid w:val="0083572E"/>
    <w:rsid w:val="00835BF8"/>
    <w:rsid w:val="00835D13"/>
    <w:rsid w:val="008360A8"/>
    <w:rsid w:val="008361DE"/>
    <w:rsid w:val="00837001"/>
    <w:rsid w:val="00837193"/>
    <w:rsid w:val="00837287"/>
    <w:rsid w:val="00837968"/>
    <w:rsid w:val="00837A35"/>
    <w:rsid w:val="00837AFD"/>
    <w:rsid w:val="00837D71"/>
    <w:rsid w:val="00837E7D"/>
    <w:rsid w:val="0084006F"/>
    <w:rsid w:val="0084226F"/>
    <w:rsid w:val="008429A8"/>
    <w:rsid w:val="00842A2B"/>
    <w:rsid w:val="00842B5B"/>
    <w:rsid w:val="0084326D"/>
    <w:rsid w:val="00843A2C"/>
    <w:rsid w:val="00843BE7"/>
    <w:rsid w:val="00844258"/>
    <w:rsid w:val="0084470B"/>
    <w:rsid w:val="00845046"/>
    <w:rsid w:val="0084551B"/>
    <w:rsid w:val="008459E3"/>
    <w:rsid w:val="00846052"/>
    <w:rsid w:val="00846CF1"/>
    <w:rsid w:val="008474C1"/>
    <w:rsid w:val="00847934"/>
    <w:rsid w:val="00850101"/>
    <w:rsid w:val="0085044F"/>
    <w:rsid w:val="00850581"/>
    <w:rsid w:val="00850B6D"/>
    <w:rsid w:val="00850CD0"/>
    <w:rsid w:val="008512D3"/>
    <w:rsid w:val="00851365"/>
    <w:rsid w:val="008516BF"/>
    <w:rsid w:val="0085175A"/>
    <w:rsid w:val="00851BBA"/>
    <w:rsid w:val="00852047"/>
    <w:rsid w:val="00852678"/>
    <w:rsid w:val="00852CD2"/>
    <w:rsid w:val="008532EB"/>
    <w:rsid w:val="008535A4"/>
    <w:rsid w:val="008536EF"/>
    <w:rsid w:val="0085491C"/>
    <w:rsid w:val="00854E40"/>
    <w:rsid w:val="00855998"/>
    <w:rsid w:val="00855ADB"/>
    <w:rsid w:val="00856062"/>
    <w:rsid w:val="00856775"/>
    <w:rsid w:val="00856836"/>
    <w:rsid w:val="00857A29"/>
    <w:rsid w:val="00857A6A"/>
    <w:rsid w:val="00857C1A"/>
    <w:rsid w:val="00857D2D"/>
    <w:rsid w:val="0086008D"/>
    <w:rsid w:val="008603A1"/>
    <w:rsid w:val="008611A0"/>
    <w:rsid w:val="00861310"/>
    <w:rsid w:val="008617F9"/>
    <w:rsid w:val="0086209F"/>
    <w:rsid w:val="008620E5"/>
    <w:rsid w:val="008621C3"/>
    <w:rsid w:val="008629BF"/>
    <w:rsid w:val="00862ADD"/>
    <w:rsid w:val="0086306F"/>
    <w:rsid w:val="00863238"/>
    <w:rsid w:val="00863250"/>
    <w:rsid w:val="00863E51"/>
    <w:rsid w:val="00864535"/>
    <w:rsid w:val="0086477A"/>
    <w:rsid w:val="008649D3"/>
    <w:rsid w:val="00864C25"/>
    <w:rsid w:val="0086561E"/>
    <w:rsid w:val="008657C7"/>
    <w:rsid w:val="008660B0"/>
    <w:rsid w:val="008665AF"/>
    <w:rsid w:val="00866691"/>
    <w:rsid w:val="00866837"/>
    <w:rsid w:val="00866E70"/>
    <w:rsid w:val="0086704A"/>
    <w:rsid w:val="00867983"/>
    <w:rsid w:val="008679B2"/>
    <w:rsid w:val="00867E33"/>
    <w:rsid w:val="0087011D"/>
    <w:rsid w:val="0087061F"/>
    <w:rsid w:val="0087097B"/>
    <w:rsid w:val="00870AA8"/>
    <w:rsid w:val="00870AC5"/>
    <w:rsid w:val="008710CE"/>
    <w:rsid w:val="00872352"/>
    <w:rsid w:val="008732AF"/>
    <w:rsid w:val="00873778"/>
    <w:rsid w:val="00873AFF"/>
    <w:rsid w:val="00873E37"/>
    <w:rsid w:val="00874361"/>
    <w:rsid w:val="008753D4"/>
    <w:rsid w:val="00875903"/>
    <w:rsid w:val="00875997"/>
    <w:rsid w:val="00875B03"/>
    <w:rsid w:val="00875EF3"/>
    <w:rsid w:val="00875F92"/>
    <w:rsid w:val="008768B1"/>
    <w:rsid w:val="008768F6"/>
    <w:rsid w:val="00876A61"/>
    <w:rsid w:val="00876CE7"/>
    <w:rsid w:val="00877217"/>
    <w:rsid w:val="008774B9"/>
    <w:rsid w:val="00877CB8"/>
    <w:rsid w:val="00877D2D"/>
    <w:rsid w:val="00880141"/>
    <w:rsid w:val="0088028F"/>
    <w:rsid w:val="00880C56"/>
    <w:rsid w:val="008815FE"/>
    <w:rsid w:val="008817A0"/>
    <w:rsid w:val="008818B6"/>
    <w:rsid w:val="008823DC"/>
    <w:rsid w:val="008827FC"/>
    <w:rsid w:val="00882A61"/>
    <w:rsid w:val="0088320C"/>
    <w:rsid w:val="00884512"/>
    <w:rsid w:val="008846D7"/>
    <w:rsid w:val="00884861"/>
    <w:rsid w:val="00884BD2"/>
    <w:rsid w:val="0088527C"/>
    <w:rsid w:val="00885DA2"/>
    <w:rsid w:val="00886FD8"/>
    <w:rsid w:val="00887569"/>
    <w:rsid w:val="0088756E"/>
    <w:rsid w:val="0088769F"/>
    <w:rsid w:val="008878DC"/>
    <w:rsid w:val="008902AF"/>
    <w:rsid w:val="0089154F"/>
    <w:rsid w:val="0089216E"/>
    <w:rsid w:val="008922E3"/>
    <w:rsid w:val="008926B3"/>
    <w:rsid w:val="008927F1"/>
    <w:rsid w:val="00892BCA"/>
    <w:rsid w:val="00894503"/>
    <w:rsid w:val="00894ED7"/>
    <w:rsid w:val="0089515A"/>
    <w:rsid w:val="00895C10"/>
    <w:rsid w:val="0089608B"/>
    <w:rsid w:val="0089669B"/>
    <w:rsid w:val="008968C0"/>
    <w:rsid w:val="00897006"/>
    <w:rsid w:val="00897741"/>
    <w:rsid w:val="00897AC9"/>
    <w:rsid w:val="00897BA6"/>
    <w:rsid w:val="00897C70"/>
    <w:rsid w:val="008A08EA"/>
    <w:rsid w:val="008A0F1F"/>
    <w:rsid w:val="008A189E"/>
    <w:rsid w:val="008A1AFD"/>
    <w:rsid w:val="008A1DB3"/>
    <w:rsid w:val="008A2031"/>
    <w:rsid w:val="008A28FA"/>
    <w:rsid w:val="008A31D5"/>
    <w:rsid w:val="008A33FC"/>
    <w:rsid w:val="008A355F"/>
    <w:rsid w:val="008A3DDB"/>
    <w:rsid w:val="008A44BF"/>
    <w:rsid w:val="008A4804"/>
    <w:rsid w:val="008A4E10"/>
    <w:rsid w:val="008A5120"/>
    <w:rsid w:val="008A5125"/>
    <w:rsid w:val="008A5766"/>
    <w:rsid w:val="008A5B54"/>
    <w:rsid w:val="008A7A01"/>
    <w:rsid w:val="008A7A72"/>
    <w:rsid w:val="008A7C6E"/>
    <w:rsid w:val="008A7E85"/>
    <w:rsid w:val="008B0177"/>
    <w:rsid w:val="008B05D7"/>
    <w:rsid w:val="008B0CE9"/>
    <w:rsid w:val="008B1197"/>
    <w:rsid w:val="008B13E0"/>
    <w:rsid w:val="008B288E"/>
    <w:rsid w:val="008B2EC3"/>
    <w:rsid w:val="008B31E8"/>
    <w:rsid w:val="008B3300"/>
    <w:rsid w:val="008B3704"/>
    <w:rsid w:val="008B3AE4"/>
    <w:rsid w:val="008B4351"/>
    <w:rsid w:val="008B49E4"/>
    <w:rsid w:val="008B4CDF"/>
    <w:rsid w:val="008B4F2C"/>
    <w:rsid w:val="008B5632"/>
    <w:rsid w:val="008B61FF"/>
    <w:rsid w:val="008B64D5"/>
    <w:rsid w:val="008B6B6F"/>
    <w:rsid w:val="008B7356"/>
    <w:rsid w:val="008B74B6"/>
    <w:rsid w:val="008B7B7F"/>
    <w:rsid w:val="008C007D"/>
    <w:rsid w:val="008C00B6"/>
    <w:rsid w:val="008C13CA"/>
    <w:rsid w:val="008C17FE"/>
    <w:rsid w:val="008C21B8"/>
    <w:rsid w:val="008C22BB"/>
    <w:rsid w:val="008C23B9"/>
    <w:rsid w:val="008C289F"/>
    <w:rsid w:val="008C2BC8"/>
    <w:rsid w:val="008C2E17"/>
    <w:rsid w:val="008C38F2"/>
    <w:rsid w:val="008C44AC"/>
    <w:rsid w:val="008C4682"/>
    <w:rsid w:val="008C475F"/>
    <w:rsid w:val="008C47A0"/>
    <w:rsid w:val="008C4BCD"/>
    <w:rsid w:val="008C53DE"/>
    <w:rsid w:val="008C5C36"/>
    <w:rsid w:val="008C608C"/>
    <w:rsid w:val="008C67E4"/>
    <w:rsid w:val="008C7206"/>
    <w:rsid w:val="008C725E"/>
    <w:rsid w:val="008D142D"/>
    <w:rsid w:val="008D1604"/>
    <w:rsid w:val="008D1687"/>
    <w:rsid w:val="008D18DC"/>
    <w:rsid w:val="008D1BA5"/>
    <w:rsid w:val="008D1CA4"/>
    <w:rsid w:val="008D3105"/>
    <w:rsid w:val="008D3182"/>
    <w:rsid w:val="008D3299"/>
    <w:rsid w:val="008D33AE"/>
    <w:rsid w:val="008D39C9"/>
    <w:rsid w:val="008D3E2D"/>
    <w:rsid w:val="008D4510"/>
    <w:rsid w:val="008D4F91"/>
    <w:rsid w:val="008D50F9"/>
    <w:rsid w:val="008D5252"/>
    <w:rsid w:val="008D5967"/>
    <w:rsid w:val="008D59E7"/>
    <w:rsid w:val="008D5EB4"/>
    <w:rsid w:val="008D5F50"/>
    <w:rsid w:val="008D60E3"/>
    <w:rsid w:val="008D622A"/>
    <w:rsid w:val="008D6518"/>
    <w:rsid w:val="008D67DC"/>
    <w:rsid w:val="008D6857"/>
    <w:rsid w:val="008D68F5"/>
    <w:rsid w:val="008D69AE"/>
    <w:rsid w:val="008D7388"/>
    <w:rsid w:val="008D74DB"/>
    <w:rsid w:val="008D7682"/>
    <w:rsid w:val="008E082F"/>
    <w:rsid w:val="008E11C1"/>
    <w:rsid w:val="008E13DD"/>
    <w:rsid w:val="008E1459"/>
    <w:rsid w:val="008E28B8"/>
    <w:rsid w:val="008E2C33"/>
    <w:rsid w:val="008E3060"/>
    <w:rsid w:val="008E30F9"/>
    <w:rsid w:val="008E3BB5"/>
    <w:rsid w:val="008E3BD1"/>
    <w:rsid w:val="008E41D8"/>
    <w:rsid w:val="008E4708"/>
    <w:rsid w:val="008E4878"/>
    <w:rsid w:val="008E4A01"/>
    <w:rsid w:val="008E522B"/>
    <w:rsid w:val="008E567F"/>
    <w:rsid w:val="008E5E6A"/>
    <w:rsid w:val="008E671C"/>
    <w:rsid w:val="008E7075"/>
    <w:rsid w:val="008E7164"/>
    <w:rsid w:val="008E73E5"/>
    <w:rsid w:val="008F141A"/>
    <w:rsid w:val="008F1497"/>
    <w:rsid w:val="008F1D8C"/>
    <w:rsid w:val="008F1E04"/>
    <w:rsid w:val="008F1E35"/>
    <w:rsid w:val="008F21CF"/>
    <w:rsid w:val="008F24B4"/>
    <w:rsid w:val="008F328B"/>
    <w:rsid w:val="008F33E7"/>
    <w:rsid w:val="008F3A97"/>
    <w:rsid w:val="008F3F9B"/>
    <w:rsid w:val="008F42DA"/>
    <w:rsid w:val="008F4B9A"/>
    <w:rsid w:val="008F4C68"/>
    <w:rsid w:val="008F5097"/>
    <w:rsid w:val="008F5123"/>
    <w:rsid w:val="008F51D8"/>
    <w:rsid w:val="008F56D4"/>
    <w:rsid w:val="008F5B03"/>
    <w:rsid w:val="008F5B3C"/>
    <w:rsid w:val="008F5F30"/>
    <w:rsid w:val="008F62F7"/>
    <w:rsid w:val="008F63AF"/>
    <w:rsid w:val="008F66CB"/>
    <w:rsid w:val="008F7098"/>
    <w:rsid w:val="008F70E4"/>
    <w:rsid w:val="009001F3"/>
    <w:rsid w:val="00900790"/>
    <w:rsid w:val="00900833"/>
    <w:rsid w:val="00900B45"/>
    <w:rsid w:val="00900C4D"/>
    <w:rsid w:val="00900FB7"/>
    <w:rsid w:val="0090132D"/>
    <w:rsid w:val="009015D7"/>
    <w:rsid w:val="00901F8E"/>
    <w:rsid w:val="00902526"/>
    <w:rsid w:val="00902B99"/>
    <w:rsid w:val="00902FCB"/>
    <w:rsid w:val="009038BE"/>
    <w:rsid w:val="009047F1"/>
    <w:rsid w:val="00904E64"/>
    <w:rsid w:val="00905019"/>
    <w:rsid w:val="0090554F"/>
    <w:rsid w:val="0090569A"/>
    <w:rsid w:val="0090571A"/>
    <w:rsid w:val="0090653A"/>
    <w:rsid w:val="009073CE"/>
    <w:rsid w:val="009073FE"/>
    <w:rsid w:val="009074EB"/>
    <w:rsid w:val="0090757B"/>
    <w:rsid w:val="00907FA6"/>
    <w:rsid w:val="00910C30"/>
    <w:rsid w:val="00911C47"/>
    <w:rsid w:val="00911C6F"/>
    <w:rsid w:val="00911EAA"/>
    <w:rsid w:val="0091212C"/>
    <w:rsid w:val="0091258E"/>
    <w:rsid w:val="009129C9"/>
    <w:rsid w:val="00912D33"/>
    <w:rsid w:val="009136B9"/>
    <w:rsid w:val="00915D92"/>
    <w:rsid w:val="0091614F"/>
    <w:rsid w:val="009163FC"/>
    <w:rsid w:val="0091643A"/>
    <w:rsid w:val="0091655A"/>
    <w:rsid w:val="00916B0C"/>
    <w:rsid w:val="0091719B"/>
    <w:rsid w:val="009203D3"/>
    <w:rsid w:val="00920904"/>
    <w:rsid w:val="00920952"/>
    <w:rsid w:val="00921152"/>
    <w:rsid w:val="00921224"/>
    <w:rsid w:val="00922A2B"/>
    <w:rsid w:val="00922F3C"/>
    <w:rsid w:val="009230A3"/>
    <w:rsid w:val="0092321E"/>
    <w:rsid w:val="009244C9"/>
    <w:rsid w:val="00924FF8"/>
    <w:rsid w:val="00925481"/>
    <w:rsid w:val="00925700"/>
    <w:rsid w:val="0092570B"/>
    <w:rsid w:val="00925741"/>
    <w:rsid w:val="009257D2"/>
    <w:rsid w:val="00925AB1"/>
    <w:rsid w:val="00925CE7"/>
    <w:rsid w:val="00926328"/>
    <w:rsid w:val="0092635F"/>
    <w:rsid w:val="00926475"/>
    <w:rsid w:val="00926548"/>
    <w:rsid w:val="00927BCE"/>
    <w:rsid w:val="00930A94"/>
    <w:rsid w:val="00930B21"/>
    <w:rsid w:val="009310BF"/>
    <w:rsid w:val="00931A8F"/>
    <w:rsid w:val="009326B3"/>
    <w:rsid w:val="00932A62"/>
    <w:rsid w:val="009333BC"/>
    <w:rsid w:val="009336EA"/>
    <w:rsid w:val="00933C8B"/>
    <w:rsid w:val="00934284"/>
    <w:rsid w:val="009342A2"/>
    <w:rsid w:val="00934E89"/>
    <w:rsid w:val="0093631E"/>
    <w:rsid w:val="00936D5F"/>
    <w:rsid w:val="009374C4"/>
    <w:rsid w:val="009410CC"/>
    <w:rsid w:val="0094127B"/>
    <w:rsid w:val="009420A7"/>
    <w:rsid w:val="00942E05"/>
    <w:rsid w:val="00943065"/>
    <w:rsid w:val="00943872"/>
    <w:rsid w:val="00943B2B"/>
    <w:rsid w:val="00944567"/>
    <w:rsid w:val="00944767"/>
    <w:rsid w:val="00944AA1"/>
    <w:rsid w:val="009455F0"/>
    <w:rsid w:val="009456A8"/>
    <w:rsid w:val="00945C6A"/>
    <w:rsid w:val="00946A0F"/>
    <w:rsid w:val="00946B20"/>
    <w:rsid w:val="00946CB8"/>
    <w:rsid w:val="00947303"/>
    <w:rsid w:val="0094776D"/>
    <w:rsid w:val="009507A9"/>
    <w:rsid w:val="00951285"/>
    <w:rsid w:val="009514BF"/>
    <w:rsid w:val="00951697"/>
    <w:rsid w:val="00951831"/>
    <w:rsid w:val="009519BA"/>
    <w:rsid w:val="00952295"/>
    <w:rsid w:val="00952942"/>
    <w:rsid w:val="00952C20"/>
    <w:rsid w:val="00952C69"/>
    <w:rsid w:val="00952F1C"/>
    <w:rsid w:val="0095386B"/>
    <w:rsid w:val="00953A4F"/>
    <w:rsid w:val="00953DA4"/>
    <w:rsid w:val="0095403E"/>
    <w:rsid w:val="00954509"/>
    <w:rsid w:val="0095483E"/>
    <w:rsid w:val="00955B09"/>
    <w:rsid w:val="00955EEC"/>
    <w:rsid w:val="0095627A"/>
    <w:rsid w:val="00956AF8"/>
    <w:rsid w:val="009577AA"/>
    <w:rsid w:val="0095789D"/>
    <w:rsid w:val="0096005D"/>
    <w:rsid w:val="0096056B"/>
    <w:rsid w:val="0096118C"/>
    <w:rsid w:val="00961434"/>
    <w:rsid w:val="00961880"/>
    <w:rsid w:val="009618F1"/>
    <w:rsid w:val="00961BB7"/>
    <w:rsid w:val="00961FD5"/>
    <w:rsid w:val="00962183"/>
    <w:rsid w:val="00962549"/>
    <w:rsid w:val="00963374"/>
    <w:rsid w:val="00963853"/>
    <w:rsid w:val="00963A56"/>
    <w:rsid w:val="009641CB"/>
    <w:rsid w:val="00964FAD"/>
    <w:rsid w:val="009653C3"/>
    <w:rsid w:val="00965496"/>
    <w:rsid w:val="0096595F"/>
    <w:rsid w:val="009666FF"/>
    <w:rsid w:val="009669A8"/>
    <w:rsid w:val="00967868"/>
    <w:rsid w:val="00967BB3"/>
    <w:rsid w:val="009701CD"/>
    <w:rsid w:val="0097071B"/>
    <w:rsid w:val="0097076B"/>
    <w:rsid w:val="00970823"/>
    <w:rsid w:val="009711CD"/>
    <w:rsid w:val="0097128F"/>
    <w:rsid w:val="00971A01"/>
    <w:rsid w:val="00971AA8"/>
    <w:rsid w:val="00971AB3"/>
    <w:rsid w:val="00971B9E"/>
    <w:rsid w:val="0097239E"/>
    <w:rsid w:val="00972C6C"/>
    <w:rsid w:val="00973B00"/>
    <w:rsid w:val="00973CEA"/>
    <w:rsid w:val="00973D14"/>
    <w:rsid w:val="0097448C"/>
    <w:rsid w:val="009748FC"/>
    <w:rsid w:val="009754A6"/>
    <w:rsid w:val="00975934"/>
    <w:rsid w:val="00976ABE"/>
    <w:rsid w:val="00976C1F"/>
    <w:rsid w:val="00976CDB"/>
    <w:rsid w:val="00977015"/>
    <w:rsid w:val="0097759F"/>
    <w:rsid w:val="00977B96"/>
    <w:rsid w:val="0098072F"/>
    <w:rsid w:val="00980853"/>
    <w:rsid w:val="00981507"/>
    <w:rsid w:val="00981842"/>
    <w:rsid w:val="009820A2"/>
    <w:rsid w:val="009828EE"/>
    <w:rsid w:val="0098296D"/>
    <w:rsid w:val="00983137"/>
    <w:rsid w:val="00983AAB"/>
    <w:rsid w:val="00983AF5"/>
    <w:rsid w:val="00984134"/>
    <w:rsid w:val="0098568F"/>
    <w:rsid w:val="009859F0"/>
    <w:rsid w:val="00985E36"/>
    <w:rsid w:val="0098613B"/>
    <w:rsid w:val="009865E1"/>
    <w:rsid w:val="0098682F"/>
    <w:rsid w:val="009872A9"/>
    <w:rsid w:val="0098756A"/>
    <w:rsid w:val="0099015D"/>
    <w:rsid w:val="00991125"/>
    <w:rsid w:val="0099149E"/>
    <w:rsid w:val="00992217"/>
    <w:rsid w:val="0099247F"/>
    <w:rsid w:val="00992520"/>
    <w:rsid w:val="0099294A"/>
    <w:rsid w:val="00992FB4"/>
    <w:rsid w:val="0099393B"/>
    <w:rsid w:val="00993AE8"/>
    <w:rsid w:val="00994985"/>
    <w:rsid w:val="00994C0E"/>
    <w:rsid w:val="00995A3B"/>
    <w:rsid w:val="00996033"/>
    <w:rsid w:val="00996509"/>
    <w:rsid w:val="0099666A"/>
    <w:rsid w:val="0099709B"/>
    <w:rsid w:val="00997123"/>
    <w:rsid w:val="00997391"/>
    <w:rsid w:val="00997CDC"/>
    <w:rsid w:val="00997D7D"/>
    <w:rsid w:val="00997DAB"/>
    <w:rsid w:val="009A09FC"/>
    <w:rsid w:val="009A0D2D"/>
    <w:rsid w:val="009A0E9C"/>
    <w:rsid w:val="009A2160"/>
    <w:rsid w:val="009A229C"/>
    <w:rsid w:val="009A29A9"/>
    <w:rsid w:val="009A2F67"/>
    <w:rsid w:val="009A35F1"/>
    <w:rsid w:val="009A3A38"/>
    <w:rsid w:val="009A3CED"/>
    <w:rsid w:val="009A3ED2"/>
    <w:rsid w:val="009A40B9"/>
    <w:rsid w:val="009A4B29"/>
    <w:rsid w:val="009A4B4E"/>
    <w:rsid w:val="009A4D11"/>
    <w:rsid w:val="009A4F32"/>
    <w:rsid w:val="009A511E"/>
    <w:rsid w:val="009A54E6"/>
    <w:rsid w:val="009A5A8B"/>
    <w:rsid w:val="009A6271"/>
    <w:rsid w:val="009A6DDF"/>
    <w:rsid w:val="009A75AF"/>
    <w:rsid w:val="009A75B9"/>
    <w:rsid w:val="009B337A"/>
    <w:rsid w:val="009B3BA8"/>
    <w:rsid w:val="009B3E15"/>
    <w:rsid w:val="009B45F9"/>
    <w:rsid w:val="009B482C"/>
    <w:rsid w:val="009B4E44"/>
    <w:rsid w:val="009B4E82"/>
    <w:rsid w:val="009B526B"/>
    <w:rsid w:val="009B5884"/>
    <w:rsid w:val="009B648E"/>
    <w:rsid w:val="009B7031"/>
    <w:rsid w:val="009B71CB"/>
    <w:rsid w:val="009B74F3"/>
    <w:rsid w:val="009B76E2"/>
    <w:rsid w:val="009C0202"/>
    <w:rsid w:val="009C0E58"/>
    <w:rsid w:val="009C17EC"/>
    <w:rsid w:val="009C1808"/>
    <w:rsid w:val="009C1A36"/>
    <w:rsid w:val="009C1BB4"/>
    <w:rsid w:val="009C1D5F"/>
    <w:rsid w:val="009C1E56"/>
    <w:rsid w:val="009C201B"/>
    <w:rsid w:val="009C25A0"/>
    <w:rsid w:val="009C29A8"/>
    <w:rsid w:val="009C3910"/>
    <w:rsid w:val="009C3A49"/>
    <w:rsid w:val="009C3D12"/>
    <w:rsid w:val="009C3E6A"/>
    <w:rsid w:val="009C508A"/>
    <w:rsid w:val="009C514F"/>
    <w:rsid w:val="009C5BAC"/>
    <w:rsid w:val="009C5D79"/>
    <w:rsid w:val="009C5E35"/>
    <w:rsid w:val="009C6031"/>
    <w:rsid w:val="009C6085"/>
    <w:rsid w:val="009C6172"/>
    <w:rsid w:val="009C6312"/>
    <w:rsid w:val="009C6C49"/>
    <w:rsid w:val="009C7037"/>
    <w:rsid w:val="009C7128"/>
    <w:rsid w:val="009C73F3"/>
    <w:rsid w:val="009C766D"/>
    <w:rsid w:val="009C7695"/>
    <w:rsid w:val="009C7B6D"/>
    <w:rsid w:val="009D0F08"/>
    <w:rsid w:val="009D15F8"/>
    <w:rsid w:val="009D230B"/>
    <w:rsid w:val="009D2FE6"/>
    <w:rsid w:val="009D43C3"/>
    <w:rsid w:val="009D4411"/>
    <w:rsid w:val="009D482D"/>
    <w:rsid w:val="009D50F0"/>
    <w:rsid w:val="009D56F3"/>
    <w:rsid w:val="009D630A"/>
    <w:rsid w:val="009D64C8"/>
    <w:rsid w:val="009D66A7"/>
    <w:rsid w:val="009D66F4"/>
    <w:rsid w:val="009D700B"/>
    <w:rsid w:val="009D75EF"/>
    <w:rsid w:val="009D7AAB"/>
    <w:rsid w:val="009D7B68"/>
    <w:rsid w:val="009E023C"/>
    <w:rsid w:val="009E0988"/>
    <w:rsid w:val="009E12DE"/>
    <w:rsid w:val="009E15F1"/>
    <w:rsid w:val="009E1AA1"/>
    <w:rsid w:val="009E2565"/>
    <w:rsid w:val="009E2706"/>
    <w:rsid w:val="009E279F"/>
    <w:rsid w:val="009E290A"/>
    <w:rsid w:val="009E383C"/>
    <w:rsid w:val="009E38F5"/>
    <w:rsid w:val="009E3F81"/>
    <w:rsid w:val="009E4448"/>
    <w:rsid w:val="009E525C"/>
    <w:rsid w:val="009E571F"/>
    <w:rsid w:val="009E5E82"/>
    <w:rsid w:val="009E5F62"/>
    <w:rsid w:val="009E627E"/>
    <w:rsid w:val="009E6474"/>
    <w:rsid w:val="009E73EE"/>
    <w:rsid w:val="009F073E"/>
    <w:rsid w:val="009F098E"/>
    <w:rsid w:val="009F0F4D"/>
    <w:rsid w:val="009F1140"/>
    <w:rsid w:val="009F12DD"/>
    <w:rsid w:val="009F1FD1"/>
    <w:rsid w:val="009F22D2"/>
    <w:rsid w:val="009F3141"/>
    <w:rsid w:val="009F38E3"/>
    <w:rsid w:val="009F3E83"/>
    <w:rsid w:val="009F4027"/>
    <w:rsid w:val="009F4294"/>
    <w:rsid w:val="009F4446"/>
    <w:rsid w:val="009F47A6"/>
    <w:rsid w:val="009F4921"/>
    <w:rsid w:val="009F49CC"/>
    <w:rsid w:val="009F6436"/>
    <w:rsid w:val="009F6675"/>
    <w:rsid w:val="009F6F02"/>
    <w:rsid w:val="009F71EC"/>
    <w:rsid w:val="009F7A29"/>
    <w:rsid w:val="00A000BA"/>
    <w:rsid w:val="00A01681"/>
    <w:rsid w:val="00A02098"/>
    <w:rsid w:val="00A026C6"/>
    <w:rsid w:val="00A02983"/>
    <w:rsid w:val="00A031BD"/>
    <w:rsid w:val="00A03C93"/>
    <w:rsid w:val="00A0430B"/>
    <w:rsid w:val="00A043BA"/>
    <w:rsid w:val="00A04834"/>
    <w:rsid w:val="00A0646E"/>
    <w:rsid w:val="00A06518"/>
    <w:rsid w:val="00A06A81"/>
    <w:rsid w:val="00A07C03"/>
    <w:rsid w:val="00A07E14"/>
    <w:rsid w:val="00A1040E"/>
    <w:rsid w:val="00A10BB6"/>
    <w:rsid w:val="00A10C46"/>
    <w:rsid w:val="00A11994"/>
    <w:rsid w:val="00A11A09"/>
    <w:rsid w:val="00A129B2"/>
    <w:rsid w:val="00A1316F"/>
    <w:rsid w:val="00A131E4"/>
    <w:rsid w:val="00A13288"/>
    <w:rsid w:val="00A136E2"/>
    <w:rsid w:val="00A13860"/>
    <w:rsid w:val="00A14164"/>
    <w:rsid w:val="00A14184"/>
    <w:rsid w:val="00A14832"/>
    <w:rsid w:val="00A150F4"/>
    <w:rsid w:val="00A1567C"/>
    <w:rsid w:val="00A15F26"/>
    <w:rsid w:val="00A16FCC"/>
    <w:rsid w:val="00A177E8"/>
    <w:rsid w:val="00A17D7B"/>
    <w:rsid w:val="00A17D87"/>
    <w:rsid w:val="00A2113D"/>
    <w:rsid w:val="00A21CFB"/>
    <w:rsid w:val="00A22CBE"/>
    <w:rsid w:val="00A22CE1"/>
    <w:rsid w:val="00A23665"/>
    <w:rsid w:val="00A240C0"/>
    <w:rsid w:val="00A24837"/>
    <w:rsid w:val="00A24DA9"/>
    <w:rsid w:val="00A24F25"/>
    <w:rsid w:val="00A256FA"/>
    <w:rsid w:val="00A25E31"/>
    <w:rsid w:val="00A26013"/>
    <w:rsid w:val="00A264D5"/>
    <w:rsid w:val="00A26766"/>
    <w:rsid w:val="00A26833"/>
    <w:rsid w:val="00A2687D"/>
    <w:rsid w:val="00A27039"/>
    <w:rsid w:val="00A2728D"/>
    <w:rsid w:val="00A27966"/>
    <w:rsid w:val="00A301F7"/>
    <w:rsid w:val="00A303B4"/>
    <w:rsid w:val="00A3044E"/>
    <w:rsid w:val="00A306CA"/>
    <w:rsid w:val="00A308FF"/>
    <w:rsid w:val="00A30A5E"/>
    <w:rsid w:val="00A31401"/>
    <w:rsid w:val="00A3170F"/>
    <w:rsid w:val="00A317E9"/>
    <w:rsid w:val="00A320FD"/>
    <w:rsid w:val="00A32E39"/>
    <w:rsid w:val="00A32F80"/>
    <w:rsid w:val="00A33116"/>
    <w:rsid w:val="00A33621"/>
    <w:rsid w:val="00A33668"/>
    <w:rsid w:val="00A33820"/>
    <w:rsid w:val="00A33D53"/>
    <w:rsid w:val="00A34000"/>
    <w:rsid w:val="00A34372"/>
    <w:rsid w:val="00A348C0"/>
    <w:rsid w:val="00A34A23"/>
    <w:rsid w:val="00A34D6F"/>
    <w:rsid w:val="00A35692"/>
    <w:rsid w:val="00A35940"/>
    <w:rsid w:val="00A35BE9"/>
    <w:rsid w:val="00A35C25"/>
    <w:rsid w:val="00A35DE9"/>
    <w:rsid w:val="00A36153"/>
    <w:rsid w:val="00A36202"/>
    <w:rsid w:val="00A36577"/>
    <w:rsid w:val="00A365F5"/>
    <w:rsid w:val="00A369EB"/>
    <w:rsid w:val="00A374E1"/>
    <w:rsid w:val="00A37B53"/>
    <w:rsid w:val="00A37B79"/>
    <w:rsid w:val="00A37F72"/>
    <w:rsid w:val="00A40218"/>
    <w:rsid w:val="00A404E7"/>
    <w:rsid w:val="00A40892"/>
    <w:rsid w:val="00A40D8E"/>
    <w:rsid w:val="00A41080"/>
    <w:rsid w:val="00A419D6"/>
    <w:rsid w:val="00A423B6"/>
    <w:rsid w:val="00A42926"/>
    <w:rsid w:val="00A42BE7"/>
    <w:rsid w:val="00A43040"/>
    <w:rsid w:val="00A433AE"/>
    <w:rsid w:val="00A43B01"/>
    <w:rsid w:val="00A43B66"/>
    <w:rsid w:val="00A4467C"/>
    <w:rsid w:val="00A4496C"/>
    <w:rsid w:val="00A44C78"/>
    <w:rsid w:val="00A44D98"/>
    <w:rsid w:val="00A44E93"/>
    <w:rsid w:val="00A45247"/>
    <w:rsid w:val="00A4555A"/>
    <w:rsid w:val="00A456CF"/>
    <w:rsid w:val="00A45BA2"/>
    <w:rsid w:val="00A45CA7"/>
    <w:rsid w:val="00A45F43"/>
    <w:rsid w:val="00A4601F"/>
    <w:rsid w:val="00A468A0"/>
    <w:rsid w:val="00A46931"/>
    <w:rsid w:val="00A47630"/>
    <w:rsid w:val="00A47699"/>
    <w:rsid w:val="00A5045A"/>
    <w:rsid w:val="00A50547"/>
    <w:rsid w:val="00A513FC"/>
    <w:rsid w:val="00A51484"/>
    <w:rsid w:val="00A51770"/>
    <w:rsid w:val="00A51E93"/>
    <w:rsid w:val="00A5228B"/>
    <w:rsid w:val="00A522C8"/>
    <w:rsid w:val="00A52890"/>
    <w:rsid w:val="00A534BA"/>
    <w:rsid w:val="00A53846"/>
    <w:rsid w:val="00A53E80"/>
    <w:rsid w:val="00A54302"/>
    <w:rsid w:val="00A5486D"/>
    <w:rsid w:val="00A54C8A"/>
    <w:rsid w:val="00A54CB4"/>
    <w:rsid w:val="00A552F6"/>
    <w:rsid w:val="00A55C65"/>
    <w:rsid w:val="00A569C6"/>
    <w:rsid w:val="00A57876"/>
    <w:rsid w:val="00A57B8B"/>
    <w:rsid w:val="00A602EC"/>
    <w:rsid w:val="00A60BAB"/>
    <w:rsid w:val="00A60F4C"/>
    <w:rsid w:val="00A610E3"/>
    <w:rsid w:val="00A61ACB"/>
    <w:rsid w:val="00A61AF0"/>
    <w:rsid w:val="00A61BCB"/>
    <w:rsid w:val="00A61C43"/>
    <w:rsid w:val="00A62459"/>
    <w:rsid w:val="00A6288C"/>
    <w:rsid w:val="00A632D5"/>
    <w:rsid w:val="00A6341F"/>
    <w:rsid w:val="00A63551"/>
    <w:rsid w:val="00A63E1B"/>
    <w:rsid w:val="00A642EA"/>
    <w:rsid w:val="00A646BD"/>
    <w:rsid w:val="00A64DA8"/>
    <w:rsid w:val="00A655E3"/>
    <w:rsid w:val="00A66451"/>
    <w:rsid w:val="00A66E26"/>
    <w:rsid w:val="00A671F3"/>
    <w:rsid w:val="00A67A94"/>
    <w:rsid w:val="00A700E3"/>
    <w:rsid w:val="00A7016A"/>
    <w:rsid w:val="00A70352"/>
    <w:rsid w:val="00A70BCE"/>
    <w:rsid w:val="00A71253"/>
    <w:rsid w:val="00A7171A"/>
    <w:rsid w:val="00A71E09"/>
    <w:rsid w:val="00A720CB"/>
    <w:rsid w:val="00A722B8"/>
    <w:rsid w:val="00A72C4F"/>
    <w:rsid w:val="00A72D72"/>
    <w:rsid w:val="00A7301D"/>
    <w:rsid w:val="00A73A17"/>
    <w:rsid w:val="00A74764"/>
    <w:rsid w:val="00A74C05"/>
    <w:rsid w:val="00A74F7E"/>
    <w:rsid w:val="00A75EBC"/>
    <w:rsid w:val="00A7670A"/>
    <w:rsid w:val="00A76814"/>
    <w:rsid w:val="00A76A67"/>
    <w:rsid w:val="00A76D6F"/>
    <w:rsid w:val="00A77769"/>
    <w:rsid w:val="00A77CF0"/>
    <w:rsid w:val="00A77F0E"/>
    <w:rsid w:val="00A77F36"/>
    <w:rsid w:val="00A803D5"/>
    <w:rsid w:val="00A80AD7"/>
    <w:rsid w:val="00A8116B"/>
    <w:rsid w:val="00A8182D"/>
    <w:rsid w:val="00A824E3"/>
    <w:rsid w:val="00A83156"/>
    <w:rsid w:val="00A83318"/>
    <w:rsid w:val="00A8345D"/>
    <w:rsid w:val="00A84993"/>
    <w:rsid w:val="00A84CBD"/>
    <w:rsid w:val="00A85557"/>
    <w:rsid w:val="00A8584C"/>
    <w:rsid w:val="00A85F77"/>
    <w:rsid w:val="00A86584"/>
    <w:rsid w:val="00A86CA1"/>
    <w:rsid w:val="00A86FE5"/>
    <w:rsid w:val="00A87CAF"/>
    <w:rsid w:val="00A90515"/>
    <w:rsid w:val="00A90586"/>
    <w:rsid w:val="00A90950"/>
    <w:rsid w:val="00A90EB0"/>
    <w:rsid w:val="00A90F30"/>
    <w:rsid w:val="00A915C4"/>
    <w:rsid w:val="00A916D0"/>
    <w:rsid w:val="00A91984"/>
    <w:rsid w:val="00A91B5E"/>
    <w:rsid w:val="00A923FA"/>
    <w:rsid w:val="00A930BA"/>
    <w:rsid w:val="00A93E49"/>
    <w:rsid w:val="00A94CD3"/>
    <w:rsid w:val="00A95DC4"/>
    <w:rsid w:val="00A96633"/>
    <w:rsid w:val="00A96865"/>
    <w:rsid w:val="00A97581"/>
    <w:rsid w:val="00A97E81"/>
    <w:rsid w:val="00A97EED"/>
    <w:rsid w:val="00AA03D9"/>
    <w:rsid w:val="00AA08E3"/>
    <w:rsid w:val="00AA0BC2"/>
    <w:rsid w:val="00AA1220"/>
    <w:rsid w:val="00AA183E"/>
    <w:rsid w:val="00AA20C5"/>
    <w:rsid w:val="00AA22CB"/>
    <w:rsid w:val="00AA22D9"/>
    <w:rsid w:val="00AA24C2"/>
    <w:rsid w:val="00AA29D5"/>
    <w:rsid w:val="00AA2B61"/>
    <w:rsid w:val="00AA3B7D"/>
    <w:rsid w:val="00AA410C"/>
    <w:rsid w:val="00AA446B"/>
    <w:rsid w:val="00AA48D7"/>
    <w:rsid w:val="00AA4FB7"/>
    <w:rsid w:val="00AA4FDA"/>
    <w:rsid w:val="00AA5839"/>
    <w:rsid w:val="00AA5CA1"/>
    <w:rsid w:val="00AA60EC"/>
    <w:rsid w:val="00AA616D"/>
    <w:rsid w:val="00AA6444"/>
    <w:rsid w:val="00AA6C0B"/>
    <w:rsid w:val="00AA7875"/>
    <w:rsid w:val="00AA79CF"/>
    <w:rsid w:val="00AB0429"/>
    <w:rsid w:val="00AB1275"/>
    <w:rsid w:val="00AB15DE"/>
    <w:rsid w:val="00AB1856"/>
    <w:rsid w:val="00AB217C"/>
    <w:rsid w:val="00AB2320"/>
    <w:rsid w:val="00AB32D6"/>
    <w:rsid w:val="00AB3B9F"/>
    <w:rsid w:val="00AB3D7F"/>
    <w:rsid w:val="00AB3E17"/>
    <w:rsid w:val="00AB4532"/>
    <w:rsid w:val="00AB4B27"/>
    <w:rsid w:val="00AB4F24"/>
    <w:rsid w:val="00AB50F6"/>
    <w:rsid w:val="00AB5BF0"/>
    <w:rsid w:val="00AB5DD8"/>
    <w:rsid w:val="00AB5DEE"/>
    <w:rsid w:val="00AB61C9"/>
    <w:rsid w:val="00AB67D6"/>
    <w:rsid w:val="00AB67DB"/>
    <w:rsid w:val="00AB6809"/>
    <w:rsid w:val="00AB716C"/>
    <w:rsid w:val="00AC04D2"/>
    <w:rsid w:val="00AC0541"/>
    <w:rsid w:val="00AC0701"/>
    <w:rsid w:val="00AC07A3"/>
    <w:rsid w:val="00AC0DFE"/>
    <w:rsid w:val="00AC1627"/>
    <w:rsid w:val="00AC2006"/>
    <w:rsid w:val="00AC3106"/>
    <w:rsid w:val="00AC3115"/>
    <w:rsid w:val="00AC41D1"/>
    <w:rsid w:val="00AC42EA"/>
    <w:rsid w:val="00AC44AA"/>
    <w:rsid w:val="00AC4A0C"/>
    <w:rsid w:val="00AC4CFB"/>
    <w:rsid w:val="00AC56CA"/>
    <w:rsid w:val="00AC5F6C"/>
    <w:rsid w:val="00AC61E3"/>
    <w:rsid w:val="00AC6769"/>
    <w:rsid w:val="00AC7C15"/>
    <w:rsid w:val="00AC7CBA"/>
    <w:rsid w:val="00AC7DE3"/>
    <w:rsid w:val="00AC7F3B"/>
    <w:rsid w:val="00AD006B"/>
    <w:rsid w:val="00AD039E"/>
    <w:rsid w:val="00AD060B"/>
    <w:rsid w:val="00AD0AAB"/>
    <w:rsid w:val="00AD0CF1"/>
    <w:rsid w:val="00AD14F9"/>
    <w:rsid w:val="00AD1882"/>
    <w:rsid w:val="00AD1C43"/>
    <w:rsid w:val="00AD1C90"/>
    <w:rsid w:val="00AD2BF1"/>
    <w:rsid w:val="00AD31D5"/>
    <w:rsid w:val="00AD3633"/>
    <w:rsid w:val="00AD3895"/>
    <w:rsid w:val="00AD3D42"/>
    <w:rsid w:val="00AD53C5"/>
    <w:rsid w:val="00AD5911"/>
    <w:rsid w:val="00AD5B94"/>
    <w:rsid w:val="00AD5D4F"/>
    <w:rsid w:val="00AD5EEA"/>
    <w:rsid w:val="00AD69A7"/>
    <w:rsid w:val="00AD6CCD"/>
    <w:rsid w:val="00AD79E7"/>
    <w:rsid w:val="00AD7AC2"/>
    <w:rsid w:val="00AD7E0B"/>
    <w:rsid w:val="00AD7FD3"/>
    <w:rsid w:val="00AE06B5"/>
    <w:rsid w:val="00AE077D"/>
    <w:rsid w:val="00AE07F0"/>
    <w:rsid w:val="00AE0BCB"/>
    <w:rsid w:val="00AE0F28"/>
    <w:rsid w:val="00AE0FA2"/>
    <w:rsid w:val="00AE1E83"/>
    <w:rsid w:val="00AE2A07"/>
    <w:rsid w:val="00AE327D"/>
    <w:rsid w:val="00AE4071"/>
    <w:rsid w:val="00AE43D0"/>
    <w:rsid w:val="00AE4AE5"/>
    <w:rsid w:val="00AE5862"/>
    <w:rsid w:val="00AE5B01"/>
    <w:rsid w:val="00AE67FA"/>
    <w:rsid w:val="00AE6923"/>
    <w:rsid w:val="00AE6C5A"/>
    <w:rsid w:val="00AE7354"/>
    <w:rsid w:val="00AE7793"/>
    <w:rsid w:val="00AE77F2"/>
    <w:rsid w:val="00AE7F49"/>
    <w:rsid w:val="00AF0270"/>
    <w:rsid w:val="00AF02E6"/>
    <w:rsid w:val="00AF0667"/>
    <w:rsid w:val="00AF07C2"/>
    <w:rsid w:val="00AF1741"/>
    <w:rsid w:val="00AF26E5"/>
    <w:rsid w:val="00AF2805"/>
    <w:rsid w:val="00AF3014"/>
    <w:rsid w:val="00AF3518"/>
    <w:rsid w:val="00AF42CE"/>
    <w:rsid w:val="00AF4B33"/>
    <w:rsid w:val="00AF524B"/>
    <w:rsid w:val="00AF56CF"/>
    <w:rsid w:val="00AF5A52"/>
    <w:rsid w:val="00AF5E21"/>
    <w:rsid w:val="00AF6092"/>
    <w:rsid w:val="00AF62CE"/>
    <w:rsid w:val="00AF6445"/>
    <w:rsid w:val="00AF6D72"/>
    <w:rsid w:val="00AF6F1D"/>
    <w:rsid w:val="00AF6FA9"/>
    <w:rsid w:val="00AF78D5"/>
    <w:rsid w:val="00AF7BB9"/>
    <w:rsid w:val="00AF7E21"/>
    <w:rsid w:val="00AF7E8D"/>
    <w:rsid w:val="00AF7EE7"/>
    <w:rsid w:val="00B0025D"/>
    <w:rsid w:val="00B0058C"/>
    <w:rsid w:val="00B012D1"/>
    <w:rsid w:val="00B01688"/>
    <w:rsid w:val="00B02538"/>
    <w:rsid w:val="00B0293F"/>
    <w:rsid w:val="00B02A1C"/>
    <w:rsid w:val="00B031DE"/>
    <w:rsid w:val="00B031E7"/>
    <w:rsid w:val="00B032E6"/>
    <w:rsid w:val="00B0378C"/>
    <w:rsid w:val="00B03C40"/>
    <w:rsid w:val="00B03F8A"/>
    <w:rsid w:val="00B04115"/>
    <w:rsid w:val="00B04256"/>
    <w:rsid w:val="00B04842"/>
    <w:rsid w:val="00B04E31"/>
    <w:rsid w:val="00B05152"/>
    <w:rsid w:val="00B06496"/>
    <w:rsid w:val="00B0660B"/>
    <w:rsid w:val="00B066E3"/>
    <w:rsid w:val="00B066ED"/>
    <w:rsid w:val="00B06CE1"/>
    <w:rsid w:val="00B06E69"/>
    <w:rsid w:val="00B06EC5"/>
    <w:rsid w:val="00B07351"/>
    <w:rsid w:val="00B07659"/>
    <w:rsid w:val="00B0794E"/>
    <w:rsid w:val="00B07AFB"/>
    <w:rsid w:val="00B102D5"/>
    <w:rsid w:val="00B1136F"/>
    <w:rsid w:val="00B113B0"/>
    <w:rsid w:val="00B115DD"/>
    <w:rsid w:val="00B123B7"/>
    <w:rsid w:val="00B124A9"/>
    <w:rsid w:val="00B124C3"/>
    <w:rsid w:val="00B12660"/>
    <w:rsid w:val="00B1292A"/>
    <w:rsid w:val="00B12A91"/>
    <w:rsid w:val="00B1341E"/>
    <w:rsid w:val="00B14503"/>
    <w:rsid w:val="00B14CD8"/>
    <w:rsid w:val="00B15964"/>
    <w:rsid w:val="00B15A57"/>
    <w:rsid w:val="00B15CD3"/>
    <w:rsid w:val="00B15D76"/>
    <w:rsid w:val="00B15F4C"/>
    <w:rsid w:val="00B16086"/>
    <w:rsid w:val="00B16264"/>
    <w:rsid w:val="00B1652F"/>
    <w:rsid w:val="00B169A5"/>
    <w:rsid w:val="00B1703A"/>
    <w:rsid w:val="00B176C5"/>
    <w:rsid w:val="00B20407"/>
    <w:rsid w:val="00B20CB8"/>
    <w:rsid w:val="00B20CCE"/>
    <w:rsid w:val="00B21450"/>
    <w:rsid w:val="00B216A1"/>
    <w:rsid w:val="00B21BEE"/>
    <w:rsid w:val="00B22112"/>
    <w:rsid w:val="00B227B8"/>
    <w:rsid w:val="00B23014"/>
    <w:rsid w:val="00B23795"/>
    <w:rsid w:val="00B23973"/>
    <w:rsid w:val="00B23A9E"/>
    <w:rsid w:val="00B23BC2"/>
    <w:rsid w:val="00B24701"/>
    <w:rsid w:val="00B25691"/>
    <w:rsid w:val="00B25E9A"/>
    <w:rsid w:val="00B25F54"/>
    <w:rsid w:val="00B261EB"/>
    <w:rsid w:val="00B26426"/>
    <w:rsid w:val="00B265C7"/>
    <w:rsid w:val="00B265E1"/>
    <w:rsid w:val="00B26778"/>
    <w:rsid w:val="00B26E57"/>
    <w:rsid w:val="00B26E97"/>
    <w:rsid w:val="00B270B0"/>
    <w:rsid w:val="00B279A3"/>
    <w:rsid w:val="00B27A4E"/>
    <w:rsid w:val="00B27C27"/>
    <w:rsid w:val="00B27E68"/>
    <w:rsid w:val="00B30007"/>
    <w:rsid w:val="00B3023D"/>
    <w:rsid w:val="00B302DC"/>
    <w:rsid w:val="00B31998"/>
    <w:rsid w:val="00B31FE5"/>
    <w:rsid w:val="00B322BF"/>
    <w:rsid w:val="00B333BE"/>
    <w:rsid w:val="00B333FE"/>
    <w:rsid w:val="00B33584"/>
    <w:rsid w:val="00B336D5"/>
    <w:rsid w:val="00B3384C"/>
    <w:rsid w:val="00B3453E"/>
    <w:rsid w:val="00B34933"/>
    <w:rsid w:val="00B34A7D"/>
    <w:rsid w:val="00B36054"/>
    <w:rsid w:val="00B363C8"/>
    <w:rsid w:val="00B36C45"/>
    <w:rsid w:val="00B3786C"/>
    <w:rsid w:val="00B37A9C"/>
    <w:rsid w:val="00B37BB5"/>
    <w:rsid w:val="00B37FBB"/>
    <w:rsid w:val="00B401C0"/>
    <w:rsid w:val="00B4039C"/>
    <w:rsid w:val="00B40C31"/>
    <w:rsid w:val="00B40CEC"/>
    <w:rsid w:val="00B40DB3"/>
    <w:rsid w:val="00B41218"/>
    <w:rsid w:val="00B41B0A"/>
    <w:rsid w:val="00B42511"/>
    <w:rsid w:val="00B425F7"/>
    <w:rsid w:val="00B42751"/>
    <w:rsid w:val="00B43323"/>
    <w:rsid w:val="00B433B8"/>
    <w:rsid w:val="00B43C24"/>
    <w:rsid w:val="00B44972"/>
    <w:rsid w:val="00B44DE1"/>
    <w:rsid w:val="00B44DF6"/>
    <w:rsid w:val="00B450E0"/>
    <w:rsid w:val="00B45609"/>
    <w:rsid w:val="00B46124"/>
    <w:rsid w:val="00B4693C"/>
    <w:rsid w:val="00B47FCC"/>
    <w:rsid w:val="00B512A2"/>
    <w:rsid w:val="00B515C6"/>
    <w:rsid w:val="00B51750"/>
    <w:rsid w:val="00B518E2"/>
    <w:rsid w:val="00B51BD5"/>
    <w:rsid w:val="00B51E71"/>
    <w:rsid w:val="00B523B1"/>
    <w:rsid w:val="00B523E0"/>
    <w:rsid w:val="00B524E2"/>
    <w:rsid w:val="00B52747"/>
    <w:rsid w:val="00B52E82"/>
    <w:rsid w:val="00B53131"/>
    <w:rsid w:val="00B536B0"/>
    <w:rsid w:val="00B53999"/>
    <w:rsid w:val="00B53A73"/>
    <w:rsid w:val="00B53AB2"/>
    <w:rsid w:val="00B54541"/>
    <w:rsid w:val="00B54A85"/>
    <w:rsid w:val="00B54DF5"/>
    <w:rsid w:val="00B55046"/>
    <w:rsid w:val="00B55348"/>
    <w:rsid w:val="00B565F6"/>
    <w:rsid w:val="00B56B4C"/>
    <w:rsid w:val="00B56CBA"/>
    <w:rsid w:val="00B56F2E"/>
    <w:rsid w:val="00B57154"/>
    <w:rsid w:val="00B572FF"/>
    <w:rsid w:val="00B57D6F"/>
    <w:rsid w:val="00B60087"/>
    <w:rsid w:val="00B6029D"/>
    <w:rsid w:val="00B6098B"/>
    <w:rsid w:val="00B60EA9"/>
    <w:rsid w:val="00B61B1D"/>
    <w:rsid w:val="00B61C9A"/>
    <w:rsid w:val="00B61CE3"/>
    <w:rsid w:val="00B628D5"/>
    <w:rsid w:val="00B64018"/>
    <w:rsid w:val="00B641E7"/>
    <w:rsid w:val="00B6466F"/>
    <w:rsid w:val="00B64F2E"/>
    <w:rsid w:val="00B64F7C"/>
    <w:rsid w:val="00B654C4"/>
    <w:rsid w:val="00B6664E"/>
    <w:rsid w:val="00B668D7"/>
    <w:rsid w:val="00B66A07"/>
    <w:rsid w:val="00B675FE"/>
    <w:rsid w:val="00B70C67"/>
    <w:rsid w:val="00B721E2"/>
    <w:rsid w:val="00B721F1"/>
    <w:rsid w:val="00B72537"/>
    <w:rsid w:val="00B72A12"/>
    <w:rsid w:val="00B72B05"/>
    <w:rsid w:val="00B731E9"/>
    <w:rsid w:val="00B73D3A"/>
    <w:rsid w:val="00B74573"/>
    <w:rsid w:val="00B7491A"/>
    <w:rsid w:val="00B75327"/>
    <w:rsid w:val="00B76688"/>
    <w:rsid w:val="00B770AC"/>
    <w:rsid w:val="00B770FC"/>
    <w:rsid w:val="00B77457"/>
    <w:rsid w:val="00B77781"/>
    <w:rsid w:val="00B77A9D"/>
    <w:rsid w:val="00B77CC9"/>
    <w:rsid w:val="00B77CF8"/>
    <w:rsid w:val="00B77FE4"/>
    <w:rsid w:val="00B80D18"/>
    <w:rsid w:val="00B80D5F"/>
    <w:rsid w:val="00B81137"/>
    <w:rsid w:val="00B81370"/>
    <w:rsid w:val="00B818E4"/>
    <w:rsid w:val="00B81916"/>
    <w:rsid w:val="00B82369"/>
    <w:rsid w:val="00B83323"/>
    <w:rsid w:val="00B83BA4"/>
    <w:rsid w:val="00B83F0E"/>
    <w:rsid w:val="00B84777"/>
    <w:rsid w:val="00B84C0D"/>
    <w:rsid w:val="00B84C9D"/>
    <w:rsid w:val="00B84E1A"/>
    <w:rsid w:val="00B853C5"/>
    <w:rsid w:val="00B85557"/>
    <w:rsid w:val="00B85B23"/>
    <w:rsid w:val="00B85C9A"/>
    <w:rsid w:val="00B85D5A"/>
    <w:rsid w:val="00B85E6F"/>
    <w:rsid w:val="00B8662D"/>
    <w:rsid w:val="00B867E2"/>
    <w:rsid w:val="00B869D3"/>
    <w:rsid w:val="00B87032"/>
    <w:rsid w:val="00B878AD"/>
    <w:rsid w:val="00B87C7D"/>
    <w:rsid w:val="00B908AA"/>
    <w:rsid w:val="00B908BD"/>
    <w:rsid w:val="00B90C06"/>
    <w:rsid w:val="00B9118B"/>
    <w:rsid w:val="00B91944"/>
    <w:rsid w:val="00B91BAF"/>
    <w:rsid w:val="00B91CB0"/>
    <w:rsid w:val="00B91E34"/>
    <w:rsid w:val="00B92348"/>
    <w:rsid w:val="00B923FA"/>
    <w:rsid w:val="00B927B3"/>
    <w:rsid w:val="00B93231"/>
    <w:rsid w:val="00B93697"/>
    <w:rsid w:val="00B940EC"/>
    <w:rsid w:val="00B9541E"/>
    <w:rsid w:val="00B9587B"/>
    <w:rsid w:val="00B958F6"/>
    <w:rsid w:val="00B96B37"/>
    <w:rsid w:val="00B96EA8"/>
    <w:rsid w:val="00B96F5A"/>
    <w:rsid w:val="00BA1634"/>
    <w:rsid w:val="00BA1A87"/>
    <w:rsid w:val="00BA1D17"/>
    <w:rsid w:val="00BA230E"/>
    <w:rsid w:val="00BA25D7"/>
    <w:rsid w:val="00BA288D"/>
    <w:rsid w:val="00BA2B99"/>
    <w:rsid w:val="00BA347C"/>
    <w:rsid w:val="00BA3DB6"/>
    <w:rsid w:val="00BA43B6"/>
    <w:rsid w:val="00BA4AB0"/>
    <w:rsid w:val="00BA5AC6"/>
    <w:rsid w:val="00BA5EC6"/>
    <w:rsid w:val="00BA6199"/>
    <w:rsid w:val="00BA61D8"/>
    <w:rsid w:val="00BA6236"/>
    <w:rsid w:val="00BA65BD"/>
    <w:rsid w:val="00BA71AF"/>
    <w:rsid w:val="00BA78CD"/>
    <w:rsid w:val="00BB1797"/>
    <w:rsid w:val="00BB1DCA"/>
    <w:rsid w:val="00BB20BB"/>
    <w:rsid w:val="00BB2478"/>
    <w:rsid w:val="00BB29FC"/>
    <w:rsid w:val="00BB31BA"/>
    <w:rsid w:val="00BB3B88"/>
    <w:rsid w:val="00BB3EF2"/>
    <w:rsid w:val="00BB4304"/>
    <w:rsid w:val="00BB4904"/>
    <w:rsid w:val="00BB4A9E"/>
    <w:rsid w:val="00BB51AD"/>
    <w:rsid w:val="00BB530F"/>
    <w:rsid w:val="00BB537E"/>
    <w:rsid w:val="00BB58BB"/>
    <w:rsid w:val="00BB5AE5"/>
    <w:rsid w:val="00BB5BBF"/>
    <w:rsid w:val="00BB63CB"/>
    <w:rsid w:val="00BB73C0"/>
    <w:rsid w:val="00BC0725"/>
    <w:rsid w:val="00BC08BE"/>
    <w:rsid w:val="00BC0DA7"/>
    <w:rsid w:val="00BC237F"/>
    <w:rsid w:val="00BC2587"/>
    <w:rsid w:val="00BC2964"/>
    <w:rsid w:val="00BC2CFE"/>
    <w:rsid w:val="00BC36FE"/>
    <w:rsid w:val="00BC41F3"/>
    <w:rsid w:val="00BC429C"/>
    <w:rsid w:val="00BC44EB"/>
    <w:rsid w:val="00BC5B33"/>
    <w:rsid w:val="00BC641A"/>
    <w:rsid w:val="00BC6AFD"/>
    <w:rsid w:val="00BC6EA2"/>
    <w:rsid w:val="00BC73E7"/>
    <w:rsid w:val="00BC7FB9"/>
    <w:rsid w:val="00BD00A2"/>
    <w:rsid w:val="00BD0341"/>
    <w:rsid w:val="00BD0E89"/>
    <w:rsid w:val="00BD1F42"/>
    <w:rsid w:val="00BD291E"/>
    <w:rsid w:val="00BD299F"/>
    <w:rsid w:val="00BD313F"/>
    <w:rsid w:val="00BD4030"/>
    <w:rsid w:val="00BD4394"/>
    <w:rsid w:val="00BD4F63"/>
    <w:rsid w:val="00BD5415"/>
    <w:rsid w:val="00BD54DB"/>
    <w:rsid w:val="00BD5E56"/>
    <w:rsid w:val="00BD6064"/>
    <w:rsid w:val="00BD61C4"/>
    <w:rsid w:val="00BD6224"/>
    <w:rsid w:val="00BD6B95"/>
    <w:rsid w:val="00BD71BC"/>
    <w:rsid w:val="00BD74A8"/>
    <w:rsid w:val="00BE00EA"/>
    <w:rsid w:val="00BE04B9"/>
    <w:rsid w:val="00BE0626"/>
    <w:rsid w:val="00BE0B18"/>
    <w:rsid w:val="00BE1105"/>
    <w:rsid w:val="00BE1795"/>
    <w:rsid w:val="00BE194E"/>
    <w:rsid w:val="00BE1EB2"/>
    <w:rsid w:val="00BE3762"/>
    <w:rsid w:val="00BE4100"/>
    <w:rsid w:val="00BE486E"/>
    <w:rsid w:val="00BE574A"/>
    <w:rsid w:val="00BE57B8"/>
    <w:rsid w:val="00BE628D"/>
    <w:rsid w:val="00BE66C0"/>
    <w:rsid w:val="00BE6C1F"/>
    <w:rsid w:val="00BE7244"/>
    <w:rsid w:val="00BE7666"/>
    <w:rsid w:val="00BE7679"/>
    <w:rsid w:val="00BE792B"/>
    <w:rsid w:val="00BF0D39"/>
    <w:rsid w:val="00BF13D3"/>
    <w:rsid w:val="00BF1750"/>
    <w:rsid w:val="00BF231F"/>
    <w:rsid w:val="00BF27F0"/>
    <w:rsid w:val="00BF2CC9"/>
    <w:rsid w:val="00BF362F"/>
    <w:rsid w:val="00BF3B22"/>
    <w:rsid w:val="00BF4881"/>
    <w:rsid w:val="00BF57FE"/>
    <w:rsid w:val="00BF58A6"/>
    <w:rsid w:val="00BF669B"/>
    <w:rsid w:val="00BF68E9"/>
    <w:rsid w:val="00BF777B"/>
    <w:rsid w:val="00BF7A19"/>
    <w:rsid w:val="00BF7BF3"/>
    <w:rsid w:val="00C00410"/>
    <w:rsid w:val="00C006E8"/>
    <w:rsid w:val="00C00D87"/>
    <w:rsid w:val="00C00FA9"/>
    <w:rsid w:val="00C00FF6"/>
    <w:rsid w:val="00C01716"/>
    <w:rsid w:val="00C020F7"/>
    <w:rsid w:val="00C02416"/>
    <w:rsid w:val="00C0243F"/>
    <w:rsid w:val="00C02D9A"/>
    <w:rsid w:val="00C03041"/>
    <w:rsid w:val="00C034D7"/>
    <w:rsid w:val="00C037C7"/>
    <w:rsid w:val="00C03A99"/>
    <w:rsid w:val="00C042AE"/>
    <w:rsid w:val="00C046E7"/>
    <w:rsid w:val="00C051C0"/>
    <w:rsid w:val="00C051C2"/>
    <w:rsid w:val="00C059D8"/>
    <w:rsid w:val="00C0603B"/>
    <w:rsid w:val="00C06170"/>
    <w:rsid w:val="00C063BA"/>
    <w:rsid w:val="00C066ED"/>
    <w:rsid w:val="00C06936"/>
    <w:rsid w:val="00C073EF"/>
    <w:rsid w:val="00C0768B"/>
    <w:rsid w:val="00C076EC"/>
    <w:rsid w:val="00C07A38"/>
    <w:rsid w:val="00C07CDF"/>
    <w:rsid w:val="00C10294"/>
    <w:rsid w:val="00C108FF"/>
    <w:rsid w:val="00C11333"/>
    <w:rsid w:val="00C1152F"/>
    <w:rsid w:val="00C118CE"/>
    <w:rsid w:val="00C1192D"/>
    <w:rsid w:val="00C11F27"/>
    <w:rsid w:val="00C11FB0"/>
    <w:rsid w:val="00C12257"/>
    <w:rsid w:val="00C1247E"/>
    <w:rsid w:val="00C12498"/>
    <w:rsid w:val="00C12C82"/>
    <w:rsid w:val="00C1335C"/>
    <w:rsid w:val="00C13658"/>
    <w:rsid w:val="00C13842"/>
    <w:rsid w:val="00C13A22"/>
    <w:rsid w:val="00C13CD0"/>
    <w:rsid w:val="00C13EEA"/>
    <w:rsid w:val="00C140BF"/>
    <w:rsid w:val="00C14A0C"/>
    <w:rsid w:val="00C14C9A"/>
    <w:rsid w:val="00C150D0"/>
    <w:rsid w:val="00C154CA"/>
    <w:rsid w:val="00C16302"/>
    <w:rsid w:val="00C163FA"/>
    <w:rsid w:val="00C1647E"/>
    <w:rsid w:val="00C16619"/>
    <w:rsid w:val="00C16828"/>
    <w:rsid w:val="00C16A0C"/>
    <w:rsid w:val="00C16B26"/>
    <w:rsid w:val="00C179FD"/>
    <w:rsid w:val="00C17AD2"/>
    <w:rsid w:val="00C17DD5"/>
    <w:rsid w:val="00C2144B"/>
    <w:rsid w:val="00C2170F"/>
    <w:rsid w:val="00C2186D"/>
    <w:rsid w:val="00C2197A"/>
    <w:rsid w:val="00C21AC8"/>
    <w:rsid w:val="00C224CB"/>
    <w:rsid w:val="00C2267C"/>
    <w:rsid w:val="00C226C4"/>
    <w:rsid w:val="00C22DCD"/>
    <w:rsid w:val="00C22EB1"/>
    <w:rsid w:val="00C23D74"/>
    <w:rsid w:val="00C2451B"/>
    <w:rsid w:val="00C24CB0"/>
    <w:rsid w:val="00C264E3"/>
    <w:rsid w:val="00C2650D"/>
    <w:rsid w:val="00C27D89"/>
    <w:rsid w:val="00C27F71"/>
    <w:rsid w:val="00C3025F"/>
    <w:rsid w:val="00C3031F"/>
    <w:rsid w:val="00C30759"/>
    <w:rsid w:val="00C3099C"/>
    <w:rsid w:val="00C30AB1"/>
    <w:rsid w:val="00C313EA"/>
    <w:rsid w:val="00C31429"/>
    <w:rsid w:val="00C314D2"/>
    <w:rsid w:val="00C31906"/>
    <w:rsid w:val="00C319DB"/>
    <w:rsid w:val="00C3201E"/>
    <w:rsid w:val="00C338B5"/>
    <w:rsid w:val="00C33A47"/>
    <w:rsid w:val="00C33C4D"/>
    <w:rsid w:val="00C350D1"/>
    <w:rsid w:val="00C35298"/>
    <w:rsid w:val="00C35803"/>
    <w:rsid w:val="00C359CE"/>
    <w:rsid w:val="00C35B38"/>
    <w:rsid w:val="00C35EBE"/>
    <w:rsid w:val="00C3637F"/>
    <w:rsid w:val="00C3655B"/>
    <w:rsid w:val="00C365BB"/>
    <w:rsid w:val="00C36993"/>
    <w:rsid w:val="00C37871"/>
    <w:rsid w:val="00C40171"/>
    <w:rsid w:val="00C40CB8"/>
    <w:rsid w:val="00C41904"/>
    <w:rsid w:val="00C4218D"/>
    <w:rsid w:val="00C423D8"/>
    <w:rsid w:val="00C43373"/>
    <w:rsid w:val="00C43732"/>
    <w:rsid w:val="00C438AE"/>
    <w:rsid w:val="00C43DB7"/>
    <w:rsid w:val="00C44182"/>
    <w:rsid w:val="00C45695"/>
    <w:rsid w:val="00C45D19"/>
    <w:rsid w:val="00C467E3"/>
    <w:rsid w:val="00C474C9"/>
    <w:rsid w:val="00C47755"/>
    <w:rsid w:val="00C477AA"/>
    <w:rsid w:val="00C47DE5"/>
    <w:rsid w:val="00C47FA9"/>
    <w:rsid w:val="00C502A9"/>
    <w:rsid w:val="00C50334"/>
    <w:rsid w:val="00C51126"/>
    <w:rsid w:val="00C528A4"/>
    <w:rsid w:val="00C52B71"/>
    <w:rsid w:val="00C535BD"/>
    <w:rsid w:val="00C539B6"/>
    <w:rsid w:val="00C539D1"/>
    <w:rsid w:val="00C54324"/>
    <w:rsid w:val="00C54AE6"/>
    <w:rsid w:val="00C57BAE"/>
    <w:rsid w:val="00C60290"/>
    <w:rsid w:val="00C60C26"/>
    <w:rsid w:val="00C63675"/>
    <w:rsid w:val="00C63833"/>
    <w:rsid w:val="00C64626"/>
    <w:rsid w:val="00C65DC8"/>
    <w:rsid w:val="00C663FE"/>
    <w:rsid w:val="00C666F9"/>
    <w:rsid w:val="00C66E59"/>
    <w:rsid w:val="00C66E6D"/>
    <w:rsid w:val="00C66E7D"/>
    <w:rsid w:val="00C671D6"/>
    <w:rsid w:val="00C6724B"/>
    <w:rsid w:val="00C674E2"/>
    <w:rsid w:val="00C67697"/>
    <w:rsid w:val="00C67757"/>
    <w:rsid w:val="00C67B99"/>
    <w:rsid w:val="00C67D50"/>
    <w:rsid w:val="00C67EF0"/>
    <w:rsid w:val="00C70475"/>
    <w:rsid w:val="00C704CF"/>
    <w:rsid w:val="00C706F8"/>
    <w:rsid w:val="00C709C3"/>
    <w:rsid w:val="00C70AAC"/>
    <w:rsid w:val="00C70BD3"/>
    <w:rsid w:val="00C716B6"/>
    <w:rsid w:val="00C719EE"/>
    <w:rsid w:val="00C71CD6"/>
    <w:rsid w:val="00C71E41"/>
    <w:rsid w:val="00C71F8C"/>
    <w:rsid w:val="00C72088"/>
    <w:rsid w:val="00C7224B"/>
    <w:rsid w:val="00C72297"/>
    <w:rsid w:val="00C72DE6"/>
    <w:rsid w:val="00C745DC"/>
    <w:rsid w:val="00C74CFE"/>
    <w:rsid w:val="00C74DFE"/>
    <w:rsid w:val="00C758FD"/>
    <w:rsid w:val="00C75A0C"/>
    <w:rsid w:val="00C7654F"/>
    <w:rsid w:val="00C771DD"/>
    <w:rsid w:val="00C776BB"/>
    <w:rsid w:val="00C77C29"/>
    <w:rsid w:val="00C809B9"/>
    <w:rsid w:val="00C80B4D"/>
    <w:rsid w:val="00C80C3F"/>
    <w:rsid w:val="00C80E21"/>
    <w:rsid w:val="00C80E8B"/>
    <w:rsid w:val="00C81117"/>
    <w:rsid w:val="00C81194"/>
    <w:rsid w:val="00C813EE"/>
    <w:rsid w:val="00C81FAC"/>
    <w:rsid w:val="00C82340"/>
    <w:rsid w:val="00C8243B"/>
    <w:rsid w:val="00C83818"/>
    <w:rsid w:val="00C841F7"/>
    <w:rsid w:val="00C844FE"/>
    <w:rsid w:val="00C845FC"/>
    <w:rsid w:val="00C859C6"/>
    <w:rsid w:val="00C85E96"/>
    <w:rsid w:val="00C85F7E"/>
    <w:rsid w:val="00C867CA"/>
    <w:rsid w:val="00C871C6"/>
    <w:rsid w:val="00C90D48"/>
    <w:rsid w:val="00C91042"/>
    <w:rsid w:val="00C9161D"/>
    <w:rsid w:val="00C924AD"/>
    <w:rsid w:val="00C92793"/>
    <w:rsid w:val="00C92B4F"/>
    <w:rsid w:val="00C92D5D"/>
    <w:rsid w:val="00C93130"/>
    <w:rsid w:val="00C93788"/>
    <w:rsid w:val="00C93C11"/>
    <w:rsid w:val="00C94467"/>
    <w:rsid w:val="00C948FC"/>
    <w:rsid w:val="00C9546C"/>
    <w:rsid w:val="00C955B3"/>
    <w:rsid w:val="00C9606A"/>
    <w:rsid w:val="00C97284"/>
    <w:rsid w:val="00C97AE7"/>
    <w:rsid w:val="00CA0B93"/>
    <w:rsid w:val="00CA0DBF"/>
    <w:rsid w:val="00CA12AE"/>
    <w:rsid w:val="00CA204B"/>
    <w:rsid w:val="00CA2715"/>
    <w:rsid w:val="00CA27D5"/>
    <w:rsid w:val="00CA28E9"/>
    <w:rsid w:val="00CA39EF"/>
    <w:rsid w:val="00CA51A3"/>
    <w:rsid w:val="00CA572E"/>
    <w:rsid w:val="00CA6941"/>
    <w:rsid w:val="00CB011B"/>
    <w:rsid w:val="00CB0159"/>
    <w:rsid w:val="00CB04DB"/>
    <w:rsid w:val="00CB06E2"/>
    <w:rsid w:val="00CB0863"/>
    <w:rsid w:val="00CB0B29"/>
    <w:rsid w:val="00CB0E79"/>
    <w:rsid w:val="00CB1301"/>
    <w:rsid w:val="00CB1A01"/>
    <w:rsid w:val="00CB2557"/>
    <w:rsid w:val="00CB257F"/>
    <w:rsid w:val="00CB273B"/>
    <w:rsid w:val="00CB2773"/>
    <w:rsid w:val="00CB2D47"/>
    <w:rsid w:val="00CB2EDE"/>
    <w:rsid w:val="00CB3F2E"/>
    <w:rsid w:val="00CB4179"/>
    <w:rsid w:val="00CB43D1"/>
    <w:rsid w:val="00CB6537"/>
    <w:rsid w:val="00CB683A"/>
    <w:rsid w:val="00CB6DCF"/>
    <w:rsid w:val="00CB6E3D"/>
    <w:rsid w:val="00CB7769"/>
    <w:rsid w:val="00CB7EA3"/>
    <w:rsid w:val="00CC060A"/>
    <w:rsid w:val="00CC064E"/>
    <w:rsid w:val="00CC066B"/>
    <w:rsid w:val="00CC0EB4"/>
    <w:rsid w:val="00CC1232"/>
    <w:rsid w:val="00CC1A39"/>
    <w:rsid w:val="00CC25B7"/>
    <w:rsid w:val="00CC2887"/>
    <w:rsid w:val="00CC28B2"/>
    <w:rsid w:val="00CC2A04"/>
    <w:rsid w:val="00CC3529"/>
    <w:rsid w:val="00CC3B09"/>
    <w:rsid w:val="00CC3C3A"/>
    <w:rsid w:val="00CC3D5D"/>
    <w:rsid w:val="00CC425D"/>
    <w:rsid w:val="00CC4938"/>
    <w:rsid w:val="00CC508D"/>
    <w:rsid w:val="00CC55DD"/>
    <w:rsid w:val="00CC6430"/>
    <w:rsid w:val="00CC7188"/>
    <w:rsid w:val="00CC7337"/>
    <w:rsid w:val="00CC7F94"/>
    <w:rsid w:val="00CD03B9"/>
    <w:rsid w:val="00CD0705"/>
    <w:rsid w:val="00CD0B8A"/>
    <w:rsid w:val="00CD0D3C"/>
    <w:rsid w:val="00CD1902"/>
    <w:rsid w:val="00CD1E5B"/>
    <w:rsid w:val="00CD2271"/>
    <w:rsid w:val="00CD2369"/>
    <w:rsid w:val="00CD2C2F"/>
    <w:rsid w:val="00CD2E93"/>
    <w:rsid w:val="00CD3890"/>
    <w:rsid w:val="00CD3962"/>
    <w:rsid w:val="00CD3A43"/>
    <w:rsid w:val="00CD441D"/>
    <w:rsid w:val="00CD48AB"/>
    <w:rsid w:val="00CD4E54"/>
    <w:rsid w:val="00CD4E83"/>
    <w:rsid w:val="00CD4F5C"/>
    <w:rsid w:val="00CD5168"/>
    <w:rsid w:val="00CD64F1"/>
    <w:rsid w:val="00CD6755"/>
    <w:rsid w:val="00CD68CF"/>
    <w:rsid w:val="00CD6974"/>
    <w:rsid w:val="00CD6F99"/>
    <w:rsid w:val="00CD7639"/>
    <w:rsid w:val="00CD7CA0"/>
    <w:rsid w:val="00CD7E77"/>
    <w:rsid w:val="00CD7EE6"/>
    <w:rsid w:val="00CE00B2"/>
    <w:rsid w:val="00CE015A"/>
    <w:rsid w:val="00CE0C93"/>
    <w:rsid w:val="00CE0FC7"/>
    <w:rsid w:val="00CE0FE5"/>
    <w:rsid w:val="00CE16AB"/>
    <w:rsid w:val="00CE1E23"/>
    <w:rsid w:val="00CE2A17"/>
    <w:rsid w:val="00CE333C"/>
    <w:rsid w:val="00CE35E2"/>
    <w:rsid w:val="00CE3BAF"/>
    <w:rsid w:val="00CE3C35"/>
    <w:rsid w:val="00CE3E16"/>
    <w:rsid w:val="00CE4097"/>
    <w:rsid w:val="00CE4230"/>
    <w:rsid w:val="00CE4670"/>
    <w:rsid w:val="00CE4757"/>
    <w:rsid w:val="00CE4CB7"/>
    <w:rsid w:val="00CE4DE0"/>
    <w:rsid w:val="00CE5220"/>
    <w:rsid w:val="00CE566C"/>
    <w:rsid w:val="00CE618F"/>
    <w:rsid w:val="00CE699B"/>
    <w:rsid w:val="00CE6B0A"/>
    <w:rsid w:val="00CE6CA9"/>
    <w:rsid w:val="00CE7139"/>
    <w:rsid w:val="00CE76F7"/>
    <w:rsid w:val="00CE7AE5"/>
    <w:rsid w:val="00CF02A3"/>
    <w:rsid w:val="00CF1342"/>
    <w:rsid w:val="00CF163D"/>
    <w:rsid w:val="00CF1FAB"/>
    <w:rsid w:val="00CF287E"/>
    <w:rsid w:val="00CF2EA4"/>
    <w:rsid w:val="00CF3225"/>
    <w:rsid w:val="00CF3ECE"/>
    <w:rsid w:val="00CF4377"/>
    <w:rsid w:val="00CF4E35"/>
    <w:rsid w:val="00CF56BA"/>
    <w:rsid w:val="00CF59D3"/>
    <w:rsid w:val="00CF6682"/>
    <w:rsid w:val="00CF6699"/>
    <w:rsid w:val="00CF67BF"/>
    <w:rsid w:val="00CF6955"/>
    <w:rsid w:val="00CF7662"/>
    <w:rsid w:val="00CF76E7"/>
    <w:rsid w:val="00D002CD"/>
    <w:rsid w:val="00D006A9"/>
    <w:rsid w:val="00D0091F"/>
    <w:rsid w:val="00D00AA8"/>
    <w:rsid w:val="00D00B49"/>
    <w:rsid w:val="00D0206B"/>
    <w:rsid w:val="00D021A9"/>
    <w:rsid w:val="00D02777"/>
    <w:rsid w:val="00D02C1E"/>
    <w:rsid w:val="00D0300E"/>
    <w:rsid w:val="00D03353"/>
    <w:rsid w:val="00D034DB"/>
    <w:rsid w:val="00D04DB2"/>
    <w:rsid w:val="00D05153"/>
    <w:rsid w:val="00D05816"/>
    <w:rsid w:val="00D05FF9"/>
    <w:rsid w:val="00D06271"/>
    <w:rsid w:val="00D06505"/>
    <w:rsid w:val="00D0697F"/>
    <w:rsid w:val="00D0751F"/>
    <w:rsid w:val="00D0773C"/>
    <w:rsid w:val="00D07770"/>
    <w:rsid w:val="00D07EF3"/>
    <w:rsid w:val="00D10E7E"/>
    <w:rsid w:val="00D10FFE"/>
    <w:rsid w:val="00D1109D"/>
    <w:rsid w:val="00D1190D"/>
    <w:rsid w:val="00D11C12"/>
    <w:rsid w:val="00D11F91"/>
    <w:rsid w:val="00D11FA0"/>
    <w:rsid w:val="00D12D7B"/>
    <w:rsid w:val="00D13159"/>
    <w:rsid w:val="00D13750"/>
    <w:rsid w:val="00D13D8D"/>
    <w:rsid w:val="00D13EC1"/>
    <w:rsid w:val="00D13FD5"/>
    <w:rsid w:val="00D14077"/>
    <w:rsid w:val="00D156A7"/>
    <w:rsid w:val="00D15CCB"/>
    <w:rsid w:val="00D16131"/>
    <w:rsid w:val="00D16ADD"/>
    <w:rsid w:val="00D174F8"/>
    <w:rsid w:val="00D17760"/>
    <w:rsid w:val="00D17C3A"/>
    <w:rsid w:val="00D17FB2"/>
    <w:rsid w:val="00D20046"/>
    <w:rsid w:val="00D206B9"/>
    <w:rsid w:val="00D20FB8"/>
    <w:rsid w:val="00D21614"/>
    <w:rsid w:val="00D22074"/>
    <w:rsid w:val="00D220A6"/>
    <w:rsid w:val="00D22377"/>
    <w:rsid w:val="00D2268F"/>
    <w:rsid w:val="00D22C08"/>
    <w:rsid w:val="00D23439"/>
    <w:rsid w:val="00D23A7C"/>
    <w:rsid w:val="00D23CDD"/>
    <w:rsid w:val="00D24344"/>
    <w:rsid w:val="00D25573"/>
    <w:rsid w:val="00D25A9C"/>
    <w:rsid w:val="00D26073"/>
    <w:rsid w:val="00D26FBA"/>
    <w:rsid w:val="00D271B5"/>
    <w:rsid w:val="00D273CA"/>
    <w:rsid w:val="00D274B1"/>
    <w:rsid w:val="00D27677"/>
    <w:rsid w:val="00D27CC1"/>
    <w:rsid w:val="00D27E89"/>
    <w:rsid w:val="00D3069D"/>
    <w:rsid w:val="00D3093B"/>
    <w:rsid w:val="00D30A1E"/>
    <w:rsid w:val="00D30B4A"/>
    <w:rsid w:val="00D30EE4"/>
    <w:rsid w:val="00D31BBC"/>
    <w:rsid w:val="00D31C04"/>
    <w:rsid w:val="00D32708"/>
    <w:rsid w:val="00D32743"/>
    <w:rsid w:val="00D32F22"/>
    <w:rsid w:val="00D32F34"/>
    <w:rsid w:val="00D3302B"/>
    <w:rsid w:val="00D331DF"/>
    <w:rsid w:val="00D331E0"/>
    <w:rsid w:val="00D33A2C"/>
    <w:rsid w:val="00D3402E"/>
    <w:rsid w:val="00D34D27"/>
    <w:rsid w:val="00D34E70"/>
    <w:rsid w:val="00D3509C"/>
    <w:rsid w:val="00D3559F"/>
    <w:rsid w:val="00D35603"/>
    <w:rsid w:val="00D3667B"/>
    <w:rsid w:val="00D36738"/>
    <w:rsid w:val="00D37078"/>
    <w:rsid w:val="00D372DB"/>
    <w:rsid w:val="00D37677"/>
    <w:rsid w:val="00D376F1"/>
    <w:rsid w:val="00D37E71"/>
    <w:rsid w:val="00D37F84"/>
    <w:rsid w:val="00D405B0"/>
    <w:rsid w:val="00D406FF"/>
    <w:rsid w:val="00D410AA"/>
    <w:rsid w:val="00D411CC"/>
    <w:rsid w:val="00D41562"/>
    <w:rsid w:val="00D41612"/>
    <w:rsid w:val="00D417C9"/>
    <w:rsid w:val="00D41D73"/>
    <w:rsid w:val="00D424E2"/>
    <w:rsid w:val="00D4286A"/>
    <w:rsid w:val="00D42C37"/>
    <w:rsid w:val="00D431D7"/>
    <w:rsid w:val="00D4386B"/>
    <w:rsid w:val="00D438D8"/>
    <w:rsid w:val="00D44C0C"/>
    <w:rsid w:val="00D455DB"/>
    <w:rsid w:val="00D4595B"/>
    <w:rsid w:val="00D460D6"/>
    <w:rsid w:val="00D462D0"/>
    <w:rsid w:val="00D4695A"/>
    <w:rsid w:val="00D46A82"/>
    <w:rsid w:val="00D46B29"/>
    <w:rsid w:val="00D46B6A"/>
    <w:rsid w:val="00D46CCE"/>
    <w:rsid w:val="00D47427"/>
    <w:rsid w:val="00D47718"/>
    <w:rsid w:val="00D47B5D"/>
    <w:rsid w:val="00D47C20"/>
    <w:rsid w:val="00D5092B"/>
    <w:rsid w:val="00D50C31"/>
    <w:rsid w:val="00D50CA2"/>
    <w:rsid w:val="00D51533"/>
    <w:rsid w:val="00D5183A"/>
    <w:rsid w:val="00D52545"/>
    <w:rsid w:val="00D52695"/>
    <w:rsid w:val="00D52AFD"/>
    <w:rsid w:val="00D52EA5"/>
    <w:rsid w:val="00D53294"/>
    <w:rsid w:val="00D532EB"/>
    <w:rsid w:val="00D533B1"/>
    <w:rsid w:val="00D53E4F"/>
    <w:rsid w:val="00D53ED8"/>
    <w:rsid w:val="00D5420A"/>
    <w:rsid w:val="00D5499D"/>
    <w:rsid w:val="00D549B0"/>
    <w:rsid w:val="00D55408"/>
    <w:rsid w:val="00D56306"/>
    <w:rsid w:val="00D563B7"/>
    <w:rsid w:val="00D563C7"/>
    <w:rsid w:val="00D56716"/>
    <w:rsid w:val="00D568D7"/>
    <w:rsid w:val="00D5696C"/>
    <w:rsid w:val="00D56CE0"/>
    <w:rsid w:val="00D56E6E"/>
    <w:rsid w:val="00D572B6"/>
    <w:rsid w:val="00D57339"/>
    <w:rsid w:val="00D57589"/>
    <w:rsid w:val="00D57816"/>
    <w:rsid w:val="00D5797E"/>
    <w:rsid w:val="00D57D4E"/>
    <w:rsid w:val="00D57FEC"/>
    <w:rsid w:val="00D603D2"/>
    <w:rsid w:val="00D60832"/>
    <w:rsid w:val="00D60B59"/>
    <w:rsid w:val="00D60DE3"/>
    <w:rsid w:val="00D61051"/>
    <w:rsid w:val="00D6217B"/>
    <w:rsid w:val="00D62F99"/>
    <w:rsid w:val="00D62F9B"/>
    <w:rsid w:val="00D63733"/>
    <w:rsid w:val="00D63ACF"/>
    <w:rsid w:val="00D646DB"/>
    <w:rsid w:val="00D64FD9"/>
    <w:rsid w:val="00D65083"/>
    <w:rsid w:val="00D6582A"/>
    <w:rsid w:val="00D65CE6"/>
    <w:rsid w:val="00D664A0"/>
    <w:rsid w:val="00D66DAC"/>
    <w:rsid w:val="00D6703E"/>
    <w:rsid w:val="00D6713D"/>
    <w:rsid w:val="00D67200"/>
    <w:rsid w:val="00D703BD"/>
    <w:rsid w:val="00D70404"/>
    <w:rsid w:val="00D70429"/>
    <w:rsid w:val="00D7085A"/>
    <w:rsid w:val="00D70A2E"/>
    <w:rsid w:val="00D70B07"/>
    <w:rsid w:val="00D7100B"/>
    <w:rsid w:val="00D7137A"/>
    <w:rsid w:val="00D713BB"/>
    <w:rsid w:val="00D713D5"/>
    <w:rsid w:val="00D71ADC"/>
    <w:rsid w:val="00D72388"/>
    <w:rsid w:val="00D729DE"/>
    <w:rsid w:val="00D72CD6"/>
    <w:rsid w:val="00D7382D"/>
    <w:rsid w:val="00D7416A"/>
    <w:rsid w:val="00D75022"/>
    <w:rsid w:val="00D7575A"/>
    <w:rsid w:val="00D759C4"/>
    <w:rsid w:val="00D76090"/>
    <w:rsid w:val="00D7620E"/>
    <w:rsid w:val="00D76553"/>
    <w:rsid w:val="00D772C0"/>
    <w:rsid w:val="00D7754C"/>
    <w:rsid w:val="00D77636"/>
    <w:rsid w:val="00D77830"/>
    <w:rsid w:val="00D77F0F"/>
    <w:rsid w:val="00D8055F"/>
    <w:rsid w:val="00D80616"/>
    <w:rsid w:val="00D8069E"/>
    <w:rsid w:val="00D818C6"/>
    <w:rsid w:val="00D818F4"/>
    <w:rsid w:val="00D83332"/>
    <w:rsid w:val="00D835BD"/>
    <w:rsid w:val="00D836AD"/>
    <w:rsid w:val="00D8491F"/>
    <w:rsid w:val="00D849CD"/>
    <w:rsid w:val="00D850D6"/>
    <w:rsid w:val="00D85116"/>
    <w:rsid w:val="00D8576B"/>
    <w:rsid w:val="00D8584C"/>
    <w:rsid w:val="00D8590D"/>
    <w:rsid w:val="00D85F55"/>
    <w:rsid w:val="00D86DEA"/>
    <w:rsid w:val="00D8738D"/>
    <w:rsid w:val="00D87A1F"/>
    <w:rsid w:val="00D87BA0"/>
    <w:rsid w:val="00D91030"/>
    <w:rsid w:val="00D91A80"/>
    <w:rsid w:val="00D924DF"/>
    <w:rsid w:val="00D92BBC"/>
    <w:rsid w:val="00D9394A"/>
    <w:rsid w:val="00D93CD0"/>
    <w:rsid w:val="00D93D36"/>
    <w:rsid w:val="00D94237"/>
    <w:rsid w:val="00D944E4"/>
    <w:rsid w:val="00D9497B"/>
    <w:rsid w:val="00D94D16"/>
    <w:rsid w:val="00D9524F"/>
    <w:rsid w:val="00D954DD"/>
    <w:rsid w:val="00D9587B"/>
    <w:rsid w:val="00D96384"/>
    <w:rsid w:val="00D96677"/>
    <w:rsid w:val="00D96864"/>
    <w:rsid w:val="00D975F1"/>
    <w:rsid w:val="00D97673"/>
    <w:rsid w:val="00D97F2B"/>
    <w:rsid w:val="00DA0B41"/>
    <w:rsid w:val="00DA1459"/>
    <w:rsid w:val="00DA2814"/>
    <w:rsid w:val="00DA2B80"/>
    <w:rsid w:val="00DA2DF7"/>
    <w:rsid w:val="00DA2E70"/>
    <w:rsid w:val="00DA3BB6"/>
    <w:rsid w:val="00DA3C26"/>
    <w:rsid w:val="00DA44B7"/>
    <w:rsid w:val="00DA4515"/>
    <w:rsid w:val="00DA47BF"/>
    <w:rsid w:val="00DA49DF"/>
    <w:rsid w:val="00DA5BE4"/>
    <w:rsid w:val="00DA5EA0"/>
    <w:rsid w:val="00DA69B9"/>
    <w:rsid w:val="00DA7BCC"/>
    <w:rsid w:val="00DB10C2"/>
    <w:rsid w:val="00DB1F0B"/>
    <w:rsid w:val="00DB1FAB"/>
    <w:rsid w:val="00DB2A96"/>
    <w:rsid w:val="00DB2A9E"/>
    <w:rsid w:val="00DB2AAC"/>
    <w:rsid w:val="00DB2D77"/>
    <w:rsid w:val="00DB3664"/>
    <w:rsid w:val="00DB3722"/>
    <w:rsid w:val="00DB3AEE"/>
    <w:rsid w:val="00DB401B"/>
    <w:rsid w:val="00DB403A"/>
    <w:rsid w:val="00DB40A5"/>
    <w:rsid w:val="00DB4190"/>
    <w:rsid w:val="00DB43C2"/>
    <w:rsid w:val="00DB4614"/>
    <w:rsid w:val="00DB485C"/>
    <w:rsid w:val="00DB48A0"/>
    <w:rsid w:val="00DB4E2E"/>
    <w:rsid w:val="00DB5415"/>
    <w:rsid w:val="00DB5506"/>
    <w:rsid w:val="00DB6324"/>
    <w:rsid w:val="00DB71C9"/>
    <w:rsid w:val="00DB7B71"/>
    <w:rsid w:val="00DC1215"/>
    <w:rsid w:val="00DC14B7"/>
    <w:rsid w:val="00DC1C20"/>
    <w:rsid w:val="00DC2A5F"/>
    <w:rsid w:val="00DC2FC6"/>
    <w:rsid w:val="00DC35C4"/>
    <w:rsid w:val="00DC3DB1"/>
    <w:rsid w:val="00DC41B2"/>
    <w:rsid w:val="00DC44FB"/>
    <w:rsid w:val="00DC47D2"/>
    <w:rsid w:val="00DC5953"/>
    <w:rsid w:val="00DC6460"/>
    <w:rsid w:val="00DC65B1"/>
    <w:rsid w:val="00DC777B"/>
    <w:rsid w:val="00DC7D4E"/>
    <w:rsid w:val="00DD0619"/>
    <w:rsid w:val="00DD0740"/>
    <w:rsid w:val="00DD0DC7"/>
    <w:rsid w:val="00DD13CB"/>
    <w:rsid w:val="00DD19D2"/>
    <w:rsid w:val="00DD1A6E"/>
    <w:rsid w:val="00DD1AB9"/>
    <w:rsid w:val="00DD1B1C"/>
    <w:rsid w:val="00DD2FF5"/>
    <w:rsid w:val="00DD3657"/>
    <w:rsid w:val="00DD3C1D"/>
    <w:rsid w:val="00DD3F7E"/>
    <w:rsid w:val="00DD40BE"/>
    <w:rsid w:val="00DD4523"/>
    <w:rsid w:val="00DD4539"/>
    <w:rsid w:val="00DD4DC7"/>
    <w:rsid w:val="00DD4EA1"/>
    <w:rsid w:val="00DD62EE"/>
    <w:rsid w:val="00DD632E"/>
    <w:rsid w:val="00DD6943"/>
    <w:rsid w:val="00DD6A06"/>
    <w:rsid w:val="00DD6C94"/>
    <w:rsid w:val="00DE05C0"/>
    <w:rsid w:val="00DE068A"/>
    <w:rsid w:val="00DE1865"/>
    <w:rsid w:val="00DE1B66"/>
    <w:rsid w:val="00DE276F"/>
    <w:rsid w:val="00DE2A1E"/>
    <w:rsid w:val="00DE2CF0"/>
    <w:rsid w:val="00DE315E"/>
    <w:rsid w:val="00DE34CE"/>
    <w:rsid w:val="00DE3670"/>
    <w:rsid w:val="00DE3C22"/>
    <w:rsid w:val="00DE3D53"/>
    <w:rsid w:val="00DE41AF"/>
    <w:rsid w:val="00DE43E0"/>
    <w:rsid w:val="00DE4600"/>
    <w:rsid w:val="00DE4FE9"/>
    <w:rsid w:val="00DE5151"/>
    <w:rsid w:val="00DE5AC4"/>
    <w:rsid w:val="00DE5B42"/>
    <w:rsid w:val="00DE636B"/>
    <w:rsid w:val="00DE6512"/>
    <w:rsid w:val="00DE6563"/>
    <w:rsid w:val="00DE6827"/>
    <w:rsid w:val="00DE6985"/>
    <w:rsid w:val="00DE6F24"/>
    <w:rsid w:val="00DE712D"/>
    <w:rsid w:val="00DE73A2"/>
    <w:rsid w:val="00DE762A"/>
    <w:rsid w:val="00DE7665"/>
    <w:rsid w:val="00DF06D8"/>
    <w:rsid w:val="00DF1490"/>
    <w:rsid w:val="00DF156C"/>
    <w:rsid w:val="00DF16E6"/>
    <w:rsid w:val="00DF1BD1"/>
    <w:rsid w:val="00DF20D5"/>
    <w:rsid w:val="00DF23B2"/>
    <w:rsid w:val="00DF26AA"/>
    <w:rsid w:val="00DF28BF"/>
    <w:rsid w:val="00DF2B82"/>
    <w:rsid w:val="00DF4002"/>
    <w:rsid w:val="00DF4153"/>
    <w:rsid w:val="00DF4D5D"/>
    <w:rsid w:val="00DF5D30"/>
    <w:rsid w:val="00DF62E3"/>
    <w:rsid w:val="00DF68D7"/>
    <w:rsid w:val="00DF6A81"/>
    <w:rsid w:val="00DF6C47"/>
    <w:rsid w:val="00DF6DF7"/>
    <w:rsid w:val="00DF74ED"/>
    <w:rsid w:val="00DF7563"/>
    <w:rsid w:val="00DF7656"/>
    <w:rsid w:val="00DF7F06"/>
    <w:rsid w:val="00E002F6"/>
    <w:rsid w:val="00E00537"/>
    <w:rsid w:val="00E011A6"/>
    <w:rsid w:val="00E01782"/>
    <w:rsid w:val="00E01C0B"/>
    <w:rsid w:val="00E02176"/>
    <w:rsid w:val="00E0244B"/>
    <w:rsid w:val="00E02C7B"/>
    <w:rsid w:val="00E03010"/>
    <w:rsid w:val="00E04060"/>
    <w:rsid w:val="00E04584"/>
    <w:rsid w:val="00E045BF"/>
    <w:rsid w:val="00E05395"/>
    <w:rsid w:val="00E060D1"/>
    <w:rsid w:val="00E06EBD"/>
    <w:rsid w:val="00E06FE3"/>
    <w:rsid w:val="00E0739B"/>
    <w:rsid w:val="00E10028"/>
    <w:rsid w:val="00E100B7"/>
    <w:rsid w:val="00E10787"/>
    <w:rsid w:val="00E10D61"/>
    <w:rsid w:val="00E11972"/>
    <w:rsid w:val="00E11D6D"/>
    <w:rsid w:val="00E124D5"/>
    <w:rsid w:val="00E1267A"/>
    <w:rsid w:val="00E13184"/>
    <w:rsid w:val="00E132EA"/>
    <w:rsid w:val="00E13DE3"/>
    <w:rsid w:val="00E1407C"/>
    <w:rsid w:val="00E1438E"/>
    <w:rsid w:val="00E14701"/>
    <w:rsid w:val="00E14EA0"/>
    <w:rsid w:val="00E14FC2"/>
    <w:rsid w:val="00E152E8"/>
    <w:rsid w:val="00E15DB2"/>
    <w:rsid w:val="00E162BE"/>
    <w:rsid w:val="00E16647"/>
    <w:rsid w:val="00E16747"/>
    <w:rsid w:val="00E1689A"/>
    <w:rsid w:val="00E169FA"/>
    <w:rsid w:val="00E16D5B"/>
    <w:rsid w:val="00E170A6"/>
    <w:rsid w:val="00E170C9"/>
    <w:rsid w:val="00E17771"/>
    <w:rsid w:val="00E17B65"/>
    <w:rsid w:val="00E17D70"/>
    <w:rsid w:val="00E2052B"/>
    <w:rsid w:val="00E2085E"/>
    <w:rsid w:val="00E20C49"/>
    <w:rsid w:val="00E215AB"/>
    <w:rsid w:val="00E21EF4"/>
    <w:rsid w:val="00E21FAC"/>
    <w:rsid w:val="00E226C0"/>
    <w:rsid w:val="00E226FF"/>
    <w:rsid w:val="00E22765"/>
    <w:rsid w:val="00E23EC5"/>
    <w:rsid w:val="00E242B9"/>
    <w:rsid w:val="00E24668"/>
    <w:rsid w:val="00E24881"/>
    <w:rsid w:val="00E248F5"/>
    <w:rsid w:val="00E24BFB"/>
    <w:rsid w:val="00E25DA7"/>
    <w:rsid w:val="00E25FC5"/>
    <w:rsid w:val="00E26277"/>
    <w:rsid w:val="00E2661A"/>
    <w:rsid w:val="00E26624"/>
    <w:rsid w:val="00E267BA"/>
    <w:rsid w:val="00E26BE6"/>
    <w:rsid w:val="00E26D55"/>
    <w:rsid w:val="00E26DDB"/>
    <w:rsid w:val="00E271EA"/>
    <w:rsid w:val="00E27640"/>
    <w:rsid w:val="00E30384"/>
    <w:rsid w:val="00E304AC"/>
    <w:rsid w:val="00E306B6"/>
    <w:rsid w:val="00E30E99"/>
    <w:rsid w:val="00E30F3D"/>
    <w:rsid w:val="00E3195C"/>
    <w:rsid w:val="00E32112"/>
    <w:rsid w:val="00E321D4"/>
    <w:rsid w:val="00E322AA"/>
    <w:rsid w:val="00E32356"/>
    <w:rsid w:val="00E32840"/>
    <w:rsid w:val="00E32E93"/>
    <w:rsid w:val="00E334CE"/>
    <w:rsid w:val="00E33CDD"/>
    <w:rsid w:val="00E34065"/>
    <w:rsid w:val="00E348D0"/>
    <w:rsid w:val="00E34B2B"/>
    <w:rsid w:val="00E34C6F"/>
    <w:rsid w:val="00E351EE"/>
    <w:rsid w:val="00E357E7"/>
    <w:rsid w:val="00E359C0"/>
    <w:rsid w:val="00E35CC7"/>
    <w:rsid w:val="00E36383"/>
    <w:rsid w:val="00E37034"/>
    <w:rsid w:val="00E375C9"/>
    <w:rsid w:val="00E37B67"/>
    <w:rsid w:val="00E37C3D"/>
    <w:rsid w:val="00E37F5A"/>
    <w:rsid w:val="00E40010"/>
    <w:rsid w:val="00E40C5A"/>
    <w:rsid w:val="00E414CD"/>
    <w:rsid w:val="00E41677"/>
    <w:rsid w:val="00E418C3"/>
    <w:rsid w:val="00E41EAA"/>
    <w:rsid w:val="00E41FCC"/>
    <w:rsid w:val="00E42875"/>
    <w:rsid w:val="00E42885"/>
    <w:rsid w:val="00E42B0B"/>
    <w:rsid w:val="00E42B38"/>
    <w:rsid w:val="00E43767"/>
    <w:rsid w:val="00E44642"/>
    <w:rsid w:val="00E44786"/>
    <w:rsid w:val="00E4530C"/>
    <w:rsid w:val="00E4563A"/>
    <w:rsid w:val="00E45673"/>
    <w:rsid w:val="00E459C1"/>
    <w:rsid w:val="00E45C96"/>
    <w:rsid w:val="00E45F37"/>
    <w:rsid w:val="00E45F86"/>
    <w:rsid w:val="00E46413"/>
    <w:rsid w:val="00E4660C"/>
    <w:rsid w:val="00E46761"/>
    <w:rsid w:val="00E4743B"/>
    <w:rsid w:val="00E474E5"/>
    <w:rsid w:val="00E47641"/>
    <w:rsid w:val="00E47745"/>
    <w:rsid w:val="00E47996"/>
    <w:rsid w:val="00E500DB"/>
    <w:rsid w:val="00E506D3"/>
    <w:rsid w:val="00E50FF4"/>
    <w:rsid w:val="00E51AC5"/>
    <w:rsid w:val="00E521FC"/>
    <w:rsid w:val="00E52669"/>
    <w:rsid w:val="00E52C3A"/>
    <w:rsid w:val="00E52E76"/>
    <w:rsid w:val="00E53524"/>
    <w:rsid w:val="00E539F9"/>
    <w:rsid w:val="00E54113"/>
    <w:rsid w:val="00E5417A"/>
    <w:rsid w:val="00E54793"/>
    <w:rsid w:val="00E54E2E"/>
    <w:rsid w:val="00E55F00"/>
    <w:rsid w:val="00E55F1A"/>
    <w:rsid w:val="00E5647C"/>
    <w:rsid w:val="00E568AD"/>
    <w:rsid w:val="00E56FCF"/>
    <w:rsid w:val="00E570B6"/>
    <w:rsid w:val="00E572C4"/>
    <w:rsid w:val="00E573D5"/>
    <w:rsid w:val="00E601D1"/>
    <w:rsid w:val="00E6070D"/>
    <w:rsid w:val="00E61291"/>
    <w:rsid w:val="00E61321"/>
    <w:rsid w:val="00E61944"/>
    <w:rsid w:val="00E61B09"/>
    <w:rsid w:val="00E625A1"/>
    <w:rsid w:val="00E62A2E"/>
    <w:rsid w:val="00E62EDA"/>
    <w:rsid w:val="00E6384B"/>
    <w:rsid w:val="00E64C99"/>
    <w:rsid w:val="00E6570C"/>
    <w:rsid w:val="00E6596E"/>
    <w:rsid w:val="00E666D4"/>
    <w:rsid w:val="00E66A07"/>
    <w:rsid w:val="00E66FDF"/>
    <w:rsid w:val="00E670F4"/>
    <w:rsid w:val="00E67A08"/>
    <w:rsid w:val="00E67DAE"/>
    <w:rsid w:val="00E67F00"/>
    <w:rsid w:val="00E7043E"/>
    <w:rsid w:val="00E70622"/>
    <w:rsid w:val="00E7087B"/>
    <w:rsid w:val="00E70DE5"/>
    <w:rsid w:val="00E70EC8"/>
    <w:rsid w:val="00E713BE"/>
    <w:rsid w:val="00E71B53"/>
    <w:rsid w:val="00E71C87"/>
    <w:rsid w:val="00E72B7B"/>
    <w:rsid w:val="00E72FFA"/>
    <w:rsid w:val="00E743F9"/>
    <w:rsid w:val="00E74740"/>
    <w:rsid w:val="00E74A39"/>
    <w:rsid w:val="00E757C1"/>
    <w:rsid w:val="00E766DB"/>
    <w:rsid w:val="00E76DBC"/>
    <w:rsid w:val="00E773CC"/>
    <w:rsid w:val="00E77489"/>
    <w:rsid w:val="00E77ECF"/>
    <w:rsid w:val="00E806C1"/>
    <w:rsid w:val="00E80D0C"/>
    <w:rsid w:val="00E810A1"/>
    <w:rsid w:val="00E812D2"/>
    <w:rsid w:val="00E812E1"/>
    <w:rsid w:val="00E81967"/>
    <w:rsid w:val="00E81A21"/>
    <w:rsid w:val="00E82DEA"/>
    <w:rsid w:val="00E82DFF"/>
    <w:rsid w:val="00E83B20"/>
    <w:rsid w:val="00E848D7"/>
    <w:rsid w:val="00E84C61"/>
    <w:rsid w:val="00E85AB4"/>
    <w:rsid w:val="00E85C9A"/>
    <w:rsid w:val="00E85CE1"/>
    <w:rsid w:val="00E85D01"/>
    <w:rsid w:val="00E85EF7"/>
    <w:rsid w:val="00E867F8"/>
    <w:rsid w:val="00E86E6F"/>
    <w:rsid w:val="00E872BC"/>
    <w:rsid w:val="00E87568"/>
    <w:rsid w:val="00E877C0"/>
    <w:rsid w:val="00E87FE1"/>
    <w:rsid w:val="00E900E7"/>
    <w:rsid w:val="00E90524"/>
    <w:rsid w:val="00E908B2"/>
    <w:rsid w:val="00E90BF1"/>
    <w:rsid w:val="00E9122E"/>
    <w:rsid w:val="00E91400"/>
    <w:rsid w:val="00E91617"/>
    <w:rsid w:val="00E92439"/>
    <w:rsid w:val="00E924CA"/>
    <w:rsid w:val="00E925B1"/>
    <w:rsid w:val="00E92663"/>
    <w:rsid w:val="00E9375F"/>
    <w:rsid w:val="00E93A48"/>
    <w:rsid w:val="00E93C06"/>
    <w:rsid w:val="00E93C1C"/>
    <w:rsid w:val="00E93DB0"/>
    <w:rsid w:val="00E946EA"/>
    <w:rsid w:val="00E94A6F"/>
    <w:rsid w:val="00E94DEE"/>
    <w:rsid w:val="00E94ED3"/>
    <w:rsid w:val="00E959E3"/>
    <w:rsid w:val="00E95CAD"/>
    <w:rsid w:val="00E9617C"/>
    <w:rsid w:val="00E964B8"/>
    <w:rsid w:val="00E966C8"/>
    <w:rsid w:val="00E97217"/>
    <w:rsid w:val="00E97388"/>
    <w:rsid w:val="00E9765B"/>
    <w:rsid w:val="00E976C4"/>
    <w:rsid w:val="00E97F34"/>
    <w:rsid w:val="00EA02E5"/>
    <w:rsid w:val="00EA1184"/>
    <w:rsid w:val="00EA13A9"/>
    <w:rsid w:val="00EA14CF"/>
    <w:rsid w:val="00EA246C"/>
    <w:rsid w:val="00EA25C4"/>
    <w:rsid w:val="00EA260E"/>
    <w:rsid w:val="00EA2FB8"/>
    <w:rsid w:val="00EA3C0D"/>
    <w:rsid w:val="00EA4101"/>
    <w:rsid w:val="00EA47AF"/>
    <w:rsid w:val="00EA5214"/>
    <w:rsid w:val="00EA5288"/>
    <w:rsid w:val="00EA59D9"/>
    <w:rsid w:val="00EA5BE2"/>
    <w:rsid w:val="00EA62A8"/>
    <w:rsid w:val="00EA6990"/>
    <w:rsid w:val="00EA6E7C"/>
    <w:rsid w:val="00EA6EAB"/>
    <w:rsid w:val="00EA707E"/>
    <w:rsid w:val="00EA7483"/>
    <w:rsid w:val="00EB0696"/>
    <w:rsid w:val="00EB0CF6"/>
    <w:rsid w:val="00EB1408"/>
    <w:rsid w:val="00EB1707"/>
    <w:rsid w:val="00EB1921"/>
    <w:rsid w:val="00EB297D"/>
    <w:rsid w:val="00EB2CC5"/>
    <w:rsid w:val="00EB3903"/>
    <w:rsid w:val="00EB3F95"/>
    <w:rsid w:val="00EB41A1"/>
    <w:rsid w:val="00EB45E4"/>
    <w:rsid w:val="00EB4D89"/>
    <w:rsid w:val="00EB50D9"/>
    <w:rsid w:val="00EB521C"/>
    <w:rsid w:val="00EB54AF"/>
    <w:rsid w:val="00EB65B8"/>
    <w:rsid w:val="00EB69D3"/>
    <w:rsid w:val="00EC07EB"/>
    <w:rsid w:val="00EC0B6D"/>
    <w:rsid w:val="00EC0CC3"/>
    <w:rsid w:val="00EC204B"/>
    <w:rsid w:val="00EC20F9"/>
    <w:rsid w:val="00EC28C2"/>
    <w:rsid w:val="00EC2BF5"/>
    <w:rsid w:val="00EC3278"/>
    <w:rsid w:val="00EC3314"/>
    <w:rsid w:val="00EC378D"/>
    <w:rsid w:val="00EC3EF0"/>
    <w:rsid w:val="00EC5822"/>
    <w:rsid w:val="00EC5ABB"/>
    <w:rsid w:val="00EC5EDE"/>
    <w:rsid w:val="00EC6126"/>
    <w:rsid w:val="00EC6852"/>
    <w:rsid w:val="00EC6ED2"/>
    <w:rsid w:val="00EC7579"/>
    <w:rsid w:val="00EC79FE"/>
    <w:rsid w:val="00EC7BF7"/>
    <w:rsid w:val="00EC7D35"/>
    <w:rsid w:val="00ED025E"/>
    <w:rsid w:val="00ED14D8"/>
    <w:rsid w:val="00ED185D"/>
    <w:rsid w:val="00ED2D70"/>
    <w:rsid w:val="00ED2F61"/>
    <w:rsid w:val="00ED3084"/>
    <w:rsid w:val="00ED37E2"/>
    <w:rsid w:val="00ED3D0C"/>
    <w:rsid w:val="00ED3E2A"/>
    <w:rsid w:val="00ED4784"/>
    <w:rsid w:val="00ED4EF0"/>
    <w:rsid w:val="00ED5F6E"/>
    <w:rsid w:val="00ED74A2"/>
    <w:rsid w:val="00EE0D7C"/>
    <w:rsid w:val="00EE12B0"/>
    <w:rsid w:val="00EE13ED"/>
    <w:rsid w:val="00EE1EA0"/>
    <w:rsid w:val="00EE1EF1"/>
    <w:rsid w:val="00EE247F"/>
    <w:rsid w:val="00EE262E"/>
    <w:rsid w:val="00EE27F2"/>
    <w:rsid w:val="00EE2D96"/>
    <w:rsid w:val="00EE2E8D"/>
    <w:rsid w:val="00EE42ED"/>
    <w:rsid w:val="00EE48CA"/>
    <w:rsid w:val="00EE49CC"/>
    <w:rsid w:val="00EE4EEB"/>
    <w:rsid w:val="00EE52FE"/>
    <w:rsid w:val="00EE6E0F"/>
    <w:rsid w:val="00EE6FE9"/>
    <w:rsid w:val="00EE71B5"/>
    <w:rsid w:val="00EE76B9"/>
    <w:rsid w:val="00EE78DB"/>
    <w:rsid w:val="00EE7B3C"/>
    <w:rsid w:val="00EF035A"/>
    <w:rsid w:val="00EF03FF"/>
    <w:rsid w:val="00EF0FE9"/>
    <w:rsid w:val="00EF104D"/>
    <w:rsid w:val="00EF1D75"/>
    <w:rsid w:val="00EF2281"/>
    <w:rsid w:val="00EF2709"/>
    <w:rsid w:val="00EF306E"/>
    <w:rsid w:val="00EF3314"/>
    <w:rsid w:val="00EF3CB2"/>
    <w:rsid w:val="00EF3D3B"/>
    <w:rsid w:val="00EF482E"/>
    <w:rsid w:val="00EF524F"/>
    <w:rsid w:val="00EF583E"/>
    <w:rsid w:val="00EF695C"/>
    <w:rsid w:val="00EF6EE8"/>
    <w:rsid w:val="00EF70A7"/>
    <w:rsid w:val="00EF77A8"/>
    <w:rsid w:val="00EF799F"/>
    <w:rsid w:val="00EF7A3E"/>
    <w:rsid w:val="00F0004D"/>
    <w:rsid w:val="00F004E7"/>
    <w:rsid w:val="00F019B3"/>
    <w:rsid w:val="00F01AFC"/>
    <w:rsid w:val="00F023DA"/>
    <w:rsid w:val="00F02460"/>
    <w:rsid w:val="00F03107"/>
    <w:rsid w:val="00F0428A"/>
    <w:rsid w:val="00F05984"/>
    <w:rsid w:val="00F0627F"/>
    <w:rsid w:val="00F06423"/>
    <w:rsid w:val="00F06725"/>
    <w:rsid w:val="00F07179"/>
    <w:rsid w:val="00F07280"/>
    <w:rsid w:val="00F072A5"/>
    <w:rsid w:val="00F074DD"/>
    <w:rsid w:val="00F07D1E"/>
    <w:rsid w:val="00F07D23"/>
    <w:rsid w:val="00F1018F"/>
    <w:rsid w:val="00F1022E"/>
    <w:rsid w:val="00F10256"/>
    <w:rsid w:val="00F104CF"/>
    <w:rsid w:val="00F108FD"/>
    <w:rsid w:val="00F10D5F"/>
    <w:rsid w:val="00F10EE2"/>
    <w:rsid w:val="00F11386"/>
    <w:rsid w:val="00F11BBD"/>
    <w:rsid w:val="00F12491"/>
    <w:rsid w:val="00F131A9"/>
    <w:rsid w:val="00F13C6A"/>
    <w:rsid w:val="00F14045"/>
    <w:rsid w:val="00F14061"/>
    <w:rsid w:val="00F16507"/>
    <w:rsid w:val="00F16CFF"/>
    <w:rsid w:val="00F1786D"/>
    <w:rsid w:val="00F17899"/>
    <w:rsid w:val="00F17BEC"/>
    <w:rsid w:val="00F2036E"/>
    <w:rsid w:val="00F20AC1"/>
    <w:rsid w:val="00F2127B"/>
    <w:rsid w:val="00F213EC"/>
    <w:rsid w:val="00F2162A"/>
    <w:rsid w:val="00F216BA"/>
    <w:rsid w:val="00F2186C"/>
    <w:rsid w:val="00F219A3"/>
    <w:rsid w:val="00F22037"/>
    <w:rsid w:val="00F22322"/>
    <w:rsid w:val="00F22460"/>
    <w:rsid w:val="00F22A72"/>
    <w:rsid w:val="00F23127"/>
    <w:rsid w:val="00F23B2C"/>
    <w:rsid w:val="00F23BA8"/>
    <w:rsid w:val="00F245E4"/>
    <w:rsid w:val="00F245F4"/>
    <w:rsid w:val="00F24CF0"/>
    <w:rsid w:val="00F25172"/>
    <w:rsid w:val="00F25529"/>
    <w:rsid w:val="00F25596"/>
    <w:rsid w:val="00F259B5"/>
    <w:rsid w:val="00F26051"/>
    <w:rsid w:val="00F2620A"/>
    <w:rsid w:val="00F2622B"/>
    <w:rsid w:val="00F26B8C"/>
    <w:rsid w:val="00F26EC6"/>
    <w:rsid w:val="00F271F3"/>
    <w:rsid w:val="00F27693"/>
    <w:rsid w:val="00F27789"/>
    <w:rsid w:val="00F27E04"/>
    <w:rsid w:val="00F3002A"/>
    <w:rsid w:val="00F30521"/>
    <w:rsid w:val="00F30B7F"/>
    <w:rsid w:val="00F30DAE"/>
    <w:rsid w:val="00F31238"/>
    <w:rsid w:val="00F31891"/>
    <w:rsid w:val="00F318A1"/>
    <w:rsid w:val="00F32843"/>
    <w:rsid w:val="00F332D8"/>
    <w:rsid w:val="00F33481"/>
    <w:rsid w:val="00F33D45"/>
    <w:rsid w:val="00F33E50"/>
    <w:rsid w:val="00F35710"/>
    <w:rsid w:val="00F3670F"/>
    <w:rsid w:val="00F36A8D"/>
    <w:rsid w:val="00F3718C"/>
    <w:rsid w:val="00F378B2"/>
    <w:rsid w:val="00F40BA1"/>
    <w:rsid w:val="00F40C09"/>
    <w:rsid w:val="00F4103E"/>
    <w:rsid w:val="00F4180E"/>
    <w:rsid w:val="00F41988"/>
    <w:rsid w:val="00F4198A"/>
    <w:rsid w:val="00F41FF8"/>
    <w:rsid w:val="00F435F0"/>
    <w:rsid w:val="00F43E9D"/>
    <w:rsid w:val="00F44013"/>
    <w:rsid w:val="00F4405A"/>
    <w:rsid w:val="00F443B1"/>
    <w:rsid w:val="00F44726"/>
    <w:rsid w:val="00F449DB"/>
    <w:rsid w:val="00F44BCC"/>
    <w:rsid w:val="00F44D3A"/>
    <w:rsid w:val="00F44FAA"/>
    <w:rsid w:val="00F457DB"/>
    <w:rsid w:val="00F468D3"/>
    <w:rsid w:val="00F46EA8"/>
    <w:rsid w:val="00F47716"/>
    <w:rsid w:val="00F4785E"/>
    <w:rsid w:val="00F47930"/>
    <w:rsid w:val="00F47AD3"/>
    <w:rsid w:val="00F47C91"/>
    <w:rsid w:val="00F50673"/>
    <w:rsid w:val="00F50715"/>
    <w:rsid w:val="00F5145D"/>
    <w:rsid w:val="00F514B7"/>
    <w:rsid w:val="00F51856"/>
    <w:rsid w:val="00F531DF"/>
    <w:rsid w:val="00F5329A"/>
    <w:rsid w:val="00F53694"/>
    <w:rsid w:val="00F548E5"/>
    <w:rsid w:val="00F54CDE"/>
    <w:rsid w:val="00F54D99"/>
    <w:rsid w:val="00F55E4D"/>
    <w:rsid w:val="00F56AFA"/>
    <w:rsid w:val="00F56B00"/>
    <w:rsid w:val="00F57287"/>
    <w:rsid w:val="00F57399"/>
    <w:rsid w:val="00F57A80"/>
    <w:rsid w:val="00F57AC3"/>
    <w:rsid w:val="00F60F32"/>
    <w:rsid w:val="00F61359"/>
    <w:rsid w:val="00F61793"/>
    <w:rsid w:val="00F6220A"/>
    <w:rsid w:val="00F62405"/>
    <w:rsid w:val="00F624EF"/>
    <w:rsid w:val="00F62890"/>
    <w:rsid w:val="00F62D52"/>
    <w:rsid w:val="00F62EFD"/>
    <w:rsid w:val="00F63772"/>
    <w:rsid w:val="00F639CD"/>
    <w:rsid w:val="00F63F24"/>
    <w:rsid w:val="00F64387"/>
    <w:rsid w:val="00F6502A"/>
    <w:rsid w:val="00F6525C"/>
    <w:rsid w:val="00F65822"/>
    <w:rsid w:val="00F6618B"/>
    <w:rsid w:val="00F6652D"/>
    <w:rsid w:val="00F66A3F"/>
    <w:rsid w:val="00F66BDB"/>
    <w:rsid w:val="00F66CE7"/>
    <w:rsid w:val="00F66F7A"/>
    <w:rsid w:val="00F67D35"/>
    <w:rsid w:val="00F7107E"/>
    <w:rsid w:val="00F71B00"/>
    <w:rsid w:val="00F71E44"/>
    <w:rsid w:val="00F71E4D"/>
    <w:rsid w:val="00F71F21"/>
    <w:rsid w:val="00F722C3"/>
    <w:rsid w:val="00F7248D"/>
    <w:rsid w:val="00F72A3C"/>
    <w:rsid w:val="00F732B7"/>
    <w:rsid w:val="00F733D6"/>
    <w:rsid w:val="00F73FEE"/>
    <w:rsid w:val="00F74159"/>
    <w:rsid w:val="00F74EB9"/>
    <w:rsid w:val="00F758C8"/>
    <w:rsid w:val="00F759CF"/>
    <w:rsid w:val="00F75B9D"/>
    <w:rsid w:val="00F766F1"/>
    <w:rsid w:val="00F768D9"/>
    <w:rsid w:val="00F774C5"/>
    <w:rsid w:val="00F8053B"/>
    <w:rsid w:val="00F80A88"/>
    <w:rsid w:val="00F8114A"/>
    <w:rsid w:val="00F811DB"/>
    <w:rsid w:val="00F817E1"/>
    <w:rsid w:val="00F81D82"/>
    <w:rsid w:val="00F8296D"/>
    <w:rsid w:val="00F8474A"/>
    <w:rsid w:val="00F85587"/>
    <w:rsid w:val="00F856B3"/>
    <w:rsid w:val="00F859BC"/>
    <w:rsid w:val="00F860BC"/>
    <w:rsid w:val="00F86548"/>
    <w:rsid w:val="00F86A2C"/>
    <w:rsid w:val="00F86DBF"/>
    <w:rsid w:val="00F8735B"/>
    <w:rsid w:val="00F90244"/>
    <w:rsid w:val="00F90BC9"/>
    <w:rsid w:val="00F90F05"/>
    <w:rsid w:val="00F91ACA"/>
    <w:rsid w:val="00F92054"/>
    <w:rsid w:val="00F9242B"/>
    <w:rsid w:val="00F9283F"/>
    <w:rsid w:val="00F92962"/>
    <w:rsid w:val="00F92AC9"/>
    <w:rsid w:val="00F930C4"/>
    <w:rsid w:val="00F93751"/>
    <w:rsid w:val="00F937CF"/>
    <w:rsid w:val="00F93B56"/>
    <w:rsid w:val="00F93EBC"/>
    <w:rsid w:val="00F94138"/>
    <w:rsid w:val="00F941FF"/>
    <w:rsid w:val="00F942FB"/>
    <w:rsid w:val="00F94D5A"/>
    <w:rsid w:val="00F94DA2"/>
    <w:rsid w:val="00F95070"/>
    <w:rsid w:val="00F9626A"/>
    <w:rsid w:val="00F97170"/>
    <w:rsid w:val="00F972A9"/>
    <w:rsid w:val="00FA0A37"/>
    <w:rsid w:val="00FA0A81"/>
    <w:rsid w:val="00FA0CAD"/>
    <w:rsid w:val="00FA0E8F"/>
    <w:rsid w:val="00FA102C"/>
    <w:rsid w:val="00FA11BE"/>
    <w:rsid w:val="00FA16E0"/>
    <w:rsid w:val="00FA22C6"/>
    <w:rsid w:val="00FA2432"/>
    <w:rsid w:val="00FA2714"/>
    <w:rsid w:val="00FA2D23"/>
    <w:rsid w:val="00FA319C"/>
    <w:rsid w:val="00FA338C"/>
    <w:rsid w:val="00FA339E"/>
    <w:rsid w:val="00FA3441"/>
    <w:rsid w:val="00FA3B1A"/>
    <w:rsid w:val="00FA461A"/>
    <w:rsid w:val="00FA5C27"/>
    <w:rsid w:val="00FA5C32"/>
    <w:rsid w:val="00FA5E2C"/>
    <w:rsid w:val="00FA7A32"/>
    <w:rsid w:val="00FA7AC2"/>
    <w:rsid w:val="00FB0C6C"/>
    <w:rsid w:val="00FB0E69"/>
    <w:rsid w:val="00FB0EF7"/>
    <w:rsid w:val="00FB0F5A"/>
    <w:rsid w:val="00FB1405"/>
    <w:rsid w:val="00FB168C"/>
    <w:rsid w:val="00FB26AF"/>
    <w:rsid w:val="00FB2AB0"/>
    <w:rsid w:val="00FB2C22"/>
    <w:rsid w:val="00FB3A7D"/>
    <w:rsid w:val="00FB3D97"/>
    <w:rsid w:val="00FB5602"/>
    <w:rsid w:val="00FB560C"/>
    <w:rsid w:val="00FB5654"/>
    <w:rsid w:val="00FB5736"/>
    <w:rsid w:val="00FB6F45"/>
    <w:rsid w:val="00FB7AF3"/>
    <w:rsid w:val="00FC05CF"/>
    <w:rsid w:val="00FC0750"/>
    <w:rsid w:val="00FC0C8E"/>
    <w:rsid w:val="00FC13DE"/>
    <w:rsid w:val="00FC1483"/>
    <w:rsid w:val="00FC16FF"/>
    <w:rsid w:val="00FC1892"/>
    <w:rsid w:val="00FC28C7"/>
    <w:rsid w:val="00FC2A16"/>
    <w:rsid w:val="00FC2B03"/>
    <w:rsid w:val="00FC3466"/>
    <w:rsid w:val="00FC3706"/>
    <w:rsid w:val="00FC3B92"/>
    <w:rsid w:val="00FC49A9"/>
    <w:rsid w:val="00FC49BC"/>
    <w:rsid w:val="00FC537D"/>
    <w:rsid w:val="00FC53B0"/>
    <w:rsid w:val="00FC5581"/>
    <w:rsid w:val="00FC59B6"/>
    <w:rsid w:val="00FC5AB3"/>
    <w:rsid w:val="00FC5F70"/>
    <w:rsid w:val="00FC6B22"/>
    <w:rsid w:val="00FC6B75"/>
    <w:rsid w:val="00FC6E03"/>
    <w:rsid w:val="00FC6E6B"/>
    <w:rsid w:val="00FC73FA"/>
    <w:rsid w:val="00FC79FA"/>
    <w:rsid w:val="00FC7F72"/>
    <w:rsid w:val="00FD0227"/>
    <w:rsid w:val="00FD0282"/>
    <w:rsid w:val="00FD08C4"/>
    <w:rsid w:val="00FD0B9F"/>
    <w:rsid w:val="00FD0DAF"/>
    <w:rsid w:val="00FD0E17"/>
    <w:rsid w:val="00FD13E7"/>
    <w:rsid w:val="00FD153D"/>
    <w:rsid w:val="00FD184B"/>
    <w:rsid w:val="00FD1D20"/>
    <w:rsid w:val="00FD1DD9"/>
    <w:rsid w:val="00FD2527"/>
    <w:rsid w:val="00FD33AA"/>
    <w:rsid w:val="00FD35BB"/>
    <w:rsid w:val="00FD39E1"/>
    <w:rsid w:val="00FD3B75"/>
    <w:rsid w:val="00FD3E79"/>
    <w:rsid w:val="00FD45AC"/>
    <w:rsid w:val="00FD4715"/>
    <w:rsid w:val="00FD51CD"/>
    <w:rsid w:val="00FD5463"/>
    <w:rsid w:val="00FD5CF3"/>
    <w:rsid w:val="00FD64E9"/>
    <w:rsid w:val="00FD664C"/>
    <w:rsid w:val="00FD6BE8"/>
    <w:rsid w:val="00FD6CC2"/>
    <w:rsid w:val="00FD6EAC"/>
    <w:rsid w:val="00FD718E"/>
    <w:rsid w:val="00FD7267"/>
    <w:rsid w:val="00FD72B2"/>
    <w:rsid w:val="00FD7310"/>
    <w:rsid w:val="00FD73C5"/>
    <w:rsid w:val="00FD75A0"/>
    <w:rsid w:val="00FD75EA"/>
    <w:rsid w:val="00FE0037"/>
    <w:rsid w:val="00FE042E"/>
    <w:rsid w:val="00FE0754"/>
    <w:rsid w:val="00FE0D2F"/>
    <w:rsid w:val="00FE11AC"/>
    <w:rsid w:val="00FE12FC"/>
    <w:rsid w:val="00FE2561"/>
    <w:rsid w:val="00FE2868"/>
    <w:rsid w:val="00FE2A03"/>
    <w:rsid w:val="00FE2CFE"/>
    <w:rsid w:val="00FE39AA"/>
    <w:rsid w:val="00FE3DAB"/>
    <w:rsid w:val="00FE3E81"/>
    <w:rsid w:val="00FE3F7C"/>
    <w:rsid w:val="00FE42D4"/>
    <w:rsid w:val="00FE4404"/>
    <w:rsid w:val="00FE445D"/>
    <w:rsid w:val="00FE4511"/>
    <w:rsid w:val="00FE5357"/>
    <w:rsid w:val="00FE6515"/>
    <w:rsid w:val="00FE67A7"/>
    <w:rsid w:val="00FE6E2A"/>
    <w:rsid w:val="00FE6E2B"/>
    <w:rsid w:val="00FE7DB4"/>
    <w:rsid w:val="00FE7E25"/>
    <w:rsid w:val="00FF0A8F"/>
    <w:rsid w:val="00FF0E8E"/>
    <w:rsid w:val="00FF15A3"/>
    <w:rsid w:val="00FF1EF8"/>
    <w:rsid w:val="00FF2480"/>
    <w:rsid w:val="00FF27F2"/>
    <w:rsid w:val="00FF3089"/>
    <w:rsid w:val="00FF3F21"/>
    <w:rsid w:val="00FF42D7"/>
    <w:rsid w:val="00FF4599"/>
    <w:rsid w:val="00FF48A4"/>
    <w:rsid w:val="00FF501D"/>
    <w:rsid w:val="00FF52EC"/>
    <w:rsid w:val="00FF55BC"/>
    <w:rsid w:val="00FF5A23"/>
    <w:rsid w:val="00FF5CBD"/>
    <w:rsid w:val="00FF5E17"/>
    <w:rsid w:val="00FF5EC3"/>
    <w:rsid w:val="00FF65BD"/>
    <w:rsid w:val="00FF69FD"/>
    <w:rsid w:val="00FF6B06"/>
    <w:rsid w:val="00FF73D0"/>
    <w:rsid w:val="00FF77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D32F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41BD"/>
    <w:pPr>
      <w:keepNext/>
      <w:keepLines/>
      <w:spacing w:before="480"/>
      <w:jc w:val="center"/>
      <w:outlineLvl w:val="0"/>
    </w:pPr>
    <w:rPr>
      <w:rFonts w:eastAsiaTheme="majorEastAsia" w:cstheme="majorBidi"/>
      <w:b/>
      <w:bCs/>
      <w:szCs w:val="32"/>
    </w:rPr>
  </w:style>
  <w:style w:type="paragraph" w:styleId="Heading2">
    <w:name w:val="heading 2"/>
    <w:basedOn w:val="Normal"/>
    <w:next w:val="Normal"/>
    <w:link w:val="Heading2Char"/>
    <w:uiPriority w:val="9"/>
    <w:unhideWhenUsed/>
    <w:qFormat/>
    <w:rsid w:val="007541BD"/>
    <w:pPr>
      <w:keepNext/>
      <w:keepLines/>
      <w:spacing w:before="20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6A749C"/>
    <w:pPr>
      <w:keepNext/>
      <w:keepLines/>
      <w:spacing w:before="200" w:line="360" w:lineRule="auto"/>
      <w:outlineLvl w:val="2"/>
    </w:pPr>
    <w:rPr>
      <w:rFonts w:eastAsiaTheme="majorEastAsia" w:cstheme="majorBidi"/>
      <w:bCs/>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6B6"/>
    <w:pPr>
      <w:ind w:left="720"/>
      <w:contextualSpacing/>
    </w:pPr>
  </w:style>
  <w:style w:type="paragraph" w:styleId="FootnoteText">
    <w:name w:val="footnote text"/>
    <w:basedOn w:val="Normal"/>
    <w:link w:val="FootnoteTextChar"/>
    <w:uiPriority w:val="99"/>
    <w:unhideWhenUsed/>
    <w:rsid w:val="00F92962"/>
  </w:style>
  <w:style w:type="character" w:customStyle="1" w:styleId="FootnoteTextChar">
    <w:name w:val="Footnote Text Char"/>
    <w:basedOn w:val="DefaultParagraphFont"/>
    <w:link w:val="FootnoteText"/>
    <w:uiPriority w:val="99"/>
    <w:rsid w:val="00F92962"/>
  </w:style>
  <w:style w:type="character" w:styleId="FootnoteReference">
    <w:name w:val="footnote reference"/>
    <w:basedOn w:val="DefaultParagraphFont"/>
    <w:uiPriority w:val="99"/>
    <w:unhideWhenUsed/>
    <w:rsid w:val="00F92962"/>
    <w:rPr>
      <w:vertAlign w:val="superscript"/>
    </w:rPr>
  </w:style>
  <w:style w:type="paragraph" w:styleId="NoSpacing">
    <w:name w:val="No Spacing"/>
    <w:uiPriority w:val="1"/>
    <w:qFormat/>
    <w:rsid w:val="00060441"/>
    <w:rPr>
      <w:rFonts w:ascii="Calibri" w:eastAsia="Calibri" w:hAnsi="Calibri"/>
      <w:sz w:val="22"/>
      <w:szCs w:val="22"/>
    </w:rPr>
  </w:style>
  <w:style w:type="paragraph" w:styleId="Header">
    <w:name w:val="header"/>
    <w:basedOn w:val="Normal"/>
    <w:link w:val="HeaderChar"/>
    <w:uiPriority w:val="99"/>
    <w:unhideWhenUsed/>
    <w:rsid w:val="001D45D6"/>
    <w:pPr>
      <w:tabs>
        <w:tab w:val="center" w:pos="4320"/>
        <w:tab w:val="right" w:pos="8640"/>
      </w:tabs>
    </w:pPr>
  </w:style>
  <w:style w:type="character" w:customStyle="1" w:styleId="HeaderChar">
    <w:name w:val="Header Char"/>
    <w:basedOn w:val="DefaultParagraphFont"/>
    <w:link w:val="Header"/>
    <w:uiPriority w:val="99"/>
    <w:rsid w:val="001D45D6"/>
  </w:style>
  <w:style w:type="paragraph" w:styleId="Footer">
    <w:name w:val="footer"/>
    <w:basedOn w:val="Normal"/>
    <w:link w:val="FooterChar"/>
    <w:uiPriority w:val="99"/>
    <w:unhideWhenUsed/>
    <w:rsid w:val="001D45D6"/>
    <w:pPr>
      <w:tabs>
        <w:tab w:val="center" w:pos="4320"/>
        <w:tab w:val="right" w:pos="8640"/>
      </w:tabs>
    </w:pPr>
  </w:style>
  <w:style w:type="character" w:customStyle="1" w:styleId="FooterChar">
    <w:name w:val="Footer Char"/>
    <w:basedOn w:val="DefaultParagraphFont"/>
    <w:link w:val="Footer"/>
    <w:uiPriority w:val="99"/>
    <w:rsid w:val="001D45D6"/>
  </w:style>
  <w:style w:type="paragraph" w:styleId="BalloonText">
    <w:name w:val="Balloon Text"/>
    <w:basedOn w:val="Normal"/>
    <w:link w:val="BalloonTextChar"/>
    <w:uiPriority w:val="99"/>
    <w:semiHidden/>
    <w:unhideWhenUsed/>
    <w:rsid w:val="00E0406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4060"/>
    <w:rPr>
      <w:rFonts w:ascii="Lucida Grande" w:hAnsi="Lucida Grande" w:cs="Lucida Grande"/>
      <w:sz w:val="18"/>
      <w:szCs w:val="18"/>
    </w:rPr>
  </w:style>
  <w:style w:type="character" w:styleId="Hyperlink">
    <w:name w:val="Hyperlink"/>
    <w:basedOn w:val="DefaultParagraphFont"/>
    <w:uiPriority w:val="99"/>
    <w:unhideWhenUsed/>
    <w:rsid w:val="00FF1EF8"/>
    <w:rPr>
      <w:color w:val="0000FF" w:themeColor="hyperlink"/>
      <w:u w:val="single"/>
    </w:rPr>
  </w:style>
  <w:style w:type="character" w:styleId="CommentReference">
    <w:name w:val="annotation reference"/>
    <w:basedOn w:val="DefaultParagraphFont"/>
    <w:uiPriority w:val="99"/>
    <w:semiHidden/>
    <w:unhideWhenUsed/>
    <w:rsid w:val="00261BF2"/>
    <w:rPr>
      <w:sz w:val="18"/>
      <w:szCs w:val="18"/>
    </w:rPr>
  </w:style>
  <w:style w:type="paragraph" w:styleId="CommentText">
    <w:name w:val="annotation text"/>
    <w:basedOn w:val="Normal"/>
    <w:link w:val="CommentTextChar"/>
    <w:uiPriority w:val="99"/>
    <w:unhideWhenUsed/>
    <w:rsid w:val="00261BF2"/>
  </w:style>
  <w:style w:type="character" w:customStyle="1" w:styleId="CommentTextChar">
    <w:name w:val="Comment Text Char"/>
    <w:basedOn w:val="DefaultParagraphFont"/>
    <w:link w:val="CommentText"/>
    <w:uiPriority w:val="99"/>
    <w:rsid w:val="00261BF2"/>
  </w:style>
  <w:style w:type="paragraph" w:customStyle="1" w:styleId="Default">
    <w:name w:val="Default"/>
    <w:rsid w:val="00261BF2"/>
    <w:pPr>
      <w:widowControl w:val="0"/>
      <w:autoSpaceDE w:val="0"/>
      <w:autoSpaceDN w:val="0"/>
      <w:adjustRightInd w:val="0"/>
    </w:pPr>
    <w:rPr>
      <w:rFonts w:eastAsiaTheme="minorHAnsi"/>
      <w:color w:val="000000"/>
    </w:rPr>
  </w:style>
  <w:style w:type="character" w:styleId="FollowedHyperlink">
    <w:name w:val="FollowedHyperlink"/>
    <w:basedOn w:val="DefaultParagraphFont"/>
    <w:uiPriority w:val="99"/>
    <w:semiHidden/>
    <w:unhideWhenUsed/>
    <w:rsid w:val="002F3347"/>
    <w:rPr>
      <w:color w:val="800080" w:themeColor="followedHyperlink"/>
      <w:u w:val="single"/>
    </w:rPr>
  </w:style>
  <w:style w:type="character" w:styleId="PageNumber">
    <w:name w:val="page number"/>
    <w:basedOn w:val="DefaultParagraphFont"/>
    <w:uiPriority w:val="99"/>
    <w:semiHidden/>
    <w:unhideWhenUsed/>
    <w:rsid w:val="00735A8F"/>
  </w:style>
  <w:style w:type="paragraph" w:customStyle="1" w:styleId="EndNoteBibliographyTitle">
    <w:name w:val="EndNote Bibliography Title"/>
    <w:basedOn w:val="Normal"/>
    <w:rsid w:val="00104AD7"/>
    <w:pPr>
      <w:jc w:val="center"/>
    </w:pPr>
  </w:style>
  <w:style w:type="paragraph" w:customStyle="1" w:styleId="EndNoteBibliography">
    <w:name w:val="EndNote Bibliography"/>
    <w:basedOn w:val="Normal"/>
    <w:rsid w:val="00104AD7"/>
    <w:pPr>
      <w:jc w:val="both"/>
    </w:pPr>
  </w:style>
  <w:style w:type="paragraph" w:styleId="CommentSubject">
    <w:name w:val="annotation subject"/>
    <w:basedOn w:val="CommentText"/>
    <w:next w:val="CommentText"/>
    <w:link w:val="CommentSubjectChar"/>
    <w:uiPriority w:val="99"/>
    <w:semiHidden/>
    <w:unhideWhenUsed/>
    <w:rsid w:val="003242F9"/>
    <w:rPr>
      <w:b/>
      <w:bCs/>
      <w:sz w:val="20"/>
      <w:szCs w:val="20"/>
    </w:rPr>
  </w:style>
  <w:style w:type="character" w:customStyle="1" w:styleId="CommentSubjectChar">
    <w:name w:val="Comment Subject Char"/>
    <w:basedOn w:val="CommentTextChar"/>
    <w:link w:val="CommentSubject"/>
    <w:uiPriority w:val="99"/>
    <w:semiHidden/>
    <w:rsid w:val="003242F9"/>
    <w:rPr>
      <w:b/>
      <w:bCs/>
      <w:sz w:val="20"/>
      <w:szCs w:val="20"/>
    </w:rPr>
  </w:style>
  <w:style w:type="character" w:styleId="Emphasis">
    <w:name w:val="Emphasis"/>
    <w:uiPriority w:val="20"/>
    <w:qFormat/>
    <w:rsid w:val="003D7EB7"/>
    <w:rPr>
      <w:i/>
      <w:iCs/>
    </w:rPr>
  </w:style>
  <w:style w:type="character" w:styleId="Strong">
    <w:name w:val="Strong"/>
    <w:uiPriority w:val="22"/>
    <w:qFormat/>
    <w:rsid w:val="003D7EB7"/>
    <w:rPr>
      <w:b/>
      <w:bCs/>
    </w:rPr>
  </w:style>
  <w:style w:type="character" w:customStyle="1" w:styleId="Heading1Char">
    <w:name w:val="Heading 1 Char"/>
    <w:basedOn w:val="DefaultParagraphFont"/>
    <w:link w:val="Heading1"/>
    <w:uiPriority w:val="9"/>
    <w:rsid w:val="007541BD"/>
    <w:rPr>
      <w:rFonts w:eastAsiaTheme="majorEastAsia" w:cstheme="majorBidi"/>
      <w:b/>
      <w:bCs/>
      <w:szCs w:val="32"/>
    </w:rPr>
  </w:style>
  <w:style w:type="paragraph" w:styleId="TOCHeading">
    <w:name w:val="TOC Heading"/>
    <w:basedOn w:val="Heading1"/>
    <w:next w:val="Normal"/>
    <w:uiPriority w:val="39"/>
    <w:unhideWhenUsed/>
    <w:qFormat/>
    <w:rsid w:val="00EA260E"/>
    <w:pPr>
      <w:spacing w:line="276" w:lineRule="auto"/>
      <w:outlineLvl w:val="9"/>
    </w:pPr>
    <w:rPr>
      <w:sz w:val="28"/>
      <w:szCs w:val="28"/>
    </w:rPr>
  </w:style>
  <w:style w:type="paragraph" w:styleId="TOC1">
    <w:name w:val="toc 1"/>
    <w:basedOn w:val="Normal"/>
    <w:next w:val="Normal"/>
    <w:autoRedefine/>
    <w:uiPriority w:val="39"/>
    <w:unhideWhenUsed/>
    <w:rsid w:val="00FA11BE"/>
    <w:pPr>
      <w:spacing w:before="120" w:line="360" w:lineRule="auto"/>
    </w:pPr>
  </w:style>
  <w:style w:type="paragraph" w:styleId="TOC2">
    <w:name w:val="toc 2"/>
    <w:basedOn w:val="Normal"/>
    <w:next w:val="Normal"/>
    <w:autoRedefine/>
    <w:uiPriority w:val="39"/>
    <w:unhideWhenUsed/>
    <w:rsid w:val="00FA11BE"/>
    <w:pPr>
      <w:spacing w:line="360" w:lineRule="auto"/>
      <w:ind w:left="240"/>
    </w:pPr>
    <w:rPr>
      <w:sz w:val="22"/>
      <w:szCs w:val="22"/>
    </w:rPr>
  </w:style>
  <w:style w:type="paragraph" w:styleId="TOC3">
    <w:name w:val="toc 3"/>
    <w:basedOn w:val="Normal"/>
    <w:next w:val="Normal"/>
    <w:autoRedefine/>
    <w:uiPriority w:val="39"/>
    <w:unhideWhenUsed/>
    <w:rsid w:val="00FA11BE"/>
    <w:pPr>
      <w:spacing w:line="360" w:lineRule="auto"/>
      <w:ind w:left="480"/>
    </w:pPr>
    <w:rPr>
      <w:sz w:val="22"/>
      <w:szCs w:val="22"/>
    </w:rPr>
  </w:style>
  <w:style w:type="paragraph" w:styleId="TOC4">
    <w:name w:val="toc 4"/>
    <w:basedOn w:val="Normal"/>
    <w:next w:val="Normal"/>
    <w:autoRedefine/>
    <w:uiPriority w:val="39"/>
    <w:unhideWhenUsed/>
    <w:rsid w:val="007541BD"/>
    <w:pPr>
      <w:ind w:left="720"/>
    </w:pPr>
    <w:rPr>
      <w:rFonts w:asciiTheme="minorHAnsi" w:hAnsiTheme="minorHAnsi"/>
      <w:sz w:val="20"/>
      <w:szCs w:val="20"/>
    </w:rPr>
  </w:style>
  <w:style w:type="paragraph" w:styleId="TOC5">
    <w:name w:val="toc 5"/>
    <w:basedOn w:val="Normal"/>
    <w:next w:val="Normal"/>
    <w:autoRedefine/>
    <w:uiPriority w:val="39"/>
    <w:unhideWhenUsed/>
    <w:rsid w:val="007541BD"/>
    <w:pPr>
      <w:ind w:left="960"/>
    </w:pPr>
    <w:rPr>
      <w:rFonts w:asciiTheme="minorHAnsi" w:hAnsiTheme="minorHAnsi"/>
      <w:sz w:val="20"/>
      <w:szCs w:val="20"/>
    </w:rPr>
  </w:style>
  <w:style w:type="paragraph" w:styleId="TOC6">
    <w:name w:val="toc 6"/>
    <w:basedOn w:val="Normal"/>
    <w:next w:val="Normal"/>
    <w:autoRedefine/>
    <w:uiPriority w:val="39"/>
    <w:unhideWhenUsed/>
    <w:rsid w:val="007541BD"/>
    <w:pPr>
      <w:ind w:left="1200"/>
    </w:pPr>
    <w:rPr>
      <w:rFonts w:asciiTheme="minorHAnsi" w:hAnsiTheme="minorHAnsi"/>
      <w:sz w:val="20"/>
      <w:szCs w:val="20"/>
    </w:rPr>
  </w:style>
  <w:style w:type="paragraph" w:styleId="TOC7">
    <w:name w:val="toc 7"/>
    <w:basedOn w:val="Normal"/>
    <w:next w:val="Normal"/>
    <w:autoRedefine/>
    <w:uiPriority w:val="39"/>
    <w:unhideWhenUsed/>
    <w:rsid w:val="007541BD"/>
    <w:pPr>
      <w:ind w:left="1440"/>
    </w:pPr>
    <w:rPr>
      <w:rFonts w:asciiTheme="minorHAnsi" w:hAnsiTheme="minorHAnsi"/>
      <w:sz w:val="20"/>
      <w:szCs w:val="20"/>
    </w:rPr>
  </w:style>
  <w:style w:type="paragraph" w:styleId="TOC8">
    <w:name w:val="toc 8"/>
    <w:basedOn w:val="Normal"/>
    <w:next w:val="Normal"/>
    <w:autoRedefine/>
    <w:uiPriority w:val="39"/>
    <w:unhideWhenUsed/>
    <w:rsid w:val="007541BD"/>
    <w:pPr>
      <w:ind w:left="1680"/>
    </w:pPr>
    <w:rPr>
      <w:rFonts w:asciiTheme="minorHAnsi" w:hAnsiTheme="minorHAnsi"/>
      <w:sz w:val="20"/>
      <w:szCs w:val="20"/>
    </w:rPr>
  </w:style>
  <w:style w:type="paragraph" w:styleId="TOC9">
    <w:name w:val="toc 9"/>
    <w:basedOn w:val="Normal"/>
    <w:next w:val="Normal"/>
    <w:autoRedefine/>
    <w:uiPriority w:val="39"/>
    <w:unhideWhenUsed/>
    <w:rsid w:val="00EA260E"/>
    <w:pPr>
      <w:ind w:left="1920"/>
    </w:pPr>
    <w:rPr>
      <w:sz w:val="20"/>
      <w:szCs w:val="20"/>
    </w:rPr>
  </w:style>
  <w:style w:type="character" w:customStyle="1" w:styleId="Heading2Char">
    <w:name w:val="Heading 2 Char"/>
    <w:basedOn w:val="DefaultParagraphFont"/>
    <w:link w:val="Heading2"/>
    <w:uiPriority w:val="9"/>
    <w:rsid w:val="007541BD"/>
    <w:rPr>
      <w:rFonts w:eastAsiaTheme="majorEastAsia" w:cstheme="majorBidi"/>
      <w:b/>
      <w:bCs/>
      <w:szCs w:val="26"/>
    </w:rPr>
  </w:style>
  <w:style w:type="character" w:customStyle="1" w:styleId="Heading3Char">
    <w:name w:val="Heading 3 Char"/>
    <w:basedOn w:val="DefaultParagraphFont"/>
    <w:link w:val="Heading3"/>
    <w:uiPriority w:val="9"/>
    <w:rsid w:val="006A749C"/>
    <w:rPr>
      <w:rFonts w:eastAsiaTheme="majorEastAsia" w:cstheme="majorBidi"/>
      <w:bCs/>
      <w:i/>
    </w:rPr>
  </w:style>
  <w:style w:type="paragraph" w:styleId="TableofFigures">
    <w:name w:val="table of figures"/>
    <w:basedOn w:val="Normal"/>
    <w:next w:val="Normal"/>
    <w:uiPriority w:val="99"/>
    <w:unhideWhenUsed/>
    <w:rsid w:val="00EA260E"/>
    <w:pPr>
      <w:ind w:left="480" w:hanging="480"/>
    </w:pPr>
  </w:style>
  <w:style w:type="paragraph" w:customStyle="1" w:styleId="Table">
    <w:name w:val="Table"/>
    <w:basedOn w:val="Normal"/>
    <w:qFormat/>
    <w:rsid w:val="00EA260E"/>
    <w:pPr>
      <w:widowControl w:val="0"/>
      <w:jc w:val="center"/>
    </w:pPr>
    <w:rPr>
      <w: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541BD"/>
    <w:pPr>
      <w:keepNext/>
      <w:keepLines/>
      <w:spacing w:before="480"/>
      <w:jc w:val="center"/>
      <w:outlineLvl w:val="0"/>
    </w:pPr>
    <w:rPr>
      <w:rFonts w:eastAsiaTheme="majorEastAsia" w:cstheme="majorBidi"/>
      <w:b/>
      <w:bCs/>
      <w:szCs w:val="32"/>
    </w:rPr>
  </w:style>
  <w:style w:type="paragraph" w:styleId="Heading2">
    <w:name w:val="heading 2"/>
    <w:basedOn w:val="Normal"/>
    <w:next w:val="Normal"/>
    <w:link w:val="Heading2Char"/>
    <w:uiPriority w:val="9"/>
    <w:unhideWhenUsed/>
    <w:qFormat/>
    <w:rsid w:val="007541BD"/>
    <w:pPr>
      <w:keepNext/>
      <w:keepLines/>
      <w:spacing w:before="20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6A749C"/>
    <w:pPr>
      <w:keepNext/>
      <w:keepLines/>
      <w:spacing w:before="200" w:line="360" w:lineRule="auto"/>
      <w:outlineLvl w:val="2"/>
    </w:pPr>
    <w:rPr>
      <w:rFonts w:eastAsiaTheme="majorEastAsia" w:cstheme="majorBidi"/>
      <w:bCs/>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6B6"/>
    <w:pPr>
      <w:ind w:left="720"/>
      <w:contextualSpacing/>
    </w:pPr>
  </w:style>
  <w:style w:type="paragraph" w:styleId="FootnoteText">
    <w:name w:val="footnote text"/>
    <w:basedOn w:val="Normal"/>
    <w:link w:val="FootnoteTextChar"/>
    <w:uiPriority w:val="99"/>
    <w:unhideWhenUsed/>
    <w:rsid w:val="00F92962"/>
  </w:style>
  <w:style w:type="character" w:customStyle="1" w:styleId="FootnoteTextChar">
    <w:name w:val="Footnote Text Char"/>
    <w:basedOn w:val="DefaultParagraphFont"/>
    <w:link w:val="FootnoteText"/>
    <w:uiPriority w:val="99"/>
    <w:rsid w:val="00F92962"/>
  </w:style>
  <w:style w:type="character" w:styleId="FootnoteReference">
    <w:name w:val="footnote reference"/>
    <w:basedOn w:val="DefaultParagraphFont"/>
    <w:uiPriority w:val="99"/>
    <w:unhideWhenUsed/>
    <w:rsid w:val="00F92962"/>
    <w:rPr>
      <w:vertAlign w:val="superscript"/>
    </w:rPr>
  </w:style>
  <w:style w:type="paragraph" w:styleId="NoSpacing">
    <w:name w:val="No Spacing"/>
    <w:uiPriority w:val="1"/>
    <w:qFormat/>
    <w:rsid w:val="00060441"/>
    <w:rPr>
      <w:rFonts w:ascii="Calibri" w:eastAsia="Calibri" w:hAnsi="Calibri"/>
      <w:sz w:val="22"/>
      <w:szCs w:val="22"/>
    </w:rPr>
  </w:style>
  <w:style w:type="paragraph" w:styleId="Header">
    <w:name w:val="header"/>
    <w:basedOn w:val="Normal"/>
    <w:link w:val="HeaderChar"/>
    <w:uiPriority w:val="99"/>
    <w:unhideWhenUsed/>
    <w:rsid w:val="001D45D6"/>
    <w:pPr>
      <w:tabs>
        <w:tab w:val="center" w:pos="4320"/>
        <w:tab w:val="right" w:pos="8640"/>
      </w:tabs>
    </w:pPr>
  </w:style>
  <w:style w:type="character" w:customStyle="1" w:styleId="HeaderChar">
    <w:name w:val="Header Char"/>
    <w:basedOn w:val="DefaultParagraphFont"/>
    <w:link w:val="Header"/>
    <w:uiPriority w:val="99"/>
    <w:rsid w:val="001D45D6"/>
  </w:style>
  <w:style w:type="paragraph" w:styleId="Footer">
    <w:name w:val="footer"/>
    <w:basedOn w:val="Normal"/>
    <w:link w:val="FooterChar"/>
    <w:uiPriority w:val="99"/>
    <w:unhideWhenUsed/>
    <w:rsid w:val="001D45D6"/>
    <w:pPr>
      <w:tabs>
        <w:tab w:val="center" w:pos="4320"/>
        <w:tab w:val="right" w:pos="8640"/>
      </w:tabs>
    </w:pPr>
  </w:style>
  <w:style w:type="character" w:customStyle="1" w:styleId="FooterChar">
    <w:name w:val="Footer Char"/>
    <w:basedOn w:val="DefaultParagraphFont"/>
    <w:link w:val="Footer"/>
    <w:uiPriority w:val="99"/>
    <w:rsid w:val="001D45D6"/>
  </w:style>
  <w:style w:type="paragraph" w:styleId="BalloonText">
    <w:name w:val="Balloon Text"/>
    <w:basedOn w:val="Normal"/>
    <w:link w:val="BalloonTextChar"/>
    <w:uiPriority w:val="99"/>
    <w:semiHidden/>
    <w:unhideWhenUsed/>
    <w:rsid w:val="00E0406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4060"/>
    <w:rPr>
      <w:rFonts w:ascii="Lucida Grande" w:hAnsi="Lucida Grande" w:cs="Lucida Grande"/>
      <w:sz w:val="18"/>
      <w:szCs w:val="18"/>
    </w:rPr>
  </w:style>
  <w:style w:type="character" w:styleId="Hyperlink">
    <w:name w:val="Hyperlink"/>
    <w:basedOn w:val="DefaultParagraphFont"/>
    <w:uiPriority w:val="99"/>
    <w:unhideWhenUsed/>
    <w:rsid w:val="00FF1EF8"/>
    <w:rPr>
      <w:color w:val="0000FF" w:themeColor="hyperlink"/>
      <w:u w:val="single"/>
    </w:rPr>
  </w:style>
  <w:style w:type="character" w:styleId="CommentReference">
    <w:name w:val="annotation reference"/>
    <w:basedOn w:val="DefaultParagraphFont"/>
    <w:uiPriority w:val="99"/>
    <w:semiHidden/>
    <w:unhideWhenUsed/>
    <w:rsid w:val="00261BF2"/>
    <w:rPr>
      <w:sz w:val="18"/>
      <w:szCs w:val="18"/>
    </w:rPr>
  </w:style>
  <w:style w:type="paragraph" w:styleId="CommentText">
    <w:name w:val="annotation text"/>
    <w:basedOn w:val="Normal"/>
    <w:link w:val="CommentTextChar"/>
    <w:uiPriority w:val="99"/>
    <w:unhideWhenUsed/>
    <w:rsid w:val="00261BF2"/>
  </w:style>
  <w:style w:type="character" w:customStyle="1" w:styleId="CommentTextChar">
    <w:name w:val="Comment Text Char"/>
    <w:basedOn w:val="DefaultParagraphFont"/>
    <w:link w:val="CommentText"/>
    <w:uiPriority w:val="99"/>
    <w:rsid w:val="00261BF2"/>
  </w:style>
  <w:style w:type="paragraph" w:customStyle="1" w:styleId="Default">
    <w:name w:val="Default"/>
    <w:rsid w:val="00261BF2"/>
    <w:pPr>
      <w:widowControl w:val="0"/>
      <w:autoSpaceDE w:val="0"/>
      <w:autoSpaceDN w:val="0"/>
      <w:adjustRightInd w:val="0"/>
    </w:pPr>
    <w:rPr>
      <w:rFonts w:eastAsiaTheme="minorHAnsi"/>
      <w:color w:val="000000"/>
    </w:rPr>
  </w:style>
  <w:style w:type="character" w:styleId="FollowedHyperlink">
    <w:name w:val="FollowedHyperlink"/>
    <w:basedOn w:val="DefaultParagraphFont"/>
    <w:uiPriority w:val="99"/>
    <w:semiHidden/>
    <w:unhideWhenUsed/>
    <w:rsid w:val="002F3347"/>
    <w:rPr>
      <w:color w:val="800080" w:themeColor="followedHyperlink"/>
      <w:u w:val="single"/>
    </w:rPr>
  </w:style>
  <w:style w:type="character" w:styleId="PageNumber">
    <w:name w:val="page number"/>
    <w:basedOn w:val="DefaultParagraphFont"/>
    <w:uiPriority w:val="99"/>
    <w:semiHidden/>
    <w:unhideWhenUsed/>
    <w:rsid w:val="00735A8F"/>
  </w:style>
  <w:style w:type="paragraph" w:customStyle="1" w:styleId="EndNoteBibliographyTitle">
    <w:name w:val="EndNote Bibliography Title"/>
    <w:basedOn w:val="Normal"/>
    <w:rsid w:val="00104AD7"/>
    <w:pPr>
      <w:jc w:val="center"/>
    </w:pPr>
  </w:style>
  <w:style w:type="paragraph" w:customStyle="1" w:styleId="EndNoteBibliography">
    <w:name w:val="EndNote Bibliography"/>
    <w:basedOn w:val="Normal"/>
    <w:rsid w:val="00104AD7"/>
    <w:pPr>
      <w:jc w:val="both"/>
    </w:pPr>
  </w:style>
  <w:style w:type="paragraph" w:styleId="CommentSubject">
    <w:name w:val="annotation subject"/>
    <w:basedOn w:val="CommentText"/>
    <w:next w:val="CommentText"/>
    <w:link w:val="CommentSubjectChar"/>
    <w:uiPriority w:val="99"/>
    <w:semiHidden/>
    <w:unhideWhenUsed/>
    <w:rsid w:val="003242F9"/>
    <w:rPr>
      <w:b/>
      <w:bCs/>
      <w:sz w:val="20"/>
      <w:szCs w:val="20"/>
    </w:rPr>
  </w:style>
  <w:style w:type="character" w:customStyle="1" w:styleId="CommentSubjectChar">
    <w:name w:val="Comment Subject Char"/>
    <w:basedOn w:val="CommentTextChar"/>
    <w:link w:val="CommentSubject"/>
    <w:uiPriority w:val="99"/>
    <w:semiHidden/>
    <w:rsid w:val="003242F9"/>
    <w:rPr>
      <w:b/>
      <w:bCs/>
      <w:sz w:val="20"/>
      <w:szCs w:val="20"/>
    </w:rPr>
  </w:style>
  <w:style w:type="character" w:styleId="Emphasis">
    <w:name w:val="Emphasis"/>
    <w:uiPriority w:val="20"/>
    <w:qFormat/>
    <w:rsid w:val="003D7EB7"/>
    <w:rPr>
      <w:i/>
      <w:iCs/>
    </w:rPr>
  </w:style>
  <w:style w:type="character" w:styleId="Strong">
    <w:name w:val="Strong"/>
    <w:uiPriority w:val="22"/>
    <w:qFormat/>
    <w:rsid w:val="003D7EB7"/>
    <w:rPr>
      <w:b/>
      <w:bCs/>
    </w:rPr>
  </w:style>
  <w:style w:type="character" w:customStyle="1" w:styleId="Heading1Char">
    <w:name w:val="Heading 1 Char"/>
    <w:basedOn w:val="DefaultParagraphFont"/>
    <w:link w:val="Heading1"/>
    <w:uiPriority w:val="9"/>
    <w:rsid w:val="007541BD"/>
    <w:rPr>
      <w:rFonts w:eastAsiaTheme="majorEastAsia" w:cstheme="majorBidi"/>
      <w:b/>
      <w:bCs/>
      <w:szCs w:val="32"/>
    </w:rPr>
  </w:style>
  <w:style w:type="paragraph" w:styleId="TOCHeading">
    <w:name w:val="TOC Heading"/>
    <w:basedOn w:val="Heading1"/>
    <w:next w:val="Normal"/>
    <w:uiPriority w:val="39"/>
    <w:unhideWhenUsed/>
    <w:qFormat/>
    <w:rsid w:val="00EA260E"/>
    <w:pPr>
      <w:spacing w:line="276" w:lineRule="auto"/>
      <w:outlineLvl w:val="9"/>
    </w:pPr>
    <w:rPr>
      <w:sz w:val="28"/>
      <w:szCs w:val="28"/>
    </w:rPr>
  </w:style>
  <w:style w:type="paragraph" w:styleId="TOC1">
    <w:name w:val="toc 1"/>
    <w:basedOn w:val="Normal"/>
    <w:next w:val="Normal"/>
    <w:autoRedefine/>
    <w:uiPriority w:val="39"/>
    <w:unhideWhenUsed/>
    <w:rsid w:val="00FA11BE"/>
    <w:pPr>
      <w:spacing w:before="120" w:line="360" w:lineRule="auto"/>
    </w:pPr>
  </w:style>
  <w:style w:type="paragraph" w:styleId="TOC2">
    <w:name w:val="toc 2"/>
    <w:basedOn w:val="Normal"/>
    <w:next w:val="Normal"/>
    <w:autoRedefine/>
    <w:uiPriority w:val="39"/>
    <w:unhideWhenUsed/>
    <w:rsid w:val="00FA11BE"/>
    <w:pPr>
      <w:spacing w:line="360" w:lineRule="auto"/>
      <w:ind w:left="240"/>
    </w:pPr>
    <w:rPr>
      <w:sz w:val="22"/>
      <w:szCs w:val="22"/>
    </w:rPr>
  </w:style>
  <w:style w:type="paragraph" w:styleId="TOC3">
    <w:name w:val="toc 3"/>
    <w:basedOn w:val="Normal"/>
    <w:next w:val="Normal"/>
    <w:autoRedefine/>
    <w:uiPriority w:val="39"/>
    <w:unhideWhenUsed/>
    <w:rsid w:val="00FA11BE"/>
    <w:pPr>
      <w:spacing w:line="360" w:lineRule="auto"/>
      <w:ind w:left="480"/>
    </w:pPr>
    <w:rPr>
      <w:sz w:val="22"/>
      <w:szCs w:val="22"/>
    </w:rPr>
  </w:style>
  <w:style w:type="paragraph" w:styleId="TOC4">
    <w:name w:val="toc 4"/>
    <w:basedOn w:val="Normal"/>
    <w:next w:val="Normal"/>
    <w:autoRedefine/>
    <w:uiPriority w:val="39"/>
    <w:unhideWhenUsed/>
    <w:rsid w:val="007541BD"/>
    <w:pPr>
      <w:ind w:left="720"/>
    </w:pPr>
    <w:rPr>
      <w:rFonts w:asciiTheme="minorHAnsi" w:hAnsiTheme="minorHAnsi"/>
      <w:sz w:val="20"/>
      <w:szCs w:val="20"/>
    </w:rPr>
  </w:style>
  <w:style w:type="paragraph" w:styleId="TOC5">
    <w:name w:val="toc 5"/>
    <w:basedOn w:val="Normal"/>
    <w:next w:val="Normal"/>
    <w:autoRedefine/>
    <w:uiPriority w:val="39"/>
    <w:unhideWhenUsed/>
    <w:rsid w:val="007541BD"/>
    <w:pPr>
      <w:ind w:left="960"/>
    </w:pPr>
    <w:rPr>
      <w:rFonts w:asciiTheme="minorHAnsi" w:hAnsiTheme="minorHAnsi"/>
      <w:sz w:val="20"/>
      <w:szCs w:val="20"/>
    </w:rPr>
  </w:style>
  <w:style w:type="paragraph" w:styleId="TOC6">
    <w:name w:val="toc 6"/>
    <w:basedOn w:val="Normal"/>
    <w:next w:val="Normal"/>
    <w:autoRedefine/>
    <w:uiPriority w:val="39"/>
    <w:unhideWhenUsed/>
    <w:rsid w:val="007541BD"/>
    <w:pPr>
      <w:ind w:left="1200"/>
    </w:pPr>
    <w:rPr>
      <w:rFonts w:asciiTheme="minorHAnsi" w:hAnsiTheme="minorHAnsi"/>
      <w:sz w:val="20"/>
      <w:szCs w:val="20"/>
    </w:rPr>
  </w:style>
  <w:style w:type="paragraph" w:styleId="TOC7">
    <w:name w:val="toc 7"/>
    <w:basedOn w:val="Normal"/>
    <w:next w:val="Normal"/>
    <w:autoRedefine/>
    <w:uiPriority w:val="39"/>
    <w:unhideWhenUsed/>
    <w:rsid w:val="007541BD"/>
    <w:pPr>
      <w:ind w:left="1440"/>
    </w:pPr>
    <w:rPr>
      <w:rFonts w:asciiTheme="minorHAnsi" w:hAnsiTheme="minorHAnsi"/>
      <w:sz w:val="20"/>
      <w:szCs w:val="20"/>
    </w:rPr>
  </w:style>
  <w:style w:type="paragraph" w:styleId="TOC8">
    <w:name w:val="toc 8"/>
    <w:basedOn w:val="Normal"/>
    <w:next w:val="Normal"/>
    <w:autoRedefine/>
    <w:uiPriority w:val="39"/>
    <w:unhideWhenUsed/>
    <w:rsid w:val="007541BD"/>
    <w:pPr>
      <w:ind w:left="1680"/>
    </w:pPr>
    <w:rPr>
      <w:rFonts w:asciiTheme="minorHAnsi" w:hAnsiTheme="minorHAnsi"/>
      <w:sz w:val="20"/>
      <w:szCs w:val="20"/>
    </w:rPr>
  </w:style>
  <w:style w:type="paragraph" w:styleId="TOC9">
    <w:name w:val="toc 9"/>
    <w:basedOn w:val="Normal"/>
    <w:next w:val="Normal"/>
    <w:autoRedefine/>
    <w:uiPriority w:val="39"/>
    <w:unhideWhenUsed/>
    <w:rsid w:val="00EA260E"/>
    <w:pPr>
      <w:ind w:left="1920"/>
    </w:pPr>
    <w:rPr>
      <w:sz w:val="20"/>
      <w:szCs w:val="20"/>
    </w:rPr>
  </w:style>
  <w:style w:type="character" w:customStyle="1" w:styleId="Heading2Char">
    <w:name w:val="Heading 2 Char"/>
    <w:basedOn w:val="DefaultParagraphFont"/>
    <w:link w:val="Heading2"/>
    <w:uiPriority w:val="9"/>
    <w:rsid w:val="007541BD"/>
    <w:rPr>
      <w:rFonts w:eastAsiaTheme="majorEastAsia" w:cstheme="majorBidi"/>
      <w:b/>
      <w:bCs/>
      <w:szCs w:val="26"/>
    </w:rPr>
  </w:style>
  <w:style w:type="character" w:customStyle="1" w:styleId="Heading3Char">
    <w:name w:val="Heading 3 Char"/>
    <w:basedOn w:val="DefaultParagraphFont"/>
    <w:link w:val="Heading3"/>
    <w:uiPriority w:val="9"/>
    <w:rsid w:val="006A749C"/>
    <w:rPr>
      <w:rFonts w:eastAsiaTheme="majorEastAsia" w:cstheme="majorBidi"/>
      <w:bCs/>
      <w:i/>
    </w:rPr>
  </w:style>
  <w:style w:type="paragraph" w:styleId="TableofFigures">
    <w:name w:val="table of figures"/>
    <w:basedOn w:val="Normal"/>
    <w:next w:val="Normal"/>
    <w:uiPriority w:val="99"/>
    <w:unhideWhenUsed/>
    <w:rsid w:val="00EA260E"/>
    <w:pPr>
      <w:ind w:left="480" w:hanging="480"/>
    </w:pPr>
  </w:style>
  <w:style w:type="paragraph" w:customStyle="1" w:styleId="Table">
    <w:name w:val="Table"/>
    <w:basedOn w:val="Normal"/>
    <w:qFormat/>
    <w:rsid w:val="00EA260E"/>
    <w:pPr>
      <w:widowControl w:val="0"/>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599">
      <w:bodyDiv w:val="1"/>
      <w:marLeft w:val="0"/>
      <w:marRight w:val="0"/>
      <w:marTop w:val="0"/>
      <w:marBottom w:val="0"/>
      <w:divBdr>
        <w:top w:val="none" w:sz="0" w:space="0" w:color="auto"/>
        <w:left w:val="none" w:sz="0" w:space="0" w:color="auto"/>
        <w:bottom w:val="none" w:sz="0" w:space="0" w:color="auto"/>
        <w:right w:val="none" w:sz="0" w:space="0" w:color="auto"/>
      </w:divBdr>
      <w:divsChild>
        <w:div w:id="787549496">
          <w:marLeft w:val="0"/>
          <w:marRight w:val="0"/>
          <w:marTop w:val="0"/>
          <w:marBottom w:val="0"/>
          <w:divBdr>
            <w:top w:val="none" w:sz="0" w:space="0" w:color="auto"/>
            <w:left w:val="none" w:sz="0" w:space="0" w:color="auto"/>
            <w:bottom w:val="none" w:sz="0" w:space="0" w:color="auto"/>
            <w:right w:val="none" w:sz="0" w:space="0" w:color="auto"/>
          </w:divBdr>
        </w:div>
        <w:div w:id="984773365">
          <w:marLeft w:val="0"/>
          <w:marRight w:val="0"/>
          <w:marTop w:val="0"/>
          <w:marBottom w:val="0"/>
          <w:divBdr>
            <w:top w:val="none" w:sz="0" w:space="0" w:color="auto"/>
            <w:left w:val="none" w:sz="0" w:space="0" w:color="auto"/>
            <w:bottom w:val="none" w:sz="0" w:space="0" w:color="auto"/>
            <w:right w:val="none" w:sz="0" w:space="0" w:color="auto"/>
          </w:divBdr>
        </w:div>
        <w:div w:id="1001733340">
          <w:marLeft w:val="0"/>
          <w:marRight w:val="0"/>
          <w:marTop w:val="0"/>
          <w:marBottom w:val="0"/>
          <w:divBdr>
            <w:top w:val="none" w:sz="0" w:space="0" w:color="auto"/>
            <w:left w:val="none" w:sz="0" w:space="0" w:color="auto"/>
            <w:bottom w:val="none" w:sz="0" w:space="0" w:color="auto"/>
            <w:right w:val="none" w:sz="0" w:space="0" w:color="auto"/>
          </w:divBdr>
        </w:div>
        <w:div w:id="1750426741">
          <w:marLeft w:val="0"/>
          <w:marRight w:val="0"/>
          <w:marTop w:val="0"/>
          <w:marBottom w:val="0"/>
          <w:divBdr>
            <w:top w:val="none" w:sz="0" w:space="0" w:color="auto"/>
            <w:left w:val="none" w:sz="0" w:space="0" w:color="auto"/>
            <w:bottom w:val="none" w:sz="0" w:space="0" w:color="auto"/>
            <w:right w:val="none" w:sz="0" w:space="0" w:color="auto"/>
          </w:divBdr>
        </w:div>
        <w:div w:id="289409122">
          <w:marLeft w:val="0"/>
          <w:marRight w:val="0"/>
          <w:marTop w:val="0"/>
          <w:marBottom w:val="0"/>
          <w:divBdr>
            <w:top w:val="none" w:sz="0" w:space="0" w:color="auto"/>
            <w:left w:val="none" w:sz="0" w:space="0" w:color="auto"/>
            <w:bottom w:val="none" w:sz="0" w:space="0" w:color="auto"/>
            <w:right w:val="none" w:sz="0" w:space="0" w:color="auto"/>
          </w:divBdr>
        </w:div>
        <w:div w:id="555314823">
          <w:marLeft w:val="0"/>
          <w:marRight w:val="0"/>
          <w:marTop w:val="0"/>
          <w:marBottom w:val="0"/>
          <w:divBdr>
            <w:top w:val="none" w:sz="0" w:space="0" w:color="auto"/>
            <w:left w:val="none" w:sz="0" w:space="0" w:color="auto"/>
            <w:bottom w:val="none" w:sz="0" w:space="0" w:color="auto"/>
            <w:right w:val="none" w:sz="0" w:space="0" w:color="auto"/>
          </w:divBdr>
        </w:div>
        <w:div w:id="1474984615">
          <w:marLeft w:val="0"/>
          <w:marRight w:val="0"/>
          <w:marTop w:val="0"/>
          <w:marBottom w:val="0"/>
          <w:divBdr>
            <w:top w:val="none" w:sz="0" w:space="0" w:color="auto"/>
            <w:left w:val="none" w:sz="0" w:space="0" w:color="auto"/>
            <w:bottom w:val="none" w:sz="0" w:space="0" w:color="auto"/>
            <w:right w:val="none" w:sz="0" w:space="0" w:color="auto"/>
          </w:divBdr>
        </w:div>
        <w:div w:id="2137554840">
          <w:marLeft w:val="0"/>
          <w:marRight w:val="0"/>
          <w:marTop w:val="0"/>
          <w:marBottom w:val="0"/>
          <w:divBdr>
            <w:top w:val="none" w:sz="0" w:space="0" w:color="auto"/>
            <w:left w:val="none" w:sz="0" w:space="0" w:color="auto"/>
            <w:bottom w:val="none" w:sz="0" w:space="0" w:color="auto"/>
            <w:right w:val="none" w:sz="0" w:space="0" w:color="auto"/>
          </w:divBdr>
        </w:div>
        <w:div w:id="147330012">
          <w:marLeft w:val="0"/>
          <w:marRight w:val="0"/>
          <w:marTop w:val="0"/>
          <w:marBottom w:val="0"/>
          <w:divBdr>
            <w:top w:val="none" w:sz="0" w:space="0" w:color="auto"/>
            <w:left w:val="none" w:sz="0" w:space="0" w:color="auto"/>
            <w:bottom w:val="none" w:sz="0" w:space="0" w:color="auto"/>
            <w:right w:val="none" w:sz="0" w:space="0" w:color="auto"/>
          </w:divBdr>
        </w:div>
        <w:div w:id="1954094015">
          <w:marLeft w:val="0"/>
          <w:marRight w:val="0"/>
          <w:marTop w:val="0"/>
          <w:marBottom w:val="0"/>
          <w:divBdr>
            <w:top w:val="none" w:sz="0" w:space="0" w:color="auto"/>
            <w:left w:val="none" w:sz="0" w:space="0" w:color="auto"/>
            <w:bottom w:val="none" w:sz="0" w:space="0" w:color="auto"/>
            <w:right w:val="none" w:sz="0" w:space="0" w:color="auto"/>
          </w:divBdr>
        </w:div>
        <w:div w:id="1853105282">
          <w:marLeft w:val="0"/>
          <w:marRight w:val="0"/>
          <w:marTop w:val="0"/>
          <w:marBottom w:val="0"/>
          <w:divBdr>
            <w:top w:val="none" w:sz="0" w:space="0" w:color="auto"/>
            <w:left w:val="none" w:sz="0" w:space="0" w:color="auto"/>
            <w:bottom w:val="none" w:sz="0" w:space="0" w:color="auto"/>
            <w:right w:val="none" w:sz="0" w:space="0" w:color="auto"/>
          </w:divBdr>
        </w:div>
        <w:div w:id="271517745">
          <w:marLeft w:val="0"/>
          <w:marRight w:val="0"/>
          <w:marTop w:val="0"/>
          <w:marBottom w:val="0"/>
          <w:divBdr>
            <w:top w:val="none" w:sz="0" w:space="0" w:color="auto"/>
            <w:left w:val="none" w:sz="0" w:space="0" w:color="auto"/>
            <w:bottom w:val="none" w:sz="0" w:space="0" w:color="auto"/>
            <w:right w:val="none" w:sz="0" w:space="0" w:color="auto"/>
          </w:divBdr>
        </w:div>
        <w:div w:id="1491213126">
          <w:marLeft w:val="0"/>
          <w:marRight w:val="0"/>
          <w:marTop w:val="0"/>
          <w:marBottom w:val="0"/>
          <w:divBdr>
            <w:top w:val="none" w:sz="0" w:space="0" w:color="auto"/>
            <w:left w:val="none" w:sz="0" w:space="0" w:color="auto"/>
            <w:bottom w:val="none" w:sz="0" w:space="0" w:color="auto"/>
            <w:right w:val="none" w:sz="0" w:space="0" w:color="auto"/>
          </w:divBdr>
        </w:div>
        <w:div w:id="1652056764">
          <w:marLeft w:val="0"/>
          <w:marRight w:val="0"/>
          <w:marTop w:val="0"/>
          <w:marBottom w:val="0"/>
          <w:divBdr>
            <w:top w:val="none" w:sz="0" w:space="0" w:color="auto"/>
            <w:left w:val="none" w:sz="0" w:space="0" w:color="auto"/>
            <w:bottom w:val="none" w:sz="0" w:space="0" w:color="auto"/>
            <w:right w:val="none" w:sz="0" w:space="0" w:color="auto"/>
          </w:divBdr>
        </w:div>
        <w:div w:id="1511719947">
          <w:marLeft w:val="0"/>
          <w:marRight w:val="0"/>
          <w:marTop w:val="0"/>
          <w:marBottom w:val="0"/>
          <w:divBdr>
            <w:top w:val="none" w:sz="0" w:space="0" w:color="auto"/>
            <w:left w:val="none" w:sz="0" w:space="0" w:color="auto"/>
            <w:bottom w:val="none" w:sz="0" w:space="0" w:color="auto"/>
            <w:right w:val="none" w:sz="0" w:space="0" w:color="auto"/>
          </w:divBdr>
        </w:div>
        <w:div w:id="513694045">
          <w:marLeft w:val="0"/>
          <w:marRight w:val="0"/>
          <w:marTop w:val="0"/>
          <w:marBottom w:val="0"/>
          <w:divBdr>
            <w:top w:val="none" w:sz="0" w:space="0" w:color="auto"/>
            <w:left w:val="none" w:sz="0" w:space="0" w:color="auto"/>
            <w:bottom w:val="none" w:sz="0" w:space="0" w:color="auto"/>
            <w:right w:val="none" w:sz="0" w:space="0" w:color="auto"/>
          </w:divBdr>
        </w:div>
        <w:div w:id="1509519153">
          <w:marLeft w:val="0"/>
          <w:marRight w:val="0"/>
          <w:marTop w:val="0"/>
          <w:marBottom w:val="0"/>
          <w:divBdr>
            <w:top w:val="none" w:sz="0" w:space="0" w:color="auto"/>
            <w:left w:val="none" w:sz="0" w:space="0" w:color="auto"/>
            <w:bottom w:val="none" w:sz="0" w:space="0" w:color="auto"/>
            <w:right w:val="none" w:sz="0" w:space="0" w:color="auto"/>
          </w:divBdr>
        </w:div>
        <w:div w:id="1481730008">
          <w:marLeft w:val="0"/>
          <w:marRight w:val="0"/>
          <w:marTop w:val="0"/>
          <w:marBottom w:val="0"/>
          <w:divBdr>
            <w:top w:val="none" w:sz="0" w:space="0" w:color="auto"/>
            <w:left w:val="none" w:sz="0" w:space="0" w:color="auto"/>
            <w:bottom w:val="none" w:sz="0" w:space="0" w:color="auto"/>
            <w:right w:val="none" w:sz="0" w:space="0" w:color="auto"/>
          </w:divBdr>
        </w:div>
        <w:div w:id="2080328354">
          <w:marLeft w:val="0"/>
          <w:marRight w:val="0"/>
          <w:marTop w:val="0"/>
          <w:marBottom w:val="0"/>
          <w:divBdr>
            <w:top w:val="none" w:sz="0" w:space="0" w:color="auto"/>
            <w:left w:val="none" w:sz="0" w:space="0" w:color="auto"/>
            <w:bottom w:val="none" w:sz="0" w:space="0" w:color="auto"/>
            <w:right w:val="none" w:sz="0" w:space="0" w:color="auto"/>
          </w:divBdr>
        </w:div>
        <w:div w:id="1254439611">
          <w:marLeft w:val="0"/>
          <w:marRight w:val="0"/>
          <w:marTop w:val="0"/>
          <w:marBottom w:val="0"/>
          <w:divBdr>
            <w:top w:val="none" w:sz="0" w:space="0" w:color="auto"/>
            <w:left w:val="none" w:sz="0" w:space="0" w:color="auto"/>
            <w:bottom w:val="none" w:sz="0" w:space="0" w:color="auto"/>
            <w:right w:val="none" w:sz="0" w:space="0" w:color="auto"/>
          </w:divBdr>
        </w:div>
        <w:div w:id="558367554">
          <w:marLeft w:val="0"/>
          <w:marRight w:val="0"/>
          <w:marTop w:val="0"/>
          <w:marBottom w:val="0"/>
          <w:divBdr>
            <w:top w:val="none" w:sz="0" w:space="0" w:color="auto"/>
            <w:left w:val="none" w:sz="0" w:space="0" w:color="auto"/>
            <w:bottom w:val="none" w:sz="0" w:space="0" w:color="auto"/>
            <w:right w:val="none" w:sz="0" w:space="0" w:color="auto"/>
          </w:divBdr>
        </w:div>
        <w:div w:id="264459575">
          <w:marLeft w:val="0"/>
          <w:marRight w:val="0"/>
          <w:marTop w:val="0"/>
          <w:marBottom w:val="0"/>
          <w:divBdr>
            <w:top w:val="none" w:sz="0" w:space="0" w:color="auto"/>
            <w:left w:val="none" w:sz="0" w:space="0" w:color="auto"/>
            <w:bottom w:val="none" w:sz="0" w:space="0" w:color="auto"/>
            <w:right w:val="none" w:sz="0" w:space="0" w:color="auto"/>
          </w:divBdr>
        </w:div>
        <w:div w:id="790128430">
          <w:marLeft w:val="0"/>
          <w:marRight w:val="0"/>
          <w:marTop w:val="0"/>
          <w:marBottom w:val="0"/>
          <w:divBdr>
            <w:top w:val="none" w:sz="0" w:space="0" w:color="auto"/>
            <w:left w:val="none" w:sz="0" w:space="0" w:color="auto"/>
            <w:bottom w:val="none" w:sz="0" w:space="0" w:color="auto"/>
            <w:right w:val="none" w:sz="0" w:space="0" w:color="auto"/>
          </w:divBdr>
        </w:div>
      </w:divsChild>
    </w:div>
    <w:div w:id="73357735">
      <w:bodyDiv w:val="1"/>
      <w:marLeft w:val="0"/>
      <w:marRight w:val="0"/>
      <w:marTop w:val="0"/>
      <w:marBottom w:val="0"/>
      <w:divBdr>
        <w:top w:val="none" w:sz="0" w:space="0" w:color="auto"/>
        <w:left w:val="none" w:sz="0" w:space="0" w:color="auto"/>
        <w:bottom w:val="none" w:sz="0" w:space="0" w:color="auto"/>
        <w:right w:val="none" w:sz="0" w:space="0" w:color="auto"/>
      </w:divBdr>
      <w:divsChild>
        <w:div w:id="2002462935">
          <w:marLeft w:val="0"/>
          <w:marRight w:val="0"/>
          <w:marTop w:val="0"/>
          <w:marBottom w:val="0"/>
          <w:divBdr>
            <w:top w:val="none" w:sz="0" w:space="0" w:color="auto"/>
            <w:left w:val="none" w:sz="0" w:space="0" w:color="auto"/>
            <w:bottom w:val="none" w:sz="0" w:space="0" w:color="auto"/>
            <w:right w:val="none" w:sz="0" w:space="0" w:color="auto"/>
          </w:divBdr>
        </w:div>
        <w:div w:id="1706783146">
          <w:marLeft w:val="0"/>
          <w:marRight w:val="0"/>
          <w:marTop w:val="0"/>
          <w:marBottom w:val="0"/>
          <w:divBdr>
            <w:top w:val="none" w:sz="0" w:space="0" w:color="auto"/>
            <w:left w:val="none" w:sz="0" w:space="0" w:color="auto"/>
            <w:bottom w:val="none" w:sz="0" w:space="0" w:color="auto"/>
            <w:right w:val="none" w:sz="0" w:space="0" w:color="auto"/>
          </w:divBdr>
        </w:div>
        <w:div w:id="836311729">
          <w:marLeft w:val="0"/>
          <w:marRight w:val="0"/>
          <w:marTop w:val="0"/>
          <w:marBottom w:val="0"/>
          <w:divBdr>
            <w:top w:val="none" w:sz="0" w:space="0" w:color="auto"/>
            <w:left w:val="none" w:sz="0" w:space="0" w:color="auto"/>
            <w:bottom w:val="none" w:sz="0" w:space="0" w:color="auto"/>
            <w:right w:val="none" w:sz="0" w:space="0" w:color="auto"/>
          </w:divBdr>
        </w:div>
        <w:div w:id="238027526">
          <w:marLeft w:val="0"/>
          <w:marRight w:val="0"/>
          <w:marTop w:val="0"/>
          <w:marBottom w:val="0"/>
          <w:divBdr>
            <w:top w:val="none" w:sz="0" w:space="0" w:color="auto"/>
            <w:left w:val="none" w:sz="0" w:space="0" w:color="auto"/>
            <w:bottom w:val="none" w:sz="0" w:space="0" w:color="auto"/>
            <w:right w:val="none" w:sz="0" w:space="0" w:color="auto"/>
          </w:divBdr>
        </w:div>
        <w:div w:id="2096974694">
          <w:marLeft w:val="0"/>
          <w:marRight w:val="0"/>
          <w:marTop w:val="0"/>
          <w:marBottom w:val="0"/>
          <w:divBdr>
            <w:top w:val="none" w:sz="0" w:space="0" w:color="auto"/>
            <w:left w:val="none" w:sz="0" w:space="0" w:color="auto"/>
            <w:bottom w:val="none" w:sz="0" w:space="0" w:color="auto"/>
            <w:right w:val="none" w:sz="0" w:space="0" w:color="auto"/>
          </w:divBdr>
        </w:div>
        <w:div w:id="717703903">
          <w:marLeft w:val="0"/>
          <w:marRight w:val="0"/>
          <w:marTop w:val="0"/>
          <w:marBottom w:val="0"/>
          <w:divBdr>
            <w:top w:val="none" w:sz="0" w:space="0" w:color="auto"/>
            <w:left w:val="none" w:sz="0" w:space="0" w:color="auto"/>
            <w:bottom w:val="none" w:sz="0" w:space="0" w:color="auto"/>
            <w:right w:val="none" w:sz="0" w:space="0" w:color="auto"/>
          </w:divBdr>
        </w:div>
        <w:div w:id="1758406198">
          <w:marLeft w:val="0"/>
          <w:marRight w:val="0"/>
          <w:marTop w:val="0"/>
          <w:marBottom w:val="0"/>
          <w:divBdr>
            <w:top w:val="none" w:sz="0" w:space="0" w:color="auto"/>
            <w:left w:val="none" w:sz="0" w:space="0" w:color="auto"/>
            <w:bottom w:val="none" w:sz="0" w:space="0" w:color="auto"/>
            <w:right w:val="none" w:sz="0" w:space="0" w:color="auto"/>
          </w:divBdr>
        </w:div>
        <w:div w:id="1778989607">
          <w:marLeft w:val="0"/>
          <w:marRight w:val="0"/>
          <w:marTop w:val="0"/>
          <w:marBottom w:val="0"/>
          <w:divBdr>
            <w:top w:val="none" w:sz="0" w:space="0" w:color="auto"/>
            <w:left w:val="none" w:sz="0" w:space="0" w:color="auto"/>
            <w:bottom w:val="none" w:sz="0" w:space="0" w:color="auto"/>
            <w:right w:val="none" w:sz="0" w:space="0" w:color="auto"/>
          </w:divBdr>
        </w:div>
      </w:divsChild>
    </w:div>
    <w:div w:id="169754419">
      <w:bodyDiv w:val="1"/>
      <w:marLeft w:val="0"/>
      <w:marRight w:val="0"/>
      <w:marTop w:val="0"/>
      <w:marBottom w:val="0"/>
      <w:divBdr>
        <w:top w:val="none" w:sz="0" w:space="0" w:color="auto"/>
        <w:left w:val="none" w:sz="0" w:space="0" w:color="auto"/>
        <w:bottom w:val="none" w:sz="0" w:space="0" w:color="auto"/>
        <w:right w:val="none" w:sz="0" w:space="0" w:color="auto"/>
      </w:divBdr>
      <w:divsChild>
        <w:div w:id="581984632">
          <w:marLeft w:val="0"/>
          <w:marRight w:val="0"/>
          <w:marTop w:val="0"/>
          <w:marBottom w:val="0"/>
          <w:divBdr>
            <w:top w:val="none" w:sz="0" w:space="0" w:color="auto"/>
            <w:left w:val="none" w:sz="0" w:space="0" w:color="auto"/>
            <w:bottom w:val="none" w:sz="0" w:space="0" w:color="auto"/>
            <w:right w:val="none" w:sz="0" w:space="0" w:color="auto"/>
          </w:divBdr>
        </w:div>
        <w:div w:id="1576474246">
          <w:marLeft w:val="0"/>
          <w:marRight w:val="0"/>
          <w:marTop w:val="0"/>
          <w:marBottom w:val="0"/>
          <w:divBdr>
            <w:top w:val="none" w:sz="0" w:space="0" w:color="auto"/>
            <w:left w:val="none" w:sz="0" w:space="0" w:color="auto"/>
            <w:bottom w:val="none" w:sz="0" w:space="0" w:color="auto"/>
            <w:right w:val="none" w:sz="0" w:space="0" w:color="auto"/>
          </w:divBdr>
        </w:div>
        <w:div w:id="239750502">
          <w:marLeft w:val="0"/>
          <w:marRight w:val="0"/>
          <w:marTop w:val="0"/>
          <w:marBottom w:val="0"/>
          <w:divBdr>
            <w:top w:val="none" w:sz="0" w:space="0" w:color="auto"/>
            <w:left w:val="none" w:sz="0" w:space="0" w:color="auto"/>
            <w:bottom w:val="none" w:sz="0" w:space="0" w:color="auto"/>
            <w:right w:val="none" w:sz="0" w:space="0" w:color="auto"/>
          </w:divBdr>
        </w:div>
        <w:div w:id="1821535441">
          <w:marLeft w:val="0"/>
          <w:marRight w:val="0"/>
          <w:marTop w:val="0"/>
          <w:marBottom w:val="0"/>
          <w:divBdr>
            <w:top w:val="none" w:sz="0" w:space="0" w:color="auto"/>
            <w:left w:val="none" w:sz="0" w:space="0" w:color="auto"/>
            <w:bottom w:val="none" w:sz="0" w:space="0" w:color="auto"/>
            <w:right w:val="none" w:sz="0" w:space="0" w:color="auto"/>
          </w:divBdr>
        </w:div>
        <w:div w:id="864556984">
          <w:marLeft w:val="0"/>
          <w:marRight w:val="0"/>
          <w:marTop w:val="0"/>
          <w:marBottom w:val="0"/>
          <w:divBdr>
            <w:top w:val="none" w:sz="0" w:space="0" w:color="auto"/>
            <w:left w:val="none" w:sz="0" w:space="0" w:color="auto"/>
            <w:bottom w:val="none" w:sz="0" w:space="0" w:color="auto"/>
            <w:right w:val="none" w:sz="0" w:space="0" w:color="auto"/>
          </w:divBdr>
        </w:div>
        <w:div w:id="189296250">
          <w:marLeft w:val="0"/>
          <w:marRight w:val="0"/>
          <w:marTop w:val="0"/>
          <w:marBottom w:val="0"/>
          <w:divBdr>
            <w:top w:val="none" w:sz="0" w:space="0" w:color="auto"/>
            <w:left w:val="none" w:sz="0" w:space="0" w:color="auto"/>
            <w:bottom w:val="none" w:sz="0" w:space="0" w:color="auto"/>
            <w:right w:val="none" w:sz="0" w:space="0" w:color="auto"/>
          </w:divBdr>
        </w:div>
        <w:div w:id="1945108632">
          <w:marLeft w:val="0"/>
          <w:marRight w:val="0"/>
          <w:marTop w:val="0"/>
          <w:marBottom w:val="0"/>
          <w:divBdr>
            <w:top w:val="none" w:sz="0" w:space="0" w:color="auto"/>
            <w:left w:val="none" w:sz="0" w:space="0" w:color="auto"/>
            <w:bottom w:val="none" w:sz="0" w:space="0" w:color="auto"/>
            <w:right w:val="none" w:sz="0" w:space="0" w:color="auto"/>
          </w:divBdr>
        </w:div>
        <w:div w:id="1148739529">
          <w:marLeft w:val="0"/>
          <w:marRight w:val="0"/>
          <w:marTop w:val="0"/>
          <w:marBottom w:val="0"/>
          <w:divBdr>
            <w:top w:val="none" w:sz="0" w:space="0" w:color="auto"/>
            <w:left w:val="none" w:sz="0" w:space="0" w:color="auto"/>
            <w:bottom w:val="none" w:sz="0" w:space="0" w:color="auto"/>
            <w:right w:val="none" w:sz="0" w:space="0" w:color="auto"/>
          </w:divBdr>
        </w:div>
        <w:div w:id="882985166">
          <w:marLeft w:val="0"/>
          <w:marRight w:val="0"/>
          <w:marTop w:val="0"/>
          <w:marBottom w:val="0"/>
          <w:divBdr>
            <w:top w:val="none" w:sz="0" w:space="0" w:color="auto"/>
            <w:left w:val="none" w:sz="0" w:space="0" w:color="auto"/>
            <w:bottom w:val="none" w:sz="0" w:space="0" w:color="auto"/>
            <w:right w:val="none" w:sz="0" w:space="0" w:color="auto"/>
          </w:divBdr>
        </w:div>
        <w:div w:id="412243293">
          <w:marLeft w:val="0"/>
          <w:marRight w:val="0"/>
          <w:marTop w:val="0"/>
          <w:marBottom w:val="0"/>
          <w:divBdr>
            <w:top w:val="none" w:sz="0" w:space="0" w:color="auto"/>
            <w:left w:val="none" w:sz="0" w:space="0" w:color="auto"/>
            <w:bottom w:val="none" w:sz="0" w:space="0" w:color="auto"/>
            <w:right w:val="none" w:sz="0" w:space="0" w:color="auto"/>
          </w:divBdr>
        </w:div>
        <w:div w:id="2124229332">
          <w:marLeft w:val="0"/>
          <w:marRight w:val="0"/>
          <w:marTop w:val="0"/>
          <w:marBottom w:val="0"/>
          <w:divBdr>
            <w:top w:val="none" w:sz="0" w:space="0" w:color="auto"/>
            <w:left w:val="none" w:sz="0" w:space="0" w:color="auto"/>
            <w:bottom w:val="none" w:sz="0" w:space="0" w:color="auto"/>
            <w:right w:val="none" w:sz="0" w:space="0" w:color="auto"/>
          </w:divBdr>
        </w:div>
      </w:divsChild>
    </w:div>
    <w:div w:id="218250495">
      <w:bodyDiv w:val="1"/>
      <w:marLeft w:val="0"/>
      <w:marRight w:val="0"/>
      <w:marTop w:val="0"/>
      <w:marBottom w:val="0"/>
      <w:divBdr>
        <w:top w:val="none" w:sz="0" w:space="0" w:color="auto"/>
        <w:left w:val="none" w:sz="0" w:space="0" w:color="auto"/>
        <w:bottom w:val="none" w:sz="0" w:space="0" w:color="auto"/>
        <w:right w:val="none" w:sz="0" w:space="0" w:color="auto"/>
      </w:divBdr>
    </w:div>
    <w:div w:id="226576586">
      <w:bodyDiv w:val="1"/>
      <w:marLeft w:val="0"/>
      <w:marRight w:val="0"/>
      <w:marTop w:val="0"/>
      <w:marBottom w:val="0"/>
      <w:divBdr>
        <w:top w:val="none" w:sz="0" w:space="0" w:color="auto"/>
        <w:left w:val="none" w:sz="0" w:space="0" w:color="auto"/>
        <w:bottom w:val="none" w:sz="0" w:space="0" w:color="auto"/>
        <w:right w:val="none" w:sz="0" w:space="0" w:color="auto"/>
      </w:divBdr>
    </w:div>
    <w:div w:id="233972240">
      <w:bodyDiv w:val="1"/>
      <w:marLeft w:val="0"/>
      <w:marRight w:val="0"/>
      <w:marTop w:val="0"/>
      <w:marBottom w:val="0"/>
      <w:divBdr>
        <w:top w:val="none" w:sz="0" w:space="0" w:color="auto"/>
        <w:left w:val="none" w:sz="0" w:space="0" w:color="auto"/>
        <w:bottom w:val="none" w:sz="0" w:space="0" w:color="auto"/>
        <w:right w:val="none" w:sz="0" w:space="0" w:color="auto"/>
      </w:divBdr>
    </w:div>
    <w:div w:id="278073253">
      <w:bodyDiv w:val="1"/>
      <w:marLeft w:val="0"/>
      <w:marRight w:val="0"/>
      <w:marTop w:val="0"/>
      <w:marBottom w:val="0"/>
      <w:divBdr>
        <w:top w:val="none" w:sz="0" w:space="0" w:color="auto"/>
        <w:left w:val="none" w:sz="0" w:space="0" w:color="auto"/>
        <w:bottom w:val="none" w:sz="0" w:space="0" w:color="auto"/>
        <w:right w:val="none" w:sz="0" w:space="0" w:color="auto"/>
      </w:divBdr>
      <w:divsChild>
        <w:div w:id="1325159226">
          <w:marLeft w:val="0"/>
          <w:marRight w:val="0"/>
          <w:marTop w:val="0"/>
          <w:marBottom w:val="0"/>
          <w:divBdr>
            <w:top w:val="none" w:sz="0" w:space="0" w:color="auto"/>
            <w:left w:val="none" w:sz="0" w:space="0" w:color="auto"/>
            <w:bottom w:val="none" w:sz="0" w:space="0" w:color="auto"/>
            <w:right w:val="none" w:sz="0" w:space="0" w:color="auto"/>
          </w:divBdr>
        </w:div>
        <w:div w:id="2080593388">
          <w:marLeft w:val="0"/>
          <w:marRight w:val="0"/>
          <w:marTop w:val="0"/>
          <w:marBottom w:val="0"/>
          <w:divBdr>
            <w:top w:val="none" w:sz="0" w:space="0" w:color="auto"/>
            <w:left w:val="none" w:sz="0" w:space="0" w:color="auto"/>
            <w:bottom w:val="none" w:sz="0" w:space="0" w:color="auto"/>
            <w:right w:val="none" w:sz="0" w:space="0" w:color="auto"/>
          </w:divBdr>
        </w:div>
        <w:div w:id="1865290190">
          <w:marLeft w:val="0"/>
          <w:marRight w:val="0"/>
          <w:marTop w:val="0"/>
          <w:marBottom w:val="0"/>
          <w:divBdr>
            <w:top w:val="none" w:sz="0" w:space="0" w:color="auto"/>
            <w:left w:val="none" w:sz="0" w:space="0" w:color="auto"/>
            <w:bottom w:val="none" w:sz="0" w:space="0" w:color="auto"/>
            <w:right w:val="none" w:sz="0" w:space="0" w:color="auto"/>
          </w:divBdr>
        </w:div>
        <w:div w:id="652490341">
          <w:marLeft w:val="0"/>
          <w:marRight w:val="0"/>
          <w:marTop w:val="0"/>
          <w:marBottom w:val="0"/>
          <w:divBdr>
            <w:top w:val="none" w:sz="0" w:space="0" w:color="auto"/>
            <w:left w:val="none" w:sz="0" w:space="0" w:color="auto"/>
            <w:bottom w:val="none" w:sz="0" w:space="0" w:color="auto"/>
            <w:right w:val="none" w:sz="0" w:space="0" w:color="auto"/>
          </w:divBdr>
        </w:div>
        <w:div w:id="1754014130">
          <w:marLeft w:val="0"/>
          <w:marRight w:val="0"/>
          <w:marTop w:val="0"/>
          <w:marBottom w:val="0"/>
          <w:divBdr>
            <w:top w:val="none" w:sz="0" w:space="0" w:color="auto"/>
            <w:left w:val="none" w:sz="0" w:space="0" w:color="auto"/>
            <w:bottom w:val="none" w:sz="0" w:space="0" w:color="auto"/>
            <w:right w:val="none" w:sz="0" w:space="0" w:color="auto"/>
          </w:divBdr>
        </w:div>
        <w:div w:id="831408305">
          <w:marLeft w:val="0"/>
          <w:marRight w:val="0"/>
          <w:marTop w:val="0"/>
          <w:marBottom w:val="0"/>
          <w:divBdr>
            <w:top w:val="none" w:sz="0" w:space="0" w:color="auto"/>
            <w:left w:val="none" w:sz="0" w:space="0" w:color="auto"/>
            <w:bottom w:val="none" w:sz="0" w:space="0" w:color="auto"/>
            <w:right w:val="none" w:sz="0" w:space="0" w:color="auto"/>
          </w:divBdr>
        </w:div>
        <w:div w:id="1225874150">
          <w:marLeft w:val="0"/>
          <w:marRight w:val="0"/>
          <w:marTop w:val="0"/>
          <w:marBottom w:val="0"/>
          <w:divBdr>
            <w:top w:val="none" w:sz="0" w:space="0" w:color="auto"/>
            <w:left w:val="none" w:sz="0" w:space="0" w:color="auto"/>
            <w:bottom w:val="none" w:sz="0" w:space="0" w:color="auto"/>
            <w:right w:val="none" w:sz="0" w:space="0" w:color="auto"/>
          </w:divBdr>
        </w:div>
        <w:div w:id="997030614">
          <w:marLeft w:val="0"/>
          <w:marRight w:val="0"/>
          <w:marTop w:val="0"/>
          <w:marBottom w:val="0"/>
          <w:divBdr>
            <w:top w:val="none" w:sz="0" w:space="0" w:color="auto"/>
            <w:left w:val="none" w:sz="0" w:space="0" w:color="auto"/>
            <w:bottom w:val="none" w:sz="0" w:space="0" w:color="auto"/>
            <w:right w:val="none" w:sz="0" w:space="0" w:color="auto"/>
          </w:divBdr>
        </w:div>
        <w:div w:id="287781581">
          <w:marLeft w:val="0"/>
          <w:marRight w:val="0"/>
          <w:marTop w:val="0"/>
          <w:marBottom w:val="0"/>
          <w:divBdr>
            <w:top w:val="none" w:sz="0" w:space="0" w:color="auto"/>
            <w:left w:val="none" w:sz="0" w:space="0" w:color="auto"/>
            <w:bottom w:val="none" w:sz="0" w:space="0" w:color="auto"/>
            <w:right w:val="none" w:sz="0" w:space="0" w:color="auto"/>
          </w:divBdr>
        </w:div>
        <w:div w:id="183134447">
          <w:marLeft w:val="0"/>
          <w:marRight w:val="0"/>
          <w:marTop w:val="0"/>
          <w:marBottom w:val="0"/>
          <w:divBdr>
            <w:top w:val="none" w:sz="0" w:space="0" w:color="auto"/>
            <w:left w:val="none" w:sz="0" w:space="0" w:color="auto"/>
            <w:bottom w:val="none" w:sz="0" w:space="0" w:color="auto"/>
            <w:right w:val="none" w:sz="0" w:space="0" w:color="auto"/>
          </w:divBdr>
        </w:div>
        <w:div w:id="1235043655">
          <w:marLeft w:val="0"/>
          <w:marRight w:val="0"/>
          <w:marTop w:val="0"/>
          <w:marBottom w:val="0"/>
          <w:divBdr>
            <w:top w:val="none" w:sz="0" w:space="0" w:color="auto"/>
            <w:left w:val="none" w:sz="0" w:space="0" w:color="auto"/>
            <w:bottom w:val="none" w:sz="0" w:space="0" w:color="auto"/>
            <w:right w:val="none" w:sz="0" w:space="0" w:color="auto"/>
          </w:divBdr>
        </w:div>
        <w:div w:id="1156528197">
          <w:marLeft w:val="0"/>
          <w:marRight w:val="0"/>
          <w:marTop w:val="0"/>
          <w:marBottom w:val="0"/>
          <w:divBdr>
            <w:top w:val="none" w:sz="0" w:space="0" w:color="auto"/>
            <w:left w:val="none" w:sz="0" w:space="0" w:color="auto"/>
            <w:bottom w:val="none" w:sz="0" w:space="0" w:color="auto"/>
            <w:right w:val="none" w:sz="0" w:space="0" w:color="auto"/>
          </w:divBdr>
        </w:div>
        <w:div w:id="983003939">
          <w:marLeft w:val="0"/>
          <w:marRight w:val="0"/>
          <w:marTop w:val="0"/>
          <w:marBottom w:val="0"/>
          <w:divBdr>
            <w:top w:val="none" w:sz="0" w:space="0" w:color="auto"/>
            <w:left w:val="none" w:sz="0" w:space="0" w:color="auto"/>
            <w:bottom w:val="none" w:sz="0" w:space="0" w:color="auto"/>
            <w:right w:val="none" w:sz="0" w:space="0" w:color="auto"/>
          </w:divBdr>
        </w:div>
        <w:div w:id="1125152970">
          <w:marLeft w:val="0"/>
          <w:marRight w:val="0"/>
          <w:marTop w:val="0"/>
          <w:marBottom w:val="0"/>
          <w:divBdr>
            <w:top w:val="none" w:sz="0" w:space="0" w:color="auto"/>
            <w:left w:val="none" w:sz="0" w:space="0" w:color="auto"/>
            <w:bottom w:val="none" w:sz="0" w:space="0" w:color="auto"/>
            <w:right w:val="none" w:sz="0" w:space="0" w:color="auto"/>
          </w:divBdr>
        </w:div>
        <w:div w:id="367030001">
          <w:marLeft w:val="0"/>
          <w:marRight w:val="0"/>
          <w:marTop w:val="0"/>
          <w:marBottom w:val="0"/>
          <w:divBdr>
            <w:top w:val="none" w:sz="0" w:space="0" w:color="auto"/>
            <w:left w:val="none" w:sz="0" w:space="0" w:color="auto"/>
            <w:bottom w:val="none" w:sz="0" w:space="0" w:color="auto"/>
            <w:right w:val="none" w:sz="0" w:space="0" w:color="auto"/>
          </w:divBdr>
        </w:div>
        <w:div w:id="719943481">
          <w:marLeft w:val="0"/>
          <w:marRight w:val="0"/>
          <w:marTop w:val="0"/>
          <w:marBottom w:val="0"/>
          <w:divBdr>
            <w:top w:val="none" w:sz="0" w:space="0" w:color="auto"/>
            <w:left w:val="none" w:sz="0" w:space="0" w:color="auto"/>
            <w:bottom w:val="none" w:sz="0" w:space="0" w:color="auto"/>
            <w:right w:val="none" w:sz="0" w:space="0" w:color="auto"/>
          </w:divBdr>
        </w:div>
        <w:div w:id="2051683584">
          <w:marLeft w:val="0"/>
          <w:marRight w:val="0"/>
          <w:marTop w:val="0"/>
          <w:marBottom w:val="0"/>
          <w:divBdr>
            <w:top w:val="none" w:sz="0" w:space="0" w:color="auto"/>
            <w:left w:val="none" w:sz="0" w:space="0" w:color="auto"/>
            <w:bottom w:val="none" w:sz="0" w:space="0" w:color="auto"/>
            <w:right w:val="none" w:sz="0" w:space="0" w:color="auto"/>
          </w:divBdr>
        </w:div>
        <w:div w:id="1496411845">
          <w:marLeft w:val="0"/>
          <w:marRight w:val="0"/>
          <w:marTop w:val="0"/>
          <w:marBottom w:val="0"/>
          <w:divBdr>
            <w:top w:val="none" w:sz="0" w:space="0" w:color="auto"/>
            <w:left w:val="none" w:sz="0" w:space="0" w:color="auto"/>
            <w:bottom w:val="none" w:sz="0" w:space="0" w:color="auto"/>
            <w:right w:val="none" w:sz="0" w:space="0" w:color="auto"/>
          </w:divBdr>
        </w:div>
        <w:div w:id="566379336">
          <w:marLeft w:val="0"/>
          <w:marRight w:val="0"/>
          <w:marTop w:val="0"/>
          <w:marBottom w:val="0"/>
          <w:divBdr>
            <w:top w:val="none" w:sz="0" w:space="0" w:color="auto"/>
            <w:left w:val="none" w:sz="0" w:space="0" w:color="auto"/>
            <w:bottom w:val="none" w:sz="0" w:space="0" w:color="auto"/>
            <w:right w:val="none" w:sz="0" w:space="0" w:color="auto"/>
          </w:divBdr>
        </w:div>
        <w:div w:id="824007827">
          <w:marLeft w:val="0"/>
          <w:marRight w:val="0"/>
          <w:marTop w:val="0"/>
          <w:marBottom w:val="0"/>
          <w:divBdr>
            <w:top w:val="none" w:sz="0" w:space="0" w:color="auto"/>
            <w:left w:val="none" w:sz="0" w:space="0" w:color="auto"/>
            <w:bottom w:val="none" w:sz="0" w:space="0" w:color="auto"/>
            <w:right w:val="none" w:sz="0" w:space="0" w:color="auto"/>
          </w:divBdr>
        </w:div>
      </w:divsChild>
    </w:div>
    <w:div w:id="293103159">
      <w:bodyDiv w:val="1"/>
      <w:marLeft w:val="0"/>
      <w:marRight w:val="0"/>
      <w:marTop w:val="0"/>
      <w:marBottom w:val="0"/>
      <w:divBdr>
        <w:top w:val="none" w:sz="0" w:space="0" w:color="auto"/>
        <w:left w:val="none" w:sz="0" w:space="0" w:color="auto"/>
        <w:bottom w:val="none" w:sz="0" w:space="0" w:color="auto"/>
        <w:right w:val="none" w:sz="0" w:space="0" w:color="auto"/>
      </w:divBdr>
    </w:div>
    <w:div w:id="330835010">
      <w:bodyDiv w:val="1"/>
      <w:marLeft w:val="0"/>
      <w:marRight w:val="0"/>
      <w:marTop w:val="0"/>
      <w:marBottom w:val="0"/>
      <w:divBdr>
        <w:top w:val="none" w:sz="0" w:space="0" w:color="auto"/>
        <w:left w:val="none" w:sz="0" w:space="0" w:color="auto"/>
        <w:bottom w:val="none" w:sz="0" w:space="0" w:color="auto"/>
        <w:right w:val="none" w:sz="0" w:space="0" w:color="auto"/>
      </w:divBdr>
    </w:div>
    <w:div w:id="508447583">
      <w:bodyDiv w:val="1"/>
      <w:marLeft w:val="0"/>
      <w:marRight w:val="0"/>
      <w:marTop w:val="0"/>
      <w:marBottom w:val="0"/>
      <w:divBdr>
        <w:top w:val="none" w:sz="0" w:space="0" w:color="auto"/>
        <w:left w:val="none" w:sz="0" w:space="0" w:color="auto"/>
        <w:bottom w:val="none" w:sz="0" w:space="0" w:color="auto"/>
        <w:right w:val="none" w:sz="0" w:space="0" w:color="auto"/>
      </w:divBdr>
      <w:divsChild>
        <w:div w:id="2024479989">
          <w:marLeft w:val="0"/>
          <w:marRight w:val="0"/>
          <w:marTop w:val="0"/>
          <w:marBottom w:val="0"/>
          <w:divBdr>
            <w:top w:val="none" w:sz="0" w:space="0" w:color="auto"/>
            <w:left w:val="none" w:sz="0" w:space="0" w:color="auto"/>
            <w:bottom w:val="none" w:sz="0" w:space="0" w:color="auto"/>
            <w:right w:val="none" w:sz="0" w:space="0" w:color="auto"/>
          </w:divBdr>
        </w:div>
        <w:div w:id="1713460267">
          <w:marLeft w:val="0"/>
          <w:marRight w:val="0"/>
          <w:marTop w:val="0"/>
          <w:marBottom w:val="0"/>
          <w:divBdr>
            <w:top w:val="none" w:sz="0" w:space="0" w:color="auto"/>
            <w:left w:val="none" w:sz="0" w:space="0" w:color="auto"/>
            <w:bottom w:val="none" w:sz="0" w:space="0" w:color="auto"/>
            <w:right w:val="none" w:sz="0" w:space="0" w:color="auto"/>
          </w:divBdr>
        </w:div>
        <w:div w:id="127750671">
          <w:marLeft w:val="0"/>
          <w:marRight w:val="0"/>
          <w:marTop w:val="0"/>
          <w:marBottom w:val="0"/>
          <w:divBdr>
            <w:top w:val="none" w:sz="0" w:space="0" w:color="auto"/>
            <w:left w:val="none" w:sz="0" w:space="0" w:color="auto"/>
            <w:bottom w:val="none" w:sz="0" w:space="0" w:color="auto"/>
            <w:right w:val="none" w:sz="0" w:space="0" w:color="auto"/>
          </w:divBdr>
        </w:div>
        <w:div w:id="794179050">
          <w:marLeft w:val="0"/>
          <w:marRight w:val="0"/>
          <w:marTop w:val="0"/>
          <w:marBottom w:val="0"/>
          <w:divBdr>
            <w:top w:val="none" w:sz="0" w:space="0" w:color="auto"/>
            <w:left w:val="none" w:sz="0" w:space="0" w:color="auto"/>
            <w:bottom w:val="none" w:sz="0" w:space="0" w:color="auto"/>
            <w:right w:val="none" w:sz="0" w:space="0" w:color="auto"/>
          </w:divBdr>
        </w:div>
        <w:div w:id="1542787831">
          <w:marLeft w:val="0"/>
          <w:marRight w:val="0"/>
          <w:marTop w:val="0"/>
          <w:marBottom w:val="0"/>
          <w:divBdr>
            <w:top w:val="none" w:sz="0" w:space="0" w:color="auto"/>
            <w:left w:val="none" w:sz="0" w:space="0" w:color="auto"/>
            <w:bottom w:val="none" w:sz="0" w:space="0" w:color="auto"/>
            <w:right w:val="none" w:sz="0" w:space="0" w:color="auto"/>
          </w:divBdr>
        </w:div>
        <w:div w:id="700201933">
          <w:marLeft w:val="0"/>
          <w:marRight w:val="0"/>
          <w:marTop w:val="0"/>
          <w:marBottom w:val="0"/>
          <w:divBdr>
            <w:top w:val="none" w:sz="0" w:space="0" w:color="auto"/>
            <w:left w:val="none" w:sz="0" w:space="0" w:color="auto"/>
            <w:bottom w:val="none" w:sz="0" w:space="0" w:color="auto"/>
            <w:right w:val="none" w:sz="0" w:space="0" w:color="auto"/>
          </w:divBdr>
        </w:div>
        <w:div w:id="971130048">
          <w:marLeft w:val="0"/>
          <w:marRight w:val="0"/>
          <w:marTop w:val="0"/>
          <w:marBottom w:val="0"/>
          <w:divBdr>
            <w:top w:val="none" w:sz="0" w:space="0" w:color="auto"/>
            <w:left w:val="none" w:sz="0" w:space="0" w:color="auto"/>
            <w:bottom w:val="none" w:sz="0" w:space="0" w:color="auto"/>
            <w:right w:val="none" w:sz="0" w:space="0" w:color="auto"/>
          </w:divBdr>
        </w:div>
      </w:divsChild>
    </w:div>
    <w:div w:id="513762691">
      <w:bodyDiv w:val="1"/>
      <w:marLeft w:val="0"/>
      <w:marRight w:val="0"/>
      <w:marTop w:val="0"/>
      <w:marBottom w:val="0"/>
      <w:divBdr>
        <w:top w:val="none" w:sz="0" w:space="0" w:color="auto"/>
        <w:left w:val="none" w:sz="0" w:space="0" w:color="auto"/>
        <w:bottom w:val="none" w:sz="0" w:space="0" w:color="auto"/>
        <w:right w:val="none" w:sz="0" w:space="0" w:color="auto"/>
      </w:divBdr>
    </w:div>
    <w:div w:id="624390920">
      <w:bodyDiv w:val="1"/>
      <w:marLeft w:val="0"/>
      <w:marRight w:val="0"/>
      <w:marTop w:val="0"/>
      <w:marBottom w:val="0"/>
      <w:divBdr>
        <w:top w:val="none" w:sz="0" w:space="0" w:color="auto"/>
        <w:left w:val="none" w:sz="0" w:space="0" w:color="auto"/>
        <w:bottom w:val="none" w:sz="0" w:space="0" w:color="auto"/>
        <w:right w:val="none" w:sz="0" w:space="0" w:color="auto"/>
      </w:divBdr>
    </w:div>
    <w:div w:id="727922794">
      <w:bodyDiv w:val="1"/>
      <w:marLeft w:val="0"/>
      <w:marRight w:val="0"/>
      <w:marTop w:val="0"/>
      <w:marBottom w:val="0"/>
      <w:divBdr>
        <w:top w:val="none" w:sz="0" w:space="0" w:color="auto"/>
        <w:left w:val="none" w:sz="0" w:space="0" w:color="auto"/>
        <w:bottom w:val="none" w:sz="0" w:space="0" w:color="auto"/>
        <w:right w:val="none" w:sz="0" w:space="0" w:color="auto"/>
      </w:divBdr>
      <w:divsChild>
        <w:div w:id="1979996267">
          <w:marLeft w:val="0"/>
          <w:marRight w:val="0"/>
          <w:marTop w:val="0"/>
          <w:marBottom w:val="0"/>
          <w:divBdr>
            <w:top w:val="none" w:sz="0" w:space="0" w:color="auto"/>
            <w:left w:val="none" w:sz="0" w:space="0" w:color="auto"/>
            <w:bottom w:val="none" w:sz="0" w:space="0" w:color="auto"/>
            <w:right w:val="none" w:sz="0" w:space="0" w:color="auto"/>
          </w:divBdr>
          <w:divsChild>
            <w:div w:id="1633361087">
              <w:marLeft w:val="0"/>
              <w:marRight w:val="0"/>
              <w:marTop w:val="0"/>
              <w:marBottom w:val="0"/>
              <w:divBdr>
                <w:top w:val="none" w:sz="0" w:space="0" w:color="auto"/>
                <w:left w:val="none" w:sz="0" w:space="0" w:color="auto"/>
                <w:bottom w:val="none" w:sz="0" w:space="0" w:color="auto"/>
                <w:right w:val="none" w:sz="0" w:space="0" w:color="auto"/>
              </w:divBdr>
            </w:div>
            <w:div w:id="1416173991">
              <w:marLeft w:val="0"/>
              <w:marRight w:val="0"/>
              <w:marTop w:val="0"/>
              <w:marBottom w:val="0"/>
              <w:divBdr>
                <w:top w:val="none" w:sz="0" w:space="0" w:color="auto"/>
                <w:left w:val="none" w:sz="0" w:space="0" w:color="auto"/>
                <w:bottom w:val="none" w:sz="0" w:space="0" w:color="auto"/>
                <w:right w:val="none" w:sz="0" w:space="0" w:color="auto"/>
              </w:divBdr>
            </w:div>
            <w:div w:id="690376688">
              <w:marLeft w:val="0"/>
              <w:marRight w:val="0"/>
              <w:marTop w:val="0"/>
              <w:marBottom w:val="0"/>
              <w:divBdr>
                <w:top w:val="none" w:sz="0" w:space="0" w:color="auto"/>
                <w:left w:val="none" w:sz="0" w:space="0" w:color="auto"/>
                <w:bottom w:val="none" w:sz="0" w:space="0" w:color="auto"/>
                <w:right w:val="none" w:sz="0" w:space="0" w:color="auto"/>
              </w:divBdr>
            </w:div>
            <w:div w:id="1478301361">
              <w:marLeft w:val="0"/>
              <w:marRight w:val="0"/>
              <w:marTop w:val="0"/>
              <w:marBottom w:val="0"/>
              <w:divBdr>
                <w:top w:val="none" w:sz="0" w:space="0" w:color="auto"/>
                <w:left w:val="none" w:sz="0" w:space="0" w:color="auto"/>
                <w:bottom w:val="none" w:sz="0" w:space="0" w:color="auto"/>
                <w:right w:val="none" w:sz="0" w:space="0" w:color="auto"/>
              </w:divBdr>
            </w:div>
            <w:div w:id="229393103">
              <w:marLeft w:val="0"/>
              <w:marRight w:val="0"/>
              <w:marTop w:val="0"/>
              <w:marBottom w:val="0"/>
              <w:divBdr>
                <w:top w:val="none" w:sz="0" w:space="0" w:color="auto"/>
                <w:left w:val="none" w:sz="0" w:space="0" w:color="auto"/>
                <w:bottom w:val="none" w:sz="0" w:space="0" w:color="auto"/>
                <w:right w:val="none" w:sz="0" w:space="0" w:color="auto"/>
              </w:divBdr>
            </w:div>
            <w:div w:id="621037249">
              <w:marLeft w:val="0"/>
              <w:marRight w:val="0"/>
              <w:marTop w:val="0"/>
              <w:marBottom w:val="0"/>
              <w:divBdr>
                <w:top w:val="none" w:sz="0" w:space="0" w:color="auto"/>
                <w:left w:val="none" w:sz="0" w:space="0" w:color="auto"/>
                <w:bottom w:val="none" w:sz="0" w:space="0" w:color="auto"/>
                <w:right w:val="none" w:sz="0" w:space="0" w:color="auto"/>
              </w:divBdr>
            </w:div>
            <w:div w:id="1739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20472">
      <w:bodyDiv w:val="1"/>
      <w:marLeft w:val="0"/>
      <w:marRight w:val="0"/>
      <w:marTop w:val="0"/>
      <w:marBottom w:val="0"/>
      <w:divBdr>
        <w:top w:val="none" w:sz="0" w:space="0" w:color="auto"/>
        <w:left w:val="none" w:sz="0" w:space="0" w:color="auto"/>
        <w:bottom w:val="none" w:sz="0" w:space="0" w:color="auto"/>
        <w:right w:val="none" w:sz="0" w:space="0" w:color="auto"/>
      </w:divBdr>
      <w:divsChild>
        <w:div w:id="1779910389">
          <w:marLeft w:val="0"/>
          <w:marRight w:val="0"/>
          <w:marTop w:val="0"/>
          <w:marBottom w:val="0"/>
          <w:divBdr>
            <w:top w:val="none" w:sz="0" w:space="0" w:color="auto"/>
            <w:left w:val="none" w:sz="0" w:space="0" w:color="auto"/>
            <w:bottom w:val="none" w:sz="0" w:space="0" w:color="auto"/>
            <w:right w:val="none" w:sz="0" w:space="0" w:color="auto"/>
          </w:divBdr>
        </w:div>
        <w:div w:id="1027175571">
          <w:marLeft w:val="0"/>
          <w:marRight w:val="0"/>
          <w:marTop w:val="0"/>
          <w:marBottom w:val="0"/>
          <w:divBdr>
            <w:top w:val="none" w:sz="0" w:space="0" w:color="auto"/>
            <w:left w:val="none" w:sz="0" w:space="0" w:color="auto"/>
            <w:bottom w:val="none" w:sz="0" w:space="0" w:color="auto"/>
            <w:right w:val="none" w:sz="0" w:space="0" w:color="auto"/>
          </w:divBdr>
        </w:div>
        <w:div w:id="1187207531">
          <w:marLeft w:val="0"/>
          <w:marRight w:val="0"/>
          <w:marTop w:val="0"/>
          <w:marBottom w:val="0"/>
          <w:divBdr>
            <w:top w:val="none" w:sz="0" w:space="0" w:color="auto"/>
            <w:left w:val="none" w:sz="0" w:space="0" w:color="auto"/>
            <w:bottom w:val="none" w:sz="0" w:space="0" w:color="auto"/>
            <w:right w:val="none" w:sz="0" w:space="0" w:color="auto"/>
          </w:divBdr>
        </w:div>
        <w:div w:id="1836263373">
          <w:marLeft w:val="0"/>
          <w:marRight w:val="0"/>
          <w:marTop w:val="0"/>
          <w:marBottom w:val="0"/>
          <w:divBdr>
            <w:top w:val="none" w:sz="0" w:space="0" w:color="auto"/>
            <w:left w:val="none" w:sz="0" w:space="0" w:color="auto"/>
            <w:bottom w:val="none" w:sz="0" w:space="0" w:color="auto"/>
            <w:right w:val="none" w:sz="0" w:space="0" w:color="auto"/>
          </w:divBdr>
        </w:div>
        <w:div w:id="2101949227">
          <w:marLeft w:val="0"/>
          <w:marRight w:val="0"/>
          <w:marTop w:val="0"/>
          <w:marBottom w:val="0"/>
          <w:divBdr>
            <w:top w:val="none" w:sz="0" w:space="0" w:color="auto"/>
            <w:left w:val="none" w:sz="0" w:space="0" w:color="auto"/>
            <w:bottom w:val="none" w:sz="0" w:space="0" w:color="auto"/>
            <w:right w:val="none" w:sz="0" w:space="0" w:color="auto"/>
          </w:divBdr>
        </w:div>
        <w:div w:id="450368855">
          <w:marLeft w:val="0"/>
          <w:marRight w:val="0"/>
          <w:marTop w:val="0"/>
          <w:marBottom w:val="0"/>
          <w:divBdr>
            <w:top w:val="none" w:sz="0" w:space="0" w:color="auto"/>
            <w:left w:val="none" w:sz="0" w:space="0" w:color="auto"/>
            <w:bottom w:val="none" w:sz="0" w:space="0" w:color="auto"/>
            <w:right w:val="none" w:sz="0" w:space="0" w:color="auto"/>
          </w:divBdr>
        </w:div>
        <w:div w:id="1042440823">
          <w:marLeft w:val="0"/>
          <w:marRight w:val="0"/>
          <w:marTop w:val="0"/>
          <w:marBottom w:val="0"/>
          <w:divBdr>
            <w:top w:val="none" w:sz="0" w:space="0" w:color="auto"/>
            <w:left w:val="none" w:sz="0" w:space="0" w:color="auto"/>
            <w:bottom w:val="none" w:sz="0" w:space="0" w:color="auto"/>
            <w:right w:val="none" w:sz="0" w:space="0" w:color="auto"/>
          </w:divBdr>
        </w:div>
        <w:div w:id="32465856">
          <w:marLeft w:val="0"/>
          <w:marRight w:val="0"/>
          <w:marTop w:val="0"/>
          <w:marBottom w:val="0"/>
          <w:divBdr>
            <w:top w:val="none" w:sz="0" w:space="0" w:color="auto"/>
            <w:left w:val="none" w:sz="0" w:space="0" w:color="auto"/>
            <w:bottom w:val="none" w:sz="0" w:space="0" w:color="auto"/>
            <w:right w:val="none" w:sz="0" w:space="0" w:color="auto"/>
          </w:divBdr>
        </w:div>
        <w:div w:id="1701932047">
          <w:marLeft w:val="0"/>
          <w:marRight w:val="0"/>
          <w:marTop w:val="0"/>
          <w:marBottom w:val="0"/>
          <w:divBdr>
            <w:top w:val="none" w:sz="0" w:space="0" w:color="auto"/>
            <w:left w:val="none" w:sz="0" w:space="0" w:color="auto"/>
            <w:bottom w:val="none" w:sz="0" w:space="0" w:color="auto"/>
            <w:right w:val="none" w:sz="0" w:space="0" w:color="auto"/>
          </w:divBdr>
        </w:div>
      </w:divsChild>
    </w:div>
    <w:div w:id="755590647">
      <w:bodyDiv w:val="1"/>
      <w:marLeft w:val="0"/>
      <w:marRight w:val="0"/>
      <w:marTop w:val="0"/>
      <w:marBottom w:val="0"/>
      <w:divBdr>
        <w:top w:val="none" w:sz="0" w:space="0" w:color="auto"/>
        <w:left w:val="none" w:sz="0" w:space="0" w:color="auto"/>
        <w:bottom w:val="none" w:sz="0" w:space="0" w:color="auto"/>
        <w:right w:val="none" w:sz="0" w:space="0" w:color="auto"/>
      </w:divBdr>
    </w:div>
    <w:div w:id="776098042">
      <w:bodyDiv w:val="1"/>
      <w:marLeft w:val="0"/>
      <w:marRight w:val="0"/>
      <w:marTop w:val="0"/>
      <w:marBottom w:val="0"/>
      <w:divBdr>
        <w:top w:val="none" w:sz="0" w:space="0" w:color="auto"/>
        <w:left w:val="none" w:sz="0" w:space="0" w:color="auto"/>
        <w:bottom w:val="none" w:sz="0" w:space="0" w:color="auto"/>
        <w:right w:val="none" w:sz="0" w:space="0" w:color="auto"/>
      </w:divBdr>
    </w:div>
    <w:div w:id="787891433">
      <w:bodyDiv w:val="1"/>
      <w:marLeft w:val="0"/>
      <w:marRight w:val="0"/>
      <w:marTop w:val="0"/>
      <w:marBottom w:val="0"/>
      <w:divBdr>
        <w:top w:val="none" w:sz="0" w:space="0" w:color="auto"/>
        <w:left w:val="none" w:sz="0" w:space="0" w:color="auto"/>
        <w:bottom w:val="none" w:sz="0" w:space="0" w:color="auto"/>
        <w:right w:val="none" w:sz="0" w:space="0" w:color="auto"/>
      </w:divBdr>
    </w:div>
    <w:div w:id="856121626">
      <w:bodyDiv w:val="1"/>
      <w:marLeft w:val="0"/>
      <w:marRight w:val="0"/>
      <w:marTop w:val="0"/>
      <w:marBottom w:val="0"/>
      <w:divBdr>
        <w:top w:val="none" w:sz="0" w:space="0" w:color="auto"/>
        <w:left w:val="none" w:sz="0" w:space="0" w:color="auto"/>
        <w:bottom w:val="none" w:sz="0" w:space="0" w:color="auto"/>
        <w:right w:val="none" w:sz="0" w:space="0" w:color="auto"/>
      </w:divBdr>
      <w:divsChild>
        <w:div w:id="532306802">
          <w:marLeft w:val="0"/>
          <w:marRight w:val="0"/>
          <w:marTop w:val="0"/>
          <w:marBottom w:val="0"/>
          <w:divBdr>
            <w:top w:val="none" w:sz="0" w:space="0" w:color="auto"/>
            <w:left w:val="none" w:sz="0" w:space="0" w:color="auto"/>
            <w:bottom w:val="none" w:sz="0" w:space="0" w:color="auto"/>
            <w:right w:val="none" w:sz="0" w:space="0" w:color="auto"/>
          </w:divBdr>
        </w:div>
        <w:div w:id="1287547697">
          <w:marLeft w:val="0"/>
          <w:marRight w:val="0"/>
          <w:marTop w:val="0"/>
          <w:marBottom w:val="0"/>
          <w:divBdr>
            <w:top w:val="none" w:sz="0" w:space="0" w:color="auto"/>
            <w:left w:val="none" w:sz="0" w:space="0" w:color="auto"/>
            <w:bottom w:val="none" w:sz="0" w:space="0" w:color="auto"/>
            <w:right w:val="none" w:sz="0" w:space="0" w:color="auto"/>
          </w:divBdr>
        </w:div>
        <w:div w:id="1643534566">
          <w:marLeft w:val="0"/>
          <w:marRight w:val="0"/>
          <w:marTop w:val="0"/>
          <w:marBottom w:val="0"/>
          <w:divBdr>
            <w:top w:val="none" w:sz="0" w:space="0" w:color="auto"/>
            <w:left w:val="none" w:sz="0" w:space="0" w:color="auto"/>
            <w:bottom w:val="none" w:sz="0" w:space="0" w:color="auto"/>
            <w:right w:val="none" w:sz="0" w:space="0" w:color="auto"/>
          </w:divBdr>
        </w:div>
        <w:div w:id="105123965">
          <w:marLeft w:val="0"/>
          <w:marRight w:val="0"/>
          <w:marTop w:val="0"/>
          <w:marBottom w:val="0"/>
          <w:divBdr>
            <w:top w:val="none" w:sz="0" w:space="0" w:color="auto"/>
            <w:left w:val="none" w:sz="0" w:space="0" w:color="auto"/>
            <w:bottom w:val="none" w:sz="0" w:space="0" w:color="auto"/>
            <w:right w:val="none" w:sz="0" w:space="0" w:color="auto"/>
          </w:divBdr>
        </w:div>
        <w:div w:id="513880511">
          <w:marLeft w:val="0"/>
          <w:marRight w:val="0"/>
          <w:marTop w:val="0"/>
          <w:marBottom w:val="0"/>
          <w:divBdr>
            <w:top w:val="none" w:sz="0" w:space="0" w:color="auto"/>
            <w:left w:val="none" w:sz="0" w:space="0" w:color="auto"/>
            <w:bottom w:val="none" w:sz="0" w:space="0" w:color="auto"/>
            <w:right w:val="none" w:sz="0" w:space="0" w:color="auto"/>
          </w:divBdr>
        </w:div>
        <w:div w:id="47145123">
          <w:marLeft w:val="0"/>
          <w:marRight w:val="0"/>
          <w:marTop w:val="0"/>
          <w:marBottom w:val="0"/>
          <w:divBdr>
            <w:top w:val="none" w:sz="0" w:space="0" w:color="auto"/>
            <w:left w:val="none" w:sz="0" w:space="0" w:color="auto"/>
            <w:bottom w:val="none" w:sz="0" w:space="0" w:color="auto"/>
            <w:right w:val="none" w:sz="0" w:space="0" w:color="auto"/>
          </w:divBdr>
        </w:div>
        <w:div w:id="87624743">
          <w:marLeft w:val="0"/>
          <w:marRight w:val="0"/>
          <w:marTop w:val="0"/>
          <w:marBottom w:val="0"/>
          <w:divBdr>
            <w:top w:val="none" w:sz="0" w:space="0" w:color="auto"/>
            <w:left w:val="none" w:sz="0" w:space="0" w:color="auto"/>
            <w:bottom w:val="none" w:sz="0" w:space="0" w:color="auto"/>
            <w:right w:val="none" w:sz="0" w:space="0" w:color="auto"/>
          </w:divBdr>
        </w:div>
        <w:div w:id="1207989347">
          <w:marLeft w:val="0"/>
          <w:marRight w:val="0"/>
          <w:marTop w:val="0"/>
          <w:marBottom w:val="0"/>
          <w:divBdr>
            <w:top w:val="none" w:sz="0" w:space="0" w:color="auto"/>
            <w:left w:val="none" w:sz="0" w:space="0" w:color="auto"/>
            <w:bottom w:val="none" w:sz="0" w:space="0" w:color="auto"/>
            <w:right w:val="none" w:sz="0" w:space="0" w:color="auto"/>
          </w:divBdr>
        </w:div>
      </w:divsChild>
    </w:div>
    <w:div w:id="882330096">
      <w:bodyDiv w:val="1"/>
      <w:marLeft w:val="0"/>
      <w:marRight w:val="0"/>
      <w:marTop w:val="0"/>
      <w:marBottom w:val="0"/>
      <w:divBdr>
        <w:top w:val="none" w:sz="0" w:space="0" w:color="auto"/>
        <w:left w:val="none" w:sz="0" w:space="0" w:color="auto"/>
        <w:bottom w:val="none" w:sz="0" w:space="0" w:color="auto"/>
        <w:right w:val="none" w:sz="0" w:space="0" w:color="auto"/>
      </w:divBdr>
    </w:div>
    <w:div w:id="892498469">
      <w:bodyDiv w:val="1"/>
      <w:marLeft w:val="0"/>
      <w:marRight w:val="0"/>
      <w:marTop w:val="0"/>
      <w:marBottom w:val="0"/>
      <w:divBdr>
        <w:top w:val="none" w:sz="0" w:space="0" w:color="auto"/>
        <w:left w:val="none" w:sz="0" w:space="0" w:color="auto"/>
        <w:bottom w:val="none" w:sz="0" w:space="0" w:color="auto"/>
        <w:right w:val="none" w:sz="0" w:space="0" w:color="auto"/>
      </w:divBdr>
    </w:div>
    <w:div w:id="995452500">
      <w:bodyDiv w:val="1"/>
      <w:marLeft w:val="0"/>
      <w:marRight w:val="0"/>
      <w:marTop w:val="0"/>
      <w:marBottom w:val="0"/>
      <w:divBdr>
        <w:top w:val="none" w:sz="0" w:space="0" w:color="auto"/>
        <w:left w:val="none" w:sz="0" w:space="0" w:color="auto"/>
        <w:bottom w:val="none" w:sz="0" w:space="0" w:color="auto"/>
        <w:right w:val="none" w:sz="0" w:space="0" w:color="auto"/>
      </w:divBdr>
    </w:div>
    <w:div w:id="1015613401">
      <w:bodyDiv w:val="1"/>
      <w:marLeft w:val="0"/>
      <w:marRight w:val="0"/>
      <w:marTop w:val="0"/>
      <w:marBottom w:val="0"/>
      <w:divBdr>
        <w:top w:val="none" w:sz="0" w:space="0" w:color="auto"/>
        <w:left w:val="none" w:sz="0" w:space="0" w:color="auto"/>
        <w:bottom w:val="none" w:sz="0" w:space="0" w:color="auto"/>
        <w:right w:val="none" w:sz="0" w:space="0" w:color="auto"/>
      </w:divBdr>
    </w:div>
    <w:div w:id="1023479492">
      <w:bodyDiv w:val="1"/>
      <w:marLeft w:val="0"/>
      <w:marRight w:val="0"/>
      <w:marTop w:val="0"/>
      <w:marBottom w:val="0"/>
      <w:divBdr>
        <w:top w:val="none" w:sz="0" w:space="0" w:color="auto"/>
        <w:left w:val="none" w:sz="0" w:space="0" w:color="auto"/>
        <w:bottom w:val="none" w:sz="0" w:space="0" w:color="auto"/>
        <w:right w:val="none" w:sz="0" w:space="0" w:color="auto"/>
      </w:divBdr>
      <w:divsChild>
        <w:div w:id="911087495">
          <w:marLeft w:val="0"/>
          <w:marRight w:val="0"/>
          <w:marTop w:val="0"/>
          <w:marBottom w:val="0"/>
          <w:divBdr>
            <w:top w:val="none" w:sz="0" w:space="0" w:color="auto"/>
            <w:left w:val="none" w:sz="0" w:space="0" w:color="auto"/>
            <w:bottom w:val="none" w:sz="0" w:space="0" w:color="auto"/>
            <w:right w:val="none" w:sz="0" w:space="0" w:color="auto"/>
          </w:divBdr>
        </w:div>
        <w:div w:id="659233332">
          <w:marLeft w:val="0"/>
          <w:marRight w:val="0"/>
          <w:marTop w:val="0"/>
          <w:marBottom w:val="0"/>
          <w:divBdr>
            <w:top w:val="none" w:sz="0" w:space="0" w:color="auto"/>
            <w:left w:val="none" w:sz="0" w:space="0" w:color="auto"/>
            <w:bottom w:val="none" w:sz="0" w:space="0" w:color="auto"/>
            <w:right w:val="none" w:sz="0" w:space="0" w:color="auto"/>
          </w:divBdr>
        </w:div>
        <w:div w:id="1301308794">
          <w:marLeft w:val="0"/>
          <w:marRight w:val="0"/>
          <w:marTop w:val="0"/>
          <w:marBottom w:val="0"/>
          <w:divBdr>
            <w:top w:val="none" w:sz="0" w:space="0" w:color="auto"/>
            <w:left w:val="none" w:sz="0" w:space="0" w:color="auto"/>
            <w:bottom w:val="none" w:sz="0" w:space="0" w:color="auto"/>
            <w:right w:val="none" w:sz="0" w:space="0" w:color="auto"/>
          </w:divBdr>
        </w:div>
        <w:div w:id="475532391">
          <w:marLeft w:val="0"/>
          <w:marRight w:val="0"/>
          <w:marTop w:val="0"/>
          <w:marBottom w:val="0"/>
          <w:divBdr>
            <w:top w:val="none" w:sz="0" w:space="0" w:color="auto"/>
            <w:left w:val="none" w:sz="0" w:space="0" w:color="auto"/>
            <w:bottom w:val="none" w:sz="0" w:space="0" w:color="auto"/>
            <w:right w:val="none" w:sz="0" w:space="0" w:color="auto"/>
          </w:divBdr>
        </w:div>
        <w:div w:id="1731541430">
          <w:marLeft w:val="0"/>
          <w:marRight w:val="0"/>
          <w:marTop w:val="0"/>
          <w:marBottom w:val="0"/>
          <w:divBdr>
            <w:top w:val="none" w:sz="0" w:space="0" w:color="auto"/>
            <w:left w:val="none" w:sz="0" w:space="0" w:color="auto"/>
            <w:bottom w:val="none" w:sz="0" w:space="0" w:color="auto"/>
            <w:right w:val="none" w:sz="0" w:space="0" w:color="auto"/>
          </w:divBdr>
        </w:div>
        <w:div w:id="556598355">
          <w:marLeft w:val="0"/>
          <w:marRight w:val="0"/>
          <w:marTop w:val="0"/>
          <w:marBottom w:val="0"/>
          <w:divBdr>
            <w:top w:val="none" w:sz="0" w:space="0" w:color="auto"/>
            <w:left w:val="none" w:sz="0" w:space="0" w:color="auto"/>
            <w:bottom w:val="none" w:sz="0" w:space="0" w:color="auto"/>
            <w:right w:val="none" w:sz="0" w:space="0" w:color="auto"/>
          </w:divBdr>
        </w:div>
        <w:div w:id="1694452895">
          <w:marLeft w:val="0"/>
          <w:marRight w:val="0"/>
          <w:marTop w:val="0"/>
          <w:marBottom w:val="0"/>
          <w:divBdr>
            <w:top w:val="none" w:sz="0" w:space="0" w:color="auto"/>
            <w:left w:val="none" w:sz="0" w:space="0" w:color="auto"/>
            <w:bottom w:val="none" w:sz="0" w:space="0" w:color="auto"/>
            <w:right w:val="none" w:sz="0" w:space="0" w:color="auto"/>
          </w:divBdr>
        </w:div>
        <w:div w:id="142041303">
          <w:marLeft w:val="0"/>
          <w:marRight w:val="0"/>
          <w:marTop w:val="0"/>
          <w:marBottom w:val="0"/>
          <w:divBdr>
            <w:top w:val="none" w:sz="0" w:space="0" w:color="auto"/>
            <w:left w:val="none" w:sz="0" w:space="0" w:color="auto"/>
            <w:bottom w:val="none" w:sz="0" w:space="0" w:color="auto"/>
            <w:right w:val="none" w:sz="0" w:space="0" w:color="auto"/>
          </w:divBdr>
        </w:div>
        <w:div w:id="1293246873">
          <w:marLeft w:val="0"/>
          <w:marRight w:val="0"/>
          <w:marTop w:val="0"/>
          <w:marBottom w:val="0"/>
          <w:divBdr>
            <w:top w:val="none" w:sz="0" w:space="0" w:color="auto"/>
            <w:left w:val="none" w:sz="0" w:space="0" w:color="auto"/>
            <w:bottom w:val="none" w:sz="0" w:space="0" w:color="auto"/>
            <w:right w:val="none" w:sz="0" w:space="0" w:color="auto"/>
          </w:divBdr>
        </w:div>
        <w:div w:id="1336152139">
          <w:marLeft w:val="0"/>
          <w:marRight w:val="0"/>
          <w:marTop w:val="0"/>
          <w:marBottom w:val="0"/>
          <w:divBdr>
            <w:top w:val="none" w:sz="0" w:space="0" w:color="auto"/>
            <w:left w:val="none" w:sz="0" w:space="0" w:color="auto"/>
            <w:bottom w:val="none" w:sz="0" w:space="0" w:color="auto"/>
            <w:right w:val="none" w:sz="0" w:space="0" w:color="auto"/>
          </w:divBdr>
        </w:div>
        <w:div w:id="121651586">
          <w:marLeft w:val="0"/>
          <w:marRight w:val="0"/>
          <w:marTop w:val="0"/>
          <w:marBottom w:val="0"/>
          <w:divBdr>
            <w:top w:val="none" w:sz="0" w:space="0" w:color="auto"/>
            <w:left w:val="none" w:sz="0" w:space="0" w:color="auto"/>
            <w:bottom w:val="none" w:sz="0" w:space="0" w:color="auto"/>
            <w:right w:val="none" w:sz="0" w:space="0" w:color="auto"/>
          </w:divBdr>
        </w:div>
        <w:div w:id="679429651">
          <w:marLeft w:val="0"/>
          <w:marRight w:val="0"/>
          <w:marTop w:val="0"/>
          <w:marBottom w:val="0"/>
          <w:divBdr>
            <w:top w:val="none" w:sz="0" w:space="0" w:color="auto"/>
            <w:left w:val="none" w:sz="0" w:space="0" w:color="auto"/>
            <w:bottom w:val="none" w:sz="0" w:space="0" w:color="auto"/>
            <w:right w:val="none" w:sz="0" w:space="0" w:color="auto"/>
          </w:divBdr>
        </w:div>
        <w:div w:id="1820460680">
          <w:marLeft w:val="0"/>
          <w:marRight w:val="0"/>
          <w:marTop w:val="0"/>
          <w:marBottom w:val="0"/>
          <w:divBdr>
            <w:top w:val="none" w:sz="0" w:space="0" w:color="auto"/>
            <w:left w:val="none" w:sz="0" w:space="0" w:color="auto"/>
            <w:bottom w:val="none" w:sz="0" w:space="0" w:color="auto"/>
            <w:right w:val="none" w:sz="0" w:space="0" w:color="auto"/>
          </w:divBdr>
        </w:div>
        <w:div w:id="388964706">
          <w:marLeft w:val="0"/>
          <w:marRight w:val="0"/>
          <w:marTop w:val="0"/>
          <w:marBottom w:val="0"/>
          <w:divBdr>
            <w:top w:val="none" w:sz="0" w:space="0" w:color="auto"/>
            <w:left w:val="none" w:sz="0" w:space="0" w:color="auto"/>
            <w:bottom w:val="none" w:sz="0" w:space="0" w:color="auto"/>
            <w:right w:val="none" w:sz="0" w:space="0" w:color="auto"/>
          </w:divBdr>
        </w:div>
      </w:divsChild>
    </w:div>
    <w:div w:id="1024787822">
      <w:bodyDiv w:val="1"/>
      <w:marLeft w:val="0"/>
      <w:marRight w:val="0"/>
      <w:marTop w:val="0"/>
      <w:marBottom w:val="0"/>
      <w:divBdr>
        <w:top w:val="none" w:sz="0" w:space="0" w:color="auto"/>
        <w:left w:val="none" w:sz="0" w:space="0" w:color="auto"/>
        <w:bottom w:val="none" w:sz="0" w:space="0" w:color="auto"/>
        <w:right w:val="none" w:sz="0" w:space="0" w:color="auto"/>
      </w:divBdr>
      <w:divsChild>
        <w:div w:id="1190147304">
          <w:marLeft w:val="0"/>
          <w:marRight w:val="0"/>
          <w:marTop w:val="0"/>
          <w:marBottom w:val="0"/>
          <w:divBdr>
            <w:top w:val="none" w:sz="0" w:space="0" w:color="auto"/>
            <w:left w:val="none" w:sz="0" w:space="0" w:color="auto"/>
            <w:bottom w:val="none" w:sz="0" w:space="0" w:color="auto"/>
            <w:right w:val="none" w:sz="0" w:space="0" w:color="auto"/>
          </w:divBdr>
        </w:div>
        <w:div w:id="1392197177">
          <w:marLeft w:val="0"/>
          <w:marRight w:val="0"/>
          <w:marTop w:val="0"/>
          <w:marBottom w:val="0"/>
          <w:divBdr>
            <w:top w:val="none" w:sz="0" w:space="0" w:color="auto"/>
            <w:left w:val="none" w:sz="0" w:space="0" w:color="auto"/>
            <w:bottom w:val="none" w:sz="0" w:space="0" w:color="auto"/>
            <w:right w:val="none" w:sz="0" w:space="0" w:color="auto"/>
          </w:divBdr>
        </w:div>
      </w:divsChild>
    </w:div>
    <w:div w:id="1203514495">
      <w:bodyDiv w:val="1"/>
      <w:marLeft w:val="0"/>
      <w:marRight w:val="0"/>
      <w:marTop w:val="0"/>
      <w:marBottom w:val="0"/>
      <w:divBdr>
        <w:top w:val="none" w:sz="0" w:space="0" w:color="auto"/>
        <w:left w:val="none" w:sz="0" w:space="0" w:color="auto"/>
        <w:bottom w:val="none" w:sz="0" w:space="0" w:color="auto"/>
        <w:right w:val="none" w:sz="0" w:space="0" w:color="auto"/>
      </w:divBdr>
    </w:div>
    <w:div w:id="1270972359">
      <w:bodyDiv w:val="1"/>
      <w:marLeft w:val="0"/>
      <w:marRight w:val="0"/>
      <w:marTop w:val="0"/>
      <w:marBottom w:val="0"/>
      <w:divBdr>
        <w:top w:val="none" w:sz="0" w:space="0" w:color="auto"/>
        <w:left w:val="none" w:sz="0" w:space="0" w:color="auto"/>
        <w:bottom w:val="none" w:sz="0" w:space="0" w:color="auto"/>
        <w:right w:val="none" w:sz="0" w:space="0" w:color="auto"/>
      </w:divBdr>
      <w:divsChild>
        <w:div w:id="1023095212">
          <w:marLeft w:val="0"/>
          <w:marRight w:val="0"/>
          <w:marTop w:val="0"/>
          <w:marBottom w:val="0"/>
          <w:divBdr>
            <w:top w:val="none" w:sz="0" w:space="0" w:color="auto"/>
            <w:left w:val="none" w:sz="0" w:space="0" w:color="auto"/>
            <w:bottom w:val="none" w:sz="0" w:space="0" w:color="auto"/>
            <w:right w:val="none" w:sz="0" w:space="0" w:color="auto"/>
          </w:divBdr>
        </w:div>
        <w:div w:id="951471218">
          <w:marLeft w:val="0"/>
          <w:marRight w:val="0"/>
          <w:marTop w:val="0"/>
          <w:marBottom w:val="0"/>
          <w:divBdr>
            <w:top w:val="none" w:sz="0" w:space="0" w:color="auto"/>
            <w:left w:val="none" w:sz="0" w:space="0" w:color="auto"/>
            <w:bottom w:val="none" w:sz="0" w:space="0" w:color="auto"/>
            <w:right w:val="none" w:sz="0" w:space="0" w:color="auto"/>
          </w:divBdr>
        </w:div>
        <w:div w:id="1139806936">
          <w:marLeft w:val="0"/>
          <w:marRight w:val="0"/>
          <w:marTop w:val="0"/>
          <w:marBottom w:val="0"/>
          <w:divBdr>
            <w:top w:val="none" w:sz="0" w:space="0" w:color="auto"/>
            <w:left w:val="none" w:sz="0" w:space="0" w:color="auto"/>
            <w:bottom w:val="none" w:sz="0" w:space="0" w:color="auto"/>
            <w:right w:val="none" w:sz="0" w:space="0" w:color="auto"/>
          </w:divBdr>
        </w:div>
        <w:div w:id="1941835696">
          <w:marLeft w:val="0"/>
          <w:marRight w:val="0"/>
          <w:marTop w:val="0"/>
          <w:marBottom w:val="0"/>
          <w:divBdr>
            <w:top w:val="none" w:sz="0" w:space="0" w:color="auto"/>
            <w:left w:val="none" w:sz="0" w:space="0" w:color="auto"/>
            <w:bottom w:val="none" w:sz="0" w:space="0" w:color="auto"/>
            <w:right w:val="none" w:sz="0" w:space="0" w:color="auto"/>
          </w:divBdr>
        </w:div>
        <w:div w:id="1388913158">
          <w:marLeft w:val="0"/>
          <w:marRight w:val="0"/>
          <w:marTop w:val="0"/>
          <w:marBottom w:val="0"/>
          <w:divBdr>
            <w:top w:val="none" w:sz="0" w:space="0" w:color="auto"/>
            <w:left w:val="none" w:sz="0" w:space="0" w:color="auto"/>
            <w:bottom w:val="none" w:sz="0" w:space="0" w:color="auto"/>
            <w:right w:val="none" w:sz="0" w:space="0" w:color="auto"/>
          </w:divBdr>
        </w:div>
      </w:divsChild>
    </w:div>
    <w:div w:id="1349059416">
      <w:bodyDiv w:val="1"/>
      <w:marLeft w:val="0"/>
      <w:marRight w:val="0"/>
      <w:marTop w:val="0"/>
      <w:marBottom w:val="0"/>
      <w:divBdr>
        <w:top w:val="none" w:sz="0" w:space="0" w:color="auto"/>
        <w:left w:val="none" w:sz="0" w:space="0" w:color="auto"/>
        <w:bottom w:val="none" w:sz="0" w:space="0" w:color="auto"/>
        <w:right w:val="none" w:sz="0" w:space="0" w:color="auto"/>
      </w:divBdr>
    </w:div>
    <w:div w:id="1510103218">
      <w:bodyDiv w:val="1"/>
      <w:marLeft w:val="0"/>
      <w:marRight w:val="0"/>
      <w:marTop w:val="0"/>
      <w:marBottom w:val="0"/>
      <w:divBdr>
        <w:top w:val="none" w:sz="0" w:space="0" w:color="auto"/>
        <w:left w:val="none" w:sz="0" w:space="0" w:color="auto"/>
        <w:bottom w:val="none" w:sz="0" w:space="0" w:color="auto"/>
        <w:right w:val="none" w:sz="0" w:space="0" w:color="auto"/>
      </w:divBdr>
      <w:divsChild>
        <w:div w:id="1950425355">
          <w:marLeft w:val="0"/>
          <w:marRight w:val="0"/>
          <w:marTop w:val="0"/>
          <w:marBottom w:val="0"/>
          <w:divBdr>
            <w:top w:val="none" w:sz="0" w:space="0" w:color="auto"/>
            <w:left w:val="none" w:sz="0" w:space="0" w:color="auto"/>
            <w:bottom w:val="none" w:sz="0" w:space="0" w:color="auto"/>
            <w:right w:val="none" w:sz="0" w:space="0" w:color="auto"/>
          </w:divBdr>
        </w:div>
        <w:div w:id="739061582">
          <w:marLeft w:val="0"/>
          <w:marRight w:val="0"/>
          <w:marTop w:val="0"/>
          <w:marBottom w:val="0"/>
          <w:divBdr>
            <w:top w:val="none" w:sz="0" w:space="0" w:color="auto"/>
            <w:left w:val="none" w:sz="0" w:space="0" w:color="auto"/>
            <w:bottom w:val="none" w:sz="0" w:space="0" w:color="auto"/>
            <w:right w:val="none" w:sz="0" w:space="0" w:color="auto"/>
          </w:divBdr>
        </w:div>
        <w:div w:id="1477144356">
          <w:marLeft w:val="0"/>
          <w:marRight w:val="0"/>
          <w:marTop w:val="0"/>
          <w:marBottom w:val="0"/>
          <w:divBdr>
            <w:top w:val="none" w:sz="0" w:space="0" w:color="auto"/>
            <w:left w:val="none" w:sz="0" w:space="0" w:color="auto"/>
            <w:bottom w:val="none" w:sz="0" w:space="0" w:color="auto"/>
            <w:right w:val="none" w:sz="0" w:space="0" w:color="auto"/>
          </w:divBdr>
        </w:div>
        <w:div w:id="1520466357">
          <w:marLeft w:val="0"/>
          <w:marRight w:val="0"/>
          <w:marTop w:val="0"/>
          <w:marBottom w:val="0"/>
          <w:divBdr>
            <w:top w:val="none" w:sz="0" w:space="0" w:color="auto"/>
            <w:left w:val="none" w:sz="0" w:space="0" w:color="auto"/>
            <w:bottom w:val="none" w:sz="0" w:space="0" w:color="auto"/>
            <w:right w:val="none" w:sz="0" w:space="0" w:color="auto"/>
          </w:divBdr>
        </w:div>
        <w:div w:id="1384208796">
          <w:marLeft w:val="0"/>
          <w:marRight w:val="0"/>
          <w:marTop w:val="0"/>
          <w:marBottom w:val="0"/>
          <w:divBdr>
            <w:top w:val="none" w:sz="0" w:space="0" w:color="auto"/>
            <w:left w:val="none" w:sz="0" w:space="0" w:color="auto"/>
            <w:bottom w:val="none" w:sz="0" w:space="0" w:color="auto"/>
            <w:right w:val="none" w:sz="0" w:space="0" w:color="auto"/>
          </w:divBdr>
        </w:div>
        <w:div w:id="1383553355">
          <w:marLeft w:val="0"/>
          <w:marRight w:val="0"/>
          <w:marTop w:val="0"/>
          <w:marBottom w:val="0"/>
          <w:divBdr>
            <w:top w:val="none" w:sz="0" w:space="0" w:color="auto"/>
            <w:left w:val="none" w:sz="0" w:space="0" w:color="auto"/>
            <w:bottom w:val="none" w:sz="0" w:space="0" w:color="auto"/>
            <w:right w:val="none" w:sz="0" w:space="0" w:color="auto"/>
          </w:divBdr>
        </w:div>
        <w:div w:id="791285863">
          <w:marLeft w:val="0"/>
          <w:marRight w:val="0"/>
          <w:marTop w:val="0"/>
          <w:marBottom w:val="0"/>
          <w:divBdr>
            <w:top w:val="none" w:sz="0" w:space="0" w:color="auto"/>
            <w:left w:val="none" w:sz="0" w:space="0" w:color="auto"/>
            <w:bottom w:val="none" w:sz="0" w:space="0" w:color="auto"/>
            <w:right w:val="none" w:sz="0" w:space="0" w:color="auto"/>
          </w:divBdr>
        </w:div>
        <w:div w:id="1468279438">
          <w:marLeft w:val="0"/>
          <w:marRight w:val="0"/>
          <w:marTop w:val="0"/>
          <w:marBottom w:val="0"/>
          <w:divBdr>
            <w:top w:val="none" w:sz="0" w:space="0" w:color="auto"/>
            <w:left w:val="none" w:sz="0" w:space="0" w:color="auto"/>
            <w:bottom w:val="none" w:sz="0" w:space="0" w:color="auto"/>
            <w:right w:val="none" w:sz="0" w:space="0" w:color="auto"/>
          </w:divBdr>
        </w:div>
        <w:div w:id="348217910">
          <w:marLeft w:val="0"/>
          <w:marRight w:val="0"/>
          <w:marTop w:val="0"/>
          <w:marBottom w:val="0"/>
          <w:divBdr>
            <w:top w:val="none" w:sz="0" w:space="0" w:color="auto"/>
            <w:left w:val="none" w:sz="0" w:space="0" w:color="auto"/>
            <w:bottom w:val="none" w:sz="0" w:space="0" w:color="auto"/>
            <w:right w:val="none" w:sz="0" w:space="0" w:color="auto"/>
          </w:divBdr>
        </w:div>
      </w:divsChild>
    </w:div>
    <w:div w:id="1734767702">
      <w:bodyDiv w:val="1"/>
      <w:marLeft w:val="0"/>
      <w:marRight w:val="0"/>
      <w:marTop w:val="0"/>
      <w:marBottom w:val="0"/>
      <w:divBdr>
        <w:top w:val="none" w:sz="0" w:space="0" w:color="auto"/>
        <w:left w:val="none" w:sz="0" w:space="0" w:color="auto"/>
        <w:bottom w:val="none" w:sz="0" w:space="0" w:color="auto"/>
        <w:right w:val="none" w:sz="0" w:space="0" w:color="auto"/>
      </w:divBdr>
      <w:divsChild>
        <w:div w:id="543710517">
          <w:marLeft w:val="0"/>
          <w:marRight w:val="0"/>
          <w:marTop w:val="0"/>
          <w:marBottom w:val="0"/>
          <w:divBdr>
            <w:top w:val="none" w:sz="0" w:space="0" w:color="auto"/>
            <w:left w:val="none" w:sz="0" w:space="0" w:color="auto"/>
            <w:bottom w:val="none" w:sz="0" w:space="0" w:color="auto"/>
            <w:right w:val="none" w:sz="0" w:space="0" w:color="auto"/>
          </w:divBdr>
          <w:divsChild>
            <w:div w:id="1889224221">
              <w:marLeft w:val="0"/>
              <w:marRight w:val="0"/>
              <w:marTop w:val="0"/>
              <w:marBottom w:val="0"/>
              <w:divBdr>
                <w:top w:val="none" w:sz="0" w:space="0" w:color="auto"/>
                <w:left w:val="none" w:sz="0" w:space="0" w:color="auto"/>
                <w:bottom w:val="none" w:sz="0" w:space="0" w:color="auto"/>
                <w:right w:val="none" w:sz="0" w:space="0" w:color="auto"/>
              </w:divBdr>
            </w:div>
            <w:div w:id="1419904854">
              <w:marLeft w:val="0"/>
              <w:marRight w:val="0"/>
              <w:marTop w:val="0"/>
              <w:marBottom w:val="0"/>
              <w:divBdr>
                <w:top w:val="none" w:sz="0" w:space="0" w:color="auto"/>
                <w:left w:val="none" w:sz="0" w:space="0" w:color="auto"/>
                <w:bottom w:val="none" w:sz="0" w:space="0" w:color="auto"/>
                <w:right w:val="none" w:sz="0" w:space="0" w:color="auto"/>
              </w:divBdr>
            </w:div>
            <w:div w:id="1987467634">
              <w:marLeft w:val="0"/>
              <w:marRight w:val="0"/>
              <w:marTop w:val="0"/>
              <w:marBottom w:val="0"/>
              <w:divBdr>
                <w:top w:val="none" w:sz="0" w:space="0" w:color="auto"/>
                <w:left w:val="none" w:sz="0" w:space="0" w:color="auto"/>
                <w:bottom w:val="none" w:sz="0" w:space="0" w:color="auto"/>
                <w:right w:val="none" w:sz="0" w:space="0" w:color="auto"/>
              </w:divBdr>
            </w:div>
            <w:div w:id="193351222">
              <w:marLeft w:val="0"/>
              <w:marRight w:val="0"/>
              <w:marTop w:val="0"/>
              <w:marBottom w:val="0"/>
              <w:divBdr>
                <w:top w:val="none" w:sz="0" w:space="0" w:color="auto"/>
                <w:left w:val="none" w:sz="0" w:space="0" w:color="auto"/>
                <w:bottom w:val="none" w:sz="0" w:space="0" w:color="auto"/>
                <w:right w:val="none" w:sz="0" w:space="0" w:color="auto"/>
              </w:divBdr>
            </w:div>
            <w:div w:id="2085490903">
              <w:marLeft w:val="0"/>
              <w:marRight w:val="0"/>
              <w:marTop w:val="0"/>
              <w:marBottom w:val="0"/>
              <w:divBdr>
                <w:top w:val="none" w:sz="0" w:space="0" w:color="auto"/>
                <w:left w:val="none" w:sz="0" w:space="0" w:color="auto"/>
                <w:bottom w:val="none" w:sz="0" w:space="0" w:color="auto"/>
                <w:right w:val="none" w:sz="0" w:space="0" w:color="auto"/>
              </w:divBdr>
            </w:div>
            <w:div w:id="624040895">
              <w:marLeft w:val="0"/>
              <w:marRight w:val="0"/>
              <w:marTop w:val="0"/>
              <w:marBottom w:val="0"/>
              <w:divBdr>
                <w:top w:val="none" w:sz="0" w:space="0" w:color="auto"/>
                <w:left w:val="none" w:sz="0" w:space="0" w:color="auto"/>
                <w:bottom w:val="none" w:sz="0" w:space="0" w:color="auto"/>
                <w:right w:val="none" w:sz="0" w:space="0" w:color="auto"/>
              </w:divBdr>
            </w:div>
            <w:div w:id="64762492">
              <w:marLeft w:val="0"/>
              <w:marRight w:val="0"/>
              <w:marTop w:val="0"/>
              <w:marBottom w:val="0"/>
              <w:divBdr>
                <w:top w:val="none" w:sz="0" w:space="0" w:color="auto"/>
                <w:left w:val="none" w:sz="0" w:space="0" w:color="auto"/>
                <w:bottom w:val="none" w:sz="0" w:space="0" w:color="auto"/>
                <w:right w:val="none" w:sz="0" w:space="0" w:color="auto"/>
              </w:divBdr>
            </w:div>
            <w:div w:id="1319269308">
              <w:marLeft w:val="0"/>
              <w:marRight w:val="0"/>
              <w:marTop w:val="0"/>
              <w:marBottom w:val="0"/>
              <w:divBdr>
                <w:top w:val="none" w:sz="0" w:space="0" w:color="auto"/>
                <w:left w:val="none" w:sz="0" w:space="0" w:color="auto"/>
                <w:bottom w:val="none" w:sz="0" w:space="0" w:color="auto"/>
                <w:right w:val="none" w:sz="0" w:space="0" w:color="auto"/>
              </w:divBdr>
            </w:div>
            <w:div w:id="380516222">
              <w:marLeft w:val="0"/>
              <w:marRight w:val="0"/>
              <w:marTop w:val="0"/>
              <w:marBottom w:val="0"/>
              <w:divBdr>
                <w:top w:val="none" w:sz="0" w:space="0" w:color="auto"/>
                <w:left w:val="none" w:sz="0" w:space="0" w:color="auto"/>
                <w:bottom w:val="none" w:sz="0" w:space="0" w:color="auto"/>
                <w:right w:val="none" w:sz="0" w:space="0" w:color="auto"/>
              </w:divBdr>
            </w:div>
            <w:div w:id="1887911396">
              <w:marLeft w:val="0"/>
              <w:marRight w:val="0"/>
              <w:marTop w:val="0"/>
              <w:marBottom w:val="0"/>
              <w:divBdr>
                <w:top w:val="none" w:sz="0" w:space="0" w:color="auto"/>
                <w:left w:val="none" w:sz="0" w:space="0" w:color="auto"/>
                <w:bottom w:val="none" w:sz="0" w:space="0" w:color="auto"/>
                <w:right w:val="none" w:sz="0" w:space="0" w:color="auto"/>
              </w:divBdr>
            </w:div>
            <w:div w:id="1626429148">
              <w:marLeft w:val="0"/>
              <w:marRight w:val="0"/>
              <w:marTop w:val="0"/>
              <w:marBottom w:val="0"/>
              <w:divBdr>
                <w:top w:val="none" w:sz="0" w:space="0" w:color="auto"/>
                <w:left w:val="none" w:sz="0" w:space="0" w:color="auto"/>
                <w:bottom w:val="none" w:sz="0" w:space="0" w:color="auto"/>
                <w:right w:val="none" w:sz="0" w:space="0" w:color="auto"/>
              </w:divBdr>
            </w:div>
            <w:div w:id="1463422755">
              <w:marLeft w:val="0"/>
              <w:marRight w:val="0"/>
              <w:marTop w:val="0"/>
              <w:marBottom w:val="0"/>
              <w:divBdr>
                <w:top w:val="none" w:sz="0" w:space="0" w:color="auto"/>
                <w:left w:val="none" w:sz="0" w:space="0" w:color="auto"/>
                <w:bottom w:val="none" w:sz="0" w:space="0" w:color="auto"/>
                <w:right w:val="none" w:sz="0" w:space="0" w:color="auto"/>
              </w:divBdr>
            </w:div>
            <w:div w:id="801389351">
              <w:marLeft w:val="0"/>
              <w:marRight w:val="0"/>
              <w:marTop w:val="0"/>
              <w:marBottom w:val="0"/>
              <w:divBdr>
                <w:top w:val="none" w:sz="0" w:space="0" w:color="auto"/>
                <w:left w:val="none" w:sz="0" w:space="0" w:color="auto"/>
                <w:bottom w:val="none" w:sz="0" w:space="0" w:color="auto"/>
                <w:right w:val="none" w:sz="0" w:space="0" w:color="auto"/>
              </w:divBdr>
            </w:div>
            <w:div w:id="1542941226">
              <w:marLeft w:val="0"/>
              <w:marRight w:val="0"/>
              <w:marTop w:val="0"/>
              <w:marBottom w:val="0"/>
              <w:divBdr>
                <w:top w:val="none" w:sz="0" w:space="0" w:color="auto"/>
                <w:left w:val="none" w:sz="0" w:space="0" w:color="auto"/>
                <w:bottom w:val="none" w:sz="0" w:space="0" w:color="auto"/>
                <w:right w:val="none" w:sz="0" w:space="0" w:color="auto"/>
              </w:divBdr>
            </w:div>
            <w:div w:id="2048986882">
              <w:marLeft w:val="0"/>
              <w:marRight w:val="0"/>
              <w:marTop w:val="0"/>
              <w:marBottom w:val="0"/>
              <w:divBdr>
                <w:top w:val="none" w:sz="0" w:space="0" w:color="auto"/>
                <w:left w:val="none" w:sz="0" w:space="0" w:color="auto"/>
                <w:bottom w:val="none" w:sz="0" w:space="0" w:color="auto"/>
                <w:right w:val="none" w:sz="0" w:space="0" w:color="auto"/>
              </w:divBdr>
            </w:div>
            <w:div w:id="1178079613">
              <w:marLeft w:val="0"/>
              <w:marRight w:val="0"/>
              <w:marTop w:val="0"/>
              <w:marBottom w:val="0"/>
              <w:divBdr>
                <w:top w:val="none" w:sz="0" w:space="0" w:color="auto"/>
                <w:left w:val="none" w:sz="0" w:space="0" w:color="auto"/>
                <w:bottom w:val="none" w:sz="0" w:space="0" w:color="auto"/>
                <w:right w:val="none" w:sz="0" w:space="0" w:color="auto"/>
              </w:divBdr>
            </w:div>
            <w:div w:id="1820882120">
              <w:marLeft w:val="0"/>
              <w:marRight w:val="0"/>
              <w:marTop w:val="0"/>
              <w:marBottom w:val="0"/>
              <w:divBdr>
                <w:top w:val="none" w:sz="0" w:space="0" w:color="auto"/>
                <w:left w:val="none" w:sz="0" w:space="0" w:color="auto"/>
                <w:bottom w:val="none" w:sz="0" w:space="0" w:color="auto"/>
                <w:right w:val="none" w:sz="0" w:space="0" w:color="auto"/>
              </w:divBdr>
            </w:div>
            <w:div w:id="1411653007">
              <w:marLeft w:val="0"/>
              <w:marRight w:val="0"/>
              <w:marTop w:val="0"/>
              <w:marBottom w:val="0"/>
              <w:divBdr>
                <w:top w:val="none" w:sz="0" w:space="0" w:color="auto"/>
                <w:left w:val="none" w:sz="0" w:space="0" w:color="auto"/>
                <w:bottom w:val="none" w:sz="0" w:space="0" w:color="auto"/>
                <w:right w:val="none" w:sz="0" w:space="0" w:color="auto"/>
              </w:divBdr>
            </w:div>
            <w:div w:id="269245610">
              <w:marLeft w:val="0"/>
              <w:marRight w:val="0"/>
              <w:marTop w:val="0"/>
              <w:marBottom w:val="0"/>
              <w:divBdr>
                <w:top w:val="none" w:sz="0" w:space="0" w:color="auto"/>
                <w:left w:val="none" w:sz="0" w:space="0" w:color="auto"/>
                <w:bottom w:val="none" w:sz="0" w:space="0" w:color="auto"/>
                <w:right w:val="none" w:sz="0" w:space="0" w:color="auto"/>
              </w:divBdr>
            </w:div>
            <w:div w:id="51782200">
              <w:marLeft w:val="0"/>
              <w:marRight w:val="0"/>
              <w:marTop w:val="0"/>
              <w:marBottom w:val="0"/>
              <w:divBdr>
                <w:top w:val="none" w:sz="0" w:space="0" w:color="auto"/>
                <w:left w:val="none" w:sz="0" w:space="0" w:color="auto"/>
                <w:bottom w:val="none" w:sz="0" w:space="0" w:color="auto"/>
                <w:right w:val="none" w:sz="0" w:space="0" w:color="auto"/>
              </w:divBdr>
            </w:div>
            <w:div w:id="124560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5217">
      <w:bodyDiv w:val="1"/>
      <w:marLeft w:val="0"/>
      <w:marRight w:val="0"/>
      <w:marTop w:val="0"/>
      <w:marBottom w:val="0"/>
      <w:divBdr>
        <w:top w:val="none" w:sz="0" w:space="0" w:color="auto"/>
        <w:left w:val="none" w:sz="0" w:space="0" w:color="auto"/>
        <w:bottom w:val="none" w:sz="0" w:space="0" w:color="auto"/>
        <w:right w:val="none" w:sz="0" w:space="0" w:color="auto"/>
      </w:divBdr>
      <w:divsChild>
        <w:div w:id="925577071">
          <w:marLeft w:val="0"/>
          <w:marRight w:val="0"/>
          <w:marTop w:val="0"/>
          <w:marBottom w:val="0"/>
          <w:divBdr>
            <w:top w:val="none" w:sz="0" w:space="0" w:color="auto"/>
            <w:left w:val="none" w:sz="0" w:space="0" w:color="auto"/>
            <w:bottom w:val="none" w:sz="0" w:space="0" w:color="auto"/>
            <w:right w:val="none" w:sz="0" w:space="0" w:color="auto"/>
          </w:divBdr>
        </w:div>
        <w:div w:id="1023626573">
          <w:marLeft w:val="0"/>
          <w:marRight w:val="0"/>
          <w:marTop w:val="0"/>
          <w:marBottom w:val="0"/>
          <w:divBdr>
            <w:top w:val="none" w:sz="0" w:space="0" w:color="auto"/>
            <w:left w:val="none" w:sz="0" w:space="0" w:color="auto"/>
            <w:bottom w:val="none" w:sz="0" w:space="0" w:color="auto"/>
            <w:right w:val="none" w:sz="0" w:space="0" w:color="auto"/>
          </w:divBdr>
        </w:div>
        <w:div w:id="503475241">
          <w:marLeft w:val="0"/>
          <w:marRight w:val="0"/>
          <w:marTop w:val="0"/>
          <w:marBottom w:val="0"/>
          <w:divBdr>
            <w:top w:val="none" w:sz="0" w:space="0" w:color="auto"/>
            <w:left w:val="none" w:sz="0" w:space="0" w:color="auto"/>
            <w:bottom w:val="none" w:sz="0" w:space="0" w:color="auto"/>
            <w:right w:val="none" w:sz="0" w:space="0" w:color="auto"/>
          </w:divBdr>
        </w:div>
        <w:div w:id="269777473">
          <w:marLeft w:val="0"/>
          <w:marRight w:val="0"/>
          <w:marTop w:val="0"/>
          <w:marBottom w:val="0"/>
          <w:divBdr>
            <w:top w:val="none" w:sz="0" w:space="0" w:color="auto"/>
            <w:left w:val="none" w:sz="0" w:space="0" w:color="auto"/>
            <w:bottom w:val="none" w:sz="0" w:space="0" w:color="auto"/>
            <w:right w:val="none" w:sz="0" w:space="0" w:color="auto"/>
          </w:divBdr>
        </w:div>
        <w:div w:id="871190962">
          <w:marLeft w:val="0"/>
          <w:marRight w:val="0"/>
          <w:marTop w:val="0"/>
          <w:marBottom w:val="0"/>
          <w:divBdr>
            <w:top w:val="none" w:sz="0" w:space="0" w:color="auto"/>
            <w:left w:val="none" w:sz="0" w:space="0" w:color="auto"/>
            <w:bottom w:val="none" w:sz="0" w:space="0" w:color="auto"/>
            <w:right w:val="none" w:sz="0" w:space="0" w:color="auto"/>
          </w:divBdr>
        </w:div>
        <w:div w:id="848564739">
          <w:marLeft w:val="0"/>
          <w:marRight w:val="0"/>
          <w:marTop w:val="0"/>
          <w:marBottom w:val="0"/>
          <w:divBdr>
            <w:top w:val="none" w:sz="0" w:space="0" w:color="auto"/>
            <w:left w:val="none" w:sz="0" w:space="0" w:color="auto"/>
            <w:bottom w:val="none" w:sz="0" w:space="0" w:color="auto"/>
            <w:right w:val="none" w:sz="0" w:space="0" w:color="auto"/>
          </w:divBdr>
        </w:div>
        <w:div w:id="53479965">
          <w:marLeft w:val="0"/>
          <w:marRight w:val="0"/>
          <w:marTop w:val="0"/>
          <w:marBottom w:val="0"/>
          <w:divBdr>
            <w:top w:val="none" w:sz="0" w:space="0" w:color="auto"/>
            <w:left w:val="none" w:sz="0" w:space="0" w:color="auto"/>
            <w:bottom w:val="none" w:sz="0" w:space="0" w:color="auto"/>
            <w:right w:val="none" w:sz="0" w:space="0" w:color="auto"/>
          </w:divBdr>
        </w:div>
        <w:div w:id="355010287">
          <w:marLeft w:val="0"/>
          <w:marRight w:val="0"/>
          <w:marTop w:val="0"/>
          <w:marBottom w:val="0"/>
          <w:divBdr>
            <w:top w:val="none" w:sz="0" w:space="0" w:color="auto"/>
            <w:left w:val="none" w:sz="0" w:space="0" w:color="auto"/>
            <w:bottom w:val="none" w:sz="0" w:space="0" w:color="auto"/>
            <w:right w:val="none" w:sz="0" w:space="0" w:color="auto"/>
          </w:divBdr>
        </w:div>
        <w:div w:id="274560942">
          <w:marLeft w:val="0"/>
          <w:marRight w:val="0"/>
          <w:marTop w:val="0"/>
          <w:marBottom w:val="0"/>
          <w:divBdr>
            <w:top w:val="none" w:sz="0" w:space="0" w:color="auto"/>
            <w:left w:val="none" w:sz="0" w:space="0" w:color="auto"/>
            <w:bottom w:val="none" w:sz="0" w:space="0" w:color="auto"/>
            <w:right w:val="none" w:sz="0" w:space="0" w:color="auto"/>
          </w:divBdr>
        </w:div>
        <w:div w:id="2120712051">
          <w:marLeft w:val="0"/>
          <w:marRight w:val="0"/>
          <w:marTop w:val="0"/>
          <w:marBottom w:val="0"/>
          <w:divBdr>
            <w:top w:val="none" w:sz="0" w:space="0" w:color="auto"/>
            <w:left w:val="none" w:sz="0" w:space="0" w:color="auto"/>
            <w:bottom w:val="none" w:sz="0" w:space="0" w:color="auto"/>
            <w:right w:val="none" w:sz="0" w:space="0" w:color="auto"/>
          </w:divBdr>
        </w:div>
        <w:div w:id="2108311166">
          <w:marLeft w:val="0"/>
          <w:marRight w:val="0"/>
          <w:marTop w:val="0"/>
          <w:marBottom w:val="0"/>
          <w:divBdr>
            <w:top w:val="none" w:sz="0" w:space="0" w:color="auto"/>
            <w:left w:val="none" w:sz="0" w:space="0" w:color="auto"/>
            <w:bottom w:val="none" w:sz="0" w:space="0" w:color="auto"/>
            <w:right w:val="none" w:sz="0" w:space="0" w:color="auto"/>
          </w:divBdr>
        </w:div>
      </w:divsChild>
    </w:div>
    <w:div w:id="1746343231">
      <w:bodyDiv w:val="1"/>
      <w:marLeft w:val="0"/>
      <w:marRight w:val="0"/>
      <w:marTop w:val="0"/>
      <w:marBottom w:val="0"/>
      <w:divBdr>
        <w:top w:val="none" w:sz="0" w:space="0" w:color="auto"/>
        <w:left w:val="none" w:sz="0" w:space="0" w:color="auto"/>
        <w:bottom w:val="none" w:sz="0" w:space="0" w:color="auto"/>
        <w:right w:val="none" w:sz="0" w:space="0" w:color="auto"/>
      </w:divBdr>
      <w:divsChild>
        <w:div w:id="1852723176">
          <w:marLeft w:val="0"/>
          <w:marRight w:val="0"/>
          <w:marTop w:val="0"/>
          <w:marBottom w:val="0"/>
          <w:divBdr>
            <w:top w:val="none" w:sz="0" w:space="0" w:color="auto"/>
            <w:left w:val="none" w:sz="0" w:space="0" w:color="auto"/>
            <w:bottom w:val="none" w:sz="0" w:space="0" w:color="auto"/>
            <w:right w:val="none" w:sz="0" w:space="0" w:color="auto"/>
          </w:divBdr>
        </w:div>
        <w:div w:id="159395533">
          <w:marLeft w:val="0"/>
          <w:marRight w:val="0"/>
          <w:marTop w:val="0"/>
          <w:marBottom w:val="0"/>
          <w:divBdr>
            <w:top w:val="none" w:sz="0" w:space="0" w:color="auto"/>
            <w:left w:val="none" w:sz="0" w:space="0" w:color="auto"/>
            <w:bottom w:val="none" w:sz="0" w:space="0" w:color="auto"/>
            <w:right w:val="none" w:sz="0" w:space="0" w:color="auto"/>
          </w:divBdr>
        </w:div>
        <w:div w:id="2073842397">
          <w:marLeft w:val="0"/>
          <w:marRight w:val="0"/>
          <w:marTop w:val="0"/>
          <w:marBottom w:val="0"/>
          <w:divBdr>
            <w:top w:val="none" w:sz="0" w:space="0" w:color="auto"/>
            <w:left w:val="none" w:sz="0" w:space="0" w:color="auto"/>
            <w:bottom w:val="none" w:sz="0" w:space="0" w:color="auto"/>
            <w:right w:val="none" w:sz="0" w:space="0" w:color="auto"/>
          </w:divBdr>
        </w:div>
        <w:div w:id="411317793">
          <w:marLeft w:val="0"/>
          <w:marRight w:val="0"/>
          <w:marTop w:val="0"/>
          <w:marBottom w:val="0"/>
          <w:divBdr>
            <w:top w:val="none" w:sz="0" w:space="0" w:color="auto"/>
            <w:left w:val="none" w:sz="0" w:space="0" w:color="auto"/>
            <w:bottom w:val="none" w:sz="0" w:space="0" w:color="auto"/>
            <w:right w:val="none" w:sz="0" w:space="0" w:color="auto"/>
          </w:divBdr>
        </w:div>
        <w:div w:id="429853663">
          <w:marLeft w:val="0"/>
          <w:marRight w:val="0"/>
          <w:marTop w:val="0"/>
          <w:marBottom w:val="0"/>
          <w:divBdr>
            <w:top w:val="none" w:sz="0" w:space="0" w:color="auto"/>
            <w:left w:val="none" w:sz="0" w:space="0" w:color="auto"/>
            <w:bottom w:val="none" w:sz="0" w:space="0" w:color="auto"/>
            <w:right w:val="none" w:sz="0" w:space="0" w:color="auto"/>
          </w:divBdr>
        </w:div>
        <w:div w:id="2047945046">
          <w:marLeft w:val="0"/>
          <w:marRight w:val="0"/>
          <w:marTop w:val="0"/>
          <w:marBottom w:val="0"/>
          <w:divBdr>
            <w:top w:val="none" w:sz="0" w:space="0" w:color="auto"/>
            <w:left w:val="none" w:sz="0" w:space="0" w:color="auto"/>
            <w:bottom w:val="none" w:sz="0" w:space="0" w:color="auto"/>
            <w:right w:val="none" w:sz="0" w:space="0" w:color="auto"/>
          </w:divBdr>
        </w:div>
      </w:divsChild>
    </w:div>
    <w:div w:id="1749420474">
      <w:bodyDiv w:val="1"/>
      <w:marLeft w:val="0"/>
      <w:marRight w:val="0"/>
      <w:marTop w:val="0"/>
      <w:marBottom w:val="0"/>
      <w:divBdr>
        <w:top w:val="none" w:sz="0" w:space="0" w:color="auto"/>
        <w:left w:val="none" w:sz="0" w:space="0" w:color="auto"/>
        <w:bottom w:val="none" w:sz="0" w:space="0" w:color="auto"/>
        <w:right w:val="none" w:sz="0" w:space="0" w:color="auto"/>
      </w:divBdr>
    </w:div>
    <w:div w:id="1800104404">
      <w:bodyDiv w:val="1"/>
      <w:marLeft w:val="0"/>
      <w:marRight w:val="0"/>
      <w:marTop w:val="0"/>
      <w:marBottom w:val="0"/>
      <w:divBdr>
        <w:top w:val="none" w:sz="0" w:space="0" w:color="auto"/>
        <w:left w:val="none" w:sz="0" w:space="0" w:color="auto"/>
        <w:bottom w:val="none" w:sz="0" w:space="0" w:color="auto"/>
        <w:right w:val="none" w:sz="0" w:space="0" w:color="auto"/>
      </w:divBdr>
      <w:divsChild>
        <w:div w:id="1736320149">
          <w:marLeft w:val="0"/>
          <w:marRight w:val="0"/>
          <w:marTop w:val="0"/>
          <w:marBottom w:val="0"/>
          <w:divBdr>
            <w:top w:val="none" w:sz="0" w:space="0" w:color="auto"/>
            <w:left w:val="none" w:sz="0" w:space="0" w:color="auto"/>
            <w:bottom w:val="none" w:sz="0" w:space="0" w:color="auto"/>
            <w:right w:val="none" w:sz="0" w:space="0" w:color="auto"/>
          </w:divBdr>
        </w:div>
        <w:div w:id="42147187">
          <w:marLeft w:val="0"/>
          <w:marRight w:val="0"/>
          <w:marTop w:val="0"/>
          <w:marBottom w:val="0"/>
          <w:divBdr>
            <w:top w:val="none" w:sz="0" w:space="0" w:color="auto"/>
            <w:left w:val="none" w:sz="0" w:space="0" w:color="auto"/>
            <w:bottom w:val="none" w:sz="0" w:space="0" w:color="auto"/>
            <w:right w:val="none" w:sz="0" w:space="0" w:color="auto"/>
          </w:divBdr>
        </w:div>
        <w:div w:id="1695879881">
          <w:marLeft w:val="0"/>
          <w:marRight w:val="0"/>
          <w:marTop w:val="0"/>
          <w:marBottom w:val="0"/>
          <w:divBdr>
            <w:top w:val="none" w:sz="0" w:space="0" w:color="auto"/>
            <w:left w:val="none" w:sz="0" w:space="0" w:color="auto"/>
            <w:bottom w:val="none" w:sz="0" w:space="0" w:color="auto"/>
            <w:right w:val="none" w:sz="0" w:space="0" w:color="auto"/>
          </w:divBdr>
        </w:div>
        <w:div w:id="900408685">
          <w:marLeft w:val="0"/>
          <w:marRight w:val="0"/>
          <w:marTop w:val="0"/>
          <w:marBottom w:val="0"/>
          <w:divBdr>
            <w:top w:val="none" w:sz="0" w:space="0" w:color="auto"/>
            <w:left w:val="none" w:sz="0" w:space="0" w:color="auto"/>
            <w:bottom w:val="none" w:sz="0" w:space="0" w:color="auto"/>
            <w:right w:val="none" w:sz="0" w:space="0" w:color="auto"/>
          </w:divBdr>
        </w:div>
      </w:divsChild>
    </w:div>
    <w:div w:id="1832519214">
      <w:bodyDiv w:val="1"/>
      <w:marLeft w:val="0"/>
      <w:marRight w:val="0"/>
      <w:marTop w:val="0"/>
      <w:marBottom w:val="0"/>
      <w:divBdr>
        <w:top w:val="none" w:sz="0" w:space="0" w:color="auto"/>
        <w:left w:val="none" w:sz="0" w:space="0" w:color="auto"/>
        <w:bottom w:val="none" w:sz="0" w:space="0" w:color="auto"/>
        <w:right w:val="none" w:sz="0" w:space="0" w:color="auto"/>
      </w:divBdr>
    </w:div>
    <w:div w:id="1889341607">
      <w:bodyDiv w:val="1"/>
      <w:marLeft w:val="0"/>
      <w:marRight w:val="0"/>
      <w:marTop w:val="0"/>
      <w:marBottom w:val="0"/>
      <w:divBdr>
        <w:top w:val="none" w:sz="0" w:space="0" w:color="auto"/>
        <w:left w:val="none" w:sz="0" w:space="0" w:color="auto"/>
        <w:bottom w:val="none" w:sz="0" w:space="0" w:color="auto"/>
        <w:right w:val="none" w:sz="0" w:space="0" w:color="auto"/>
      </w:divBdr>
    </w:div>
    <w:div w:id="1893736631">
      <w:bodyDiv w:val="1"/>
      <w:marLeft w:val="0"/>
      <w:marRight w:val="0"/>
      <w:marTop w:val="0"/>
      <w:marBottom w:val="0"/>
      <w:divBdr>
        <w:top w:val="none" w:sz="0" w:space="0" w:color="auto"/>
        <w:left w:val="none" w:sz="0" w:space="0" w:color="auto"/>
        <w:bottom w:val="none" w:sz="0" w:space="0" w:color="auto"/>
        <w:right w:val="none" w:sz="0" w:space="0" w:color="auto"/>
      </w:divBdr>
    </w:div>
    <w:div w:id="2060593535">
      <w:bodyDiv w:val="1"/>
      <w:marLeft w:val="0"/>
      <w:marRight w:val="0"/>
      <w:marTop w:val="0"/>
      <w:marBottom w:val="0"/>
      <w:divBdr>
        <w:top w:val="none" w:sz="0" w:space="0" w:color="auto"/>
        <w:left w:val="none" w:sz="0" w:space="0" w:color="auto"/>
        <w:bottom w:val="none" w:sz="0" w:space="0" w:color="auto"/>
        <w:right w:val="none" w:sz="0" w:space="0" w:color="auto"/>
      </w:divBdr>
    </w:div>
    <w:div w:id="2125998347">
      <w:bodyDiv w:val="1"/>
      <w:marLeft w:val="0"/>
      <w:marRight w:val="0"/>
      <w:marTop w:val="0"/>
      <w:marBottom w:val="0"/>
      <w:divBdr>
        <w:top w:val="none" w:sz="0" w:space="0" w:color="auto"/>
        <w:left w:val="none" w:sz="0" w:space="0" w:color="auto"/>
        <w:bottom w:val="none" w:sz="0" w:space="0" w:color="auto"/>
        <w:right w:val="none" w:sz="0" w:space="0" w:color="auto"/>
      </w:divBdr>
      <w:divsChild>
        <w:div w:id="182284178">
          <w:marLeft w:val="0"/>
          <w:marRight w:val="0"/>
          <w:marTop w:val="0"/>
          <w:marBottom w:val="0"/>
          <w:divBdr>
            <w:top w:val="none" w:sz="0" w:space="0" w:color="auto"/>
            <w:left w:val="none" w:sz="0" w:space="0" w:color="auto"/>
            <w:bottom w:val="none" w:sz="0" w:space="0" w:color="auto"/>
            <w:right w:val="none" w:sz="0" w:space="0" w:color="auto"/>
          </w:divBdr>
        </w:div>
        <w:div w:id="1474521093">
          <w:marLeft w:val="0"/>
          <w:marRight w:val="0"/>
          <w:marTop w:val="0"/>
          <w:marBottom w:val="0"/>
          <w:divBdr>
            <w:top w:val="none" w:sz="0" w:space="0" w:color="auto"/>
            <w:left w:val="none" w:sz="0" w:space="0" w:color="auto"/>
            <w:bottom w:val="none" w:sz="0" w:space="0" w:color="auto"/>
            <w:right w:val="none" w:sz="0" w:space="0" w:color="auto"/>
          </w:divBdr>
        </w:div>
        <w:div w:id="825901879">
          <w:marLeft w:val="0"/>
          <w:marRight w:val="0"/>
          <w:marTop w:val="0"/>
          <w:marBottom w:val="0"/>
          <w:divBdr>
            <w:top w:val="none" w:sz="0" w:space="0" w:color="auto"/>
            <w:left w:val="none" w:sz="0" w:space="0" w:color="auto"/>
            <w:bottom w:val="none" w:sz="0" w:space="0" w:color="auto"/>
            <w:right w:val="none" w:sz="0" w:space="0" w:color="auto"/>
          </w:divBdr>
        </w:div>
        <w:div w:id="699816985">
          <w:marLeft w:val="0"/>
          <w:marRight w:val="0"/>
          <w:marTop w:val="0"/>
          <w:marBottom w:val="0"/>
          <w:divBdr>
            <w:top w:val="none" w:sz="0" w:space="0" w:color="auto"/>
            <w:left w:val="none" w:sz="0" w:space="0" w:color="auto"/>
            <w:bottom w:val="none" w:sz="0" w:space="0" w:color="auto"/>
            <w:right w:val="none" w:sz="0" w:space="0" w:color="auto"/>
          </w:divBdr>
        </w:div>
        <w:div w:id="1119759336">
          <w:marLeft w:val="0"/>
          <w:marRight w:val="0"/>
          <w:marTop w:val="0"/>
          <w:marBottom w:val="0"/>
          <w:divBdr>
            <w:top w:val="none" w:sz="0" w:space="0" w:color="auto"/>
            <w:left w:val="none" w:sz="0" w:space="0" w:color="auto"/>
            <w:bottom w:val="none" w:sz="0" w:space="0" w:color="auto"/>
            <w:right w:val="none" w:sz="0" w:space="0" w:color="auto"/>
          </w:divBdr>
        </w:div>
        <w:div w:id="199694989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hyperlink" Target="http://data.worldbank.org/indicator/CM.MKT.LCAP.CD" TargetMode="External"/><Relationship Id="rId21" Type="http://schemas.openxmlformats.org/officeDocument/2006/relationships/footer" Target="footer4.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yperlink" Target="http://www.auditcommitteecollaboration.org/EnhancingtheAuditCommitteeReport-ACalltoAction.pdf" TargetMode="External"/><Relationship Id="rId14" Type="http://schemas.openxmlformats.org/officeDocument/2006/relationships/hyperlink" Target="http://www.accountingtoday.com/news/european-parliament-moves-ahead-on-audit-firm-reforms-70226-1.html" TargetMode="External"/><Relationship Id="rId15" Type="http://schemas.openxmlformats.org/officeDocument/2006/relationships/hyperlink" Target="http://www.deloitte.com/assets/Dcom-UnitedKingdom/Local%20Assets/Documents/Services/Audit/uk-audit-a-new-beginning-printer-friendly-13.pdf" TargetMode="External"/><Relationship Id="rId16" Type="http://schemas.openxmlformats.org/officeDocument/2006/relationships/hyperlink" Target="http://papers.ssrn.com/sol3/papers.cfm?abstract_id=2481284" TargetMode="External"/><Relationship Id="rId17" Type="http://schemas.openxmlformats.org/officeDocument/2006/relationships/hyperlink" Target="http://www.sec.gov/rules/final/34-42266.htm" TargetMode="External"/><Relationship Id="rId18" Type="http://schemas.openxmlformats.org/officeDocument/2006/relationships/hyperlink" Target="http://pcaobus.org/Rules/Rulemaking/Docket034/04032014_Transcript.pdf" TargetMode="External"/><Relationship Id="rId19" Type="http://schemas.openxmlformats.org/officeDocument/2006/relationships/hyperlink" Target="http://www.sec.gov/News/Speech/Detail/Speech/1370539878806#.U0w418dw1Ns"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rolls-royce.com/Images/RR_Full%20%20Annual%20%20Report__tcm92-555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CB6A7-BA76-0C49-BE66-A355CDF3B130}">
  <ds:schemaRefs>
    <ds:schemaRef ds:uri="http://schemas.openxmlformats.org/officeDocument/2006/bibliography"/>
  </ds:schemaRefs>
</ds:datastoreItem>
</file>

<file path=customXml/itemProps2.xml><?xml version="1.0" encoding="utf-8"?>
<ds:datastoreItem xmlns:ds="http://schemas.openxmlformats.org/officeDocument/2006/customXml" ds:itemID="{C78FE527-4177-DB41-A12E-6C84C9D1D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59</Pages>
  <Words>26952</Words>
  <Characters>153629</Characters>
  <Application>Microsoft Macintosh Word</Application>
  <DocSecurity>0</DocSecurity>
  <Lines>1280</Lines>
  <Paragraphs>360</Paragraphs>
  <ScaleCrop>false</ScaleCrop>
  <HeadingPairs>
    <vt:vector size="2" baseType="variant">
      <vt:variant>
        <vt:lpstr>Title</vt:lpstr>
      </vt:variant>
      <vt:variant>
        <vt:i4>1</vt:i4>
      </vt:variant>
    </vt:vector>
  </HeadingPairs>
  <TitlesOfParts>
    <vt:vector size="1" baseType="lpstr">
      <vt:lpstr/>
    </vt:vector>
  </TitlesOfParts>
  <Company>University of Pittsburgh</Company>
  <LinksUpToDate>false</LinksUpToDate>
  <CharactersWithSpaces>180221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Reid</dc:creator>
  <cp:lastModifiedBy>Lauren Reid</cp:lastModifiedBy>
  <cp:revision>12</cp:revision>
  <cp:lastPrinted>2015-01-12T22:52:00Z</cp:lastPrinted>
  <dcterms:created xsi:type="dcterms:W3CDTF">2015-02-26T23:07:00Z</dcterms:created>
  <dcterms:modified xsi:type="dcterms:W3CDTF">2015-02-27T00:02:00Z</dcterms:modified>
</cp:coreProperties>
</file>